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DBE7C" w14:textId="5E229160" w:rsidR="00702291" w:rsidRDefault="00E3616B" w:rsidP="00E3616B">
      <w:pPr>
        <w:pStyle w:val="Pagedecouverture"/>
        <w:rPr>
          <w:noProof/>
        </w:rPr>
      </w:pPr>
      <w:bookmarkStart w:id="0" w:name="LW_BM_COVERPAGE"/>
      <w:r>
        <w:rPr>
          <w:noProof/>
        </w:rPr>
        <w:pict w14:anchorId="4F2F0D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99C8691-971A-4B29-AAFD-93EEBA4D1707" style="width:455.25pt;height:372.75pt">
            <v:imagedata r:id="rId11" o:title=""/>
          </v:shape>
        </w:pict>
      </w:r>
    </w:p>
    <w:bookmarkEnd w:id="0"/>
    <w:p w14:paraId="6F738282" w14:textId="77777777" w:rsidR="00702291" w:rsidRDefault="00702291">
      <w:pPr>
        <w:rPr>
          <w:noProof/>
        </w:rPr>
        <w:sectPr w:rsidR="00702291" w:rsidSect="00E3616B">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070973FC" w14:textId="2D78D346" w:rsidR="00702291" w:rsidRDefault="00712B31">
      <w:pPr>
        <w:pStyle w:val="P68B1DB1-Normal2"/>
        <w:spacing w:after="120" w:line="240" w:lineRule="auto"/>
        <w:jc w:val="center"/>
        <w:rPr>
          <w:bCs/>
          <w:noProof/>
        </w:rPr>
      </w:pPr>
      <w:bookmarkStart w:id="1" w:name="_GoBack"/>
      <w:bookmarkEnd w:id="1"/>
      <w:r>
        <w:rPr>
          <w:noProof/>
        </w:rPr>
        <w:lastRenderedPageBreak/>
        <w:t>ANEXĂ</w:t>
      </w:r>
    </w:p>
    <w:p w14:paraId="4EFF4398" w14:textId="77777777" w:rsidR="00702291" w:rsidRDefault="00702291">
      <w:pPr>
        <w:spacing w:after="120" w:line="240" w:lineRule="auto"/>
        <w:jc w:val="center"/>
        <w:rPr>
          <w:rFonts w:ascii="Times New Roman" w:hAnsi="Times New Roman"/>
          <w:b/>
          <w:bCs/>
          <w:noProof/>
          <w:sz w:val="24"/>
          <w:szCs w:val="24"/>
          <w:u w:val="single"/>
        </w:rPr>
      </w:pPr>
    </w:p>
    <w:p w14:paraId="5AEF6C66" w14:textId="5D530E66" w:rsidR="00702291" w:rsidRDefault="00712B31">
      <w:pPr>
        <w:pStyle w:val="P68B1DB1-Heading13"/>
        <w:spacing w:before="0" w:after="120"/>
        <w:rPr>
          <w:noProof/>
        </w:rPr>
      </w:pPr>
      <w:r>
        <w:rPr>
          <w:noProof/>
        </w:rPr>
        <w:t>SECȚIUNEA 1: REFORME ȘI INVESTIȚII INCLUSE ÎN PLANUL DE REDRESARE ȘI REZILIENȚĂ</w:t>
      </w:r>
    </w:p>
    <w:p w14:paraId="61250697" w14:textId="565C40D6" w:rsidR="00702291" w:rsidRDefault="00712B31">
      <w:pPr>
        <w:pStyle w:val="P68B1DB1-ListParagraph4"/>
        <w:numPr>
          <w:ilvl w:val="0"/>
          <w:numId w:val="16"/>
        </w:numPr>
        <w:spacing w:after="120" w:line="240" w:lineRule="auto"/>
        <w:contextualSpacing w:val="0"/>
        <w:jc w:val="both"/>
        <w:rPr>
          <w:rFonts w:eastAsia="Calibri" w:cs="Times New Roman"/>
          <w:noProof/>
          <w:szCs w:val="24"/>
        </w:rPr>
      </w:pPr>
      <w:r>
        <w:rPr>
          <w:noProof/>
        </w:rPr>
        <w:t>Descrierea reformelor și a investițiilor</w:t>
      </w:r>
    </w:p>
    <w:p w14:paraId="647ABCB3" w14:textId="24412460" w:rsidR="00702291" w:rsidRDefault="00712B31">
      <w:pPr>
        <w:pStyle w:val="P68B1DB1-Heading25"/>
        <w:keepLines w:val="0"/>
        <w:spacing w:before="0" w:after="120"/>
        <w:jc w:val="both"/>
        <w:rPr>
          <w:noProof/>
        </w:rPr>
      </w:pPr>
      <w:r>
        <w:rPr>
          <w:noProof/>
        </w:rPr>
        <w:t>A. COMPONENTA 1: DEMOGRAFIE ȘI EDUCAȚIA PUBLICĂ</w:t>
      </w:r>
    </w:p>
    <w:p w14:paraId="53A603CE" w14:textId="76B39739" w:rsidR="00702291" w:rsidRDefault="00712B31">
      <w:pPr>
        <w:pStyle w:val="P68B1DB1-Normal6"/>
        <w:spacing w:after="120" w:line="240" w:lineRule="auto"/>
        <w:jc w:val="both"/>
        <w:rPr>
          <w:rFonts w:eastAsiaTheme="minorHAnsi"/>
          <w:noProof/>
        </w:rPr>
      </w:pPr>
      <w:r>
        <w:rPr>
          <w:noProof/>
        </w:rPr>
        <w:t xml:space="preserve">Această componentă a planului de redresare și reziliență al Ungariei abordează provocările legate de accesul incluziv la o educație școlară de calitate, de integrarea pe piața forței de muncă a grupurilor vulnerabile și de evoluțiile demografice mai ample cu care se confruntă economia, finanțele publice și societatea din Ungaria. </w:t>
      </w:r>
    </w:p>
    <w:p w14:paraId="22ECDB71" w14:textId="77777777" w:rsidR="00702291" w:rsidRDefault="00712B31">
      <w:pPr>
        <w:pStyle w:val="P68B1DB1-Normal6"/>
        <w:spacing w:after="120" w:line="240" w:lineRule="auto"/>
        <w:jc w:val="both"/>
        <w:rPr>
          <w:rFonts w:eastAsiaTheme="minorHAnsi"/>
          <w:noProof/>
        </w:rPr>
      </w:pPr>
      <w:r>
        <w:rPr>
          <w:noProof/>
        </w:rPr>
        <w:t xml:space="preserve">Principalele obiective ale componentei sunt: </w:t>
      </w:r>
    </w:p>
    <w:p w14:paraId="73AB3D36" w14:textId="77777777" w:rsidR="00702291" w:rsidRDefault="00712B31">
      <w:pPr>
        <w:pStyle w:val="P68B1DB1-ListParagraph7"/>
        <w:numPr>
          <w:ilvl w:val="0"/>
          <w:numId w:val="3"/>
        </w:numPr>
        <w:spacing w:after="120" w:line="240" w:lineRule="auto"/>
        <w:contextualSpacing w:val="0"/>
        <w:jc w:val="both"/>
        <w:rPr>
          <w:noProof/>
        </w:rPr>
      </w:pPr>
      <w:r>
        <w:rPr>
          <w:noProof/>
        </w:rPr>
        <w:t>să îmbunătățească accesul la o educație școlară de calitate, oferindu-le elevilor și profesorilor dispozitivele necesare pentru a participa la educația digitală modernă și dezvoltându-le competențele digitale;</w:t>
      </w:r>
    </w:p>
    <w:p w14:paraId="0B58458B" w14:textId="77777777" w:rsidR="00702291" w:rsidRDefault="00712B31">
      <w:pPr>
        <w:pStyle w:val="P68B1DB1-ListParagraph7"/>
        <w:numPr>
          <w:ilvl w:val="0"/>
          <w:numId w:val="3"/>
        </w:numPr>
        <w:spacing w:after="120" w:line="240" w:lineRule="auto"/>
        <w:contextualSpacing w:val="0"/>
        <w:jc w:val="both"/>
        <w:rPr>
          <w:noProof/>
        </w:rPr>
      </w:pPr>
      <w:r>
        <w:rPr>
          <w:noProof/>
        </w:rPr>
        <w:t>să sporească participarea elevilor defavorizați și a studenților cu nevoi educaționale speciale la un învățământ general de calitate;</w:t>
      </w:r>
    </w:p>
    <w:p w14:paraId="5470A1F6" w14:textId="77777777" w:rsidR="00702291" w:rsidRDefault="00712B31">
      <w:pPr>
        <w:pStyle w:val="P68B1DB1-ListParagraph7"/>
        <w:numPr>
          <w:ilvl w:val="0"/>
          <w:numId w:val="3"/>
        </w:numPr>
        <w:spacing w:after="120" w:line="240" w:lineRule="auto"/>
        <w:contextualSpacing w:val="0"/>
        <w:jc w:val="both"/>
        <w:rPr>
          <w:noProof/>
        </w:rPr>
      </w:pPr>
      <w:r>
        <w:rPr>
          <w:noProof/>
        </w:rPr>
        <w:t>reducerea riscului de segregare în școli;</w:t>
      </w:r>
    </w:p>
    <w:p w14:paraId="00024A9D" w14:textId="4F412216" w:rsidR="00702291" w:rsidRDefault="00712B31">
      <w:pPr>
        <w:pStyle w:val="P68B1DB1-ListParagraph7"/>
        <w:numPr>
          <w:ilvl w:val="0"/>
          <w:numId w:val="3"/>
        </w:numPr>
        <w:spacing w:after="120" w:line="240" w:lineRule="auto"/>
        <w:contextualSpacing w:val="0"/>
        <w:jc w:val="both"/>
        <w:rPr>
          <w:noProof/>
        </w:rPr>
      </w:pPr>
      <w:r>
        <w:rPr>
          <w:noProof/>
        </w:rPr>
        <w:t>creșterea atractivității profesiei de cadru didactic și consolidarea setului de competențe ale cadrelor didactice;</w:t>
      </w:r>
    </w:p>
    <w:p w14:paraId="72F52041" w14:textId="10C57592" w:rsidR="00702291" w:rsidRDefault="00712B31">
      <w:pPr>
        <w:pStyle w:val="P68B1DB1-ListParagraph7"/>
        <w:numPr>
          <w:ilvl w:val="0"/>
          <w:numId w:val="3"/>
        </w:numPr>
        <w:spacing w:after="120" w:line="240" w:lineRule="auto"/>
        <w:contextualSpacing w:val="0"/>
        <w:jc w:val="both"/>
        <w:rPr>
          <w:noProof/>
        </w:rPr>
      </w:pPr>
      <w:r>
        <w:rPr>
          <w:noProof/>
        </w:rPr>
        <w:t>îmbunătățirea accesului la educația și îngrijirea copiilor preșcolari pentru a reduce inegalitățile sociale și a facilita integrarea pe piața muncii a grupurilor vulnerabile</w:t>
      </w:r>
    </w:p>
    <w:p w14:paraId="6CD26332" w14:textId="77777777" w:rsidR="00702291" w:rsidRDefault="00712B31">
      <w:pPr>
        <w:pStyle w:val="P68B1DB1-Normal9"/>
        <w:spacing w:after="120" w:line="240" w:lineRule="auto"/>
        <w:jc w:val="both"/>
        <w:rPr>
          <w:rFonts w:eastAsiaTheme="minorHAnsi"/>
          <w:noProof/>
        </w:rPr>
      </w:pPr>
      <w:r>
        <w:rPr>
          <w:noProof/>
        </w:rPr>
        <w:t>Componenta include măsuri care reflectă principiile Pilonului european al drepturilor sociale privind educația, formarea și învățarea pe tot parcursul vieții, egalitatea de gen și îngrijirea copiilor și sprijinul pentru copii. Componenta sprijină, de asemenea, tranziția digitală prin creșterea capacităților digitale în educația publică și prin îmbunătățirea competențelor digitale ale elevilor și ale cadrelor didactice. Accentul pus pe reducerea segregării în școli contribuie la coeziunea socială. Componenta contribuie, de asemenea, la tranziția verde, întrucât evoluțiile planificate ale infrastructurii aplică standarde ridicate de eficiență energetică.</w:t>
      </w:r>
    </w:p>
    <w:p w14:paraId="5E34743E" w14:textId="77777777" w:rsidR="00702291" w:rsidRDefault="00712B31">
      <w:pPr>
        <w:pStyle w:val="P68B1DB1-Normal9"/>
        <w:spacing w:after="120" w:line="240" w:lineRule="auto"/>
        <w:jc w:val="both"/>
        <w:rPr>
          <w:rFonts w:eastAsiaTheme="minorHAnsi"/>
          <w:noProof/>
        </w:rPr>
      </w:pPr>
      <w:r>
        <w:rPr>
          <w:noProof/>
        </w:rPr>
        <w:t>Componenta este în conformitate cu strategia maghiară privind educația publică pentru perioada 2021-2030, cu Planul național maghiar privind energia și clima, cu Strategia națională privind energia pentru 2030 și cu Strategia națională de dezvoltare curată.</w:t>
      </w:r>
    </w:p>
    <w:p w14:paraId="1D5C4AC3" w14:textId="0A9F36FD" w:rsidR="00702291" w:rsidRDefault="00712B31">
      <w:pPr>
        <w:pStyle w:val="P68B1DB1-Normal6"/>
        <w:spacing w:after="120" w:line="240" w:lineRule="auto"/>
        <w:jc w:val="both"/>
        <w:rPr>
          <w:rFonts w:eastAsiaTheme="minorHAnsi"/>
          <w:noProof/>
        </w:rPr>
      </w:pPr>
      <w:r>
        <w:rPr>
          <w:noProof/>
        </w:rPr>
        <w:t xml:space="preserve">Componenta contribuie la abordarea recomandărilor specifice fiecărei țări privind necesitatea de a continua integrarea pe piața forței de muncă a grupurilor celor mai vulnerabile, în special prin perfecționarea competențelor, de a îmbunătăți rezultatele școlare și de a spori participarea grupurilor defavorizate, în special a romilor, la un învățământ general de calitate (Recomandarea specifică fiecărei țări nr. 2 din 2019 și Recomandarea specifică fiecărei țări nr. 3 din 2022), de a contribui la participarea femeilor la piața forței de muncă (Recomandarea specifică fiecărei țări nr. 4 din 2019), de a concentra politica economică legată de investiții asupra eficienței energetice și a utilizării eficiente a resurselor (Recomandarea specifică fiecărei țări nr. 3 din 2019), de a asigura accesul la servicii esențiale și la o educație de calitate pentru toți (Recomandarea specifică fiecărei țări nr. 2 din 2020), de a concentra investițiile pe tranziția verde și digitală și pe infrastructura digitală pentru școli (Recomandarea specifică fiecărei țări nr. 3 din 2019). </w:t>
      </w:r>
    </w:p>
    <w:p w14:paraId="78ACE551" w14:textId="77777777" w:rsidR="00702291" w:rsidRDefault="00712B31">
      <w:pPr>
        <w:pStyle w:val="P68B1DB1-Normal9"/>
        <w:spacing w:after="120" w:line="240" w:lineRule="auto"/>
        <w:jc w:val="both"/>
        <w:rPr>
          <w:rFonts w:eastAsiaTheme="minorHAnsi"/>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1BE64366" w14:textId="77777777" w:rsidR="00702291" w:rsidRDefault="00712B31">
      <w:pPr>
        <w:pStyle w:val="P68B1DB1-Heading310"/>
        <w:spacing w:before="0" w:after="120"/>
        <w:rPr>
          <w:noProof/>
        </w:rPr>
      </w:pPr>
      <w:r>
        <w:rPr>
          <w:noProof/>
        </w:rPr>
        <w:t xml:space="preserve">A.1. </w:t>
      </w:r>
      <w:r>
        <w:rPr>
          <w:noProof/>
        </w:rPr>
        <w:tab/>
        <w:t>Descrierea reformelor și a investițiilor pentru sprijinul financiar nerambursabil</w:t>
      </w:r>
    </w:p>
    <w:p w14:paraId="6BB453FA" w14:textId="21EAA4B5" w:rsidR="00702291" w:rsidRDefault="00712B31">
      <w:pPr>
        <w:pStyle w:val="P68B1DB1-Heading411"/>
        <w:spacing w:before="0" w:after="120" w:line="240" w:lineRule="auto"/>
        <w:rPr>
          <w:rFonts w:eastAsiaTheme="minorHAnsi"/>
          <w:noProof/>
        </w:rPr>
      </w:pPr>
      <w:r>
        <w:rPr>
          <w:noProof/>
        </w:rPr>
        <w:t>C1.I1: Dezvoltarea unei educații publice competitive cu ajutorul</w:t>
      </w:r>
      <w:r w:rsidR="00F233DB">
        <w:rPr>
          <w:noProof/>
        </w:rPr>
        <w:t xml:space="preserve"> tehnologiei</w:t>
      </w:r>
      <w:r>
        <w:rPr>
          <w:noProof/>
        </w:rPr>
        <w:t xml:space="preserve"> secolului 21</w:t>
      </w:r>
    </w:p>
    <w:p w14:paraId="0006994E" w14:textId="72ACE3B3" w:rsidR="00702291" w:rsidRDefault="00712B31">
      <w:pPr>
        <w:pStyle w:val="P68B1DB1-Normal12"/>
        <w:keepNext/>
        <w:spacing w:after="120" w:line="240" w:lineRule="auto"/>
        <w:jc w:val="both"/>
        <w:rPr>
          <w:rFonts w:ascii="Times New Roman" w:eastAsiaTheme="minorHAnsi" w:hAnsi="Times New Roman" w:cs="Times New Roman"/>
          <w:noProof/>
          <w:szCs w:val="24"/>
        </w:rPr>
      </w:pPr>
      <w:r>
        <w:rPr>
          <w:rFonts w:ascii="Times New Roman" w:hAnsi="Times New Roman"/>
          <w:noProof/>
        </w:rPr>
        <w:t xml:space="preserve">Obiectivul </w:t>
      </w:r>
      <w:r>
        <w:rPr>
          <w:rFonts w:ascii="Times New Roman" w:hAnsi="Times New Roman" w:cs="Times New Roman"/>
          <w:noProof/>
          <w:szCs w:val="24"/>
        </w:rPr>
        <w:t>măsurii</w:t>
      </w:r>
      <w:r>
        <w:rPr>
          <w:rFonts w:ascii="Times New Roman" w:hAnsi="Times New Roman"/>
          <w:noProof/>
        </w:rPr>
        <w:t xml:space="preserve"> este de a sprijini transformarea digitală a educației publice prin creșterea disponibilității dispozitivelor și instrumentelor digitale </w:t>
      </w:r>
      <w:r>
        <w:rPr>
          <w:rFonts w:ascii="Times New Roman" w:hAnsi="Times New Roman" w:cs="Times New Roman"/>
          <w:noProof/>
          <w:szCs w:val="24"/>
        </w:rPr>
        <w:t xml:space="preserve">în școli. </w:t>
      </w:r>
    </w:p>
    <w:p w14:paraId="746C6778" w14:textId="2A926350" w:rsidR="00702291" w:rsidRDefault="00712B31">
      <w:pPr>
        <w:pStyle w:val="P68B1DB1-Normal12"/>
        <w:spacing w:after="120" w:line="240" w:lineRule="auto"/>
        <w:jc w:val="both"/>
        <w:rPr>
          <w:rFonts w:ascii="Times New Roman" w:hAnsi="Times New Roman"/>
          <w:b/>
          <w:noProof/>
        </w:rPr>
      </w:pPr>
      <w:r>
        <w:rPr>
          <w:rFonts w:ascii="Times New Roman" w:hAnsi="Times New Roman" w:cs="Times New Roman"/>
          <w:noProof/>
          <w:szCs w:val="24"/>
        </w:rPr>
        <w:t>Această măsură constă</w:t>
      </w:r>
      <w:r>
        <w:rPr>
          <w:rFonts w:ascii="Times New Roman" w:hAnsi="Times New Roman"/>
          <w:noProof/>
        </w:rPr>
        <w:t xml:space="preserve"> în </w:t>
      </w:r>
      <w:r>
        <w:rPr>
          <w:rFonts w:ascii="Times New Roman" w:hAnsi="Times New Roman" w:cs="Times New Roman"/>
          <w:noProof/>
          <w:szCs w:val="24"/>
        </w:rPr>
        <w:t>furnizarea de dispozitive digitale instituțiilor de învățământ școlar și centrului de administrare a școlilor (Klebelsberg Központ).</w:t>
      </w:r>
    </w:p>
    <w:p w14:paraId="7DCA6BBD" w14:textId="77777777" w:rsidR="00702291" w:rsidRDefault="00712B31">
      <w:pPr>
        <w:pStyle w:val="P68B1DB1-Heading411"/>
        <w:spacing w:before="0" w:after="120" w:line="240" w:lineRule="auto"/>
        <w:rPr>
          <w:rFonts w:eastAsiaTheme="minorHAnsi"/>
          <w:noProof/>
        </w:rPr>
      </w:pPr>
      <w:r>
        <w:rPr>
          <w:noProof/>
        </w:rPr>
        <w:t>C1.I2: Sprijinirea educației elevilor cu nevoi educaționale speciale</w:t>
      </w:r>
    </w:p>
    <w:p w14:paraId="685E8FD9" w14:textId="4CF8BB52" w:rsidR="00702291" w:rsidRDefault="00712B31">
      <w:pPr>
        <w:pStyle w:val="P68B1DB1-Normal17"/>
        <w:spacing w:after="120" w:line="240" w:lineRule="auto"/>
        <w:jc w:val="both"/>
        <w:rPr>
          <w:rFonts w:ascii="Times New Roman" w:eastAsiaTheme="minorHAnsi" w:hAnsi="Times New Roman"/>
          <w:noProof/>
        </w:rPr>
      </w:pPr>
      <w:r>
        <w:rPr>
          <w:rFonts w:ascii="Times New Roman" w:eastAsia="Calibri" w:hAnsi="Times New Roman" w:cs="Times New Roman"/>
          <w:noProof/>
          <w:szCs w:val="24"/>
        </w:rPr>
        <w:t>Obiectivul</w:t>
      </w:r>
      <w:r>
        <w:rPr>
          <w:rFonts w:ascii="Times New Roman" w:hAnsi="Times New Roman"/>
          <w:noProof/>
        </w:rPr>
        <w:t xml:space="preserve"> </w:t>
      </w:r>
      <w:r>
        <w:rPr>
          <w:rFonts w:ascii="Times New Roman" w:eastAsia="Calibri" w:hAnsi="Times New Roman" w:cs="Times New Roman"/>
          <w:noProof/>
          <w:szCs w:val="24"/>
        </w:rPr>
        <w:t>măsurii este de a</w:t>
      </w:r>
      <w:r>
        <w:rPr>
          <w:rFonts w:ascii="Times New Roman" w:hAnsi="Times New Roman"/>
          <w:noProof/>
        </w:rPr>
        <w:t xml:space="preserve"> </w:t>
      </w:r>
      <w:r>
        <w:rPr>
          <w:rFonts w:ascii="Times New Roman" w:eastAsia="Calibri" w:hAnsi="Times New Roman" w:cs="Times New Roman"/>
          <w:noProof/>
          <w:szCs w:val="24"/>
        </w:rPr>
        <w:t>îmbunătăți</w:t>
      </w:r>
      <w:r>
        <w:rPr>
          <w:rFonts w:ascii="Times New Roman" w:hAnsi="Times New Roman"/>
          <w:noProof/>
        </w:rPr>
        <w:t xml:space="preserve"> calitatea serviciilor specializate </w:t>
      </w:r>
      <w:r>
        <w:rPr>
          <w:rFonts w:ascii="Times New Roman" w:eastAsia="Calibri" w:hAnsi="Times New Roman" w:cs="Times New Roman"/>
          <w:noProof/>
          <w:szCs w:val="24"/>
        </w:rPr>
        <w:t>pentru</w:t>
      </w:r>
      <w:r>
        <w:rPr>
          <w:rFonts w:ascii="Times New Roman" w:hAnsi="Times New Roman"/>
          <w:noProof/>
        </w:rPr>
        <w:t xml:space="preserve"> școlile care integrează elevi cu nevoi educaționale speciale, cei care beneficiază de îngrijire pe termen lung</w:t>
      </w:r>
      <w:r>
        <w:rPr>
          <w:rFonts w:ascii="Times New Roman" w:eastAsia="Calibri" w:hAnsi="Times New Roman" w:cs="Times New Roman"/>
          <w:noProof/>
          <w:szCs w:val="24"/>
        </w:rPr>
        <w:t xml:space="preserve"> și</w:t>
      </w:r>
      <w:r>
        <w:rPr>
          <w:rFonts w:ascii="Times New Roman" w:hAnsi="Times New Roman"/>
          <w:noProof/>
        </w:rPr>
        <w:t xml:space="preserve"> cei </w:t>
      </w:r>
      <w:r>
        <w:rPr>
          <w:rFonts w:ascii="Times New Roman" w:eastAsia="Calibri" w:hAnsi="Times New Roman" w:cs="Times New Roman"/>
          <w:noProof/>
          <w:szCs w:val="24"/>
        </w:rPr>
        <w:t>care necesită</w:t>
      </w:r>
      <w:r>
        <w:rPr>
          <w:rFonts w:ascii="Times New Roman" w:hAnsi="Times New Roman"/>
          <w:noProof/>
        </w:rPr>
        <w:t xml:space="preserve"> </w:t>
      </w:r>
      <w:r>
        <w:rPr>
          <w:rFonts w:ascii="Times New Roman" w:eastAsia="Calibri" w:hAnsi="Times New Roman" w:cs="Times New Roman"/>
          <w:noProof/>
          <w:szCs w:val="24"/>
        </w:rPr>
        <w:t>sprijin</w:t>
      </w:r>
      <w:r>
        <w:rPr>
          <w:rFonts w:ascii="Times New Roman" w:hAnsi="Times New Roman"/>
          <w:noProof/>
        </w:rPr>
        <w:t xml:space="preserve"> pedagogic specializat. </w:t>
      </w:r>
    </w:p>
    <w:p w14:paraId="542D5756" w14:textId="1A50836A" w:rsidR="00702291" w:rsidRDefault="00712B31">
      <w:pPr>
        <w:pStyle w:val="P68B1DB1-Normal18"/>
        <w:spacing w:after="120" w:line="240" w:lineRule="auto"/>
        <w:jc w:val="both"/>
        <w:rPr>
          <w:b/>
          <w:noProof/>
        </w:rPr>
      </w:pPr>
      <w:r>
        <w:rPr>
          <w:noProof/>
        </w:rPr>
        <w:t xml:space="preserve">Această măsură constă în furnizarea de servicii de sprijin specializate instituțiilor publice de învățământ care integrează copiii și elevii cu nevoi educaționale speciale. </w:t>
      </w:r>
    </w:p>
    <w:p w14:paraId="6A7C5681" w14:textId="1DCE4A0F" w:rsidR="00702291" w:rsidRDefault="00712B31">
      <w:pPr>
        <w:pStyle w:val="P68B1DB1-Heading411"/>
        <w:spacing w:before="0" w:after="120" w:line="240" w:lineRule="auto"/>
        <w:rPr>
          <w:rFonts w:eastAsiaTheme="minorHAnsi"/>
          <w:noProof/>
        </w:rPr>
      </w:pPr>
      <w:r>
        <w:rPr>
          <w:noProof/>
        </w:rPr>
        <w:t>C1.R1: Reducerea riscului de segregare în școli</w:t>
      </w:r>
    </w:p>
    <w:p w14:paraId="3F0F9204" w14:textId="3306D79B"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reformei este de a </w:t>
      </w:r>
      <w:r>
        <w:rPr>
          <w:rFonts w:ascii="Times New Roman" w:hAnsi="Times New Roman" w:cs="Times New Roman"/>
          <w:noProof/>
          <w:szCs w:val="24"/>
        </w:rPr>
        <w:t>spori</w:t>
      </w:r>
      <w:r>
        <w:rPr>
          <w:rFonts w:ascii="Times New Roman" w:hAnsi="Times New Roman"/>
          <w:noProof/>
        </w:rPr>
        <w:t xml:space="preserve"> accesul egal la o educație de calitate și de a reduce segregarea </w:t>
      </w:r>
      <w:r>
        <w:rPr>
          <w:rFonts w:ascii="Times New Roman" w:hAnsi="Times New Roman" w:cs="Times New Roman"/>
          <w:noProof/>
          <w:szCs w:val="24"/>
        </w:rPr>
        <w:t>școlară</w:t>
      </w:r>
      <w:r>
        <w:rPr>
          <w:rFonts w:ascii="Times New Roman" w:hAnsi="Times New Roman"/>
          <w:noProof/>
        </w:rPr>
        <w:t xml:space="preserve">. </w:t>
      </w:r>
    </w:p>
    <w:p w14:paraId="060B6F6A" w14:textId="5AC6E7CF" w:rsidR="00702291" w:rsidRDefault="00712B31">
      <w:pPr>
        <w:pStyle w:val="P68B1DB1-Normal12"/>
        <w:spacing w:after="120" w:line="240" w:lineRule="auto"/>
        <w:jc w:val="both"/>
        <w:rPr>
          <w:rFonts w:ascii="Times New Roman" w:hAnsi="Times New Roman"/>
          <w:b/>
          <w:noProof/>
        </w:rPr>
      </w:pPr>
      <w:r>
        <w:rPr>
          <w:rFonts w:ascii="Times New Roman" w:hAnsi="Times New Roman"/>
          <w:noProof/>
        </w:rPr>
        <w:t xml:space="preserve">Măsura </w:t>
      </w:r>
      <w:r>
        <w:rPr>
          <w:rFonts w:ascii="Times New Roman" w:hAnsi="Times New Roman" w:cs="Times New Roman"/>
          <w:noProof/>
          <w:szCs w:val="24"/>
        </w:rPr>
        <w:t>constă în intrarea în vigoare a unor</w:t>
      </w:r>
      <w:r>
        <w:rPr>
          <w:rFonts w:ascii="Times New Roman" w:hAnsi="Times New Roman"/>
          <w:noProof/>
        </w:rPr>
        <w:t xml:space="preserve"> acte juridice pentru reducerea sprijinului acordat de stat școlilor primare și gimnaziale (clasele 1-8) cu o proporție scăzută de elevi defavorizați. </w:t>
      </w:r>
    </w:p>
    <w:p w14:paraId="7FBDEF0D" w14:textId="7427FACD" w:rsidR="00702291" w:rsidRDefault="00712B31">
      <w:pPr>
        <w:pStyle w:val="P68B1DB1-Heading411"/>
        <w:spacing w:before="0" w:after="120" w:line="240" w:lineRule="auto"/>
        <w:rPr>
          <w:rFonts w:eastAsiaTheme="minorHAnsi"/>
          <w:noProof/>
        </w:rPr>
      </w:pPr>
      <w:r>
        <w:rPr>
          <w:noProof/>
        </w:rPr>
        <w:t>C1.R2: Creșterea atractivității profesiei de cadru didactic</w:t>
      </w:r>
    </w:p>
    <w:p w14:paraId="3488B2BF" w14:textId="62C89994"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acestei măsuri este de a </w:t>
      </w:r>
      <w:r>
        <w:rPr>
          <w:rFonts w:ascii="Times New Roman" w:hAnsi="Times New Roman" w:cs="Times New Roman"/>
          <w:noProof/>
          <w:szCs w:val="24"/>
        </w:rPr>
        <w:t>spori</w:t>
      </w:r>
      <w:r>
        <w:rPr>
          <w:rFonts w:ascii="Times New Roman" w:hAnsi="Times New Roman"/>
          <w:noProof/>
        </w:rPr>
        <w:t xml:space="preserve"> atractivitatea profesiei de cadru didactic și de </w:t>
      </w:r>
      <w:r>
        <w:rPr>
          <w:rFonts w:ascii="Times New Roman" w:hAnsi="Times New Roman" w:cs="Times New Roman"/>
          <w:noProof/>
          <w:szCs w:val="24"/>
        </w:rPr>
        <w:t xml:space="preserve">a </w:t>
      </w:r>
      <w:r>
        <w:rPr>
          <w:rFonts w:ascii="Times New Roman" w:hAnsi="Times New Roman"/>
          <w:noProof/>
        </w:rPr>
        <w:t xml:space="preserve">reduce </w:t>
      </w:r>
      <w:r>
        <w:rPr>
          <w:rFonts w:ascii="Times New Roman" w:hAnsi="Times New Roman" w:cs="Times New Roman"/>
          <w:noProof/>
          <w:szCs w:val="24"/>
        </w:rPr>
        <w:t>deficitul de cadre didactice.</w:t>
      </w:r>
      <w:r>
        <w:rPr>
          <w:rFonts w:ascii="Times New Roman" w:hAnsi="Times New Roman"/>
          <w:noProof/>
        </w:rPr>
        <w:t xml:space="preserve"> </w:t>
      </w:r>
    </w:p>
    <w:p w14:paraId="38B708FD" w14:textId="7AA5D9D3" w:rsidR="00702291" w:rsidRDefault="00712B31">
      <w:pPr>
        <w:pStyle w:val="P68B1DB1-Normal12"/>
        <w:spacing w:after="120" w:line="240" w:lineRule="auto"/>
        <w:jc w:val="both"/>
        <w:rPr>
          <w:rFonts w:ascii="Times New Roman" w:hAnsi="Times New Roman"/>
          <w:noProof/>
        </w:rPr>
      </w:pPr>
      <w:r>
        <w:rPr>
          <w:rFonts w:ascii="Times New Roman" w:hAnsi="Times New Roman"/>
          <w:noProof/>
        </w:rPr>
        <w:t xml:space="preserve">Măsura </w:t>
      </w:r>
      <w:r>
        <w:rPr>
          <w:rFonts w:ascii="Times New Roman" w:hAnsi="Times New Roman" w:cs="Times New Roman"/>
          <w:noProof/>
          <w:szCs w:val="24"/>
        </w:rPr>
        <w:t>constă în intrarea în vigoare a actului (actelor) juridic (e) privind</w:t>
      </w:r>
      <w:r w:rsidR="00FA4EAF">
        <w:rPr>
          <w:rFonts w:ascii="Times New Roman" w:hAnsi="Times New Roman" w:cs="Times New Roman"/>
          <w:noProof/>
          <w:szCs w:val="24"/>
        </w:rPr>
        <w:t xml:space="preserve"> </w:t>
      </w:r>
      <w:r>
        <w:rPr>
          <w:rFonts w:ascii="Times New Roman" w:hAnsi="Times New Roman" w:cs="Times New Roman"/>
          <w:noProof/>
          <w:szCs w:val="24"/>
        </w:rPr>
        <w:t>creșterea treptată a salariilor cadrelor didactice la</w:t>
      </w:r>
      <w:r>
        <w:rPr>
          <w:rFonts w:ascii="Times New Roman" w:hAnsi="Times New Roman"/>
          <w:noProof/>
        </w:rPr>
        <w:t xml:space="preserve"> cel puțin 80 % din salariul mediu al absolvenților de învățământ terțiar în 2025</w:t>
      </w:r>
      <w:r>
        <w:rPr>
          <w:rFonts w:ascii="Times New Roman" w:hAnsi="Times New Roman" w:cs="Times New Roman"/>
          <w:noProof/>
          <w:szCs w:val="24"/>
        </w:rPr>
        <w:t xml:space="preserve"> </w:t>
      </w:r>
      <w:r>
        <w:rPr>
          <w:rFonts w:ascii="Times New Roman" w:hAnsi="Times New Roman"/>
          <w:noProof/>
        </w:rPr>
        <w:t xml:space="preserve">și menținerea </w:t>
      </w:r>
      <w:r>
        <w:rPr>
          <w:rFonts w:ascii="Times New Roman" w:hAnsi="Times New Roman" w:cs="Times New Roman"/>
          <w:noProof/>
          <w:szCs w:val="24"/>
        </w:rPr>
        <w:t>acestora</w:t>
      </w:r>
      <w:r>
        <w:rPr>
          <w:rFonts w:ascii="Times New Roman" w:hAnsi="Times New Roman"/>
          <w:noProof/>
        </w:rPr>
        <w:t xml:space="preserve"> la</w:t>
      </w:r>
      <w:r>
        <w:rPr>
          <w:rFonts w:ascii="Times New Roman" w:hAnsi="Times New Roman" w:cs="Times New Roman"/>
          <w:noProof/>
          <w:szCs w:val="24"/>
        </w:rPr>
        <w:t xml:space="preserve"> același</w:t>
      </w:r>
      <w:r>
        <w:rPr>
          <w:rFonts w:ascii="Times New Roman" w:hAnsi="Times New Roman"/>
          <w:noProof/>
        </w:rPr>
        <w:t xml:space="preserve"> nivel cel puțin până la 31 decembrie </w:t>
      </w:r>
      <w:r>
        <w:rPr>
          <w:rFonts w:ascii="Times New Roman" w:hAnsi="Times New Roman" w:cs="Times New Roman"/>
          <w:noProof/>
          <w:szCs w:val="24"/>
        </w:rPr>
        <w:t>2031</w:t>
      </w:r>
      <w:r>
        <w:rPr>
          <w:rFonts w:ascii="Times New Roman" w:hAnsi="Times New Roman"/>
          <w:noProof/>
        </w:rPr>
        <w:t xml:space="preserve">. </w:t>
      </w:r>
    </w:p>
    <w:p w14:paraId="60E09232" w14:textId="0D8E62B9" w:rsidR="00702291" w:rsidRDefault="00712B31">
      <w:pPr>
        <w:pStyle w:val="P68B1DB1-Heading411"/>
        <w:spacing w:before="0" w:after="120" w:line="240" w:lineRule="auto"/>
        <w:rPr>
          <w:rFonts w:eastAsiaTheme="minorHAnsi"/>
          <w:noProof/>
        </w:rPr>
      </w:pPr>
      <w:r>
        <w:rPr>
          <w:noProof/>
        </w:rPr>
        <w:t>C1.I3: Construirea de structuri de îngrijire a copiilor</w:t>
      </w:r>
    </w:p>
    <w:p w14:paraId="22558286" w14:textId="0B319CA4" w:rsidR="00702291" w:rsidRDefault="00712B31">
      <w:pPr>
        <w:pStyle w:val="P68B1DB1-Normal6"/>
        <w:spacing w:after="120" w:line="240" w:lineRule="auto"/>
        <w:jc w:val="both"/>
        <w:rPr>
          <w:rFonts w:eastAsiaTheme="minorHAnsi"/>
          <w:noProof/>
        </w:rPr>
      </w:pPr>
      <w:r>
        <w:rPr>
          <w:noProof/>
          <w:shd w:val="clear" w:color="auto" w:fill="FFFFFF"/>
        </w:rPr>
        <w:t>Obiectivul investiției este de a spori disponibilitatea serviciilor de educație timpurie prin crearea de noi locuri în creșe.</w:t>
      </w:r>
    </w:p>
    <w:p w14:paraId="2A762A50" w14:textId="11D3D102" w:rsidR="00702291" w:rsidRDefault="00712B31">
      <w:pPr>
        <w:pStyle w:val="P68B1DB1-Normal17"/>
        <w:spacing w:after="120" w:line="240" w:lineRule="auto"/>
        <w:jc w:val="both"/>
        <w:rPr>
          <w:rFonts w:ascii="Times New Roman" w:hAnsi="Times New Roman" w:cs="Times New Roman"/>
          <w:noProof/>
          <w:szCs w:val="24"/>
        </w:rPr>
      </w:pPr>
      <w:r>
        <w:rPr>
          <w:rFonts w:ascii="Times New Roman" w:hAnsi="Times New Roman" w:cs="Times New Roman"/>
          <w:noProof/>
          <w:szCs w:val="24"/>
        </w:rPr>
        <w:t>Această</w:t>
      </w:r>
      <w:r>
        <w:rPr>
          <w:rFonts w:ascii="Times New Roman" w:hAnsi="Times New Roman"/>
          <w:noProof/>
        </w:rPr>
        <w:t xml:space="preserve"> măsură</w:t>
      </w:r>
      <w:r>
        <w:rPr>
          <w:rFonts w:ascii="Times New Roman" w:hAnsi="Times New Roman" w:cs="Times New Roman"/>
          <w:noProof/>
          <w:szCs w:val="24"/>
        </w:rPr>
        <w:t xml:space="preserve"> constă în construirea de structuri de</w:t>
      </w:r>
      <w:r>
        <w:rPr>
          <w:rFonts w:ascii="Times New Roman" w:hAnsi="Times New Roman"/>
          <w:noProof/>
        </w:rPr>
        <w:t xml:space="preserve"> îngrijire a copiilor. </w:t>
      </w:r>
    </w:p>
    <w:p w14:paraId="79ABA059" w14:textId="0605E317" w:rsidR="00702291" w:rsidRDefault="00712B31">
      <w:pPr>
        <w:pStyle w:val="P68B1DB1-Heading411"/>
        <w:spacing w:before="0" w:after="120" w:line="240" w:lineRule="auto"/>
        <w:rPr>
          <w:noProof/>
        </w:rPr>
      </w:pPr>
      <w:r>
        <w:rPr>
          <w:noProof/>
        </w:rPr>
        <w:t>C1.I4: Modernizarea infrastructurii școlare</w:t>
      </w:r>
    </w:p>
    <w:p w14:paraId="1E723E42" w14:textId="56125595" w:rsidR="00702291" w:rsidRDefault="00712B31">
      <w:pPr>
        <w:pStyle w:val="P68B1DB1-Normal9"/>
        <w:spacing w:after="120" w:line="240" w:lineRule="auto"/>
        <w:jc w:val="both"/>
        <w:rPr>
          <w:noProof/>
        </w:rPr>
      </w:pPr>
      <w:r>
        <w:rPr>
          <w:noProof/>
        </w:rPr>
        <w:t>Obiectivul investiției este de a spori capacitățile din învățământul primar și secundar prin modernizarea infrastructurii școlare și a echipamentelor didactice.</w:t>
      </w:r>
    </w:p>
    <w:p w14:paraId="68DF9B35" w14:textId="674B705D" w:rsidR="00702291" w:rsidRDefault="00712B31">
      <w:pPr>
        <w:pStyle w:val="P68B1DB1-Normal9"/>
        <w:spacing w:after="120" w:line="240" w:lineRule="auto"/>
        <w:jc w:val="both"/>
        <w:rPr>
          <w:noProof/>
        </w:rPr>
        <w:sectPr w:rsidR="00702291" w:rsidSect="00E70FB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Pr>
          <w:noProof/>
        </w:rPr>
        <w:t>Această măsură constă în construirea și renovarea unităților școlare, precum și în achiziționarea și instalarea de echipamente didactice.</w:t>
      </w:r>
    </w:p>
    <w:p w14:paraId="1B524A4A" w14:textId="1F31CAE7" w:rsidR="00702291" w:rsidRDefault="00712B31">
      <w:pPr>
        <w:pStyle w:val="P68B1DB1-Heading310"/>
        <w:spacing w:before="0" w:after="120"/>
        <w:rPr>
          <w:noProof/>
        </w:rPr>
      </w:pPr>
      <w:r>
        <w:rPr>
          <w:noProof/>
        </w:rPr>
        <w:t xml:space="preserve">A.2. </w:t>
      </w:r>
      <w:r>
        <w:rPr>
          <w:noProof/>
        </w:rPr>
        <w:tab/>
        <w:t>Jaloane, ținte, indicatori și calendarul de monitorizare și implementare aplicabile sprijinului financiar nerambursabil</w:t>
      </w:r>
    </w:p>
    <w:tbl>
      <w:tblPr>
        <w:tblW w:w="16124" w:type="dxa"/>
        <w:jc w:val="center"/>
        <w:tblLayout w:type="fixed"/>
        <w:tblLook w:val="04A0" w:firstRow="1" w:lastRow="0" w:firstColumn="1" w:lastColumn="0" w:noHBand="0" w:noVBand="1"/>
      </w:tblPr>
      <w:tblGrid>
        <w:gridCol w:w="988"/>
        <w:gridCol w:w="1977"/>
        <w:gridCol w:w="999"/>
        <w:gridCol w:w="1985"/>
        <w:gridCol w:w="1276"/>
        <w:gridCol w:w="1134"/>
        <w:gridCol w:w="1134"/>
        <w:gridCol w:w="992"/>
        <w:gridCol w:w="1134"/>
        <w:gridCol w:w="709"/>
        <w:gridCol w:w="3796"/>
      </w:tblGrid>
      <w:tr w:rsidR="00702291" w14:paraId="706C5368" w14:textId="77777777" w:rsidTr="00FA4EAF">
        <w:trPr>
          <w:trHeight w:val="313"/>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F8AA69" w14:textId="77777777" w:rsidR="00702291" w:rsidRDefault="00712B31">
            <w:pPr>
              <w:pStyle w:val="P68B1DB1-Normal19"/>
              <w:spacing w:after="120" w:line="240" w:lineRule="auto"/>
              <w:jc w:val="center"/>
              <w:rPr>
                <w:noProof/>
              </w:rPr>
            </w:pPr>
            <w:r>
              <w:rPr>
                <w:noProof/>
              </w:rPr>
              <w:t>Număr secvențial</w:t>
            </w:r>
          </w:p>
        </w:tc>
        <w:tc>
          <w:tcPr>
            <w:tcW w:w="19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AE5A74" w14:textId="77777777" w:rsidR="00702291" w:rsidRDefault="00712B31">
            <w:pPr>
              <w:pStyle w:val="P68B1DB1-Normal19"/>
              <w:spacing w:after="120" w:line="240" w:lineRule="auto"/>
              <w:jc w:val="center"/>
              <w:rPr>
                <w:rFonts w:eastAsiaTheme="minorHAnsi"/>
                <w:noProof/>
              </w:rPr>
            </w:pPr>
            <w:r>
              <w:rPr>
                <w:noProof/>
              </w:rPr>
              <w:t>Măsură conexă (reformă sau investiții)</w:t>
            </w:r>
          </w:p>
        </w:tc>
        <w:tc>
          <w:tcPr>
            <w:tcW w:w="9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D10BF4" w14:textId="53A3B3FD" w:rsidR="00702291" w:rsidRDefault="00712B31">
            <w:pPr>
              <w:pStyle w:val="P68B1DB1-Normal19"/>
              <w:spacing w:after="120" w:line="240" w:lineRule="auto"/>
              <w:jc w:val="center"/>
              <w:rPr>
                <w:rFonts w:eastAsiaTheme="minorHAnsi"/>
                <w:noProof/>
              </w:rPr>
            </w:pPr>
            <w:r>
              <w:rPr>
                <w:noProof/>
              </w:rPr>
              <w:t>Etapă/</w:t>
            </w:r>
            <w:r w:rsidR="00FA4EAF">
              <w:rPr>
                <w:noProof/>
              </w:rPr>
              <w:t xml:space="preserve"> </w:t>
            </w:r>
            <w:r>
              <w:rPr>
                <w:noProof/>
              </w:rPr>
              <w:t>Obiectiv</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C45420" w14:textId="77777777" w:rsidR="00702291" w:rsidRDefault="00712B31">
            <w:pPr>
              <w:pStyle w:val="P68B1DB1-Normal19"/>
              <w:spacing w:after="120" w:line="240" w:lineRule="auto"/>
              <w:jc w:val="center"/>
              <w:rPr>
                <w:rFonts w:eastAsiaTheme="minorHAnsi"/>
                <w:noProof/>
              </w:rPr>
            </w:pPr>
            <w:r>
              <w:rPr>
                <w:noProof/>
              </w:rPr>
              <w:t>Nume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DC2A37" w14:textId="0E7A8DCD" w:rsidR="00702291" w:rsidRDefault="00712B31">
            <w:pPr>
              <w:pStyle w:val="P68B1DB1-Normal20"/>
              <w:spacing w:after="120" w:line="240" w:lineRule="auto"/>
              <w:jc w:val="center"/>
              <w:rPr>
                <w:rFonts w:eastAsiaTheme="minorHAnsi"/>
                <w:b/>
                <w:noProof/>
              </w:rPr>
            </w:pPr>
            <w:r>
              <w:rPr>
                <w:b/>
                <w:noProof/>
              </w:rPr>
              <w:t>Indicatori calitativi</w:t>
            </w:r>
            <w:r>
              <w:rPr>
                <w:noProof/>
              </w:rPr>
              <w:br/>
            </w:r>
            <w:r>
              <w:rPr>
                <w:b/>
                <w:noProof/>
              </w:rPr>
              <w:t>(pentru jaloane)</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04C4A9B" w14:textId="798C3487" w:rsidR="00702291" w:rsidRDefault="00712B31">
            <w:pPr>
              <w:pStyle w:val="P68B1DB1-Normal20"/>
              <w:spacing w:after="120" w:line="240" w:lineRule="auto"/>
              <w:jc w:val="center"/>
              <w:rPr>
                <w:rFonts w:eastAsiaTheme="minorHAnsi"/>
                <w:b/>
                <w:noProof/>
              </w:rPr>
            </w:pPr>
            <w:r>
              <w:rPr>
                <w:b/>
                <w:noProof/>
              </w:rPr>
              <w:t>Indicatori cantitativi</w:t>
            </w:r>
            <w:r>
              <w:rPr>
                <w:noProof/>
              </w:rPr>
              <w:br/>
            </w:r>
            <w:r>
              <w:rPr>
                <w:b/>
                <w:noProof/>
              </w:rPr>
              <w:t>(pentru obiective)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9D71937" w14:textId="239FB769" w:rsidR="00702291" w:rsidRDefault="00712B31">
            <w:pPr>
              <w:pStyle w:val="P68B1DB1-Normal20"/>
              <w:spacing w:after="120" w:line="240" w:lineRule="auto"/>
              <w:jc w:val="center"/>
              <w:rPr>
                <w:rFonts w:eastAsiaTheme="minorHAnsi"/>
                <w:b/>
                <w:noProof/>
              </w:rPr>
            </w:pPr>
            <w:r>
              <w:rPr>
                <w:b/>
                <w:noProof/>
              </w:rPr>
              <w:t>Calendar orientativ pentru finalizare</w:t>
            </w:r>
            <w:r>
              <w:rPr>
                <w:noProof/>
              </w:rPr>
              <w:br/>
            </w:r>
          </w:p>
        </w:tc>
        <w:tc>
          <w:tcPr>
            <w:tcW w:w="37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EF2508" w14:textId="77777777" w:rsidR="00702291" w:rsidRDefault="00712B31">
            <w:pPr>
              <w:pStyle w:val="P68B1DB1-Normal19"/>
              <w:spacing w:after="120" w:line="240" w:lineRule="auto"/>
              <w:jc w:val="center"/>
              <w:rPr>
                <w:rFonts w:eastAsiaTheme="minorHAnsi"/>
                <w:noProof/>
              </w:rPr>
            </w:pPr>
            <w:r>
              <w:rPr>
                <w:noProof/>
              </w:rPr>
              <w:t>Descrierea fiecărui jalon și a fiecărei ținte</w:t>
            </w:r>
          </w:p>
        </w:tc>
      </w:tr>
      <w:tr w:rsidR="00702291" w14:paraId="0A18FCCC" w14:textId="77777777" w:rsidTr="00FA4EAF">
        <w:trPr>
          <w:trHeight w:val="491"/>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6C8C322" w14:textId="77777777" w:rsidR="00702291" w:rsidRDefault="00702291">
            <w:pPr>
              <w:spacing w:after="120" w:line="240" w:lineRule="auto"/>
              <w:rPr>
                <w:rFonts w:ascii="Times New Roman" w:hAnsi="Times New Roman"/>
                <w:b/>
                <w:noProof/>
                <w:sz w:val="18"/>
              </w:rPr>
            </w:pPr>
          </w:p>
        </w:tc>
        <w:tc>
          <w:tcPr>
            <w:tcW w:w="1977" w:type="dxa"/>
            <w:vMerge/>
            <w:tcBorders>
              <w:top w:val="single" w:sz="4" w:space="0" w:color="auto"/>
              <w:left w:val="single" w:sz="4" w:space="0" w:color="auto"/>
              <w:bottom w:val="single" w:sz="4" w:space="0" w:color="auto"/>
              <w:right w:val="single" w:sz="4" w:space="0" w:color="auto"/>
            </w:tcBorders>
            <w:vAlign w:val="center"/>
            <w:hideMark/>
          </w:tcPr>
          <w:p w14:paraId="5EF296B0" w14:textId="77777777" w:rsidR="00702291" w:rsidRDefault="00702291">
            <w:pPr>
              <w:spacing w:after="120" w:line="240" w:lineRule="auto"/>
              <w:rPr>
                <w:rFonts w:ascii="Times New Roman" w:hAnsi="Times New Roman"/>
                <w:b/>
                <w:noProof/>
                <w:sz w:val="18"/>
              </w:rPr>
            </w:pPr>
          </w:p>
        </w:tc>
        <w:tc>
          <w:tcPr>
            <w:tcW w:w="999" w:type="dxa"/>
            <w:vMerge/>
            <w:tcBorders>
              <w:top w:val="single" w:sz="4" w:space="0" w:color="auto"/>
              <w:left w:val="single" w:sz="4" w:space="0" w:color="auto"/>
              <w:bottom w:val="single" w:sz="4" w:space="0" w:color="auto"/>
              <w:right w:val="single" w:sz="4" w:space="0" w:color="auto"/>
            </w:tcBorders>
            <w:vAlign w:val="center"/>
            <w:hideMark/>
          </w:tcPr>
          <w:p w14:paraId="1B8BC5A4" w14:textId="77777777" w:rsidR="00702291" w:rsidRDefault="00702291">
            <w:pPr>
              <w:spacing w:after="120" w:line="240" w:lineRule="auto"/>
              <w:rPr>
                <w:rFonts w:ascii="Times New Roman" w:hAnsi="Times New Roman"/>
                <w:b/>
                <w:noProof/>
                <w:sz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C29E70A" w14:textId="77777777" w:rsidR="00702291" w:rsidRDefault="00702291">
            <w:pPr>
              <w:spacing w:after="120" w:line="240" w:lineRule="auto"/>
              <w:rPr>
                <w:rFonts w:ascii="Times New Roman" w:hAnsi="Times New Roman"/>
                <w:b/>
                <w:noProof/>
                <w:sz w:val="18"/>
              </w:rPr>
            </w:pPr>
          </w:p>
        </w:tc>
        <w:tc>
          <w:tcPr>
            <w:tcW w:w="1276" w:type="dxa"/>
            <w:vMerge/>
            <w:tcBorders>
              <w:top w:val="single" w:sz="4" w:space="0" w:color="auto"/>
              <w:left w:val="single" w:sz="4" w:space="0" w:color="auto"/>
              <w:bottom w:val="single" w:sz="4" w:space="0" w:color="auto"/>
            </w:tcBorders>
            <w:vAlign w:val="center"/>
            <w:hideMark/>
          </w:tcPr>
          <w:p w14:paraId="4E9148E4" w14:textId="77777777" w:rsidR="00702291" w:rsidRDefault="00702291">
            <w:pPr>
              <w:spacing w:after="120" w:line="240" w:lineRule="auto"/>
              <w:rPr>
                <w:rFonts w:ascii="Times New Roman" w:hAnsi="Times New Roman"/>
                <w:b/>
                <w:noProof/>
                <w:sz w:val="18"/>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A64000" w14:textId="77777777" w:rsidR="00702291" w:rsidRDefault="00712B31">
            <w:pPr>
              <w:pStyle w:val="P68B1DB1-Normal19"/>
              <w:spacing w:after="120" w:line="240" w:lineRule="auto"/>
              <w:jc w:val="center"/>
              <w:rPr>
                <w:rFonts w:eastAsiaTheme="minorHAnsi"/>
                <w:noProof/>
              </w:rPr>
            </w:pPr>
            <w:r>
              <w:rPr>
                <w:noProof/>
              </w:rPr>
              <w:t>Unitatea de măsură</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22F20C6E" w14:textId="77777777" w:rsidR="00702291" w:rsidRDefault="00712B31">
            <w:pPr>
              <w:pStyle w:val="P68B1DB1-Normal19"/>
              <w:spacing w:after="120" w:line="240" w:lineRule="auto"/>
              <w:jc w:val="center"/>
              <w:rPr>
                <w:rFonts w:eastAsiaTheme="minorHAnsi"/>
                <w:noProof/>
              </w:rPr>
            </w:pPr>
            <w:r>
              <w:rPr>
                <w:noProof/>
              </w:rPr>
              <w:t xml:space="preserve">Situația de referință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3AD395ED" w14:textId="77777777" w:rsidR="00702291" w:rsidRDefault="00712B31">
            <w:pPr>
              <w:pStyle w:val="P68B1DB1-Normal19"/>
              <w:spacing w:after="120" w:line="240" w:lineRule="auto"/>
              <w:jc w:val="center"/>
              <w:rPr>
                <w:rFonts w:eastAsiaTheme="minorHAnsi"/>
                <w:noProof/>
              </w:rPr>
            </w:pPr>
            <w:r>
              <w:rPr>
                <w:noProof/>
              </w:rPr>
              <w:t xml:space="preserve">Obiectiv </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622B8741" w14:textId="77777777" w:rsidR="00702291" w:rsidRDefault="00712B31">
            <w:pPr>
              <w:pStyle w:val="P68B1DB1-Normal19"/>
              <w:spacing w:after="120" w:line="240" w:lineRule="auto"/>
              <w:jc w:val="center"/>
              <w:rPr>
                <w:rFonts w:eastAsiaTheme="minorHAnsi"/>
                <w:noProof/>
              </w:rPr>
            </w:pPr>
            <w:r>
              <w:rPr>
                <w:noProof/>
              </w:rPr>
              <w:t>Trimestru</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3AF0A081" w14:textId="77777777" w:rsidR="00702291" w:rsidRDefault="00712B31">
            <w:pPr>
              <w:pStyle w:val="P68B1DB1-Normal19"/>
              <w:spacing w:after="120" w:line="240" w:lineRule="auto"/>
              <w:jc w:val="center"/>
              <w:rPr>
                <w:rFonts w:eastAsiaTheme="minorHAnsi"/>
                <w:noProof/>
              </w:rPr>
            </w:pPr>
            <w:r>
              <w:rPr>
                <w:noProof/>
              </w:rPr>
              <w:t>Anul</w:t>
            </w:r>
          </w:p>
        </w:tc>
        <w:tc>
          <w:tcPr>
            <w:tcW w:w="3796" w:type="dxa"/>
            <w:vMerge/>
            <w:tcBorders>
              <w:top w:val="single" w:sz="4" w:space="0" w:color="auto"/>
              <w:bottom w:val="single" w:sz="4" w:space="0" w:color="auto"/>
              <w:right w:val="single" w:sz="4" w:space="0" w:color="auto"/>
            </w:tcBorders>
            <w:vAlign w:val="center"/>
            <w:hideMark/>
          </w:tcPr>
          <w:p w14:paraId="3C4A512D" w14:textId="77777777" w:rsidR="00702291" w:rsidRDefault="00702291">
            <w:pPr>
              <w:spacing w:after="120" w:line="240" w:lineRule="auto"/>
              <w:rPr>
                <w:rFonts w:ascii="Times New Roman" w:hAnsi="Times New Roman"/>
                <w:b/>
                <w:noProof/>
                <w:sz w:val="18"/>
              </w:rPr>
            </w:pPr>
          </w:p>
        </w:tc>
      </w:tr>
      <w:tr w:rsidR="00702291" w14:paraId="4DAB8786" w14:textId="77777777" w:rsidTr="00FA4EAF">
        <w:trPr>
          <w:trHeight w:val="1852"/>
          <w:jc w:val="center"/>
        </w:trPr>
        <w:tc>
          <w:tcPr>
            <w:tcW w:w="9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A6E297" w14:textId="77777777" w:rsidR="00702291" w:rsidRDefault="00712B31">
            <w:pPr>
              <w:pStyle w:val="P68B1DB1-Normal20"/>
              <w:spacing w:after="120" w:line="240" w:lineRule="auto"/>
              <w:rPr>
                <w:noProof/>
              </w:rPr>
            </w:pPr>
            <w:r>
              <w:rPr>
                <w:noProof/>
              </w:rPr>
              <w:t>1</w:t>
            </w:r>
          </w:p>
        </w:tc>
        <w:tc>
          <w:tcPr>
            <w:tcW w:w="1977" w:type="dxa"/>
            <w:tcBorders>
              <w:top w:val="single" w:sz="4" w:space="0" w:color="auto"/>
              <w:left w:val="nil"/>
              <w:bottom w:val="single" w:sz="4" w:space="0" w:color="auto"/>
              <w:right w:val="single" w:sz="4" w:space="0" w:color="auto"/>
            </w:tcBorders>
            <w:shd w:val="clear" w:color="auto" w:fill="C6EFCE"/>
            <w:vAlign w:val="center"/>
            <w:hideMark/>
          </w:tcPr>
          <w:p w14:paraId="4C4FBBCE" w14:textId="1732801B" w:rsidR="00702291" w:rsidRDefault="00712B31">
            <w:pPr>
              <w:pStyle w:val="P68B1DB1-Normal20"/>
              <w:spacing w:after="120" w:line="240" w:lineRule="auto"/>
              <w:rPr>
                <w:rFonts w:eastAsiaTheme="minorHAnsi"/>
                <w:noProof/>
              </w:rPr>
            </w:pPr>
            <w:r>
              <w:rPr>
                <w:noProof/>
              </w:rPr>
              <w:t xml:space="preserve">C1.I1 Dezvoltarea unei educații publice competitive utilizând tehnologia secolului 21 </w:t>
            </w:r>
          </w:p>
        </w:tc>
        <w:tc>
          <w:tcPr>
            <w:tcW w:w="999" w:type="dxa"/>
            <w:tcBorders>
              <w:top w:val="single" w:sz="4" w:space="0" w:color="auto"/>
              <w:left w:val="nil"/>
              <w:bottom w:val="single" w:sz="4" w:space="0" w:color="auto"/>
              <w:right w:val="single" w:sz="4" w:space="0" w:color="auto"/>
            </w:tcBorders>
            <w:shd w:val="clear" w:color="auto" w:fill="C6EFCE"/>
            <w:vAlign w:val="center"/>
            <w:hideMark/>
          </w:tcPr>
          <w:p w14:paraId="7D887D52" w14:textId="5924906E" w:rsidR="00702291" w:rsidRDefault="00702291">
            <w:pPr>
              <w:spacing w:after="120" w:line="240" w:lineRule="auto"/>
              <w:rPr>
                <w:rFonts w:ascii="Times New Roman" w:hAnsi="Times New Roman" w:cs="Times New Roman"/>
                <w:noProof/>
                <w:sz w:val="18"/>
                <w:szCs w:val="18"/>
              </w:rPr>
            </w:pPr>
          </w:p>
          <w:p w14:paraId="29E4BEE8" w14:textId="07693A31" w:rsidR="00702291" w:rsidRDefault="00712B31">
            <w:pPr>
              <w:pStyle w:val="P68B1DB1-Normal20"/>
              <w:spacing w:after="120" w:line="240" w:lineRule="auto"/>
              <w:rPr>
                <w:rFonts w:eastAsiaTheme="minorHAnsi"/>
                <w:noProof/>
              </w:rPr>
            </w:pPr>
            <w:r>
              <w:rPr>
                <w:noProof/>
              </w:rPr>
              <w:t>Etapă</w:t>
            </w:r>
          </w:p>
        </w:tc>
        <w:tc>
          <w:tcPr>
            <w:tcW w:w="1985" w:type="dxa"/>
            <w:tcBorders>
              <w:top w:val="single" w:sz="4" w:space="0" w:color="auto"/>
              <w:left w:val="nil"/>
              <w:bottom w:val="single" w:sz="4" w:space="0" w:color="auto"/>
              <w:right w:val="single" w:sz="4" w:space="0" w:color="auto"/>
            </w:tcBorders>
            <w:shd w:val="clear" w:color="auto" w:fill="C6EFCE"/>
            <w:vAlign w:val="center"/>
            <w:hideMark/>
          </w:tcPr>
          <w:p w14:paraId="477C816E" w14:textId="34F301A0" w:rsidR="00702291" w:rsidRDefault="00712B31">
            <w:pPr>
              <w:pStyle w:val="P68B1DB1-Normal26"/>
              <w:spacing w:after="120" w:line="240" w:lineRule="auto"/>
              <w:rPr>
                <w:rFonts w:ascii="Times New Roman" w:hAnsi="Times New Roman"/>
                <w:noProof/>
              </w:rPr>
            </w:pPr>
            <w:r>
              <w:rPr>
                <w:rFonts w:ascii="Times New Roman" w:hAnsi="Times New Roman" w:cs="Times New Roman"/>
                <w:noProof/>
                <w:szCs w:val="18"/>
              </w:rPr>
              <w:t>Livrarea</w:t>
            </w:r>
            <w:r>
              <w:rPr>
                <w:rFonts w:ascii="Times New Roman" w:hAnsi="Times New Roman"/>
                <w:noProof/>
              </w:rPr>
              <w:t xml:space="preserve"> de notebookuri </w:t>
            </w:r>
            <w:r>
              <w:rPr>
                <w:rFonts w:ascii="Times New Roman" w:hAnsi="Times New Roman" w:cs="Times New Roman"/>
                <w:noProof/>
                <w:szCs w:val="18"/>
              </w:rPr>
              <w:t>și instrumente</w:t>
            </w:r>
            <w:r>
              <w:rPr>
                <w:rFonts w:ascii="Times New Roman" w:hAnsi="Times New Roman"/>
                <w:noProof/>
              </w:rPr>
              <w:t xml:space="preserve"> digitale</w:t>
            </w:r>
          </w:p>
        </w:tc>
        <w:tc>
          <w:tcPr>
            <w:tcW w:w="1276" w:type="dxa"/>
            <w:tcBorders>
              <w:top w:val="single" w:sz="4" w:space="0" w:color="auto"/>
              <w:left w:val="nil"/>
              <w:bottom w:val="single" w:sz="4" w:space="0" w:color="auto"/>
              <w:right w:val="single" w:sz="4" w:space="0" w:color="auto"/>
            </w:tcBorders>
            <w:shd w:val="clear" w:color="auto" w:fill="C6EFCE"/>
            <w:vAlign w:val="center"/>
            <w:hideMark/>
          </w:tcPr>
          <w:p w14:paraId="0E7E26D1" w14:textId="24777247" w:rsidR="00702291" w:rsidRDefault="00712B31">
            <w:pPr>
              <w:pStyle w:val="P68B1DB1-Normal27"/>
              <w:spacing w:after="120" w:line="240" w:lineRule="auto"/>
              <w:rPr>
                <w:noProof/>
              </w:rPr>
            </w:pPr>
            <w:r>
              <w:rPr>
                <w:noProof/>
              </w:rPr>
              <w:t>Livrarea echipamentelor</w:t>
            </w:r>
          </w:p>
        </w:tc>
        <w:tc>
          <w:tcPr>
            <w:tcW w:w="1134" w:type="dxa"/>
            <w:tcBorders>
              <w:top w:val="nil"/>
              <w:left w:val="nil"/>
              <w:bottom w:val="single" w:sz="4" w:space="0" w:color="auto"/>
              <w:right w:val="single" w:sz="4" w:space="0" w:color="auto"/>
            </w:tcBorders>
            <w:shd w:val="clear" w:color="auto" w:fill="C6EFCE"/>
            <w:vAlign w:val="center"/>
            <w:hideMark/>
          </w:tcPr>
          <w:p w14:paraId="18A3C8D7" w14:textId="6992324F" w:rsidR="00702291" w:rsidRDefault="00702291">
            <w:pPr>
              <w:spacing w:after="120" w:line="240" w:lineRule="auto"/>
              <w:rPr>
                <w:rFonts w:ascii="Times New Roman" w:eastAsiaTheme="minorHAnsi" w:hAnsi="Times New Roman"/>
                <w:noProof/>
                <w:sz w:val="18"/>
              </w:rPr>
            </w:pPr>
          </w:p>
        </w:tc>
        <w:tc>
          <w:tcPr>
            <w:tcW w:w="1134" w:type="dxa"/>
            <w:tcBorders>
              <w:top w:val="nil"/>
              <w:left w:val="nil"/>
              <w:bottom w:val="single" w:sz="4" w:space="0" w:color="auto"/>
              <w:right w:val="single" w:sz="4" w:space="0" w:color="auto"/>
            </w:tcBorders>
            <w:shd w:val="clear" w:color="auto" w:fill="C6EFCE"/>
            <w:vAlign w:val="center"/>
            <w:hideMark/>
          </w:tcPr>
          <w:p w14:paraId="5E5C9A53" w14:textId="28A10314" w:rsidR="00702291" w:rsidRDefault="00702291">
            <w:pPr>
              <w:spacing w:after="120" w:line="240" w:lineRule="auto"/>
              <w:rPr>
                <w:rFonts w:ascii="Times New Roman"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4411AE83" w14:textId="5C10CDFE" w:rsidR="00702291" w:rsidRDefault="00702291">
            <w:pPr>
              <w:spacing w:after="120" w:line="240" w:lineRule="auto"/>
              <w:rPr>
                <w:rFonts w:ascii="Times New Roman" w:hAnsi="Times New Roman" w:cs="Times New Roman"/>
                <w:noProof/>
                <w:sz w:val="18"/>
                <w:szCs w:val="18"/>
              </w:rPr>
            </w:pPr>
          </w:p>
          <w:p w14:paraId="2199412A" w14:textId="63C18D33" w:rsidR="00702291" w:rsidRDefault="00702291">
            <w:pPr>
              <w:spacing w:after="120" w:line="240" w:lineRule="auto"/>
              <w:rPr>
                <w:rFonts w:ascii="Times New Roman" w:hAnsi="Times New Roman"/>
                <w:noProof/>
                <w:sz w:val="18"/>
              </w:rPr>
            </w:pPr>
          </w:p>
        </w:tc>
        <w:tc>
          <w:tcPr>
            <w:tcW w:w="1134" w:type="dxa"/>
            <w:tcBorders>
              <w:top w:val="nil"/>
              <w:left w:val="nil"/>
              <w:bottom w:val="single" w:sz="4" w:space="0" w:color="auto"/>
              <w:right w:val="single" w:sz="4" w:space="0" w:color="auto"/>
            </w:tcBorders>
            <w:shd w:val="clear" w:color="auto" w:fill="C6EFCE"/>
            <w:vAlign w:val="center"/>
            <w:hideMark/>
          </w:tcPr>
          <w:p w14:paraId="0F65A806" w14:textId="52CA2793" w:rsidR="00702291" w:rsidRDefault="00F233DB">
            <w:pPr>
              <w:pStyle w:val="P68B1DB1-Normal20"/>
              <w:spacing w:after="120" w:line="240" w:lineRule="auto"/>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hideMark/>
          </w:tcPr>
          <w:p w14:paraId="49EBB7C2" w14:textId="2AE5A706" w:rsidR="00702291" w:rsidRDefault="00712B31">
            <w:pPr>
              <w:pStyle w:val="P68B1DB1-Normal20"/>
              <w:spacing w:after="120" w:line="240" w:lineRule="auto"/>
              <w:rPr>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hideMark/>
          </w:tcPr>
          <w:p w14:paraId="72F5758D" w14:textId="1A7CF007" w:rsidR="00702291" w:rsidRDefault="00712B31">
            <w:pPr>
              <w:pStyle w:val="P68B1DB1-Normal32"/>
              <w:spacing w:after="120" w:line="240" w:lineRule="auto"/>
              <w:jc w:val="both"/>
              <w:rPr>
                <w:noProof/>
              </w:rPr>
            </w:pPr>
            <w:r>
              <w:rPr>
                <w:noProof/>
              </w:rPr>
              <w:t xml:space="preserve">Livrarea a 579 000 de notebookuri digitale și a 3 100 de instrumente digitale către instituțiile de învățământ școlar sau către centrul administrativ al școlii (Klebelsberg Központ). </w:t>
            </w:r>
          </w:p>
        </w:tc>
      </w:tr>
      <w:tr w:rsidR="00702291" w14:paraId="2ABB2942" w14:textId="77777777" w:rsidTr="00FA4EAF">
        <w:trPr>
          <w:trHeight w:val="54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vAlign w:val="center"/>
          </w:tcPr>
          <w:p w14:paraId="1F595C40" w14:textId="3F43A6AB" w:rsidR="00702291" w:rsidRDefault="00712B31">
            <w:pPr>
              <w:pStyle w:val="P68B1DB1-Normal20"/>
              <w:spacing w:after="120" w:line="240" w:lineRule="auto"/>
              <w:rPr>
                <w:noProof/>
              </w:rPr>
            </w:pPr>
            <w:r>
              <w:rPr>
                <w:noProof/>
              </w:rPr>
              <w:t>2</w:t>
            </w:r>
          </w:p>
        </w:tc>
        <w:tc>
          <w:tcPr>
            <w:tcW w:w="1977" w:type="dxa"/>
            <w:tcBorders>
              <w:top w:val="single" w:sz="4" w:space="0" w:color="auto"/>
              <w:left w:val="nil"/>
              <w:bottom w:val="single" w:sz="4" w:space="0" w:color="auto"/>
              <w:right w:val="single" w:sz="4" w:space="0" w:color="auto"/>
            </w:tcBorders>
            <w:shd w:val="clear" w:color="auto" w:fill="C6EFCE"/>
            <w:vAlign w:val="center"/>
          </w:tcPr>
          <w:p w14:paraId="4234C749" w14:textId="77777777" w:rsidR="00702291" w:rsidRDefault="00712B31">
            <w:pPr>
              <w:pStyle w:val="P68B1DB1-Normal20"/>
              <w:spacing w:after="120" w:line="240" w:lineRule="auto"/>
              <w:rPr>
                <w:rFonts w:eastAsiaTheme="minorHAnsi"/>
                <w:noProof/>
              </w:rPr>
            </w:pPr>
            <w:r>
              <w:rPr>
                <w:noProof/>
              </w:rPr>
              <w:t>C1.I2 Sprijinirea educației elevilor cu nevoi educaționale speciale</w:t>
            </w:r>
          </w:p>
          <w:p w14:paraId="7DCE12A8" w14:textId="77777777" w:rsidR="00702291" w:rsidRDefault="00702291">
            <w:pPr>
              <w:spacing w:after="120" w:line="240" w:lineRule="auto"/>
              <w:rPr>
                <w:rFonts w:ascii="Times New Roman" w:hAnsi="Times New Roman"/>
                <w:noProof/>
                <w:sz w:val="18"/>
              </w:rPr>
            </w:pPr>
          </w:p>
        </w:tc>
        <w:tc>
          <w:tcPr>
            <w:tcW w:w="999" w:type="dxa"/>
            <w:tcBorders>
              <w:top w:val="single" w:sz="4" w:space="0" w:color="auto"/>
              <w:left w:val="nil"/>
              <w:bottom w:val="single" w:sz="4" w:space="0" w:color="auto"/>
              <w:right w:val="single" w:sz="4" w:space="0" w:color="auto"/>
            </w:tcBorders>
            <w:shd w:val="clear" w:color="auto" w:fill="C6EFCE"/>
            <w:vAlign w:val="center"/>
          </w:tcPr>
          <w:p w14:paraId="0EEA5CC3" w14:textId="47C76D22" w:rsidR="00702291" w:rsidRDefault="00702291">
            <w:pPr>
              <w:spacing w:after="120" w:line="240" w:lineRule="auto"/>
              <w:rPr>
                <w:rFonts w:ascii="Times New Roman" w:hAnsi="Times New Roman" w:cs="Times New Roman"/>
                <w:noProof/>
                <w:sz w:val="18"/>
                <w:szCs w:val="18"/>
              </w:rPr>
            </w:pPr>
          </w:p>
          <w:p w14:paraId="65AEC0BF" w14:textId="215DBD8C" w:rsidR="00702291" w:rsidRDefault="00712B31">
            <w:pPr>
              <w:pStyle w:val="P68B1DB1-Normal20"/>
              <w:spacing w:after="120" w:line="240" w:lineRule="auto"/>
              <w:rPr>
                <w:rFonts w:eastAsiaTheme="minorHAnsi"/>
                <w:noProof/>
              </w:rPr>
            </w:pPr>
            <w:r>
              <w:rPr>
                <w:noProof/>
              </w:rPr>
              <w:t>Etapă</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7C255A31" w14:textId="09C3983F" w:rsidR="00702291" w:rsidRDefault="00712B31">
            <w:pPr>
              <w:pStyle w:val="P68B1DB1-Normal26"/>
              <w:spacing w:after="120" w:line="240" w:lineRule="auto"/>
              <w:rPr>
                <w:rFonts w:ascii="Times New Roman" w:hAnsi="Times New Roman"/>
                <w:noProof/>
              </w:rPr>
            </w:pPr>
            <w:r>
              <w:rPr>
                <w:rFonts w:ascii="Times New Roman" w:hAnsi="Times New Roman" w:cs="Times New Roman"/>
                <w:noProof/>
                <w:szCs w:val="18"/>
              </w:rPr>
              <w:t>Furnizarea</w:t>
            </w:r>
            <w:r>
              <w:rPr>
                <w:rFonts w:ascii="Times New Roman" w:hAnsi="Times New Roman"/>
                <w:noProof/>
              </w:rPr>
              <w:t xml:space="preserve"> de </w:t>
            </w:r>
            <w:r>
              <w:rPr>
                <w:rFonts w:ascii="Times New Roman" w:hAnsi="Times New Roman" w:cs="Times New Roman"/>
                <w:noProof/>
                <w:szCs w:val="18"/>
              </w:rPr>
              <w:t xml:space="preserve">servicii </w:t>
            </w:r>
            <w:r>
              <w:rPr>
                <w:rFonts w:ascii="Times New Roman" w:hAnsi="Times New Roman"/>
                <w:noProof/>
              </w:rPr>
              <w:t xml:space="preserve">de sprijin pentru educația </w:t>
            </w:r>
            <w:r>
              <w:rPr>
                <w:rFonts w:ascii="Times New Roman" w:hAnsi="Times New Roman" w:cs="Times New Roman"/>
                <w:noProof/>
                <w:szCs w:val="18"/>
              </w:rPr>
              <w:t>copiilor</w:t>
            </w:r>
            <w:r>
              <w:rPr>
                <w:rFonts w:ascii="Times New Roman" w:hAnsi="Times New Roman"/>
                <w:noProof/>
              </w:rPr>
              <w:t xml:space="preserve"> cu nevoi educaționale speciale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001FED7" w14:textId="7370D90F" w:rsidR="00702291" w:rsidRDefault="00712B31">
            <w:pPr>
              <w:pStyle w:val="P68B1DB1-Normal20"/>
              <w:spacing w:after="120" w:line="240" w:lineRule="auto"/>
              <w:rPr>
                <w:noProof/>
              </w:rPr>
            </w:pPr>
            <w:r>
              <w:rPr>
                <w:noProof/>
              </w:rPr>
              <w:t>Acordarea sprijinului</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79A4D75" w14:textId="2FB467C1" w:rsidR="00702291" w:rsidRDefault="00702291">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659A42B1" w14:textId="36FD19CD" w:rsidR="00702291" w:rsidRDefault="00702291">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69FD5B30" w14:textId="26D39A47" w:rsidR="00702291" w:rsidRDefault="00702291">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37A026F1" w14:textId="7DE919DD" w:rsidR="00702291" w:rsidRDefault="00F233DB">
            <w:pPr>
              <w:pStyle w:val="P68B1DB1-Normal20"/>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1602B19D" w14:textId="77777777" w:rsidR="00702291" w:rsidRDefault="00712B31">
            <w:pPr>
              <w:pStyle w:val="P68B1DB1-Normal20"/>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00648125" w14:textId="3140629F" w:rsidR="00702291" w:rsidRDefault="00712B31">
            <w:pPr>
              <w:pStyle w:val="P68B1DB1-Normal32"/>
              <w:spacing w:after="120" w:line="240" w:lineRule="auto"/>
              <w:jc w:val="both"/>
              <w:rPr>
                <w:noProof/>
              </w:rPr>
            </w:pPr>
            <w:r>
              <w:rPr>
                <w:noProof/>
              </w:rPr>
              <w:t xml:space="preserve">23.5 milioane EUR acordate pentru proiecte în domeniul formării și al schimbului de cunoștințe, al serviciilor de transport școlar, al închirierii de echipamente, al TIC și al echipamentelor medicale, al vehiculelor electrice adaptate și al plăților efectuate. </w:t>
            </w:r>
          </w:p>
        </w:tc>
      </w:tr>
      <w:tr w:rsidR="00702291" w14:paraId="0D227F46" w14:textId="77777777" w:rsidTr="00FA4EAF">
        <w:trPr>
          <w:trHeight w:val="54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vAlign w:val="center"/>
          </w:tcPr>
          <w:p w14:paraId="340E095B" w14:textId="08C213A0" w:rsidR="00702291" w:rsidRDefault="00712B31">
            <w:pPr>
              <w:pStyle w:val="P68B1DB1-Normal20"/>
              <w:spacing w:after="120" w:line="240" w:lineRule="auto"/>
              <w:rPr>
                <w:noProof/>
              </w:rPr>
            </w:pPr>
            <w:r>
              <w:rPr>
                <w:noProof/>
              </w:rPr>
              <w:t>3</w:t>
            </w:r>
          </w:p>
        </w:tc>
        <w:tc>
          <w:tcPr>
            <w:tcW w:w="1977" w:type="dxa"/>
            <w:tcBorders>
              <w:top w:val="single" w:sz="4" w:space="0" w:color="auto"/>
              <w:left w:val="nil"/>
              <w:bottom w:val="single" w:sz="4" w:space="0" w:color="auto"/>
              <w:right w:val="single" w:sz="4" w:space="0" w:color="auto"/>
            </w:tcBorders>
            <w:shd w:val="clear" w:color="auto" w:fill="C6EFCE"/>
            <w:vAlign w:val="center"/>
          </w:tcPr>
          <w:p w14:paraId="1989B1F1" w14:textId="1877A311" w:rsidR="00702291" w:rsidRDefault="00712B31">
            <w:pPr>
              <w:pStyle w:val="P68B1DB1-Normal20"/>
              <w:spacing w:after="120" w:line="240" w:lineRule="auto"/>
              <w:rPr>
                <w:rFonts w:eastAsiaTheme="minorHAnsi"/>
                <w:noProof/>
              </w:rPr>
            </w:pPr>
            <w:r>
              <w:rPr>
                <w:noProof/>
              </w:rPr>
              <w:t>C1.R1 Reducerea riscului de segregare în școli</w:t>
            </w:r>
          </w:p>
        </w:tc>
        <w:tc>
          <w:tcPr>
            <w:tcW w:w="999" w:type="dxa"/>
            <w:tcBorders>
              <w:top w:val="single" w:sz="4" w:space="0" w:color="auto"/>
              <w:left w:val="nil"/>
              <w:bottom w:val="single" w:sz="4" w:space="0" w:color="auto"/>
              <w:right w:val="single" w:sz="4" w:space="0" w:color="auto"/>
            </w:tcBorders>
            <w:shd w:val="clear" w:color="auto" w:fill="C6EFCE"/>
            <w:vAlign w:val="center"/>
          </w:tcPr>
          <w:p w14:paraId="527C21C6" w14:textId="77777777" w:rsidR="00702291" w:rsidRDefault="00712B31">
            <w:pPr>
              <w:pStyle w:val="P68B1DB1-Normal20"/>
              <w:spacing w:after="120" w:line="240" w:lineRule="auto"/>
              <w:rPr>
                <w:rFonts w:eastAsiaTheme="minorHAnsi"/>
                <w:noProof/>
              </w:rPr>
            </w:pPr>
            <w:r>
              <w:rPr>
                <w:noProof/>
              </w:rPr>
              <w:t>Etapă</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7F287DBF" w14:textId="40B770A8" w:rsidR="00702291" w:rsidRDefault="00712B31">
            <w:pPr>
              <w:pStyle w:val="P68B1DB1-Normal20"/>
              <w:spacing w:after="120" w:line="240" w:lineRule="auto"/>
              <w:rPr>
                <w:rFonts w:eastAsiaTheme="minorHAnsi"/>
                <w:noProof/>
              </w:rPr>
            </w:pPr>
            <w:r>
              <w:rPr>
                <w:noProof/>
              </w:rPr>
              <w:t>Intrarea în vigoare a actului (actelor) juridic (e) care prevede (prevăd) reducerea sprijinului de stat pentru școlile primare și gimnaziale cu o proporție scăzută de elevi defavorizați</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F6CF9E7" w14:textId="5869C0AF" w:rsidR="00702291" w:rsidRDefault="00712B31">
            <w:pPr>
              <w:pStyle w:val="P68B1DB1-Normal20"/>
              <w:spacing w:after="120" w:line="240" w:lineRule="auto"/>
              <w:rPr>
                <w:rFonts w:eastAsiaTheme="minorHAnsi"/>
                <w:noProof/>
              </w:rPr>
            </w:pPr>
            <w:r>
              <w:rPr>
                <w:noProof/>
              </w:rPr>
              <w:t>Dispoziții ale actului (actelor) juridic (e) care indică intrarea sa în vigoare</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2BBF3F4" w14:textId="77777777" w:rsidR="00702291" w:rsidRDefault="00702291">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1F8A93BC" w14:textId="77777777" w:rsidR="00702291" w:rsidRDefault="00702291">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225260B3" w14:textId="77777777" w:rsidR="00702291" w:rsidRDefault="00702291">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4D547EDB" w14:textId="6DF65258" w:rsidR="00702291" w:rsidRDefault="00F233DB">
            <w:pPr>
              <w:pStyle w:val="P68B1DB1-Normal20"/>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D936A81" w14:textId="0A7575C8" w:rsidR="00702291" w:rsidRDefault="00712B31">
            <w:pPr>
              <w:pStyle w:val="P68B1DB1-Normal20"/>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5B69B3A0" w14:textId="6C11E9BD" w:rsidR="00702291" w:rsidRDefault="00712B31">
            <w:pPr>
              <w:pStyle w:val="P68B1DB1-Normal20"/>
              <w:spacing w:after="120" w:line="240" w:lineRule="auto"/>
              <w:jc w:val="both"/>
              <w:rPr>
                <w:rFonts w:eastAsiaTheme="minorHAnsi"/>
                <w:noProof/>
              </w:rPr>
            </w:pPr>
            <w:r>
              <w:rPr>
                <w:noProof/>
              </w:rPr>
              <w:t xml:space="preserve">Intrarea în vigoare a actului (actelor) juridic (e) pentru reducerea sprijinului de stat pentru școlile primare și gimnaziale (clasele 1-8) cu o proporție scăzută de elevi defavorizați. </w:t>
            </w:r>
          </w:p>
          <w:p w14:paraId="5E7A191E" w14:textId="5B8747C9" w:rsidR="00702291" w:rsidRDefault="00712B31">
            <w:pPr>
              <w:pStyle w:val="P68B1DB1-Normal20"/>
              <w:spacing w:after="120" w:line="240" w:lineRule="auto"/>
              <w:jc w:val="both"/>
              <w:rPr>
                <w:noProof/>
              </w:rPr>
            </w:pPr>
            <w:r>
              <w:rPr>
                <w:noProof/>
              </w:rPr>
              <w:t>Actul (actele) juridic (e) include (includ) dispoziții conform cărora sprijinul de stat pentru școlile primare și gimnaziale se reduce cu 10 % în cazul în care proporția elevilor defavorizați din școlile respective este cu peste 20 puncte procentuale mai mică decât proporția medie din așezare (la nivelul unității administrative locale în care este situată școala), astfel cum a fost stabilită la începutul anului școlar 2025/2026.</w:t>
            </w:r>
          </w:p>
        </w:tc>
      </w:tr>
      <w:tr w:rsidR="00702291" w14:paraId="153D4CD3" w14:textId="77777777" w:rsidTr="00FA4EAF">
        <w:trPr>
          <w:trHeight w:val="54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vAlign w:val="center"/>
          </w:tcPr>
          <w:p w14:paraId="00D16C88" w14:textId="542975DD" w:rsidR="00702291" w:rsidRDefault="00712B31">
            <w:pPr>
              <w:pStyle w:val="P68B1DB1-Normal20"/>
              <w:spacing w:after="120" w:line="240" w:lineRule="auto"/>
              <w:rPr>
                <w:noProof/>
              </w:rPr>
            </w:pPr>
            <w:r>
              <w:rPr>
                <w:noProof/>
              </w:rPr>
              <w:t>4</w:t>
            </w:r>
          </w:p>
        </w:tc>
        <w:tc>
          <w:tcPr>
            <w:tcW w:w="1977" w:type="dxa"/>
            <w:tcBorders>
              <w:top w:val="single" w:sz="4" w:space="0" w:color="auto"/>
              <w:left w:val="nil"/>
              <w:bottom w:val="single" w:sz="4" w:space="0" w:color="auto"/>
              <w:right w:val="single" w:sz="4" w:space="0" w:color="auto"/>
            </w:tcBorders>
            <w:shd w:val="clear" w:color="auto" w:fill="C6EFCE"/>
            <w:vAlign w:val="center"/>
          </w:tcPr>
          <w:p w14:paraId="7D3D5C1E" w14:textId="6FD9D683" w:rsidR="00702291" w:rsidRDefault="00712B31">
            <w:pPr>
              <w:pStyle w:val="P68B1DB1-Normal20"/>
              <w:spacing w:after="120" w:line="240" w:lineRule="auto"/>
              <w:rPr>
                <w:rFonts w:eastAsiaTheme="minorHAnsi"/>
                <w:noProof/>
              </w:rPr>
            </w:pPr>
            <w:r>
              <w:rPr>
                <w:noProof/>
              </w:rPr>
              <w:t xml:space="preserve">C1.R2 </w:t>
            </w:r>
            <w:bookmarkStart w:id="2" w:name="_Hlk228977276"/>
            <w:r>
              <w:rPr>
                <w:noProof/>
              </w:rPr>
              <w:t>Creșterea atractivității profesiei de cadru didactic</w:t>
            </w:r>
            <w:bookmarkEnd w:id="2"/>
          </w:p>
        </w:tc>
        <w:tc>
          <w:tcPr>
            <w:tcW w:w="999" w:type="dxa"/>
            <w:tcBorders>
              <w:top w:val="single" w:sz="4" w:space="0" w:color="auto"/>
              <w:left w:val="nil"/>
              <w:bottom w:val="single" w:sz="4" w:space="0" w:color="auto"/>
              <w:right w:val="single" w:sz="4" w:space="0" w:color="auto"/>
            </w:tcBorders>
            <w:shd w:val="clear" w:color="auto" w:fill="C6EFCE"/>
            <w:vAlign w:val="center"/>
          </w:tcPr>
          <w:p w14:paraId="3603EC60" w14:textId="77777777" w:rsidR="00702291" w:rsidRDefault="00712B31">
            <w:pPr>
              <w:pStyle w:val="P68B1DB1-Normal20"/>
              <w:spacing w:after="120" w:line="240" w:lineRule="auto"/>
              <w:rPr>
                <w:rFonts w:eastAsiaTheme="minorHAnsi"/>
                <w:noProof/>
              </w:rPr>
            </w:pPr>
            <w:r>
              <w:rPr>
                <w:noProof/>
              </w:rPr>
              <w:t>Etapă</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4F8FFF75" w14:textId="2BA8A1CC" w:rsidR="00702291" w:rsidRDefault="00712B31">
            <w:pPr>
              <w:pStyle w:val="P68B1DB1-Normal20"/>
              <w:spacing w:after="120" w:line="240" w:lineRule="auto"/>
              <w:rPr>
                <w:rFonts w:eastAsiaTheme="minorHAnsi"/>
                <w:noProof/>
              </w:rPr>
            </w:pPr>
            <w:r>
              <w:rPr>
                <w:noProof/>
              </w:rPr>
              <w:t xml:space="preserve">Intrarea în vigoare a actului (actelor) juridic (e) de creștere a salariilor cadrelor didactice din sistemul public de învățământ </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2480A83" w14:textId="7F53E81F" w:rsidR="00702291" w:rsidRDefault="00712B31">
            <w:pPr>
              <w:pStyle w:val="P68B1DB1-Normal20"/>
              <w:spacing w:after="120" w:line="240" w:lineRule="auto"/>
              <w:rPr>
                <w:rFonts w:eastAsiaTheme="minorHAnsi"/>
                <w:noProof/>
              </w:rPr>
            </w:pPr>
            <w:r>
              <w:rPr>
                <w:noProof/>
              </w:rPr>
              <w:t>Dispoziții ale actului (actelor) juridic (e) care indică intrarea sa în vigoare</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00C829B9" w14:textId="77777777" w:rsidR="00702291" w:rsidRDefault="00702291">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19F5416D" w14:textId="77777777" w:rsidR="00702291" w:rsidRDefault="00702291">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0DBB44F" w14:textId="77777777" w:rsidR="00702291" w:rsidRDefault="00702291">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37A12B81" w14:textId="33BE91B8" w:rsidR="00702291" w:rsidRDefault="00F233DB">
            <w:pPr>
              <w:pStyle w:val="P68B1DB1-Normal20"/>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D0ECC34" w14:textId="37A76742" w:rsidR="00702291" w:rsidRDefault="00712B31">
            <w:pPr>
              <w:pStyle w:val="P68B1DB1-Normal20"/>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7BBCC6A5" w14:textId="6C2CD598" w:rsidR="00702291" w:rsidRPr="00FA4EAF" w:rsidRDefault="00712B31">
            <w:pPr>
              <w:pStyle w:val="P68B1DB1-Normal26"/>
              <w:spacing w:after="120" w:line="240" w:lineRule="auto"/>
              <w:jc w:val="both"/>
              <w:rPr>
                <w:rFonts w:ascii="Times New Roman" w:eastAsiaTheme="minorHAnsi" w:hAnsi="Times New Roman"/>
                <w:noProof/>
                <w:spacing w:val="-4"/>
              </w:rPr>
            </w:pPr>
            <w:r w:rsidRPr="00FA4EAF">
              <w:rPr>
                <w:rFonts w:ascii="Times New Roman" w:hAnsi="Times New Roman"/>
                <w:noProof/>
                <w:spacing w:val="-4"/>
              </w:rPr>
              <w:t xml:space="preserve">Intrarea în vigoare a actului (actelor) juridic (e) care stabilește (stabilesc) obligația ca salariul mediu al cadrelor didactice din sistemul de învățământ public (toate cadrele didactice din sistemul de învățământ public care dețin o diplomă de învățământ terțiar, astfel cum este definită în Legea învățământului public, cu excepția învățământului profesional) să ajungă la cel puțin 80 % din salariul mediu al absolvenților de învățământ terțiar până la 1 ianuarie 2025 și să fie menținut la un nivel de cel puțin 80 % din salariul mediu al absolvenților de învățământ terțiar cel puțin până la 31 decembrie </w:t>
            </w:r>
            <w:r w:rsidRPr="00FA4EAF">
              <w:rPr>
                <w:rFonts w:ascii="Times New Roman" w:hAnsi="Times New Roman" w:cs="Times New Roman"/>
                <w:noProof/>
                <w:spacing w:val="-4"/>
                <w:szCs w:val="18"/>
              </w:rPr>
              <w:t>2031</w:t>
            </w:r>
            <w:r w:rsidRPr="00FA4EAF">
              <w:rPr>
                <w:rFonts w:ascii="Times New Roman" w:hAnsi="Times New Roman"/>
                <w:noProof/>
                <w:spacing w:val="-4"/>
              </w:rPr>
              <w:t>.</w:t>
            </w:r>
          </w:p>
          <w:p w14:paraId="51919C22" w14:textId="2C31261F" w:rsidR="00702291" w:rsidRPr="00FA4EAF" w:rsidRDefault="00712B31">
            <w:pPr>
              <w:pStyle w:val="P68B1DB1-Normal26"/>
              <w:spacing w:after="120" w:line="240" w:lineRule="auto"/>
              <w:jc w:val="both"/>
              <w:rPr>
                <w:rFonts w:ascii="Times New Roman" w:eastAsiaTheme="minorHAnsi" w:hAnsi="Times New Roman"/>
                <w:noProof/>
                <w:spacing w:val="-4"/>
              </w:rPr>
            </w:pPr>
            <w:r w:rsidRPr="00FA4EAF">
              <w:rPr>
                <w:rFonts w:ascii="Times New Roman" w:hAnsi="Times New Roman"/>
                <w:noProof/>
                <w:spacing w:val="-4"/>
              </w:rPr>
              <w:t xml:space="preserve">Legea va include, de asemenea, dispoziții conform cărora, începând cu 1 ianuarie 2024 și cel puțin până la 31 decembrie </w:t>
            </w:r>
            <w:r w:rsidRPr="00FA4EAF">
              <w:rPr>
                <w:rFonts w:ascii="Times New Roman" w:hAnsi="Times New Roman" w:cs="Times New Roman"/>
                <w:noProof/>
                <w:spacing w:val="-4"/>
                <w:szCs w:val="18"/>
              </w:rPr>
              <w:t>2031</w:t>
            </w:r>
            <w:r w:rsidRPr="00FA4EAF">
              <w:rPr>
                <w:rFonts w:ascii="Times New Roman" w:hAnsi="Times New Roman"/>
                <w:noProof/>
                <w:spacing w:val="-4"/>
              </w:rPr>
              <w:t>, salariul profesorilor din categoriile enumerate mai jos va fi mai mare cu cel puțin 12.5</w:t>
            </w:r>
            <w:r w:rsidRPr="00FA4EAF">
              <w:rPr>
                <w:rFonts w:ascii="Times New Roman" w:hAnsi="Times New Roman"/>
                <w:noProof/>
                <w:color w:val="006100"/>
                <w:spacing w:val="-4"/>
              </w:rPr>
              <w:t xml:space="preserve"> </w:t>
            </w:r>
            <w:r w:rsidRPr="00FA4EAF">
              <w:rPr>
                <w:rFonts w:ascii="Times New Roman" w:hAnsi="Times New Roman"/>
                <w:noProof/>
                <w:spacing w:val="-4"/>
              </w:rPr>
              <w:t>% din salariul profesorilor cu aceeași calificare și experiență care nu sunt incluși în aceste categorii:</w:t>
            </w:r>
          </w:p>
          <w:p w14:paraId="5A1FB724" w14:textId="26EF2DA1" w:rsidR="00702291" w:rsidRPr="00FA4EAF" w:rsidRDefault="00712B31">
            <w:pPr>
              <w:pStyle w:val="P68B1DB1-ListParagraph33"/>
              <w:numPr>
                <w:ilvl w:val="0"/>
                <w:numId w:val="4"/>
              </w:numPr>
              <w:spacing w:after="120" w:line="240" w:lineRule="auto"/>
              <w:ind w:left="487"/>
              <w:contextualSpacing w:val="0"/>
              <w:jc w:val="both"/>
              <w:rPr>
                <w:noProof/>
                <w:spacing w:val="-4"/>
              </w:rPr>
            </w:pPr>
            <w:r w:rsidRPr="00FA4EAF">
              <w:rPr>
                <w:noProof/>
                <w:spacing w:val="-4"/>
              </w:rPr>
              <w:t>cadrele didactice care lucrează în așezări defavorizate sau care recuperează decalajul față de așezări, astfel cum sunt definite prin decret guvernamental;</w:t>
            </w:r>
          </w:p>
          <w:p w14:paraId="7EE43E77" w14:textId="15F6BD69" w:rsidR="00702291" w:rsidRPr="00FA4EAF" w:rsidRDefault="00712B31">
            <w:pPr>
              <w:pStyle w:val="P68B1DB1-ListParagraph33"/>
              <w:numPr>
                <w:ilvl w:val="0"/>
                <w:numId w:val="4"/>
              </w:numPr>
              <w:spacing w:after="120" w:line="240" w:lineRule="auto"/>
              <w:ind w:left="487"/>
              <w:contextualSpacing w:val="0"/>
              <w:jc w:val="both"/>
              <w:rPr>
                <w:noProof/>
                <w:spacing w:val="-4"/>
              </w:rPr>
            </w:pPr>
            <w:r w:rsidRPr="00FA4EAF">
              <w:rPr>
                <w:noProof/>
                <w:spacing w:val="-4"/>
              </w:rPr>
              <w:t xml:space="preserve">cadrele didactice care lucrează în școli cu o proporție de elevi defavorizați de cel puțin 10 % și care definesc metode pedagogice speciale pentru educația favorabilă incluziunii în programele lor pedagogice (sursa: Köznevelési Információs Rendszer). </w:t>
            </w:r>
          </w:p>
        </w:tc>
      </w:tr>
      <w:tr w:rsidR="00702291" w14:paraId="21846055" w14:textId="77777777" w:rsidTr="00FA4EAF">
        <w:trPr>
          <w:trHeight w:val="54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vAlign w:val="center"/>
          </w:tcPr>
          <w:p w14:paraId="5A693EB2" w14:textId="7F7D8BD5" w:rsidR="00702291" w:rsidRDefault="00712B31">
            <w:pPr>
              <w:pStyle w:val="P68B1DB1-Normal20"/>
              <w:spacing w:after="120" w:line="240" w:lineRule="auto"/>
              <w:rPr>
                <w:noProof/>
              </w:rPr>
            </w:pPr>
            <w:r>
              <w:rPr>
                <w:noProof/>
              </w:rPr>
              <w:t>5</w:t>
            </w:r>
          </w:p>
        </w:tc>
        <w:tc>
          <w:tcPr>
            <w:tcW w:w="1977" w:type="dxa"/>
            <w:tcBorders>
              <w:top w:val="single" w:sz="4" w:space="0" w:color="auto"/>
              <w:left w:val="nil"/>
              <w:bottom w:val="single" w:sz="4" w:space="0" w:color="auto"/>
              <w:right w:val="single" w:sz="4" w:space="0" w:color="auto"/>
            </w:tcBorders>
            <w:shd w:val="clear" w:color="auto" w:fill="C6EFCE"/>
            <w:vAlign w:val="center"/>
          </w:tcPr>
          <w:p w14:paraId="129714C0" w14:textId="0E6A79CC" w:rsidR="00702291" w:rsidRDefault="00712B31">
            <w:pPr>
              <w:pStyle w:val="P68B1DB1-Normal26"/>
              <w:spacing w:after="120" w:line="240" w:lineRule="auto"/>
              <w:rPr>
                <w:rFonts w:ascii="Times New Roman" w:hAnsi="Times New Roman"/>
                <w:noProof/>
              </w:rPr>
            </w:pPr>
            <w:r>
              <w:rPr>
                <w:rFonts w:ascii="Times New Roman" w:hAnsi="Times New Roman"/>
                <w:noProof/>
              </w:rPr>
              <w:t xml:space="preserve">C1.I3 </w:t>
            </w:r>
            <w:r>
              <w:rPr>
                <w:rFonts w:ascii="Times New Roman" w:eastAsia="Times New Roman" w:hAnsi="Times New Roman" w:cs="Times New Roman"/>
                <w:noProof/>
                <w:szCs w:val="18"/>
              </w:rPr>
              <w:t xml:space="preserve">Construirea de </w:t>
            </w:r>
            <w:r>
              <w:rPr>
                <w:rFonts w:ascii="Times New Roman" w:hAnsi="Times New Roman"/>
                <w:noProof/>
              </w:rPr>
              <w:t>structuri de îngrijire a copiilor</w:t>
            </w:r>
          </w:p>
        </w:tc>
        <w:tc>
          <w:tcPr>
            <w:tcW w:w="999" w:type="dxa"/>
            <w:tcBorders>
              <w:top w:val="single" w:sz="4" w:space="0" w:color="auto"/>
              <w:left w:val="nil"/>
              <w:bottom w:val="single" w:sz="4" w:space="0" w:color="auto"/>
              <w:right w:val="single" w:sz="4" w:space="0" w:color="auto"/>
            </w:tcBorders>
            <w:shd w:val="clear" w:color="auto" w:fill="C6EFCE"/>
            <w:vAlign w:val="center"/>
          </w:tcPr>
          <w:p w14:paraId="4903B44F" w14:textId="77777777" w:rsidR="00702291" w:rsidRDefault="00712B31">
            <w:pPr>
              <w:pStyle w:val="P68B1DB1-Normal20"/>
              <w:spacing w:after="120" w:line="240" w:lineRule="auto"/>
              <w:rPr>
                <w:rFonts w:eastAsiaTheme="minorHAnsi"/>
                <w:noProof/>
              </w:rPr>
            </w:pPr>
            <w:r>
              <w:rPr>
                <w:noProof/>
              </w:rPr>
              <w:t>Țintă</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2E291B22" w14:textId="6513D4C1" w:rsidR="00702291" w:rsidRDefault="00712B31">
            <w:pPr>
              <w:pStyle w:val="P68B1DB1-Normal32"/>
              <w:spacing w:after="120" w:line="240" w:lineRule="auto"/>
              <w:rPr>
                <w:noProof/>
              </w:rPr>
            </w:pPr>
            <w:r>
              <w:rPr>
                <w:noProof/>
              </w:rPr>
              <w:t xml:space="preserve">Structuri construite de îngrijire a copiilor </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A02B86C" w14:textId="77777777" w:rsidR="00702291" w:rsidRDefault="00702291">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5569F59A" w14:textId="77777777" w:rsidR="00702291" w:rsidRDefault="00712B31">
            <w:pPr>
              <w:pStyle w:val="P68B1DB1-Normal20"/>
              <w:spacing w:after="120" w:line="240" w:lineRule="auto"/>
              <w:jc w:val="center"/>
              <w:rPr>
                <w:rFonts w:eastAsiaTheme="minorHAnsi"/>
                <w:noProof/>
              </w:rPr>
            </w:pPr>
            <w:r>
              <w:rPr>
                <w:noProof/>
              </w:rPr>
              <w:t>Număr</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5D000436" w14:textId="44D5DFFB" w:rsidR="00702291" w:rsidRDefault="00712B31">
            <w:pPr>
              <w:pStyle w:val="P68B1DB1-Normal32"/>
              <w:spacing w:after="120" w:line="240"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4AE81B4" w14:textId="0C56B164" w:rsidR="00702291" w:rsidRDefault="00712B31">
            <w:pPr>
              <w:pStyle w:val="P68B1DB1-Normal27"/>
              <w:spacing w:after="120" w:line="240" w:lineRule="auto"/>
              <w:jc w:val="center"/>
              <w:rPr>
                <w:noProof/>
              </w:rPr>
            </w:pPr>
            <w:r>
              <w:rPr>
                <w:noProof/>
              </w:rPr>
              <w:t>110</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15B2BA6C" w14:textId="7646A5E0" w:rsidR="00702291" w:rsidRDefault="00F233DB">
            <w:pPr>
              <w:pStyle w:val="P68B1DB1-Normal20"/>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4A68785" w14:textId="1818F469" w:rsidR="00702291" w:rsidRDefault="00712B31">
            <w:pPr>
              <w:pStyle w:val="P68B1DB1-Normal20"/>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03A9BB55" w14:textId="11C9D767" w:rsidR="00702291" w:rsidRDefault="00712B31">
            <w:pPr>
              <w:pStyle w:val="P68B1DB1-Normal26"/>
              <w:spacing w:after="120" w:line="240" w:lineRule="auto"/>
              <w:jc w:val="both"/>
              <w:rPr>
                <w:rFonts w:ascii="Times New Roman" w:eastAsiaTheme="minorHAnsi" w:hAnsi="Times New Roman"/>
                <w:noProof/>
              </w:rPr>
            </w:pPr>
            <w:r>
              <w:rPr>
                <w:rFonts w:ascii="Times New Roman" w:hAnsi="Times New Roman"/>
                <w:noProof/>
              </w:rPr>
              <w:t>Lansarea cererii (cererilor) de propuneri/licitației (licitațiilor) pentru construirea a 110 de centre de îngrijire a copiilor. Condițiile licitației (licitațiilor)/cererii (cererilor) de candidaturi asigură faptul că cererea de energie primară a oricărei clădiri noi este cu cel puțin 20 % mai mică decât cerința privind clădirile al căror consum de energie este aproape egal cu zero, astfel cum se prevede în legislația națională.</w:t>
            </w:r>
            <w:r>
              <w:rPr>
                <w:rFonts w:ascii="Times New Roman" w:hAnsi="Times New Roman" w:cs="Times New Roman"/>
                <w:noProof/>
                <w:szCs w:val="18"/>
              </w:rPr>
              <w:t xml:space="preserve"> Construirea a 110 de centre de îngrijire a copiilor. </w:t>
            </w:r>
          </w:p>
        </w:tc>
      </w:tr>
      <w:tr w:rsidR="00702291" w14:paraId="5A6DF76B" w14:textId="77777777" w:rsidTr="00FA4EAF">
        <w:trPr>
          <w:trHeight w:val="54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vAlign w:val="center"/>
          </w:tcPr>
          <w:p w14:paraId="3BF5FACC" w14:textId="263D4217" w:rsidR="00702291" w:rsidRDefault="00712B31">
            <w:pPr>
              <w:pStyle w:val="P68B1DB1-Normal20"/>
              <w:spacing w:after="120" w:line="240" w:lineRule="auto"/>
              <w:rPr>
                <w:noProof/>
              </w:rPr>
            </w:pPr>
            <w:r>
              <w:rPr>
                <w:noProof/>
              </w:rPr>
              <w:t>6</w:t>
            </w:r>
          </w:p>
        </w:tc>
        <w:tc>
          <w:tcPr>
            <w:tcW w:w="1977" w:type="dxa"/>
            <w:tcBorders>
              <w:top w:val="single" w:sz="4" w:space="0" w:color="auto"/>
              <w:left w:val="nil"/>
              <w:bottom w:val="single" w:sz="4" w:space="0" w:color="auto"/>
              <w:right w:val="single" w:sz="4" w:space="0" w:color="auto"/>
            </w:tcBorders>
            <w:shd w:val="clear" w:color="auto" w:fill="C6EFCE"/>
            <w:vAlign w:val="center"/>
          </w:tcPr>
          <w:p w14:paraId="66A33DA6" w14:textId="3888C789" w:rsidR="00702291" w:rsidRDefault="00712B31">
            <w:pPr>
              <w:pStyle w:val="P68B1DB1-Normal20"/>
              <w:spacing w:after="120" w:line="240" w:lineRule="auto"/>
              <w:rPr>
                <w:noProof/>
              </w:rPr>
            </w:pPr>
            <w:r>
              <w:rPr>
                <w:noProof/>
              </w:rPr>
              <w:t>C1.I4 Modernizarea infrastructurii școlare</w:t>
            </w:r>
          </w:p>
        </w:tc>
        <w:tc>
          <w:tcPr>
            <w:tcW w:w="999" w:type="dxa"/>
            <w:tcBorders>
              <w:top w:val="single" w:sz="4" w:space="0" w:color="auto"/>
              <w:left w:val="nil"/>
              <w:bottom w:val="single" w:sz="4" w:space="0" w:color="auto"/>
              <w:right w:val="single" w:sz="4" w:space="0" w:color="auto"/>
            </w:tcBorders>
            <w:shd w:val="clear" w:color="auto" w:fill="C6EFCE"/>
            <w:vAlign w:val="center"/>
          </w:tcPr>
          <w:p w14:paraId="1F80E578" w14:textId="3868380D" w:rsidR="00702291" w:rsidRDefault="00712B31">
            <w:pPr>
              <w:pStyle w:val="P68B1DB1-Normal20"/>
              <w:spacing w:after="120" w:line="240" w:lineRule="auto"/>
              <w:rPr>
                <w:noProof/>
              </w:rPr>
            </w:pPr>
            <w:r>
              <w:rPr>
                <w:noProof/>
              </w:rPr>
              <w:t>Etapă</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2EEFF01B" w14:textId="23F34568" w:rsidR="00702291" w:rsidRDefault="00712B31">
            <w:pPr>
              <w:pStyle w:val="P68B1DB1-Normal32"/>
              <w:spacing w:after="120" w:line="240" w:lineRule="auto"/>
              <w:rPr>
                <w:noProof/>
              </w:rPr>
            </w:pPr>
            <w:r>
              <w:rPr>
                <w:noProof/>
              </w:rPr>
              <w:t>Construirea și renovarea unităților școlare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5DB0889" w14:textId="3E2DB3B5" w:rsidR="00702291" w:rsidRDefault="00712B31">
            <w:pPr>
              <w:pStyle w:val="P68B1DB1-Normal20"/>
              <w:spacing w:after="120" w:line="240" w:lineRule="auto"/>
              <w:rPr>
                <w:noProof/>
              </w:rPr>
            </w:pPr>
            <w:r>
              <w:rPr>
                <w:noProof/>
              </w:rPr>
              <w:t>Plata fondurilor</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7EE3499B" w14:textId="77777777" w:rsidR="00702291" w:rsidRDefault="00702291">
            <w:pPr>
              <w:spacing w:after="120" w:line="240" w:lineRule="auto"/>
              <w:jc w:val="center"/>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708BB757" w14:textId="77777777" w:rsidR="00702291" w:rsidRDefault="00702291">
            <w:pPr>
              <w:spacing w:after="120" w:line="240" w:lineRule="auto"/>
              <w:jc w:val="center"/>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3B058482" w14:textId="77777777" w:rsidR="00702291" w:rsidRDefault="00702291">
            <w:pPr>
              <w:spacing w:after="12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5DB94B76" w14:textId="0649492B" w:rsidR="00702291" w:rsidRDefault="00F233DB">
            <w:pPr>
              <w:pStyle w:val="P68B1DB1-Normal20"/>
              <w:spacing w:after="12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890DEB6" w14:textId="356E1F12" w:rsidR="00702291" w:rsidRDefault="00712B31">
            <w:pPr>
              <w:pStyle w:val="P68B1DB1-Normal20"/>
              <w:spacing w:after="120" w:line="240" w:lineRule="auto"/>
              <w:rPr>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58BCB4B9" w14:textId="0E143506" w:rsidR="00702291" w:rsidRDefault="00712B31">
            <w:pPr>
              <w:pStyle w:val="P68B1DB1-Normal32"/>
              <w:spacing w:after="120" w:line="240" w:lineRule="auto"/>
              <w:jc w:val="both"/>
              <w:rPr>
                <w:noProof/>
              </w:rPr>
            </w:pPr>
            <w:r>
              <w:rPr>
                <w:noProof/>
              </w:rPr>
              <w:t>Plata unor fonduri în valoare de 152 de milioane EUR pentru investiții în infrastructura școlară și în echipamente de predare.</w:t>
            </w:r>
          </w:p>
        </w:tc>
      </w:tr>
    </w:tbl>
    <w:p w14:paraId="213DDDE3" w14:textId="77777777" w:rsidR="00702291" w:rsidRDefault="00702291">
      <w:pPr>
        <w:spacing w:after="120" w:line="240" w:lineRule="auto"/>
        <w:rPr>
          <w:rFonts w:ascii="Times New Roman" w:hAnsi="Times New Roman" w:cs="Times New Roman"/>
          <w:noProof/>
          <w:sz w:val="24"/>
          <w:szCs w:val="24"/>
        </w:rPr>
      </w:pPr>
    </w:p>
    <w:p w14:paraId="5D761432" w14:textId="77777777" w:rsidR="00702291" w:rsidRDefault="00702291">
      <w:pPr>
        <w:spacing w:after="120" w:line="240" w:lineRule="auto"/>
        <w:rPr>
          <w:rFonts w:ascii="Times New Roman" w:hAnsi="Times New Roman" w:cs="Times New Roman"/>
          <w:noProof/>
          <w:sz w:val="24"/>
          <w:szCs w:val="24"/>
        </w:rPr>
        <w:sectPr w:rsidR="00702291" w:rsidSect="009030B8">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73AC84FE" w14:textId="596BD80A" w:rsidR="00702291" w:rsidRDefault="00702291">
      <w:pPr>
        <w:pStyle w:val="paragraph"/>
        <w:spacing w:before="0" w:beforeAutospacing="0" w:after="120" w:afterAutospacing="0"/>
        <w:ind w:left="840" w:hanging="840"/>
        <w:jc w:val="both"/>
        <w:textAlignment w:val="baseline"/>
        <w:rPr>
          <w:rStyle w:val="normaltextrun"/>
          <w:rFonts w:ascii="Times New Roman" w:hAnsi="Times New Roman" w:cs="Times New Roman"/>
          <w:noProof/>
          <w:sz w:val="24"/>
          <w:szCs w:val="24"/>
          <w:u w:val="single"/>
        </w:rPr>
      </w:pPr>
    </w:p>
    <w:p w14:paraId="5B30B099" w14:textId="77777777" w:rsidR="00702291" w:rsidRDefault="00712B31">
      <w:pPr>
        <w:pStyle w:val="P68B1DB1-Heading25"/>
        <w:keepLines w:val="0"/>
        <w:spacing w:before="0" w:after="120"/>
        <w:jc w:val="both"/>
        <w:rPr>
          <w:noProof/>
        </w:rPr>
      </w:pPr>
      <w:r>
        <w:rPr>
          <w:noProof/>
        </w:rPr>
        <w:t>B. COMPONENTA 2: FORȚĂ DE MUNCĂ ÎNALT CALIFICATĂ ȘI COMPETITIVĂ</w:t>
      </w:r>
    </w:p>
    <w:p w14:paraId="23B3662E" w14:textId="77777777" w:rsidR="00702291" w:rsidRDefault="00712B31">
      <w:pPr>
        <w:pStyle w:val="P68B1DB1-Normal6"/>
        <w:spacing w:after="120" w:line="240" w:lineRule="auto"/>
        <w:jc w:val="both"/>
        <w:rPr>
          <w:rFonts w:eastAsiaTheme="minorHAnsi"/>
          <w:noProof/>
        </w:rPr>
      </w:pPr>
      <w:r>
        <w:rPr>
          <w:noProof/>
        </w:rPr>
        <w:t xml:space="preserve">Această componentă a planului de redresare și reziliență al Ungariei contribuie la modernizarea sistemelor de învățământ profesional și superior. Aceasta abordează provocările tranziției verzi și digitale prin punerea în aplicare a unor soluții de renovare în vederea eficienței energetice și a unor echipamente digitale în clădirile din instituțiile de învățământ superior și profesional. Componenta abordează, de asemenea, provocările legate de dezvoltarea competențelor și de nivelurile de cercetare și inovare prin stimularea proiectelor de cercetare între întreprinderi și mediul academic. Măsurile din cadrul acestei componente sunt importante pentru redresarea economiei și pentru consolidarea rezilienței viitoare în situații de criză. </w:t>
      </w:r>
    </w:p>
    <w:p w14:paraId="3463CA74" w14:textId="58295543" w:rsidR="00702291" w:rsidRDefault="00712B31">
      <w:pPr>
        <w:pStyle w:val="P68B1DB1-Normal6"/>
        <w:spacing w:after="120" w:line="240" w:lineRule="auto"/>
        <w:jc w:val="both"/>
        <w:rPr>
          <w:rFonts w:eastAsiaTheme="minorHAnsi"/>
          <w:noProof/>
        </w:rPr>
      </w:pPr>
      <w:r>
        <w:rPr>
          <w:noProof/>
        </w:rPr>
        <w:t>Obiectivul central al acestei componente este de a consolida forța de muncă și instituțiile de formare conexe în contextul crizelor actuale și al posibilelor noi crize, precum și de a îmbunătăți mediul socioeconomic din Ungaria. În acest scop, componenta vizează (i) crearea unui sistem competitiv de învățământ superior; (II) să contribuie la creșterea disponibilității lucrătorilor calificați; și (iii)</w:t>
      </w:r>
      <w:r w:rsidR="00FA4EAF">
        <w:rPr>
          <w:noProof/>
        </w:rPr>
        <w:t> </w:t>
      </w:r>
      <w:r>
        <w:rPr>
          <w:noProof/>
        </w:rPr>
        <w:t xml:space="preserve">sprijinirea unui ecosistem pentru știință, inovare și formare. </w:t>
      </w:r>
    </w:p>
    <w:p w14:paraId="735A9283" w14:textId="77777777" w:rsidR="00702291" w:rsidRDefault="00712B31">
      <w:pPr>
        <w:pStyle w:val="P68B1DB1-Normal6"/>
        <w:spacing w:after="120" w:line="240" w:lineRule="auto"/>
        <w:jc w:val="both"/>
        <w:rPr>
          <w:rFonts w:eastAsiaTheme="minorHAnsi"/>
          <w:noProof/>
        </w:rPr>
      </w:pPr>
      <w:r>
        <w:rPr>
          <w:noProof/>
        </w:rPr>
        <w:t xml:space="preserve">Componenta sprijină abordarea recomandărilor specifice fiecărei țări privind promovarea investițiilor și a reformei în domeniul cercetării și inovării, precum și al competențelor verzi și digitale (Recomandarea specifică fiecărei țări nr. 5 din 2022); concentrarea investițiilor pe tranziția verde și pe cea digitală, precum și pe infrastructura digitală a școlilor (Recomandarea specifică fiecărei țări nr. 2 din 2020); și axarea politicii economice legate de investiții pe cercetare și inovare (Recomandarea specifică fiecărei țări nr. 3 din 2019). </w:t>
      </w:r>
    </w:p>
    <w:p w14:paraId="74B3ABA4" w14:textId="1D9998E7" w:rsidR="00702291" w:rsidRDefault="00712B31">
      <w:pPr>
        <w:pStyle w:val="P68B1DB1-Normal6"/>
        <w:spacing w:after="120" w:line="240" w:lineRule="auto"/>
        <w:jc w:val="both"/>
        <w:rPr>
          <w:rFonts w:eastAsiaTheme="minorHAnsi"/>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2BCC9CC1" w14:textId="77777777" w:rsidR="00702291" w:rsidRDefault="00712B31">
      <w:pPr>
        <w:pStyle w:val="P68B1DB1-Heading310"/>
        <w:spacing w:before="0" w:after="120"/>
        <w:rPr>
          <w:noProof/>
        </w:rPr>
      </w:pPr>
      <w:r>
        <w:rPr>
          <w:noProof/>
        </w:rPr>
        <w:t>B.1. Descrierea reformelor și a investițiilor pentru sprijinul financiar nerambursabil</w:t>
      </w:r>
    </w:p>
    <w:p w14:paraId="63A65A6C" w14:textId="65D7FCC1" w:rsidR="00702291" w:rsidRDefault="00712B31">
      <w:pPr>
        <w:pStyle w:val="P68B1DB1-Heading411"/>
        <w:spacing w:before="0" w:after="120" w:line="240" w:lineRule="auto"/>
        <w:rPr>
          <w:noProof/>
        </w:rPr>
      </w:pPr>
      <w:r>
        <w:rPr>
          <w:noProof/>
        </w:rPr>
        <w:t>C2.R1: Modernizarea cursurilor de învățământ superior</w:t>
      </w:r>
    </w:p>
    <w:p w14:paraId="3FFFD2DF" w14:textId="3199223D" w:rsidR="00702291" w:rsidRDefault="00712B31">
      <w:pPr>
        <w:pStyle w:val="P68B1DB1-Normal6"/>
        <w:spacing w:after="120" w:line="240" w:lineRule="auto"/>
        <w:jc w:val="both"/>
        <w:rPr>
          <w:rFonts w:eastAsiaTheme="minorHAnsi"/>
          <w:noProof/>
        </w:rPr>
      </w:pPr>
      <w:r>
        <w:rPr>
          <w:noProof/>
        </w:rPr>
        <w:t xml:space="preserve">Obiectivul acestei măsuri este de a moderniza învățământul superior prin includerea în programe a mai multor elemente orientate spre practică. </w:t>
      </w:r>
    </w:p>
    <w:p w14:paraId="6A4B38FB" w14:textId="0C78B3F7" w:rsidR="00702291" w:rsidRDefault="00712B31">
      <w:pPr>
        <w:pStyle w:val="P68B1DB1-Normal34"/>
        <w:spacing w:after="120" w:line="240" w:lineRule="auto"/>
        <w:jc w:val="both"/>
        <w:rPr>
          <w:noProof/>
        </w:rPr>
      </w:pPr>
      <w:r>
        <w:rPr>
          <w:noProof/>
        </w:rPr>
        <w:t xml:space="preserve">Această măsură constă în revizuirea programelor de învățământ superior pentru a introduce elemente orientate spre practică și în modificarea anumitor reglementări conexe. </w:t>
      </w:r>
    </w:p>
    <w:p w14:paraId="62D5DD08" w14:textId="0D9CC8B3" w:rsidR="00702291" w:rsidRDefault="00712B31">
      <w:pPr>
        <w:pStyle w:val="P68B1DB1-Heading411"/>
        <w:spacing w:before="0" w:after="120" w:line="240" w:lineRule="auto"/>
        <w:rPr>
          <w:noProof/>
        </w:rPr>
      </w:pPr>
      <w:r>
        <w:rPr>
          <w:noProof/>
        </w:rPr>
        <w:t xml:space="preserve">C2.I1: Inovarea instituțională în învățământul superior </w:t>
      </w:r>
    </w:p>
    <w:p w14:paraId="418D72AB" w14:textId="5AC34198" w:rsidR="00702291" w:rsidRDefault="00712B31">
      <w:pPr>
        <w:pStyle w:val="P68B1DB1-Normal6"/>
        <w:spacing w:after="120" w:line="240" w:lineRule="auto"/>
        <w:jc w:val="both"/>
        <w:rPr>
          <w:rFonts w:eastAsiaTheme="minorHAnsi"/>
          <w:noProof/>
        </w:rPr>
      </w:pPr>
      <w:r>
        <w:rPr>
          <w:noProof/>
        </w:rPr>
        <w:t xml:space="preserve">Obiectivul acestei măsuri este de a dezvolta conținut educațional digital. </w:t>
      </w:r>
    </w:p>
    <w:p w14:paraId="226B0E9A" w14:textId="4C20841E" w:rsidR="00702291" w:rsidRDefault="00712B31">
      <w:pPr>
        <w:pStyle w:val="P68B1DB1-Normal34"/>
        <w:spacing w:after="120" w:line="240" w:lineRule="auto"/>
        <w:jc w:val="both"/>
        <w:rPr>
          <w:b/>
          <w:noProof/>
        </w:rPr>
      </w:pPr>
      <w:r>
        <w:rPr>
          <w:noProof/>
        </w:rPr>
        <w:t xml:space="preserve">Această măsură constă în dezvoltarea de conținut educațional digital. </w:t>
      </w:r>
    </w:p>
    <w:p w14:paraId="001BE511" w14:textId="48678A7A" w:rsidR="00702291" w:rsidRDefault="00712B31">
      <w:pPr>
        <w:pStyle w:val="P68B1DB1-Heading411"/>
        <w:spacing w:before="0" w:after="120" w:line="240" w:lineRule="auto"/>
        <w:rPr>
          <w:noProof/>
        </w:rPr>
      </w:pPr>
      <w:r>
        <w:rPr>
          <w:noProof/>
        </w:rPr>
        <w:t xml:space="preserve">C2.I2: Digitalizarea și modernizarea infrastructurii învățământului superior </w:t>
      </w:r>
    </w:p>
    <w:p w14:paraId="492F7CB7" w14:textId="18B4F3D5" w:rsidR="00702291" w:rsidRDefault="00712B31">
      <w:pPr>
        <w:pStyle w:val="P68B1DB1-Normal6"/>
        <w:spacing w:after="120" w:line="240" w:lineRule="auto"/>
        <w:jc w:val="both"/>
        <w:rPr>
          <w:rFonts w:eastAsiaTheme="minorHAnsi"/>
          <w:noProof/>
        </w:rPr>
      </w:pPr>
      <w:r>
        <w:rPr>
          <w:noProof/>
        </w:rPr>
        <w:t xml:space="preserve">Obiectivul acestei măsuri este de a spori atractivitatea instituțiilor de învățământ superior și de a sprijini tranziția verde și digitală prin modernizarea infrastructurii și digitalizare. </w:t>
      </w:r>
    </w:p>
    <w:p w14:paraId="3DD05385" w14:textId="26E8F0CF" w:rsidR="00702291" w:rsidRDefault="00712B31">
      <w:pPr>
        <w:pStyle w:val="P68B1DB1-Normal12"/>
        <w:spacing w:after="120" w:line="240" w:lineRule="auto"/>
        <w:jc w:val="both"/>
        <w:rPr>
          <w:rFonts w:ascii="Times New Roman" w:hAnsi="Times New Roman"/>
          <w:noProof/>
        </w:rPr>
      </w:pPr>
      <w:r>
        <w:rPr>
          <w:rFonts w:ascii="Times New Roman" w:hAnsi="Times New Roman" w:cs="Times New Roman"/>
          <w:noProof/>
          <w:szCs w:val="24"/>
        </w:rPr>
        <w:t>Această</w:t>
      </w:r>
      <w:r>
        <w:rPr>
          <w:rFonts w:ascii="Times New Roman" w:hAnsi="Times New Roman"/>
          <w:noProof/>
        </w:rPr>
        <w:t xml:space="preserve"> măsură </w:t>
      </w:r>
      <w:r>
        <w:rPr>
          <w:rFonts w:ascii="Times New Roman" w:hAnsi="Times New Roman" w:cs="Times New Roman"/>
          <w:noProof/>
          <w:szCs w:val="24"/>
        </w:rPr>
        <w:t>constă</w:t>
      </w:r>
      <w:r>
        <w:rPr>
          <w:rFonts w:ascii="Times New Roman" w:hAnsi="Times New Roman"/>
          <w:noProof/>
        </w:rPr>
        <w:t xml:space="preserve"> în:</w:t>
      </w:r>
    </w:p>
    <w:p w14:paraId="7C20F1C6" w14:textId="60886BC0" w:rsidR="00702291" w:rsidRDefault="00712B31">
      <w:pPr>
        <w:pStyle w:val="P68B1DB1-ListParagraph7"/>
        <w:numPr>
          <w:ilvl w:val="0"/>
          <w:numId w:val="157"/>
        </w:numPr>
        <w:spacing w:after="120" w:line="240" w:lineRule="auto"/>
        <w:contextualSpacing w:val="0"/>
        <w:jc w:val="both"/>
        <w:rPr>
          <w:rFonts w:eastAsiaTheme="minorHAnsi"/>
          <w:noProof/>
        </w:rPr>
      </w:pPr>
      <w:r>
        <w:rPr>
          <w:noProof/>
        </w:rPr>
        <w:t>renovarea instituțiilor de învățământ superior în vederea creșterii eficienței energetice, realizând economii de energie primară de cel puțin 30 %.</w:t>
      </w:r>
    </w:p>
    <w:p w14:paraId="16E83EAE" w14:textId="29FB6F3F" w:rsidR="00702291" w:rsidRDefault="00712B31">
      <w:pPr>
        <w:pStyle w:val="P68B1DB1-ListParagraph7"/>
        <w:numPr>
          <w:ilvl w:val="0"/>
          <w:numId w:val="157"/>
        </w:numPr>
        <w:spacing w:after="120" w:line="240" w:lineRule="auto"/>
        <w:contextualSpacing w:val="0"/>
        <w:jc w:val="both"/>
        <w:rPr>
          <w:rFonts w:eastAsiaTheme="minorHAnsi"/>
          <w:noProof/>
        </w:rPr>
      </w:pPr>
      <w:r>
        <w:rPr>
          <w:noProof/>
        </w:rPr>
        <w:t xml:space="preserve">construirea de clădiri noi pentru instituțiile de învățământ superior, care trebuie să aibă o cerere de energie primară cu cel puțin 20 % sub cerința privind clădirile al căror consum de energie este aproape egal cu zero. </w:t>
      </w:r>
    </w:p>
    <w:p w14:paraId="5E1646DD" w14:textId="76A796D8" w:rsidR="00702291" w:rsidRDefault="00712B31">
      <w:pPr>
        <w:pStyle w:val="P68B1DB1-ListParagraph35"/>
        <w:numPr>
          <w:ilvl w:val="0"/>
          <w:numId w:val="157"/>
        </w:numPr>
        <w:spacing w:after="120" w:line="240" w:lineRule="auto"/>
        <w:contextualSpacing w:val="0"/>
        <w:jc w:val="both"/>
        <w:rPr>
          <w:noProof/>
        </w:rPr>
      </w:pPr>
      <w:r>
        <w:rPr>
          <w:noProof/>
        </w:rPr>
        <w:t xml:space="preserve">achiziționarea și furnizarea de echipamente digitale în instituțiile de învățământ superior. </w:t>
      </w:r>
    </w:p>
    <w:p w14:paraId="17A982AD" w14:textId="2F1B1CCA" w:rsidR="00702291" w:rsidRDefault="00712B31">
      <w:pPr>
        <w:pStyle w:val="P68B1DB1-Heading411"/>
        <w:spacing w:before="0" w:after="120" w:line="240" w:lineRule="auto"/>
        <w:rPr>
          <w:noProof/>
        </w:rPr>
      </w:pPr>
      <w:r>
        <w:rPr>
          <w:noProof/>
        </w:rPr>
        <w:t xml:space="preserve">C2.I3: Infrastructura de educație și formare profesională pentru secolul 21 </w:t>
      </w:r>
    </w:p>
    <w:p w14:paraId="5D06DA06" w14:textId="3C823657"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investiției este de a îmbunătăți digitalizarea </w:t>
      </w:r>
      <w:r>
        <w:rPr>
          <w:rFonts w:ascii="Times New Roman" w:hAnsi="Times New Roman" w:cs="Times New Roman"/>
          <w:noProof/>
          <w:szCs w:val="24"/>
        </w:rPr>
        <w:t xml:space="preserve">și eficiența energetică </w:t>
      </w:r>
      <w:r>
        <w:rPr>
          <w:rFonts w:ascii="Times New Roman" w:hAnsi="Times New Roman"/>
          <w:noProof/>
        </w:rPr>
        <w:t xml:space="preserve">a anumitor </w:t>
      </w:r>
      <w:r>
        <w:rPr>
          <w:rFonts w:ascii="Times New Roman" w:hAnsi="Times New Roman" w:cs="Times New Roman"/>
          <w:noProof/>
          <w:szCs w:val="24"/>
        </w:rPr>
        <w:t xml:space="preserve">centre </w:t>
      </w:r>
      <w:r>
        <w:rPr>
          <w:rFonts w:ascii="Times New Roman" w:hAnsi="Times New Roman"/>
          <w:noProof/>
        </w:rPr>
        <w:t xml:space="preserve">de formare profesională. </w:t>
      </w:r>
    </w:p>
    <w:p w14:paraId="4B18167C" w14:textId="650CFB4B" w:rsidR="00702291" w:rsidRDefault="00712B31">
      <w:pPr>
        <w:pStyle w:val="P68B1DB1-Normal34"/>
        <w:spacing w:after="120" w:line="240" w:lineRule="auto"/>
        <w:jc w:val="both"/>
        <w:rPr>
          <w:noProof/>
        </w:rPr>
      </w:pPr>
      <w:r>
        <w:rPr>
          <w:noProof/>
        </w:rPr>
        <w:t xml:space="preserve">Această măsură constă în: (I) renovarea în vederea creșterii eficienței energetice și/sau construirea de clădiri noi și (ii) achiziționarea și livrarea de echipamente TIC către anumite centre de educație și formare profesională. </w:t>
      </w:r>
    </w:p>
    <w:p w14:paraId="762373DA" w14:textId="3CFE334F" w:rsidR="00702291" w:rsidRDefault="00712B31">
      <w:pPr>
        <w:pStyle w:val="P68B1DB1-Heading411"/>
        <w:spacing w:before="0" w:after="120" w:line="240" w:lineRule="auto"/>
        <w:rPr>
          <w:noProof/>
        </w:rPr>
      </w:pPr>
      <w:r>
        <w:rPr>
          <w:noProof/>
        </w:rPr>
        <w:t xml:space="preserve">C2.I4: Dezvoltarea centrului central de examinare </w:t>
      </w:r>
    </w:p>
    <w:p w14:paraId="4920661C" w14:textId="0C2928DB"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acestei măsuri este de a </w:t>
      </w:r>
      <w:r>
        <w:rPr>
          <w:rFonts w:ascii="Times New Roman" w:hAnsi="Times New Roman" w:cs="Times New Roman"/>
          <w:noProof/>
          <w:szCs w:val="24"/>
        </w:rPr>
        <w:t>dezvolta</w:t>
      </w:r>
      <w:r>
        <w:rPr>
          <w:rFonts w:ascii="Times New Roman" w:hAnsi="Times New Roman"/>
          <w:noProof/>
        </w:rPr>
        <w:t xml:space="preserve"> un centru central de examinare în Budapesta, care să promoveze examene profesionale de </w:t>
      </w:r>
      <w:r>
        <w:rPr>
          <w:rFonts w:ascii="Times New Roman" w:hAnsi="Times New Roman" w:cs="Times New Roman"/>
          <w:noProof/>
          <w:szCs w:val="24"/>
        </w:rPr>
        <w:t>înaltă calitate.</w:t>
      </w:r>
      <w:r>
        <w:rPr>
          <w:rFonts w:ascii="Times New Roman" w:hAnsi="Times New Roman"/>
          <w:noProof/>
        </w:rPr>
        <w:t xml:space="preserve"> </w:t>
      </w:r>
    </w:p>
    <w:p w14:paraId="35E0D567" w14:textId="0EA6EF76" w:rsidR="00702291" w:rsidRDefault="00712B31">
      <w:pPr>
        <w:pStyle w:val="P68B1DB1-Normal12"/>
        <w:spacing w:after="120" w:line="240" w:lineRule="auto"/>
        <w:jc w:val="both"/>
        <w:rPr>
          <w:rFonts w:ascii="Times New Roman" w:hAnsi="Times New Roman"/>
          <w:noProof/>
        </w:rPr>
      </w:pPr>
      <w:r>
        <w:rPr>
          <w:rFonts w:ascii="Times New Roman" w:hAnsi="Times New Roman"/>
          <w:noProof/>
        </w:rPr>
        <w:t xml:space="preserve">Această investiție </w:t>
      </w:r>
      <w:r>
        <w:rPr>
          <w:rFonts w:ascii="Times New Roman" w:hAnsi="Times New Roman" w:cs="Times New Roman"/>
          <w:noProof/>
          <w:szCs w:val="24"/>
        </w:rPr>
        <w:t>constă în renovarea, achiziționarea și livrarea de echipamente pentru</w:t>
      </w:r>
      <w:r>
        <w:rPr>
          <w:rFonts w:ascii="Times New Roman" w:hAnsi="Times New Roman"/>
          <w:noProof/>
        </w:rPr>
        <w:t xml:space="preserve"> centrul central de examinare</w:t>
      </w:r>
      <w:r>
        <w:rPr>
          <w:rFonts w:ascii="Times New Roman" w:hAnsi="Times New Roman" w:cs="Times New Roman"/>
          <w:noProof/>
          <w:szCs w:val="24"/>
        </w:rPr>
        <w:t xml:space="preserve">. </w:t>
      </w:r>
    </w:p>
    <w:p w14:paraId="0D6793EF" w14:textId="6296CDD1" w:rsidR="00702291" w:rsidRDefault="00712B31">
      <w:pPr>
        <w:pStyle w:val="P68B1DB1-Heading411"/>
        <w:spacing w:before="0" w:after="120" w:line="240" w:lineRule="auto"/>
        <w:rPr>
          <w:noProof/>
        </w:rPr>
      </w:pPr>
      <w:r>
        <w:rPr>
          <w:noProof/>
        </w:rPr>
        <w:t>C2.I5: Sprijin pentru cercetare și dezvoltare</w:t>
      </w:r>
    </w:p>
    <w:p w14:paraId="4AA0AE84" w14:textId="14856023" w:rsidR="00702291" w:rsidRDefault="00712B31">
      <w:pPr>
        <w:pStyle w:val="P68B1DB1-Normal36"/>
        <w:spacing w:after="120" w:line="240" w:lineRule="auto"/>
        <w:jc w:val="both"/>
        <w:rPr>
          <w:noProof/>
        </w:rPr>
      </w:pPr>
      <w:r>
        <w:rPr>
          <w:noProof/>
        </w:rPr>
        <w:t>Obiectivul investiției este de a consolida ecosistemul de inovare din țară prin sprijinirea activităților de cercetare și dezvoltare în domeniul societății sigure și al mediului; sănătate; industria și digitalizarea.</w:t>
      </w:r>
    </w:p>
    <w:p w14:paraId="59A2E9A6" w14:textId="0F0B2667" w:rsidR="00702291" w:rsidRDefault="00712B31">
      <w:pPr>
        <w:pStyle w:val="P68B1DB1-Normal6"/>
        <w:spacing w:after="120" w:line="240" w:lineRule="auto"/>
        <w:jc w:val="both"/>
        <w:rPr>
          <w:rFonts w:eastAsiaTheme="minorHAnsi"/>
          <w:noProof/>
        </w:rPr>
      </w:pPr>
      <w:r>
        <w:rPr>
          <w:noProof/>
        </w:rPr>
        <w:t xml:space="preserve">Măsura constă în furnizarea de sprijin financiar entităților de cercetare. </w:t>
      </w:r>
    </w:p>
    <w:p w14:paraId="59EA7D7D" w14:textId="7E109344" w:rsidR="00702291" w:rsidRDefault="00712B31">
      <w:pPr>
        <w:pStyle w:val="P68B1DB1-Normal34"/>
        <w:spacing w:after="120" w:line="240" w:lineRule="auto"/>
        <w:jc w:val="both"/>
        <w:rPr>
          <w:noProof/>
        </w:rPr>
      </w:pPr>
      <w:r>
        <w:rPr>
          <w:noProof/>
        </w:rPr>
        <w:t xml:space="preserve"> </w:t>
      </w:r>
    </w:p>
    <w:p w14:paraId="114FE172" w14:textId="77777777" w:rsidR="00702291" w:rsidRDefault="00702291">
      <w:pPr>
        <w:spacing w:after="120" w:line="240" w:lineRule="auto"/>
        <w:jc w:val="both"/>
        <w:rPr>
          <w:rFonts w:ascii="Times New Roman" w:hAnsi="Times New Roman" w:cs="Times New Roman"/>
          <w:noProof/>
          <w:sz w:val="24"/>
          <w:szCs w:val="24"/>
        </w:rPr>
        <w:sectPr w:rsidR="00702291" w:rsidSect="009030B8">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40889759" w14:textId="77777777" w:rsidR="00702291" w:rsidRDefault="00712B31">
      <w:pPr>
        <w:pStyle w:val="P68B1DB1-Heading310"/>
        <w:spacing w:before="0" w:after="120"/>
        <w:rPr>
          <w:noProof/>
        </w:rPr>
      </w:pPr>
      <w:r>
        <w:rPr>
          <w:noProof/>
        </w:rPr>
        <w:t xml:space="preserve">B.2. </w:t>
      </w:r>
      <w:r>
        <w:rPr>
          <w:noProof/>
        </w:rPr>
        <w:tab/>
        <w:t>Jaloane, ținte, indicatori și calendarul de monitorizare și implementare aplicabile sprijinului financiar nerambursabil</w:t>
      </w:r>
    </w:p>
    <w:tbl>
      <w:tblPr>
        <w:tblW w:w="16191" w:type="dxa"/>
        <w:tblInd w:w="-743" w:type="dxa"/>
        <w:tblLook w:val="04A0" w:firstRow="1" w:lastRow="0" w:firstColumn="1" w:lastColumn="0" w:noHBand="0" w:noVBand="1"/>
      </w:tblPr>
      <w:tblGrid>
        <w:gridCol w:w="1018"/>
        <w:gridCol w:w="1597"/>
        <w:gridCol w:w="1376"/>
        <w:gridCol w:w="1861"/>
        <w:gridCol w:w="1807"/>
        <w:gridCol w:w="1449"/>
        <w:gridCol w:w="1094"/>
        <w:gridCol w:w="866"/>
        <w:gridCol w:w="1006"/>
        <w:gridCol w:w="752"/>
        <w:gridCol w:w="3365"/>
      </w:tblGrid>
      <w:tr w:rsidR="00702291" w14:paraId="4602760E" w14:textId="77777777">
        <w:trPr>
          <w:trHeight w:val="313"/>
          <w:tblHead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230F5E" w14:textId="77777777" w:rsidR="00702291" w:rsidRDefault="00712B31">
            <w:pPr>
              <w:pStyle w:val="P68B1DB1-Normal37"/>
              <w:spacing w:after="120" w:line="240" w:lineRule="auto"/>
              <w:jc w:val="center"/>
              <w:rPr>
                <w:noProof/>
              </w:rPr>
            </w:pPr>
            <w:r>
              <w:rPr>
                <w:noProof/>
              </w:rPr>
              <w:t>Număr secvențial</w:t>
            </w:r>
          </w:p>
        </w:tc>
        <w:tc>
          <w:tcPr>
            <w:tcW w:w="16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11616B" w14:textId="77777777" w:rsidR="00702291" w:rsidRDefault="00712B31">
            <w:pPr>
              <w:pStyle w:val="P68B1DB1-Normal37"/>
              <w:spacing w:after="120" w:line="240" w:lineRule="auto"/>
              <w:jc w:val="center"/>
              <w:rPr>
                <w:rFonts w:eastAsiaTheme="minorHAnsi"/>
                <w:noProof/>
              </w:rPr>
            </w:pPr>
            <w:r>
              <w:rPr>
                <w:noProof/>
              </w:rPr>
              <w:t>Măsură conexă (reformă sau investiții)</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D2F84C" w14:textId="4B1BE8C5" w:rsidR="00702291" w:rsidRDefault="00712B31">
            <w:pPr>
              <w:pStyle w:val="P68B1DB1-Normal37"/>
              <w:spacing w:after="120" w:line="240" w:lineRule="auto"/>
              <w:jc w:val="center"/>
              <w:rPr>
                <w:rFonts w:eastAsiaTheme="minorHAnsi"/>
                <w:noProof/>
              </w:rPr>
            </w:pPr>
            <w:r>
              <w:rPr>
                <w:noProof/>
              </w:rPr>
              <w:t>Etapă/Obiectiv</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8C5ED1" w14:textId="77777777" w:rsidR="00702291" w:rsidRDefault="00712B31">
            <w:pPr>
              <w:pStyle w:val="P68B1DB1-Normal37"/>
              <w:spacing w:after="120" w:line="240" w:lineRule="auto"/>
              <w:jc w:val="center"/>
              <w:rPr>
                <w:rFonts w:eastAsiaTheme="minorHAnsi"/>
                <w:noProof/>
              </w:rPr>
            </w:pPr>
            <w:r>
              <w:rPr>
                <w:noProof/>
              </w:rPr>
              <w:t>Nume</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1E554A" w14:textId="63316129" w:rsidR="00702291" w:rsidRDefault="00712B31">
            <w:pPr>
              <w:pStyle w:val="P68B1DB1-Normal32"/>
              <w:spacing w:after="120" w:line="240" w:lineRule="auto"/>
              <w:jc w:val="center"/>
              <w:rPr>
                <w:rFonts w:eastAsiaTheme="minorHAnsi"/>
                <w:b/>
                <w:noProof/>
              </w:rPr>
            </w:pPr>
            <w:r>
              <w:rPr>
                <w:b/>
                <w:noProof/>
              </w:rPr>
              <w:t>Indicatori calitativi</w:t>
            </w:r>
            <w:r>
              <w:rPr>
                <w:noProof/>
              </w:rPr>
              <w:br/>
            </w:r>
            <w:r>
              <w:rPr>
                <w:b/>
                <w:noProof/>
              </w:rPr>
              <w:t>(pentru jaloane)</w:t>
            </w:r>
          </w:p>
        </w:tc>
        <w:tc>
          <w:tcPr>
            <w:tcW w:w="337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EBAB7CC" w14:textId="7C5E3C57" w:rsidR="00702291" w:rsidRDefault="00712B31">
            <w:pPr>
              <w:pStyle w:val="P68B1DB1-Normal32"/>
              <w:spacing w:after="120" w:line="240" w:lineRule="auto"/>
              <w:jc w:val="center"/>
              <w:rPr>
                <w:rFonts w:eastAsiaTheme="minorHAnsi"/>
                <w:b/>
                <w:noProof/>
              </w:rPr>
            </w:pPr>
            <w:r>
              <w:rPr>
                <w:b/>
                <w:noProof/>
              </w:rPr>
              <w:t>Indicatori cantitativi</w:t>
            </w:r>
            <w:r>
              <w:rPr>
                <w:noProof/>
              </w:rPr>
              <w:br/>
            </w:r>
            <w:r>
              <w:rPr>
                <w:b/>
                <w:noProof/>
              </w:rPr>
              <w:t>(pentru obiective)</w:t>
            </w:r>
          </w:p>
        </w:tc>
        <w:tc>
          <w:tcPr>
            <w:tcW w:w="162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C29E4A0" w14:textId="4AF5D254" w:rsidR="00702291" w:rsidRDefault="00712B31">
            <w:pPr>
              <w:pStyle w:val="P68B1DB1-Normal32"/>
              <w:spacing w:after="120" w:line="240" w:lineRule="auto"/>
              <w:jc w:val="center"/>
              <w:rPr>
                <w:rFonts w:eastAsiaTheme="minorHAnsi"/>
                <w:b/>
                <w:noProof/>
              </w:rPr>
            </w:pPr>
            <w:r>
              <w:rPr>
                <w:b/>
                <w:noProof/>
              </w:rPr>
              <w:t>Calendar orientativ pentru finalizare</w:t>
            </w:r>
            <w:r>
              <w:rPr>
                <w:noProof/>
              </w:rPr>
              <w:br/>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E34ADF4" w14:textId="77777777" w:rsidR="00702291" w:rsidRDefault="00712B31">
            <w:pPr>
              <w:pStyle w:val="P68B1DB1-Normal37"/>
              <w:spacing w:after="120" w:line="240" w:lineRule="auto"/>
              <w:jc w:val="center"/>
              <w:rPr>
                <w:rFonts w:eastAsiaTheme="minorHAnsi"/>
                <w:noProof/>
              </w:rPr>
            </w:pPr>
            <w:r>
              <w:rPr>
                <w:noProof/>
              </w:rPr>
              <w:t>Descrierea fiecărui jalon și a fiecărei ținte</w:t>
            </w:r>
          </w:p>
        </w:tc>
      </w:tr>
      <w:tr w:rsidR="00702291" w14:paraId="34372DDD" w14:textId="77777777">
        <w:trPr>
          <w:trHeight w:val="533"/>
          <w:tblHead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6777E035" w14:textId="77777777" w:rsidR="00702291" w:rsidRDefault="00702291">
            <w:pPr>
              <w:spacing w:after="120" w:line="240" w:lineRule="auto"/>
              <w:rPr>
                <w:rFonts w:ascii="Times New Roman" w:hAnsi="Times New Roman" w:cs="Times New Roman"/>
                <w:b/>
                <w:noProof/>
                <w:sz w:val="18"/>
                <w:szCs w:val="18"/>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7CE14B62" w14:textId="77777777" w:rsidR="00702291" w:rsidRDefault="00702291">
            <w:pPr>
              <w:spacing w:after="120" w:line="240" w:lineRule="auto"/>
              <w:rPr>
                <w:rFonts w:ascii="Times New Roman" w:hAnsi="Times New Roman" w:cs="Times New Roman"/>
                <w:b/>
                <w:noProof/>
                <w:sz w:val="18"/>
                <w:szCs w:val="18"/>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6A15F1A6" w14:textId="77777777" w:rsidR="00702291" w:rsidRDefault="00702291">
            <w:pPr>
              <w:spacing w:after="120" w:line="240" w:lineRule="auto"/>
              <w:rPr>
                <w:rFonts w:ascii="Times New Roman" w:hAnsi="Times New Roman" w:cs="Times New Roman"/>
                <w:b/>
                <w:noProof/>
                <w:sz w:val="18"/>
                <w:szCs w:val="18"/>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14:paraId="66E461AB" w14:textId="77777777" w:rsidR="00702291" w:rsidRDefault="00702291">
            <w:pPr>
              <w:spacing w:after="120" w:line="240" w:lineRule="auto"/>
              <w:rPr>
                <w:rFonts w:ascii="Times New Roman" w:hAnsi="Times New Roman" w:cs="Times New Roman"/>
                <w:b/>
                <w:noProof/>
                <w:sz w:val="18"/>
                <w:szCs w:val="18"/>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283BA55" w14:textId="77777777" w:rsidR="00702291" w:rsidRDefault="00702291">
            <w:pPr>
              <w:spacing w:after="120" w:line="240" w:lineRule="auto"/>
              <w:rPr>
                <w:rFonts w:ascii="Times New Roman" w:hAnsi="Times New Roman" w:cs="Times New Roman"/>
                <w:b/>
                <w:noProof/>
                <w:sz w:val="18"/>
                <w:szCs w:val="18"/>
              </w:rPr>
            </w:pPr>
          </w:p>
        </w:tc>
        <w:tc>
          <w:tcPr>
            <w:tcW w:w="154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2902737" w14:textId="77777777" w:rsidR="00702291" w:rsidRDefault="00712B31">
            <w:pPr>
              <w:pStyle w:val="P68B1DB1-Normal37"/>
              <w:spacing w:after="120" w:line="240" w:lineRule="auto"/>
              <w:jc w:val="center"/>
              <w:rPr>
                <w:rFonts w:eastAsiaTheme="minorHAnsi"/>
                <w:noProof/>
              </w:rPr>
            </w:pPr>
            <w:r>
              <w:rPr>
                <w:noProof/>
              </w:rPr>
              <w:t>Unitatea de măsură</w:t>
            </w:r>
          </w:p>
        </w:tc>
        <w:tc>
          <w:tcPr>
            <w:tcW w:w="11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3D6F1B" w14:textId="77777777" w:rsidR="00702291" w:rsidRDefault="00712B31">
            <w:pPr>
              <w:pStyle w:val="P68B1DB1-Normal37"/>
              <w:spacing w:after="120" w:line="240" w:lineRule="auto"/>
              <w:jc w:val="center"/>
              <w:rPr>
                <w:rFonts w:eastAsiaTheme="minorHAnsi"/>
                <w:noProof/>
              </w:rPr>
            </w:pPr>
            <w:r>
              <w:rPr>
                <w:noProof/>
              </w:rPr>
              <w:t xml:space="preserve">Situația de referință </w:t>
            </w:r>
          </w:p>
        </w:tc>
        <w:tc>
          <w:tcPr>
            <w:tcW w:w="7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DC17AF" w14:textId="77777777" w:rsidR="00702291" w:rsidRDefault="00712B31">
            <w:pPr>
              <w:pStyle w:val="P68B1DB1-Normal37"/>
              <w:spacing w:after="120" w:line="240" w:lineRule="auto"/>
              <w:jc w:val="center"/>
              <w:rPr>
                <w:rFonts w:eastAsiaTheme="minorHAnsi"/>
                <w:noProof/>
              </w:rPr>
            </w:pPr>
            <w:r>
              <w:rPr>
                <w:noProof/>
              </w:rPr>
              <w:t xml:space="preserve">Obiectiv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08542E2" w14:textId="77777777" w:rsidR="00702291" w:rsidRDefault="00712B31">
            <w:pPr>
              <w:pStyle w:val="P68B1DB1-Normal37"/>
              <w:spacing w:after="120" w:line="240" w:lineRule="auto"/>
              <w:jc w:val="center"/>
              <w:rPr>
                <w:rFonts w:eastAsiaTheme="minorHAnsi"/>
                <w:noProof/>
              </w:rPr>
            </w:pPr>
            <w:r>
              <w:rPr>
                <w:noProof/>
              </w:rPr>
              <w:t>Trimestru</w:t>
            </w:r>
          </w:p>
        </w:tc>
        <w:tc>
          <w:tcPr>
            <w:tcW w:w="7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3639552" w14:textId="77777777" w:rsidR="00702291" w:rsidRDefault="00712B31">
            <w:pPr>
              <w:pStyle w:val="P68B1DB1-Normal37"/>
              <w:spacing w:after="120" w:line="240" w:lineRule="auto"/>
              <w:jc w:val="center"/>
              <w:rPr>
                <w:rFonts w:eastAsiaTheme="minorHAnsi"/>
                <w:noProof/>
              </w:rPr>
            </w:pPr>
            <w:r>
              <w:rPr>
                <w:noProof/>
              </w:rPr>
              <w:t>Anul</w:t>
            </w:r>
          </w:p>
        </w:tc>
        <w:tc>
          <w:tcPr>
            <w:tcW w:w="3687" w:type="dxa"/>
            <w:vMerge/>
            <w:tcBorders>
              <w:top w:val="single" w:sz="4" w:space="0" w:color="auto"/>
              <w:bottom w:val="single" w:sz="4" w:space="0" w:color="auto"/>
              <w:right w:val="single" w:sz="4" w:space="0" w:color="auto"/>
            </w:tcBorders>
            <w:vAlign w:val="center"/>
            <w:hideMark/>
          </w:tcPr>
          <w:p w14:paraId="0E642DA1" w14:textId="77777777" w:rsidR="00702291" w:rsidRDefault="00702291">
            <w:pPr>
              <w:spacing w:after="120" w:line="240" w:lineRule="auto"/>
              <w:rPr>
                <w:rFonts w:ascii="Times New Roman" w:hAnsi="Times New Roman" w:cs="Times New Roman"/>
                <w:b/>
                <w:noProof/>
                <w:sz w:val="18"/>
                <w:szCs w:val="18"/>
              </w:rPr>
            </w:pPr>
          </w:p>
        </w:tc>
      </w:tr>
      <w:tr w:rsidR="00702291" w14:paraId="06D8BEE2" w14:textId="77777777">
        <w:trPr>
          <w:trHeight w:val="830"/>
        </w:trPr>
        <w:tc>
          <w:tcPr>
            <w:tcW w:w="1027" w:type="dxa"/>
            <w:tcBorders>
              <w:top w:val="single" w:sz="4" w:space="0" w:color="auto"/>
              <w:left w:val="single" w:sz="4" w:space="0" w:color="auto"/>
              <w:bottom w:val="single" w:sz="4" w:space="0" w:color="auto"/>
              <w:right w:val="single" w:sz="4" w:space="0" w:color="auto"/>
            </w:tcBorders>
            <w:shd w:val="clear" w:color="auto" w:fill="C6EFCE"/>
            <w:vAlign w:val="center"/>
          </w:tcPr>
          <w:p w14:paraId="43E74FDA" w14:textId="372A3210" w:rsidR="00702291" w:rsidRDefault="00712B31">
            <w:pPr>
              <w:pStyle w:val="P68B1DB1-Normal32"/>
              <w:spacing w:after="120" w:line="240" w:lineRule="auto"/>
              <w:rPr>
                <w:noProof/>
              </w:rPr>
            </w:pPr>
            <w:r>
              <w:rPr>
                <w:noProof/>
              </w:rPr>
              <w:t>7</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1BEF2C7F" w14:textId="69FC15C3" w:rsidR="00702291" w:rsidRDefault="00712B31">
            <w:pPr>
              <w:pStyle w:val="P68B1DB1-Normal32"/>
              <w:spacing w:after="120" w:line="240" w:lineRule="auto"/>
              <w:rPr>
                <w:noProof/>
              </w:rPr>
            </w:pPr>
            <w:r>
              <w:rPr>
                <w:noProof/>
              </w:rPr>
              <w:t>C2.R1 Modernizarea programelor de învățământ superior</w:t>
            </w:r>
          </w:p>
        </w:tc>
        <w:tc>
          <w:tcPr>
            <w:tcW w:w="1030" w:type="dxa"/>
            <w:tcBorders>
              <w:top w:val="single" w:sz="4" w:space="0" w:color="auto"/>
              <w:left w:val="nil"/>
              <w:bottom w:val="single" w:sz="4" w:space="0" w:color="auto"/>
              <w:right w:val="single" w:sz="4" w:space="0" w:color="auto"/>
            </w:tcBorders>
            <w:shd w:val="clear" w:color="auto" w:fill="C6EFCE"/>
            <w:vAlign w:val="center"/>
          </w:tcPr>
          <w:p w14:paraId="418AD6DC" w14:textId="17F6DAE4" w:rsidR="00702291" w:rsidRDefault="00712B31">
            <w:pPr>
              <w:pStyle w:val="P68B1DB1-Normal32"/>
              <w:spacing w:after="120" w:line="240" w:lineRule="auto"/>
              <w:rPr>
                <w:rFonts w:eastAsiaTheme="minorHAnsi"/>
                <w:noProof/>
              </w:rPr>
            </w:pPr>
            <w:r>
              <w:rPr>
                <w:noProof/>
              </w:rPr>
              <w:t>Etapă</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06617DC8" w14:textId="78A4B6DF" w:rsidR="00702291" w:rsidRDefault="00712B31">
            <w:pPr>
              <w:pStyle w:val="P68B1DB1-Normal32"/>
              <w:spacing w:after="120" w:line="240" w:lineRule="auto"/>
              <w:rPr>
                <w:noProof/>
              </w:rPr>
            </w:pPr>
            <w:r>
              <w:rPr>
                <w:noProof/>
              </w:rPr>
              <w:t>Revizuirea programelor de învățământ superior</w:t>
            </w:r>
          </w:p>
        </w:tc>
        <w:tc>
          <w:tcPr>
            <w:tcW w:w="1841" w:type="dxa"/>
            <w:tcBorders>
              <w:top w:val="single" w:sz="4" w:space="0" w:color="auto"/>
              <w:left w:val="nil"/>
              <w:bottom w:val="single" w:sz="4" w:space="0" w:color="auto"/>
              <w:right w:val="single" w:sz="4" w:space="0" w:color="auto"/>
            </w:tcBorders>
            <w:shd w:val="clear" w:color="auto" w:fill="C6EFCE"/>
            <w:vAlign w:val="center"/>
          </w:tcPr>
          <w:p w14:paraId="65231C8C" w14:textId="3F7FA12B" w:rsidR="00702291" w:rsidRDefault="00712B31">
            <w:pPr>
              <w:pStyle w:val="P68B1DB1-Normal32"/>
              <w:spacing w:after="120" w:line="240" w:lineRule="auto"/>
              <w:rPr>
                <w:strike/>
                <w:noProof/>
              </w:rPr>
            </w:pPr>
            <w:r>
              <w:rPr>
                <w:noProof/>
              </w:rPr>
              <w:t xml:space="preserve">Programe revizuite </w:t>
            </w:r>
          </w:p>
        </w:tc>
        <w:tc>
          <w:tcPr>
            <w:tcW w:w="1541" w:type="dxa"/>
            <w:tcBorders>
              <w:top w:val="single" w:sz="4" w:space="0" w:color="auto"/>
              <w:left w:val="nil"/>
              <w:bottom w:val="single" w:sz="4" w:space="0" w:color="auto"/>
              <w:right w:val="single" w:sz="4" w:space="0" w:color="auto"/>
            </w:tcBorders>
            <w:shd w:val="clear" w:color="auto" w:fill="C6EFCE"/>
            <w:vAlign w:val="center"/>
          </w:tcPr>
          <w:p w14:paraId="0F0B1E39" w14:textId="5B5ADA90" w:rsidR="00702291" w:rsidRDefault="00702291">
            <w:pPr>
              <w:spacing w:after="120" w:line="240" w:lineRule="auto"/>
              <w:rPr>
                <w:rFonts w:ascii="Times New Roman" w:hAnsi="Times New Roman" w:cs="Times New Roman"/>
                <w:noProof/>
                <w:sz w:val="18"/>
                <w:szCs w:val="18"/>
              </w:rPr>
            </w:pPr>
          </w:p>
        </w:tc>
        <w:tc>
          <w:tcPr>
            <w:tcW w:w="1126" w:type="dxa"/>
            <w:tcBorders>
              <w:top w:val="single" w:sz="4" w:space="0" w:color="auto"/>
              <w:left w:val="nil"/>
              <w:bottom w:val="single" w:sz="4" w:space="0" w:color="auto"/>
              <w:right w:val="single" w:sz="4" w:space="0" w:color="auto"/>
            </w:tcBorders>
            <w:shd w:val="clear" w:color="auto" w:fill="C6EFCE"/>
            <w:vAlign w:val="center"/>
          </w:tcPr>
          <w:p w14:paraId="389331BF" w14:textId="477F9B5B" w:rsidR="00702291" w:rsidRDefault="00702291">
            <w:pPr>
              <w:spacing w:after="120" w:line="240" w:lineRule="auto"/>
              <w:rPr>
                <w:rFonts w:ascii="Times New Roman" w:hAnsi="Times New Roman" w:cs="Times New Roman"/>
                <w:noProof/>
                <w:sz w:val="18"/>
                <w:szCs w:val="18"/>
              </w:rPr>
            </w:pPr>
          </w:p>
        </w:tc>
        <w:tc>
          <w:tcPr>
            <w:tcW w:w="705" w:type="dxa"/>
            <w:tcBorders>
              <w:top w:val="single" w:sz="4" w:space="0" w:color="auto"/>
              <w:left w:val="nil"/>
              <w:bottom w:val="single" w:sz="4" w:space="0" w:color="auto"/>
              <w:right w:val="single" w:sz="4" w:space="0" w:color="auto"/>
            </w:tcBorders>
            <w:shd w:val="clear" w:color="auto" w:fill="C6EFCE"/>
            <w:vAlign w:val="center"/>
          </w:tcPr>
          <w:p w14:paraId="01E83958" w14:textId="0577D21F" w:rsidR="00702291" w:rsidRDefault="00702291">
            <w:pPr>
              <w:spacing w:after="120" w:line="240" w:lineRule="auto"/>
              <w:rPr>
                <w:rFonts w:ascii="Times New Roman" w:hAnsi="Times New Roman" w:cs="Times New Roman"/>
                <w:noProof/>
                <w:sz w:val="18"/>
                <w:szCs w:val="18"/>
              </w:rPr>
            </w:pPr>
          </w:p>
        </w:tc>
        <w:tc>
          <w:tcPr>
            <w:tcW w:w="846" w:type="dxa"/>
            <w:tcBorders>
              <w:top w:val="single" w:sz="4" w:space="0" w:color="auto"/>
              <w:left w:val="nil"/>
              <w:bottom w:val="single" w:sz="4" w:space="0" w:color="auto"/>
              <w:right w:val="single" w:sz="4" w:space="0" w:color="auto"/>
            </w:tcBorders>
            <w:shd w:val="clear" w:color="auto" w:fill="C6EFCE"/>
            <w:vAlign w:val="center"/>
          </w:tcPr>
          <w:p w14:paraId="44EC86FC" w14:textId="48460606" w:rsidR="00702291" w:rsidRDefault="00F233DB">
            <w:pPr>
              <w:pStyle w:val="P68B1DB1-Normal32"/>
              <w:spacing w:after="120" w:line="240" w:lineRule="auto"/>
              <w:rPr>
                <w:rFonts w:eastAsiaTheme="minorHAnsi"/>
                <w:noProof/>
              </w:rPr>
            </w:pPr>
            <w:r>
              <w:rPr>
                <w:noProof/>
              </w:rPr>
              <w:t>T2</w:t>
            </w:r>
          </w:p>
        </w:tc>
        <w:tc>
          <w:tcPr>
            <w:tcW w:w="777" w:type="dxa"/>
            <w:tcBorders>
              <w:top w:val="single" w:sz="4" w:space="0" w:color="auto"/>
              <w:left w:val="nil"/>
              <w:bottom w:val="single" w:sz="4" w:space="0" w:color="auto"/>
              <w:right w:val="single" w:sz="4" w:space="0" w:color="auto"/>
            </w:tcBorders>
            <w:shd w:val="clear" w:color="auto" w:fill="C6EFCE"/>
            <w:vAlign w:val="center"/>
          </w:tcPr>
          <w:p w14:paraId="41035D39" w14:textId="6C46A96A" w:rsidR="00702291" w:rsidRDefault="00712B31">
            <w:pPr>
              <w:pStyle w:val="P68B1DB1-Normal32"/>
              <w:spacing w:after="120" w:line="240" w:lineRule="auto"/>
              <w:rPr>
                <w:rFonts w:eastAsiaTheme="minorHAnsi"/>
                <w:noProof/>
              </w:rPr>
            </w:pPr>
            <w:r>
              <w:rPr>
                <w:noProof/>
              </w:rPr>
              <w:t>2026</w:t>
            </w:r>
          </w:p>
        </w:tc>
        <w:tc>
          <w:tcPr>
            <w:tcW w:w="3687" w:type="dxa"/>
            <w:tcBorders>
              <w:top w:val="single" w:sz="4" w:space="0" w:color="auto"/>
              <w:left w:val="nil"/>
              <w:bottom w:val="single" w:sz="4" w:space="0" w:color="auto"/>
              <w:right w:val="single" w:sz="4" w:space="0" w:color="auto"/>
            </w:tcBorders>
            <w:shd w:val="clear" w:color="auto" w:fill="C6EFCE"/>
            <w:vAlign w:val="center"/>
          </w:tcPr>
          <w:p w14:paraId="391C1EDC" w14:textId="39CCEC66" w:rsidR="00702291" w:rsidRDefault="00712B31">
            <w:pPr>
              <w:pStyle w:val="P68B1DB1-Normal32"/>
              <w:spacing w:after="120" w:line="240" w:lineRule="auto"/>
              <w:rPr>
                <w:noProof/>
              </w:rPr>
            </w:pPr>
            <w:r>
              <w:rPr>
                <w:noProof/>
              </w:rPr>
              <w:t>Revizuirea a 15 programe de învățământ superior pentru a introduce elemente orientate spre practică și pentru a modifica reglementările conexe.</w:t>
            </w:r>
          </w:p>
        </w:tc>
      </w:tr>
      <w:tr w:rsidR="00702291" w14:paraId="492E5D93" w14:textId="77777777">
        <w:trPr>
          <w:trHeight w:val="992"/>
        </w:trPr>
        <w:tc>
          <w:tcPr>
            <w:tcW w:w="1027" w:type="dxa"/>
            <w:tcBorders>
              <w:top w:val="nil"/>
              <w:left w:val="single" w:sz="4" w:space="0" w:color="auto"/>
              <w:bottom w:val="single" w:sz="4" w:space="0" w:color="auto"/>
              <w:right w:val="single" w:sz="4" w:space="0" w:color="auto"/>
            </w:tcBorders>
            <w:shd w:val="clear" w:color="auto" w:fill="C6EFCE"/>
            <w:vAlign w:val="center"/>
          </w:tcPr>
          <w:p w14:paraId="741FBD45" w14:textId="20F8B15C" w:rsidR="00702291" w:rsidRDefault="00712B31">
            <w:pPr>
              <w:pStyle w:val="P68B1DB1-Normal32"/>
              <w:spacing w:after="120" w:line="240" w:lineRule="auto"/>
              <w:rPr>
                <w:noProof/>
              </w:rPr>
            </w:pPr>
            <w:r>
              <w:rPr>
                <w:noProof/>
              </w:rPr>
              <w:t>8</w:t>
            </w:r>
          </w:p>
        </w:tc>
        <w:tc>
          <w:tcPr>
            <w:tcW w:w="1645" w:type="dxa"/>
            <w:tcBorders>
              <w:top w:val="nil"/>
              <w:left w:val="nil"/>
              <w:bottom w:val="single" w:sz="4" w:space="0" w:color="auto"/>
              <w:right w:val="single" w:sz="4" w:space="0" w:color="auto"/>
            </w:tcBorders>
            <w:shd w:val="clear" w:color="auto" w:fill="C6EFCE"/>
            <w:vAlign w:val="center"/>
          </w:tcPr>
          <w:p w14:paraId="00ACF303" w14:textId="730EA138" w:rsidR="00702291" w:rsidRDefault="00712B31">
            <w:pPr>
              <w:pStyle w:val="P68B1DB1-Normal32"/>
              <w:spacing w:after="120" w:line="240" w:lineRule="auto"/>
              <w:rPr>
                <w:rFonts w:eastAsiaTheme="minorHAnsi"/>
                <w:noProof/>
              </w:rPr>
            </w:pPr>
            <w:r>
              <w:rPr>
                <w:noProof/>
              </w:rPr>
              <w:t xml:space="preserve">C2.I1 Inovarea instituțională în învățământul superior </w:t>
            </w:r>
          </w:p>
        </w:tc>
        <w:tc>
          <w:tcPr>
            <w:tcW w:w="1030" w:type="dxa"/>
            <w:tcBorders>
              <w:top w:val="nil"/>
              <w:left w:val="nil"/>
              <w:bottom w:val="single" w:sz="4" w:space="0" w:color="auto"/>
              <w:right w:val="single" w:sz="4" w:space="0" w:color="auto"/>
            </w:tcBorders>
            <w:shd w:val="clear" w:color="auto" w:fill="C6EFCE"/>
            <w:vAlign w:val="center"/>
          </w:tcPr>
          <w:p w14:paraId="05F35FC8" w14:textId="654D1112" w:rsidR="00702291" w:rsidRDefault="00712B31">
            <w:pPr>
              <w:pStyle w:val="P68B1DB1-Normal32"/>
              <w:spacing w:after="120" w:line="240" w:lineRule="auto"/>
              <w:rPr>
                <w:rFonts w:eastAsiaTheme="minorHAnsi"/>
                <w:noProof/>
              </w:rPr>
            </w:pPr>
            <w:r>
              <w:rPr>
                <w:noProof/>
              </w:rPr>
              <w:t>Etapă</w:t>
            </w:r>
          </w:p>
        </w:tc>
        <w:tc>
          <w:tcPr>
            <w:tcW w:w="1966" w:type="dxa"/>
            <w:tcBorders>
              <w:top w:val="nil"/>
              <w:left w:val="nil"/>
              <w:bottom w:val="single" w:sz="4" w:space="0" w:color="auto"/>
              <w:right w:val="single" w:sz="4" w:space="0" w:color="auto"/>
            </w:tcBorders>
            <w:shd w:val="clear" w:color="auto" w:fill="C6EFCE"/>
            <w:vAlign w:val="center"/>
          </w:tcPr>
          <w:p w14:paraId="64AE3D25" w14:textId="653F0885" w:rsidR="00702291" w:rsidRDefault="00712B31">
            <w:pPr>
              <w:pStyle w:val="P68B1DB1-CommentText38"/>
              <w:spacing w:after="120"/>
              <w:jc w:val="left"/>
              <w:rPr>
                <w:rFonts w:eastAsia="Times New Roman"/>
                <w:noProof/>
              </w:rPr>
            </w:pPr>
            <w:r>
              <w:rPr>
                <w:noProof/>
              </w:rPr>
              <w:t>Materiale didactice digitale accesibile în învățământul superior</w:t>
            </w:r>
          </w:p>
          <w:p w14:paraId="0B6C9057" w14:textId="77777777" w:rsidR="00702291" w:rsidRDefault="00702291">
            <w:pPr>
              <w:spacing w:after="120" w:line="240" w:lineRule="auto"/>
              <w:rPr>
                <w:rFonts w:ascii="Times New Roman" w:hAnsi="Times New Roman" w:cs="Times New Roman"/>
                <w:noProof/>
                <w:sz w:val="18"/>
                <w:szCs w:val="18"/>
              </w:rPr>
            </w:pPr>
          </w:p>
        </w:tc>
        <w:tc>
          <w:tcPr>
            <w:tcW w:w="1841" w:type="dxa"/>
            <w:tcBorders>
              <w:top w:val="nil"/>
              <w:left w:val="nil"/>
              <w:bottom w:val="single" w:sz="4" w:space="0" w:color="auto"/>
              <w:right w:val="single" w:sz="4" w:space="0" w:color="auto"/>
            </w:tcBorders>
            <w:shd w:val="clear" w:color="auto" w:fill="C6EFCE"/>
            <w:vAlign w:val="center"/>
          </w:tcPr>
          <w:p w14:paraId="5EEA104D" w14:textId="2DC8936E" w:rsidR="00702291" w:rsidRDefault="00712B31">
            <w:pPr>
              <w:pStyle w:val="P68B1DB1-Normal32"/>
              <w:spacing w:after="120" w:line="240" w:lineRule="auto"/>
              <w:rPr>
                <w:noProof/>
              </w:rPr>
            </w:pPr>
            <w:r>
              <w:rPr>
                <w:noProof/>
              </w:rPr>
              <w:t>Materiale didactice digitale accesibile în învățământul superior</w:t>
            </w:r>
          </w:p>
        </w:tc>
        <w:tc>
          <w:tcPr>
            <w:tcW w:w="1541" w:type="dxa"/>
            <w:tcBorders>
              <w:top w:val="nil"/>
              <w:left w:val="nil"/>
              <w:bottom w:val="single" w:sz="4" w:space="0" w:color="auto"/>
              <w:right w:val="single" w:sz="4" w:space="0" w:color="auto"/>
            </w:tcBorders>
            <w:shd w:val="clear" w:color="auto" w:fill="C6EFCE"/>
            <w:vAlign w:val="center"/>
          </w:tcPr>
          <w:p w14:paraId="54804ABD" w14:textId="7A0D9B4A" w:rsidR="00702291" w:rsidRDefault="00702291">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58C01CA9" w14:textId="770B55F9" w:rsidR="00702291" w:rsidRDefault="00702291">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5D185DBA" w14:textId="08EE2779" w:rsidR="00702291" w:rsidRDefault="00702291">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0AD09CB6" w14:textId="64EC67E0" w:rsidR="00702291" w:rsidRDefault="00F233DB">
            <w:pPr>
              <w:pStyle w:val="P68B1DB1-Normal32"/>
              <w:spacing w:after="120" w:line="240" w:lineRule="auto"/>
              <w:rPr>
                <w:rFonts w:eastAsiaTheme="minorHAnsi"/>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0018BA6D" w14:textId="336D03BB" w:rsidR="00702291" w:rsidRDefault="00712B31">
            <w:pPr>
              <w:pStyle w:val="P68B1DB1-Normal32"/>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tcPr>
          <w:p w14:paraId="604EC6D2" w14:textId="6989E52D" w:rsidR="00702291" w:rsidRDefault="00712B31">
            <w:pPr>
              <w:pStyle w:val="P68B1DB1-CommentText38"/>
              <w:spacing w:after="120"/>
              <w:rPr>
                <w:noProof/>
              </w:rPr>
            </w:pPr>
            <w:r>
              <w:rPr>
                <w:noProof/>
              </w:rPr>
              <w:t xml:space="preserve">În instituțiile de învățământ superior sunt elaborate cel puțin 1 000 de materiale didactice digitale (de exemplu, manuale, studii de cercetare și alte resurse educaționale). </w:t>
            </w:r>
          </w:p>
        </w:tc>
      </w:tr>
      <w:tr w:rsidR="00702291" w14:paraId="35E5EAE5" w14:textId="77777777">
        <w:trPr>
          <w:trHeight w:val="1151"/>
        </w:trPr>
        <w:tc>
          <w:tcPr>
            <w:tcW w:w="1027" w:type="dxa"/>
            <w:tcBorders>
              <w:top w:val="nil"/>
              <w:left w:val="single" w:sz="4" w:space="0" w:color="auto"/>
              <w:bottom w:val="single" w:sz="4" w:space="0" w:color="auto"/>
              <w:right w:val="single" w:sz="4" w:space="0" w:color="auto"/>
            </w:tcBorders>
            <w:shd w:val="clear" w:color="auto" w:fill="C6EFCE"/>
            <w:vAlign w:val="center"/>
          </w:tcPr>
          <w:p w14:paraId="18BCF177" w14:textId="134BD290" w:rsidR="00702291" w:rsidRDefault="00712B31">
            <w:pPr>
              <w:pStyle w:val="P68B1DB1-Normal32"/>
              <w:spacing w:after="120" w:line="240" w:lineRule="auto"/>
              <w:rPr>
                <w:noProof/>
              </w:rPr>
            </w:pPr>
            <w:r>
              <w:rPr>
                <w:noProof/>
              </w:rPr>
              <w:t>9</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23882BE3" w14:textId="163D0BE9" w:rsidR="00702291" w:rsidRDefault="00712B31">
            <w:pPr>
              <w:pStyle w:val="P68B1DB1-Normal32"/>
              <w:spacing w:after="120" w:line="240" w:lineRule="auto"/>
              <w:rPr>
                <w:rFonts w:eastAsiaTheme="minorHAnsi"/>
                <w:noProof/>
              </w:rPr>
            </w:pPr>
            <w:r>
              <w:rPr>
                <w:noProof/>
              </w:rPr>
              <w:t>C2.I2 Digitalizarea și modernizarea infrastructurii învățământului superior</w:t>
            </w:r>
          </w:p>
        </w:tc>
        <w:tc>
          <w:tcPr>
            <w:tcW w:w="1030" w:type="dxa"/>
            <w:tcBorders>
              <w:top w:val="nil"/>
              <w:left w:val="nil"/>
              <w:bottom w:val="single" w:sz="4" w:space="0" w:color="auto"/>
              <w:right w:val="single" w:sz="4" w:space="0" w:color="auto"/>
            </w:tcBorders>
            <w:shd w:val="clear" w:color="auto" w:fill="C6EFCE"/>
            <w:vAlign w:val="center"/>
          </w:tcPr>
          <w:p w14:paraId="3A086C25" w14:textId="5ED9A378" w:rsidR="00702291" w:rsidRDefault="00712B31">
            <w:pPr>
              <w:pStyle w:val="P68B1DB1-Normal32"/>
              <w:spacing w:after="120" w:line="240" w:lineRule="auto"/>
              <w:rPr>
                <w:rFonts w:eastAsiaTheme="minorHAnsi"/>
                <w:noProof/>
              </w:rPr>
            </w:pPr>
            <w:r>
              <w:rPr>
                <w:noProof/>
              </w:rPr>
              <w:t>Etapă</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7029A89F" w14:textId="7574D278" w:rsidR="00702291" w:rsidRDefault="00712B31">
            <w:pPr>
              <w:pStyle w:val="P68B1DB1-Normal32"/>
              <w:spacing w:after="120" w:line="240" w:lineRule="auto"/>
              <w:rPr>
                <w:noProof/>
              </w:rPr>
            </w:pPr>
            <w:r>
              <w:rPr>
                <w:noProof/>
              </w:rPr>
              <w:t>Renovarea infrastructurii clădirilor în vederea creșterii eficienței energetice și construirea de clădiri noi în instituțiile de învățământ superior</w:t>
            </w:r>
          </w:p>
        </w:tc>
        <w:tc>
          <w:tcPr>
            <w:tcW w:w="1841" w:type="dxa"/>
            <w:tcBorders>
              <w:top w:val="nil"/>
              <w:left w:val="nil"/>
              <w:bottom w:val="single" w:sz="4" w:space="0" w:color="auto"/>
              <w:right w:val="single" w:sz="4" w:space="0" w:color="auto"/>
            </w:tcBorders>
            <w:shd w:val="clear" w:color="auto" w:fill="C6EFCE"/>
            <w:vAlign w:val="center"/>
          </w:tcPr>
          <w:p w14:paraId="0936CC28" w14:textId="5D227DD7" w:rsidR="00702291" w:rsidRDefault="00712B31">
            <w:pPr>
              <w:pStyle w:val="P68B1DB1-Normal32"/>
              <w:spacing w:after="120" w:line="240" w:lineRule="auto"/>
              <w:rPr>
                <w:noProof/>
              </w:rPr>
            </w:pPr>
            <w:r>
              <w:rPr>
                <w:noProof/>
              </w:rPr>
              <w:t>Instituții de învățământ superior renovate/construite</w:t>
            </w:r>
          </w:p>
        </w:tc>
        <w:tc>
          <w:tcPr>
            <w:tcW w:w="1541" w:type="dxa"/>
            <w:tcBorders>
              <w:top w:val="nil"/>
              <w:left w:val="nil"/>
              <w:bottom w:val="single" w:sz="4" w:space="0" w:color="auto"/>
              <w:right w:val="single" w:sz="4" w:space="0" w:color="auto"/>
            </w:tcBorders>
            <w:shd w:val="clear" w:color="auto" w:fill="C6EFCE"/>
            <w:vAlign w:val="center"/>
          </w:tcPr>
          <w:p w14:paraId="1642DFB1" w14:textId="5E612588" w:rsidR="00702291" w:rsidRDefault="00702291">
            <w:pPr>
              <w:spacing w:after="120" w:line="240" w:lineRule="auto"/>
              <w:rPr>
                <w:rFonts w:ascii="Times New Roman" w:eastAsiaTheme="minorHAnsi"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1E8C55E1" w14:textId="4FE9C4AC" w:rsidR="00702291" w:rsidRDefault="00702291">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08C764A5" w14:textId="562AD466" w:rsidR="00702291" w:rsidRDefault="00702291">
            <w:pPr>
              <w:spacing w:after="120" w:line="240" w:lineRule="auto"/>
              <w:rPr>
                <w:rFonts w:ascii="Times New Roman" w:eastAsiaTheme="minorHAnsi"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646CC17D" w14:textId="7F44D916" w:rsidR="00702291" w:rsidRDefault="00F233DB">
            <w:pPr>
              <w:pStyle w:val="P68B1DB1-Normal32"/>
              <w:spacing w:after="120" w:line="240" w:lineRule="auto"/>
              <w:rPr>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3B47D76A" w14:textId="271BA6C4" w:rsidR="00702291" w:rsidRDefault="00712B31">
            <w:pPr>
              <w:pStyle w:val="P68B1DB1-Normal32"/>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tcPr>
          <w:p w14:paraId="7305305E" w14:textId="77777777" w:rsidR="00702291" w:rsidRDefault="00712B31">
            <w:pPr>
              <w:pStyle w:val="P68B1DB1-Normal32"/>
              <w:spacing w:after="120" w:line="240" w:lineRule="auto"/>
              <w:rPr>
                <w:noProof/>
              </w:rPr>
            </w:pPr>
            <w:r>
              <w:rPr>
                <w:noProof/>
              </w:rPr>
              <w:t xml:space="preserve">Lansarea unei cereri de proiecte privind 1) renovarea în vederea creșterii eficienței energetice, 2) construirea de clădiri noi, 3) achiziționarea și instalarea de echipamente digitale în instituțiile de învățământ superior. </w:t>
            </w:r>
          </w:p>
          <w:p w14:paraId="3AB178A8" w14:textId="7F0B63EB" w:rsidR="00702291" w:rsidRDefault="00712B31">
            <w:pPr>
              <w:pStyle w:val="P68B1DB1-Normal32"/>
              <w:spacing w:after="120" w:line="240" w:lineRule="auto"/>
              <w:rPr>
                <w:noProof/>
              </w:rPr>
            </w:pPr>
            <w:r>
              <w:rPr>
                <w:noProof/>
              </w:rPr>
              <w:t xml:space="preserve">Cerințele din documentația cererii de propuneri asigură nediscriminarea între instituțiile de învățământ superior maghiare, inclusiv pe baza structurii lor de proprietate. Fondurile fiduciare publice nu sunt eligibile ca destinatari în cadrul cererii de propuneri. </w:t>
            </w:r>
          </w:p>
          <w:p w14:paraId="712C73D5" w14:textId="23C87423" w:rsidR="00702291" w:rsidRDefault="00712B31">
            <w:pPr>
              <w:pStyle w:val="P68B1DB1-Normal32"/>
              <w:spacing w:after="120" w:line="240" w:lineRule="auto"/>
              <w:rPr>
                <w:noProof/>
              </w:rPr>
            </w:pPr>
            <w:r>
              <w:rPr>
                <w:noProof/>
              </w:rPr>
              <w:t xml:space="preserve">Renovarea și/sau construirea a 25 145 de metri pătrați de clădiri în instituțiile de învățământ superior și achiziționarea și livrarea a 22 300 de echipamente TIC pentru instituțiile de învățământ superior. </w:t>
            </w:r>
          </w:p>
          <w:p w14:paraId="4E1FD2C7" w14:textId="117F8082" w:rsidR="00702291" w:rsidRDefault="00712B31">
            <w:pPr>
              <w:pStyle w:val="P68B1DB1-Normal32"/>
              <w:spacing w:after="120" w:line="240" w:lineRule="auto"/>
              <w:rPr>
                <w:noProof/>
              </w:rPr>
            </w:pPr>
            <w:r>
              <w:rPr>
                <w:noProof/>
              </w:rPr>
              <w:t>Clădirile nou construite trebuie să aibă o cerere de energie primară cu cel puțin 20 % mai mică decât cerința pentru clădirile al căror consum de energie este aproape egal cu zero. Renovările vizând eficiența energetică realizează, în medie, o reducere de cel puțin 30 % a emisiilor directe și indirecte de GhG în comparație cu emisiile ex ante.</w:t>
            </w:r>
          </w:p>
        </w:tc>
      </w:tr>
      <w:tr w:rsidR="00702291" w14:paraId="203D6FFA" w14:textId="77777777">
        <w:trPr>
          <w:trHeight w:val="1852"/>
        </w:trPr>
        <w:tc>
          <w:tcPr>
            <w:tcW w:w="1027" w:type="dxa"/>
            <w:tcBorders>
              <w:top w:val="nil"/>
              <w:left w:val="single" w:sz="4" w:space="0" w:color="auto"/>
              <w:bottom w:val="single" w:sz="4" w:space="0" w:color="auto"/>
              <w:right w:val="single" w:sz="4" w:space="0" w:color="auto"/>
            </w:tcBorders>
            <w:shd w:val="clear" w:color="auto" w:fill="C6EFCE"/>
            <w:vAlign w:val="center"/>
          </w:tcPr>
          <w:p w14:paraId="296464CC" w14:textId="442325B2" w:rsidR="00702291" w:rsidRDefault="00712B31">
            <w:pPr>
              <w:pStyle w:val="P68B1DB1-Normal32"/>
              <w:spacing w:after="120" w:line="240" w:lineRule="auto"/>
              <w:rPr>
                <w:noProof/>
              </w:rPr>
            </w:pPr>
            <w:r>
              <w:rPr>
                <w:noProof/>
              </w:rPr>
              <w:t>10</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0B7BA115" w14:textId="24B0003C" w:rsidR="00702291" w:rsidRDefault="00712B31">
            <w:pPr>
              <w:pStyle w:val="P68B1DB1-Normal32"/>
              <w:spacing w:after="120" w:line="240" w:lineRule="auto"/>
              <w:rPr>
                <w:rFonts w:eastAsiaTheme="minorHAnsi"/>
                <w:noProof/>
              </w:rPr>
            </w:pPr>
            <w:r>
              <w:rPr>
                <w:noProof/>
              </w:rPr>
              <w:t xml:space="preserve">C2.I3 Infrastructura de educație și formare profesională pentru secolul 21 </w:t>
            </w:r>
          </w:p>
        </w:tc>
        <w:tc>
          <w:tcPr>
            <w:tcW w:w="1030" w:type="dxa"/>
            <w:tcBorders>
              <w:top w:val="nil"/>
              <w:left w:val="nil"/>
              <w:bottom w:val="single" w:sz="4" w:space="0" w:color="auto"/>
              <w:right w:val="single" w:sz="4" w:space="0" w:color="auto"/>
            </w:tcBorders>
            <w:shd w:val="clear" w:color="auto" w:fill="C6EFCE"/>
            <w:vAlign w:val="center"/>
          </w:tcPr>
          <w:p w14:paraId="20DF543C" w14:textId="0F05C2A9" w:rsidR="00702291" w:rsidRDefault="00712B31">
            <w:pPr>
              <w:pStyle w:val="P68B1DB1-Normal32"/>
              <w:spacing w:after="120" w:line="240" w:lineRule="auto"/>
              <w:rPr>
                <w:rFonts w:eastAsiaTheme="minorHAnsi"/>
                <w:noProof/>
              </w:rPr>
            </w:pPr>
            <w:r>
              <w:rPr>
                <w:noProof/>
              </w:rPr>
              <w:t>Țintă</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32AF3EB7" w14:textId="66376177" w:rsidR="00702291" w:rsidRDefault="00712B31">
            <w:pPr>
              <w:pStyle w:val="P68B1DB1-Normal32"/>
              <w:spacing w:after="120" w:line="240" w:lineRule="auto"/>
              <w:rPr>
                <w:noProof/>
              </w:rPr>
            </w:pPr>
            <w:r>
              <w:rPr>
                <w:noProof/>
              </w:rPr>
              <w:t>Centre de educație și formare profesională echipate și dotate cu infrastructură modernizată</w:t>
            </w:r>
          </w:p>
        </w:tc>
        <w:tc>
          <w:tcPr>
            <w:tcW w:w="1841" w:type="dxa"/>
            <w:tcBorders>
              <w:top w:val="nil"/>
              <w:left w:val="nil"/>
              <w:bottom w:val="single" w:sz="4" w:space="0" w:color="auto"/>
              <w:right w:val="single" w:sz="4" w:space="0" w:color="auto"/>
            </w:tcBorders>
            <w:shd w:val="clear" w:color="auto" w:fill="C6EFCE"/>
            <w:vAlign w:val="center"/>
          </w:tcPr>
          <w:p w14:paraId="0805BFCF" w14:textId="32E2AC1F" w:rsidR="00702291" w:rsidRDefault="00712B31">
            <w:pPr>
              <w:pStyle w:val="P68B1DB1-Normal32"/>
              <w:spacing w:after="120" w:line="240" w:lineRule="auto"/>
              <w:rPr>
                <w:noProof/>
              </w:rPr>
            </w:pPr>
            <w:r>
              <w:rPr>
                <w:noProof/>
              </w:rPr>
              <w:t xml:space="preserve"> </w:t>
            </w:r>
          </w:p>
        </w:tc>
        <w:tc>
          <w:tcPr>
            <w:tcW w:w="1541" w:type="dxa"/>
            <w:tcBorders>
              <w:top w:val="nil"/>
              <w:left w:val="nil"/>
              <w:bottom w:val="single" w:sz="4" w:space="0" w:color="auto"/>
              <w:right w:val="single" w:sz="4" w:space="0" w:color="auto"/>
            </w:tcBorders>
            <w:shd w:val="clear" w:color="auto" w:fill="C6EFCE"/>
            <w:vAlign w:val="center"/>
          </w:tcPr>
          <w:p w14:paraId="5F9C2D0F" w14:textId="77777777" w:rsidR="00702291" w:rsidRDefault="00712B31">
            <w:pPr>
              <w:pStyle w:val="P68B1DB1-Normal32"/>
              <w:spacing w:after="120" w:line="240" w:lineRule="auto"/>
              <w:rPr>
                <w:rFonts w:eastAsiaTheme="minorHAnsi"/>
                <w:noProof/>
              </w:rPr>
            </w:pPr>
            <w:r>
              <w:rPr>
                <w:noProof/>
              </w:rPr>
              <w:t>Număr</w:t>
            </w:r>
          </w:p>
        </w:tc>
        <w:tc>
          <w:tcPr>
            <w:tcW w:w="1126" w:type="dxa"/>
            <w:tcBorders>
              <w:top w:val="nil"/>
              <w:left w:val="nil"/>
              <w:bottom w:val="single" w:sz="4" w:space="0" w:color="auto"/>
              <w:right w:val="single" w:sz="4" w:space="0" w:color="auto"/>
            </w:tcBorders>
            <w:shd w:val="clear" w:color="auto" w:fill="C6EFCE"/>
            <w:vAlign w:val="center"/>
          </w:tcPr>
          <w:p w14:paraId="05796F85" w14:textId="77777777" w:rsidR="00702291" w:rsidRDefault="00712B31">
            <w:pPr>
              <w:pStyle w:val="P68B1DB1-Normal32"/>
              <w:spacing w:after="120" w:line="240" w:lineRule="auto"/>
              <w:rPr>
                <w:noProof/>
              </w:rPr>
            </w:pPr>
            <w:r>
              <w:rPr>
                <w:noProof/>
              </w:rPr>
              <w:t>0</w:t>
            </w:r>
          </w:p>
        </w:tc>
        <w:tc>
          <w:tcPr>
            <w:tcW w:w="705" w:type="dxa"/>
            <w:tcBorders>
              <w:top w:val="nil"/>
              <w:left w:val="nil"/>
              <w:bottom w:val="single" w:sz="4" w:space="0" w:color="auto"/>
              <w:right w:val="single" w:sz="4" w:space="0" w:color="auto"/>
            </w:tcBorders>
            <w:shd w:val="clear" w:color="auto" w:fill="C6EFCE"/>
            <w:vAlign w:val="center"/>
          </w:tcPr>
          <w:p w14:paraId="1EB7F758" w14:textId="21041FDE" w:rsidR="00702291" w:rsidRDefault="00712B31">
            <w:pPr>
              <w:pStyle w:val="P68B1DB1-Normal27"/>
              <w:spacing w:after="120" w:line="240" w:lineRule="auto"/>
              <w:rPr>
                <w:noProof/>
              </w:rPr>
            </w:pPr>
            <w:r>
              <w:rPr>
                <w:noProof/>
              </w:rPr>
              <w:t>18</w:t>
            </w:r>
          </w:p>
        </w:tc>
        <w:tc>
          <w:tcPr>
            <w:tcW w:w="846" w:type="dxa"/>
            <w:tcBorders>
              <w:top w:val="nil"/>
              <w:left w:val="nil"/>
              <w:bottom w:val="single" w:sz="4" w:space="0" w:color="auto"/>
              <w:right w:val="single" w:sz="4" w:space="0" w:color="auto"/>
            </w:tcBorders>
            <w:shd w:val="clear" w:color="auto" w:fill="C6EFCE"/>
            <w:vAlign w:val="center"/>
          </w:tcPr>
          <w:p w14:paraId="12989D06" w14:textId="030432EB" w:rsidR="00702291" w:rsidRDefault="00F233DB">
            <w:pPr>
              <w:pStyle w:val="P68B1DB1-Normal32"/>
              <w:spacing w:after="120" w:line="240" w:lineRule="auto"/>
              <w:rPr>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03CCAF8C" w14:textId="0A66C8E6" w:rsidR="00702291" w:rsidRDefault="00712B31">
            <w:pPr>
              <w:pStyle w:val="P68B1DB1-Normal32"/>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28E5947D" w14:textId="763D2A82" w:rsidR="00702291" w:rsidRDefault="00712B31">
            <w:pPr>
              <w:pStyle w:val="P68B1DB1-Normal32"/>
              <w:spacing w:after="120" w:line="240" w:lineRule="auto"/>
              <w:rPr>
                <w:noProof/>
              </w:rPr>
            </w:pPr>
            <w:r>
              <w:rPr>
                <w:noProof/>
              </w:rPr>
              <w:t xml:space="preserve">Renovarea și/sau construirea a 57 000 de metri pătrați și achiziționarea și livrarea a 1 150 de echipamente TIC. </w:t>
            </w:r>
          </w:p>
          <w:p w14:paraId="5E774275" w14:textId="7F1222C9" w:rsidR="00702291" w:rsidRDefault="00712B31">
            <w:pPr>
              <w:pStyle w:val="P68B1DB1-Normal32"/>
              <w:spacing w:after="120" w:line="240" w:lineRule="auto"/>
              <w:rPr>
                <w:rFonts w:eastAsiaTheme="minorHAnsi"/>
                <w:noProof/>
              </w:rPr>
            </w:pPr>
            <w:r>
              <w:rPr>
                <w:noProof/>
              </w:rPr>
              <w:t xml:space="preserve">Aceste centre realizează, în medie, o reducere de cel puțin 30 % a emisiilor directe și indirecte de gaze cu efect de seră sau economii de energie primară de cel puțin 30 %. </w:t>
            </w:r>
          </w:p>
        </w:tc>
      </w:tr>
      <w:tr w:rsidR="00702291" w14:paraId="6C409547" w14:textId="77777777">
        <w:trPr>
          <w:trHeight w:val="271"/>
        </w:trPr>
        <w:tc>
          <w:tcPr>
            <w:tcW w:w="1027" w:type="dxa"/>
            <w:tcBorders>
              <w:top w:val="nil"/>
              <w:left w:val="single" w:sz="4" w:space="0" w:color="auto"/>
              <w:bottom w:val="single" w:sz="4" w:space="0" w:color="auto"/>
              <w:right w:val="single" w:sz="4" w:space="0" w:color="auto"/>
            </w:tcBorders>
            <w:shd w:val="clear" w:color="auto" w:fill="C6EFCE"/>
            <w:vAlign w:val="center"/>
          </w:tcPr>
          <w:p w14:paraId="23F1654F" w14:textId="3739E2D4" w:rsidR="00702291" w:rsidRDefault="00712B31">
            <w:pPr>
              <w:pStyle w:val="P68B1DB1-Normal32"/>
              <w:spacing w:after="120" w:line="240" w:lineRule="auto"/>
              <w:rPr>
                <w:noProof/>
              </w:rPr>
            </w:pPr>
            <w:r>
              <w:rPr>
                <w:noProof/>
              </w:rPr>
              <w:t>11</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7EC83B06" w14:textId="15EE0E6F" w:rsidR="00702291" w:rsidRDefault="00712B31">
            <w:pPr>
              <w:pStyle w:val="P68B1DB1-Normal32"/>
              <w:spacing w:after="120" w:line="240" w:lineRule="auto"/>
              <w:rPr>
                <w:rFonts w:eastAsiaTheme="minorHAnsi"/>
                <w:noProof/>
              </w:rPr>
            </w:pPr>
            <w:r>
              <w:rPr>
                <w:noProof/>
              </w:rPr>
              <w:t xml:space="preserve">C2.I4 Dezvoltarea centrului central de examinare </w:t>
            </w:r>
          </w:p>
        </w:tc>
        <w:tc>
          <w:tcPr>
            <w:tcW w:w="1030" w:type="dxa"/>
            <w:tcBorders>
              <w:top w:val="nil"/>
              <w:left w:val="nil"/>
              <w:bottom w:val="single" w:sz="4" w:space="0" w:color="auto"/>
              <w:right w:val="single" w:sz="4" w:space="0" w:color="auto"/>
            </w:tcBorders>
            <w:shd w:val="clear" w:color="auto" w:fill="C6EFCE"/>
            <w:vAlign w:val="center"/>
          </w:tcPr>
          <w:p w14:paraId="628D3F47" w14:textId="77777777" w:rsidR="00702291" w:rsidRDefault="00712B31">
            <w:pPr>
              <w:pStyle w:val="P68B1DB1-Normal32"/>
              <w:spacing w:after="120" w:line="240" w:lineRule="auto"/>
              <w:rPr>
                <w:rFonts w:eastAsiaTheme="minorHAnsi"/>
                <w:noProof/>
              </w:rPr>
            </w:pPr>
            <w:r>
              <w:rPr>
                <w:noProof/>
              </w:rPr>
              <w:t>Etapă</w:t>
            </w:r>
          </w:p>
        </w:tc>
        <w:tc>
          <w:tcPr>
            <w:tcW w:w="1966" w:type="dxa"/>
            <w:tcBorders>
              <w:top w:val="nil"/>
              <w:left w:val="nil"/>
              <w:bottom w:val="single" w:sz="4" w:space="0" w:color="auto"/>
              <w:right w:val="single" w:sz="4" w:space="0" w:color="auto"/>
            </w:tcBorders>
            <w:shd w:val="clear" w:color="auto" w:fill="C6EFCE"/>
            <w:vAlign w:val="center"/>
          </w:tcPr>
          <w:p w14:paraId="5FC1686C" w14:textId="396B6C40" w:rsidR="00702291" w:rsidRDefault="00712B31">
            <w:pPr>
              <w:pStyle w:val="P68B1DB1-Normal32"/>
              <w:spacing w:after="120" w:line="240" w:lineRule="auto"/>
              <w:rPr>
                <w:rFonts w:eastAsiaTheme="minorHAnsi"/>
                <w:noProof/>
              </w:rPr>
            </w:pPr>
            <w:r>
              <w:rPr>
                <w:noProof/>
              </w:rPr>
              <w:t xml:space="preserve">Renovarea centrului central de examinare </w:t>
            </w:r>
          </w:p>
        </w:tc>
        <w:tc>
          <w:tcPr>
            <w:tcW w:w="1841" w:type="dxa"/>
            <w:tcBorders>
              <w:top w:val="nil"/>
              <w:left w:val="nil"/>
              <w:bottom w:val="single" w:sz="4" w:space="0" w:color="auto"/>
              <w:right w:val="single" w:sz="4" w:space="0" w:color="auto"/>
            </w:tcBorders>
            <w:shd w:val="clear" w:color="auto" w:fill="C6EFCE"/>
            <w:vAlign w:val="center"/>
          </w:tcPr>
          <w:p w14:paraId="19CFEB13" w14:textId="69249C74" w:rsidR="00702291" w:rsidRDefault="00712B31">
            <w:pPr>
              <w:pStyle w:val="P68B1DB1-Normal32"/>
              <w:spacing w:after="120" w:line="240" w:lineRule="auto"/>
              <w:rPr>
                <w:noProof/>
              </w:rPr>
            </w:pPr>
            <w:r>
              <w:rPr>
                <w:noProof/>
              </w:rPr>
              <w:t>Renovarea centrului central de examinare</w:t>
            </w:r>
          </w:p>
        </w:tc>
        <w:tc>
          <w:tcPr>
            <w:tcW w:w="1541" w:type="dxa"/>
            <w:tcBorders>
              <w:top w:val="nil"/>
              <w:left w:val="nil"/>
              <w:bottom w:val="single" w:sz="4" w:space="0" w:color="auto"/>
              <w:right w:val="single" w:sz="4" w:space="0" w:color="auto"/>
            </w:tcBorders>
            <w:shd w:val="clear" w:color="auto" w:fill="C6EFCE"/>
            <w:vAlign w:val="center"/>
          </w:tcPr>
          <w:p w14:paraId="587A0AB2" w14:textId="3C92F9BD" w:rsidR="00702291" w:rsidRDefault="00702291">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5CF943DA" w14:textId="6D839B34" w:rsidR="00702291" w:rsidRDefault="00702291">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61ACDF54" w14:textId="6CE60808" w:rsidR="00702291" w:rsidRDefault="00702291">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40009140" w14:textId="5DBD380C" w:rsidR="00702291" w:rsidRDefault="00F233DB">
            <w:pPr>
              <w:pStyle w:val="P68B1DB1-Normal32"/>
              <w:spacing w:after="120" w:line="240" w:lineRule="auto"/>
              <w:rPr>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70D12820" w14:textId="5766D1E2" w:rsidR="00702291" w:rsidRDefault="00712B31">
            <w:pPr>
              <w:pStyle w:val="P68B1DB1-Normal32"/>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360139BA" w14:textId="46D34451" w:rsidR="00702291" w:rsidRDefault="00712B31">
            <w:pPr>
              <w:pStyle w:val="P68B1DB1-Normal32"/>
              <w:spacing w:after="120" w:line="240" w:lineRule="auto"/>
              <w:rPr>
                <w:noProof/>
              </w:rPr>
            </w:pPr>
            <w:r>
              <w:rPr>
                <w:noProof/>
              </w:rPr>
              <w:t xml:space="preserve">Renovarea clădirii centrului central de examinare și achiziționarea și livrarea de echipamente TIC și de simulare a producției. </w:t>
            </w:r>
          </w:p>
          <w:p w14:paraId="22FD58B3" w14:textId="755416F2" w:rsidR="00702291" w:rsidRDefault="00712B31">
            <w:pPr>
              <w:pStyle w:val="P68B1DB1-Normal32"/>
              <w:spacing w:after="120" w:line="240" w:lineRule="auto"/>
              <w:rPr>
                <w:rFonts w:eastAsiaTheme="minorHAnsi"/>
                <w:noProof/>
              </w:rPr>
            </w:pPr>
            <w:r>
              <w:rPr>
                <w:noProof/>
              </w:rPr>
              <w:t xml:space="preserve">Renovarea în vederea creșterii eficienței energetice trebuie să conducă la economii de energie primară de cel puțin 30 % sau la o reducere de cel puțin 30 % a emisiilor de gaze cu efect de seră. </w:t>
            </w:r>
          </w:p>
        </w:tc>
      </w:tr>
      <w:tr w:rsidR="00702291" w14:paraId="27EAAF2C" w14:textId="77777777">
        <w:trPr>
          <w:trHeight w:val="804"/>
        </w:trPr>
        <w:tc>
          <w:tcPr>
            <w:tcW w:w="1027" w:type="dxa"/>
            <w:tcBorders>
              <w:top w:val="nil"/>
              <w:left w:val="single" w:sz="4" w:space="0" w:color="auto"/>
              <w:bottom w:val="single" w:sz="4" w:space="0" w:color="auto"/>
              <w:right w:val="single" w:sz="4" w:space="0" w:color="auto"/>
            </w:tcBorders>
            <w:shd w:val="clear" w:color="auto" w:fill="C6EFCE"/>
            <w:vAlign w:val="center"/>
          </w:tcPr>
          <w:p w14:paraId="04ABC539" w14:textId="42BFBCC0" w:rsidR="00702291" w:rsidRDefault="00712B31">
            <w:pPr>
              <w:pStyle w:val="P68B1DB1-Normal32"/>
              <w:spacing w:after="120" w:line="240" w:lineRule="auto"/>
              <w:rPr>
                <w:noProof/>
              </w:rPr>
            </w:pPr>
            <w:r>
              <w:rPr>
                <w:noProof/>
              </w:rPr>
              <w:t xml:space="preserve"> 12</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4CB9DC12" w14:textId="3D949617" w:rsidR="00702291" w:rsidRDefault="00712B31">
            <w:pPr>
              <w:pStyle w:val="P68B1DB1-Normal32"/>
              <w:spacing w:after="120" w:line="240" w:lineRule="auto"/>
              <w:rPr>
                <w:rFonts w:eastAsiaTheme="minorHAnsi"/>
                <w:noProof/>
              </w:rPr>
            </w:pPr>
            <w:r>
              <w:rPr>
                <w:noProof/>
              </w:rPr>
              <w:t>C2.I5 Sprijin pentru cercetare și dezvoltare</w:t>
            </w:r>
          </w:p>
        </w:tc>
        <w:tc>
          <w:tcPr>
            <w:tcW w:w="1030" w:type="dxa"/>
            <w:tcBorders>
              <w:top w:val="nil"/>
              <w:left w:val="nil"/>
              <w:bottom w:val="single" w:sz="4" w:space="0" w:color="auto"/>
              <w:right w:val="single" w:sz="4" w:space="0" w:color="auto"/>
            </w:tcBorders>
            <w:shd w:val="clear" w:color="auto" w:fill="C6EFCE"/>
            <w:vAlign w:val="center"/>
          </w:tcPr>
          <w:p w14:paraId="113C7981" w14:textId="77777777" w:rsidR="00702291" w:rsidRDefault="00712B31">
            <w:pPr>
              <w:pStyle w:val="P68B1DB1-Normal32"/>
              <w:spacing w:after="120" w:line="240" w:lineRule="auto"/>
              <w:rPr>
                <w:rFonts w:eastAsiaTheme="minorHAnsi"/>
                <w:noProof/>
              </w:rPr>
            </w:pPr>
            <w:r>
              <w:rPr>
                <w:noProof/>
              </w:rPr>
              <w:t>Țintă</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580E10F8" w14:textId="3EFEA284" w:rsidR="00702291" w:rsidRDefault="00712B31">
            <w:pPr>
              <w:pStyle w:val="P68B1DB1-Normal32"/>
              <w:spacing w:after="120" w:line="240" w:lineRule="auto"/>
              <w:rPr>
                <w:rFonts w:eastAsiaTheme="minorHAnsi"/>
                <w:noProof/>
              </w:rPr>
            </w:pPr>
            <w:r>
              <w:rPr>
                <w:noProof/>
              </w:rPr>
              <w:t>Sprijinirea entităților de cercetare</w:t>
            </w:r>
          </w:p>
        </w:tc>
        <w:tc>
          <w:tcPr>
            <w:tcW w:w="1841" w:type="dxa"/>
            <w:tcBorders>
              <w:top w:val="nil"/>
              <w:left w:val="nil"/>
              <w:bottom w:val="single" w:sz="4" w:space="0" w:color="auto"/>
              <w:right w:val="single" w:sz="4" w:space="0" w:color="auto"/>
            </w:tcBorders>
            <w:shd w:val="clear" w:color="auto" w:fill="C6EFCE"/>
            <w:vAlign w:val="center"/>
          </w:tcPr>
          <w:p w14:paraId="2EADE265" w14:textId="77777777" w:rsidR="00702291" w:rsidRDefault="00702291">
            <w:pPr>
              <w:spacing w:after="120" w:line="240" w:lineRule="auto"/>
              <w:rPr>
                <w:rFonts w:ascii="Times New Roman" w:hAnsi="Times New Roman" w:cs="Times New Roman"/>
                <w:noProof/>
                <w:sz w:val="18"/>
                <w:szCs w:val="18"/>
              </w:rPr>
            </w:pPr>
          </w:p>
        </w:tc>
        <w:tc>
          <w:tcPr>
            <w:tcW w:w="1541" w:type="dxa"/>
            <w:tcBorders>
              <w:top w:val="nil"/>
              <w:left w:val="nil"/>
              <w:bottom w:val="single" w:sz="4" w:space="0" w:color="auto"/>
              <w:right w:val="single" w:sz="4" w:space="0" w:color="auto"/>
            </w:tcBorders>
            <w:shd w:val="clear" w:color="auto" w:fill="C6EFCE"/>
            <w:vAlign w:val="center"/>
          </w:tcPr>
          <w:p w14:paraId="5FD31089" w14:textId="77777777" w:rsidR="00702291" w:rsidRDefault="00712B31">
            <w:pPr>
              <w:pStyle w:val="P68B1DB1-Normal32"/>
              <w:spacing w:after="120" w:line="240" w:lineRule="auto"/>
              <w:rPr>
                <w:noProof/>
              </w:rPr>
            </w:pPr>
            <w:r>
              <w:rPr>
                <w:noProof/>
              </w:rPr>
              <w:t> Număr</w:t>
            </w:r>
          </w:p>
        </w:tc>
        <w:tc>
          <w:tcPr>
            <w:tcW w:w="1126" w:type="dxa"/>
            <w:tcBorders>
              <w:top w:val="nil"/>
              <w:left w:val="nil"/>
              <w:bottom w:val="single" w:sz="4" w:space="0" w:color="auto"/>
              <w:right w:val="single" w:sz="4" w:space="0" w:color="auto"/>
            </w:tcBorders>
            <w:shd w:val="clear" w:color="auto" w:fill="C6EFCE"/>
            <w:vAlign w:val="center"/>
          </w:tcPr>
          <w:p w14:paraId="3F2E3B6D" w14:textId="68F915D3" w:rsidR="00702291" w:rsidRDefault="00712B31">
            <w:pPr>
              <w:pStyle w:val="P68B1DB1-Normal32"/>
              <w:spacing w:after="120" w:line="240" w:lineRule="auto"/>
              <w:rPr>
                <w:rFonts w:eastAsiaTheme="minorHAnsi"/>
                <w:noProof/>
              </w:rPr>
            </w:pPr>
            <w:r>
              <w:rPr>
                <w:noProof/>
              </w:rPr>
              <w:t>0</w:t>
            </w:r>
          </w:p>
        </w:tc>
        <w:tc>
          <w:tcPr>
            <w:tcW w:w="705" w:type="dxa"/>
            <w:tcBorders>
              <w:top w:val="nil"/>
              <w:left w:val="nil"/>
              <w:bottom w:val="single" w:sz="4" w:space="0" w:color="auto"/>
              <w:right w:val="single" w:sz="4" w:space="0" w:color="auto"/>
            </w:tcBorders>
            <w:shd w:val="clear" w:color="auto" w:fill="C6EFCE"/>
            <w:vAlign w:val="center"/>
          </w:tcPr>
          <w:p w14:paraId="6BAA8E66" w14:textId="36C7404E" w:rsidR="00702291" w:rsidRDefault="00712B31">
            <w:pPr>
              <w:pStyle w:val="P68B1DB1-Normal32"/>
              <w:spacing w:after="120" w:line="240" w:lineRule="auto"/>
              <w:rPr>
                <w:rFonts w:eastAsiaTheme="minorHAnsi"/>
                <w:noProof/>
              </w:rPr>
            </w:pPr>
            <w:r>
              <w:rPr>
                <w:noProof/>
              </w:rPr>
              <w:t>14</w:t>
            </w:r>
          </w:p>
        </w:tc>
        <w:tc>
          <w:tcPr>
            <w:tcW w:w="846" w:type="dxa"/>
            <w:tcBorders>
              <w:top w:val="nil"/>
              <w:left w:val="nil"/>
              <w:bottom w:val="single" w:sz="4" w:space="0" w:color="auto"/>
              <w:right w:val="single" w:sz="4" w:space="0" w:color="auto"/>
            </w:tcBorders>
            <w:shd w:val="clear" w:color="auto" w:fill="C6EFCE"/>
            <w:vAlign w:val="center"/>
          </w:tcPr>
          <w:p w14:paraId="0925DC0A" w14:textId="331897FD" w:rsidR="00702291" w:rsidRDefault="00F233DB">
            <w:pPr>
              <w:pStyle w:val="P68B1DB1-Normal32"/>
              <w:spacing w:after="120" w:line="240" w:lineRule="auto"/>
              <w:rPr>
                <w:rFonts w:eastAsiaTheme="minorHAnsi"/>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0C771E36" w14:textId="4193811A" w:rsidR="00702291" w:rsidRDefault="00712B31">
            <w:pPr>
              <w:pStyle w:val="P68B1DB1-Normal32"/>
              <w:spacing w:after="120" w:line="240" w:lineRule="auto"/>
              <w:rPr>
                <w:rFonts w:eastAsiaTheme="minorHAnsi"/>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7E032E3F" w14:textId="49AD769F" w:rsidR="00702291" w:rsidRDefault="00712B31">
            <w:pPr>
              <w:pStyle w:val="P68B1DB1-Normal32"/>
              <w:spacing w:after="120" w:line="240" w:lineRule="auto"/>
              <w:rPr>
                <w:noProof/>
              </w:rPr>
            </w:pPr>
            <w:r>
              <w:rPr>
                <w:noProof/>
              </w:rPr>
              <w:t xml:space="preserve">Semnarea a 14 acorduri de grant cu entități de cercetare. </w:t>
            </w:r>
          </w:p>
        </w:tc>
      </w:tr>
    </w:tbl>
    <w:p w14:paraId="35D4E2CF" w14:textId="77777777" w:rsidR="00702291" w:rsidRDefault="00702291">
      <w:pPr>
        <w:tabs>
          <w:tab w:val="left" w:pos="850"/>
        </w:tabs>
        <w:spacing w:after="120" w:line="240" w:lineRule="auto"/>
        <w:jc w:val="both"/>
        <w:outlineLvl w:val="0"/>
        <w:rPr>
          <w:rFonts w:ascii="Times New Roman" w:hAnsi="Times New Roman" w:cs="Times New Roman"/>
          <w:b/>
          <w:smallCaps/>
          <w:noProof/>
          <w:sz w:val="24"/>
          <w:szCs w:val="24"/>
        </w:rPr>
        <w:sectPr w:rsidR="00702291" w:rsidSect="009030B8">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0920916E" w14:textId="0318A98F" w:rsidR="00702291" w:rsidRDefault="00712B31">
      <w:pPr>
        <w:pStyle w:val="P68B1DB1-Heading25"/>
        <w:keepLines w:val="0"/>
        <w:spacing w:before="0" w:after="120"/>
        <w:jc w:val="both"/>
        <w:rPr>
          <w:rFonts w:cs="Times New Roman"/>
          <w:noProof/>
          <w:szCs w:val="24"/>
        </w:rPr>
      </w:pPr>
      <w:r>
        <w:rPr>
          <w:noProof/>
        </w:rPr>
        <w:t>C. COMPONENTA 3: RECUPERAREA AȘEZĂRILOR</w:t>
      </w:r>
    </w:p>
    <w:p w14:paraId="4177E521" w14:textId="77777777" w:rsidR="00702291" w:rsidRDefault="00712B31">
      <w:pPr>
        <w:pStyle w:val="P68B1DB1-Normal39"/>
        <w:spacing w:after="120" w:line="240" w:lineRule="auto"/>
        <w:jc w:val="both"/>
        <w:rPr>
          <w:rFonts w:eastAsiaTheme="minorHAnsi"/>
          <w:noProof/>
        </w:rPr>
      </w:pPr>
      <w:r>
        <w:rPr>
          <w:noProof/>
        </w:rPr>
        <w:t xml:space="preserve">Această componentă a planului de redresare și reziliență al Ungariei abordează provocările socioeconomice și teritoriale care au fost amplificate de pandemia de COVID-19, în special în așezările cele mai sărace, și abordează aspecte precum lipsa accesului la piața forței de muncă și la serviciile publice, deficitul de profesioniști în domeniul asistenței medicale primare și, în general, sărăcia. </w:t>
      </w:r>
    </w:p>
    <w:p w14:paraId="2F9DF75C" w14:textId="512DC108" w:rsidR="00702291" w:rsidRDefault="00712B31">
      <w:pPr>
        <w:pStyle w:val="P68B1DB1-Normal39"/>
        <w:spacing w:after="120" w:line="240" w:lineRule="auto"/>
        <w:jc w:val="both"/>
        <w:rPr>
          <w:rFonts w:eastAsiaTheme="minorHAnsi"/>
          <w:noProof/>
        </w:rPr>
      </w:pPr>
      <w:r>
        <w:rPr>
          <w:noProof/>
        </w:rPr>
        <w:t xml:space="preserve">Obiectivul principal al acestei componente este de a furniza servicii de bază locuitorilor celor mai defavorizate 300 de așezări din Ungaria [astfel cum sunt definite în Hotărârea Guvernului nr. 1404/2019 (VII.05.) și în Hotărârea Guvernului nr. 1057/2021]. (II.19.) printr-o intervenție integrată de politică socială. Domeniul de aplicare al măsurilor din cadrul acestei componente face parte integrantă din programul mai amplu de lichidare a capturilor. Componenta contribuie la principiul 20 privind accesul la serviciile esențiale al Pilonului european al drepturilor sociale. </w:t>
      </w:r>
    </w:p>
    <w:p w14:paraId="5A274C21" w14:textId="1ECC482A" w:rsidR="00702291" w:rsidRDefault="00712B31">
      <w:pPr>
        <w:pStyle w:val="P68B1DB1-Normal39"/>
        <w:spacing w:after="120" w:line="240" w:lineRule="auto"/>
        <w:jc w:val="both"/>
        <w:rPr>
          <w:rFonts w:eastAsiaTheme="minorHAnsi"/>
          <w:noProof/>
        </w:rPr>
      </w:pPr>
      <w:r>
        <w:rPr>
          <w:noProof/>
        </w:rPr>
        <w:t>În acest scop, componenta urmărește (i) să instituie centrale solare sociale; (II) să promoveze ocuparea forței de muncă și dezvoltarea competențelor pe baza particularităților locale și consolidarea culturii economice locale; și (iii) obținerea unor rezultate mai bune ale învățării prin intermediul pedagogiei orientate către comunitate.</w:t>
      </w:r>
    </w:p>
    <w:p w14:paraId="30A0614F" w14:textId="50B8F481" w:rsidR="00702291" w:rsidRDefault="00712B31">
      <w:pPr>
        <w:pStyle w:val="P68B1DB1-Normal39"/>
        <w:spacing w:after="120" w:line="240" w:lineRule="auto"/>
        <w:jc w:val="both"/>
        <w:rPr>
          <w:rFonts w:eastAsiaTheme="minorHAnsi"/>
          <w:noProof/>
        </w:rPr>
      </w:pPr>
      <w:r>
        <w:rPr>
          <w:noProof/>
        </w:rPr>
        <w:t>Componenta contribuie la abordarea recomandărilor specifice fiecărei țări privind îmbunătățirea caracterului adecvat al asistenței sociale și asigurarea accesului la servicii esențiale, la o educație de calitate (recomandările specifice fiecărei țări 2 în 2020 și 3 în 2022), privind asigurarea integrării pe piața muncii a grupurilor celor mai vulnerabile (recomandările specifice fiecărei țări 2 în 2019 și 3 în 2022) și privind realizarea de investiții axate pe tranziția verde și pe cea digitală (recomandările specifice fiecărei țări 3 în 2020 și 6 în 2022).</w:t>
      </w:r>
    </w:p>
    <w:p w14:paraId="13C1ECF1" w14:textId="12294718" w:rsidR="00702291" w:rsidRDefault="00712B31">
      <w:pPr>
        <w:pStyle w:val="P68B1DB1-Normal39"/>
        <w:spacing w:after="120" w:line="240" w:lineRule="auto"/>
        <w:jc w:val="both"/>
        <w:rPr>
          <w:rFonts w:eastAsiaTheme="minorHAnsi"/>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E7C1447" w14:textId="1C21A35A" w:rsidR="00702291" w:rsidRDefault="00712B31">
      <w:pPr>
        <w:pStyle w:val="P68B1DB1-Heading310"/>
        <w:spacing w:before="0" w:after="120"/>
        <w:rPr>
          <w:noProof/>
          <w:shd w:val="clear" w:color="auto" w:fill="FFFFFF"/>
        </w:rPr>
      </w:pPr>
      <w:r>
        <w:rPr>
          <w:noProof/>
        </w:rPr>
        <w:t>C.1. Descrierea reformelor și a investițiilor pentru sprijinul financiar nerambursabil</w:t>
      </w:r>
    </w:p>
    <w:p w14:paraId="2B7E8F93" w14:textId="1F59DA90" w:rsidR="00702291" w:rsidRDefault="00712B31">
      <w:pPr>
        <w:pStyle w:val="P68B1DB1-Heading440"/>
        <w:spacing w:before="0" w:after="120" w:line="240" w:lineRule="auto"/>
        <w:rPr>
          <w:noProof/>
        </w:rPr>
      </w:pPr>
      <w:r>
        <w:rPr>
          <w:noProof/>
        </w:rPr>
        <w:t>C3.I1: Producția și utilizarea energiei din surse regenerabile în localitățile defavorizate</w:t>
      </w:r>
    </w:p>
    <w:p w14:paraId="4D10199E" w14:textId="2EB825E9" w:rsidR="00702291" w:rsidRDefault="00712B31">
      <w:pPr>
        <w:pStyle w:val="P68B1DB1-Normal12"/>
        <w:spacing w:after="120" w:line="240" w:lineRule="auto"/>
        <w:jc w:val="both"/>
        <w:rPr>
          <w:rFonts w:ascii="Times New Roman" w:eastAsiaTheme="minorHAnsi" w:hAnsi="Times New Roman" w:cs="Times New Roman"/>
          <w:noProof/>
          <w:szCs w:val="24"/>
        </w:rPr>
      </w:pPr>
      <w:r>
        <w:rPr>
          <w:rFonts w:ascii="Times New Roman" w:hAnsi="Times New Roman"/>
          <w:noProof/>
        </w:rPr>
        <w:t xml:space="preserve">Obiectivul </w:t>
      </w:r>
      <w:r>
        <w:rPr>
          <w:rFonts w:ascii="Times New Roman" w:hAnsi="Times New Roman" w:cs="Times New Roman"/>
          <w:noProof/>
          <w:szCs w:val="24"/>
        </w:rPr>
        <w:t>acestei măsuri</w:t>
      </w:r>
      <w:r>
        <w:rPr>
          <w:rFonts w:ascii="Times New Roman" w:hAnsi="Times New Roman"/>
          <w:noProof/>
        </w:rPr>
        <w:t xml:space="preserve"> este de a </w:t>
      </w:r>
      <w:r>
        <w:rPr>
          <w:rFonts w:ascii="Times New Roman" w:hAnsi="Times New Roman" w:cs="Times New Roman"/>
          <w:noProof/>
          <w:szCs w:val="24"/>
        </w:rPr>
        <w:t>reduce sărăcia energetică</w:t>
      </w:r>
      <w:r>
        <w:rPr>
          <w:rFonts w:ascii="Times New Roman" w:hAnsi="Times New Roman"/>
          <w:noProof/>
        </w:rPr>
        <w:t xml:space="preserve"> în municipalitățile selectate în cadrul programului de recuperare a decalajelor</w:t>
      </w:r>
      <w:r>
        <w:rPr>
          <w:rFonts w:ascii="Times New Roman" w:hAnsi="Times New Roman" w:cs="Times New Roman"/>
          <w:noProof/>
          <w:szCs w:val="24"/>
        </w:rPr>
        <w:t xml:space="preserve"> prin producția de energie din surse regenerabile.</w:t>
      </w:r>
    </w:p>
    <w:p w14:paraId="37F931D1" w14:textId="693A82E2" w:rsidR="00702291" w:rsidRDefault="00712B31">
      <w:pPr>
        <w:pStyle w:val="P68B1DB1-Normal12"/>
        <w:spacing w:after="120" w:line="240" w:lineRule="auto"/>
        <w:jc w:val="both"/>
        <w:rPr>
          <w:rFonts w:ascii="Times New Roman" w:hAnsi="Times New Roman"/>
          <w:noProof/>
        </w:rPr>
      </w:pPr>
      <w:r>
        <w:rPr>
          <w:rFonts w:ascii="Times New Roman" w:hAnsi="Times New Roman" w:cs="Times New Roman"/>
          <w:noProof/>
          <w:szCs w:val="24"/>
        </w:rPr>
        <w:t xml:space="preserve">Această măsură constă în instalarea unei capacități fotovoltaice pentru a </w:t>
      </w:r>
      <w:r>
        <w:rPr>
          <w:rFonts w:ascii="Times New Roman" w:hAnsi="Times New Roman"/>
          <w:noProof/>
        </w:rPr>
        <w:t xml:space="preserve">subvenționa nevoile de energie electrică ale </w:t>
      </w:r>
      <w:r>
        <w:rPr>
          <w:rFonts w:ascii="Times New Roman" w:hAnsi="Times New Roman" w:cs="Times New Roman"/>
          <w:noProof/>
          <w:szCs w:val="24"/>
        </w:rPr>
        <w:t>gospodăriilor care locuiesc în municipalitățile selectate în cadrul programului de lichidare</w:t>
      </w:r>
      <w:r>
        <w:rPr>
          <w:rFonts w:ascii="Times New Roman" w:hAnsi="Times New Roman"/>
          <w:noProof/>
        </w:rPr>
        <w:t xml:space="preserve"> a plăților.</w:t>
      </w:r>
    </w:p>
    <w:p w14:paraId="6DF90068" w14:textId="3D1465C9" w:rsidR="00702291" w:rsidRDefault="00712B31">
      <w:pPr>
        <w:pStyle w:val="P68B1DB1-Heading440"/>
        <w:spacing w:before="0" w:after="120" w:line="240" w:lineRule="auto"/>
        <w:rPr>
          <w:noProof/>
        </w:rPr>
      </w:pPr>
      <w:r>
        <w:rPr>
          <w:noProof/>
        </w:rPr>
        <w:t>C3.I2: Promovarea ocupării forței de muncă și a dezvoltării competențelor pe baza particularităților locale</w:t>
      </w:r>
    </w:p>
    <w:p w14:paraId="5D6B6824" w14:textId="42F00CE6"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w:t>
      </w:r>
      <w:r>
        <w:rPr>
          <w:rFonts w:ascii="Times New Roman" w:hAnsi="Times New Roman" w:cs="Times New Roman"/>
          <w:noProof/>
          <w:szCs w:val="24"/>
        </w:rPr>
        <w:t>acestei</w:t>
      </w:r>
      <w:r>
        <w:rPr>
          <w:rFonts w:ascii="Times New Roman" w:hAnsi="Times New Roman"/>
          <w:noProof/>
        </w:rPr>
        <w:t xml:space="preserve"> măsuri este de a </w:t>
      </w:r>
      <w:r>
        <w:rPr>
          <w:rFonts w:ascii="Times New Roman" w:hAnsi="Times New Roman" w:cs="Times New Roman"/>
          <w:noProof/>
          <w:szCs w:val="24"/>
        </w:rPr>
        <w:t xml:space="preserve">dezvolta capacitatea de inserție profesională a </w:t>
      </w:r>
      <w:r>
        <w:rPr>
          <w:rFonts w:ascii="Times New Roman" w:hAnsi="Times New Roman"/>
          <w:noProof/>
        </w:rPr>
        <w:t xml:space="preserve">persoanelor care locuiesc în municipalitățile selectate în cadrul programului de recuperare a decalajelor. </w:t>
      </w:r>
    </w:p>
    <w:p w14:paraId="1344125B" w14:textId="6C00E397"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Această măsură </w:t>
      </w:r>
      <w:r>
        <w:rPr>
          <w:rFonts w:ascii="Times New Roman" w:hAnsi="Times New Roman" w:cs="Times New Roman"/>
          <w:noProof/>
          <w:szCs w:val="24"/>
        </w:rPr>
        <w:t xml:space="preserve">constă în sprijinirea </w:t>
      </w:r>
      <w:r>
        <w:rPr>
          <w:rFonts w:ascii="Times New Roman" w:hAnsi="Times New Roman"/>
          <w:noProof/>
        </w:rPr>
        <w:t>participării la programe de socializare a forței de muncă.</w:t>
      </w:r>
    </w:p>
    <w:p w14:paraId="3580DAEA" w14:textId="62A30740" w:rsidR="00702291" w:rsidRDefault="00712B31">
      <w:pPr>
        <w:pStyle w:val="P68B1DB1-Heading440"/>
        <w:spacing w:before="0" w:after="120" w:line="240" w:lineRule="auto"/>
        <w:rPr>
          <w:noProof/>
        </w:rPr>
      </w:pPr>
      <w:r>
        <w:rPr>
          <w:noProof/>
        </w:rPr>
        <w:t>C3.I3: Pedagogie orientată către comunitate</w:t>
      </w:r>
    </w:p>
    <w:p w14:paraId="4E399396" w14:textId="6B863838" w:rsidR="00702291" w:rsidRDefault="00712B31">
      <w:pPr>
        <w:pStyle w:val="P68B1DB1-Normal12"/>
        <w:spacing w:after="120" w:line="240" w:lineRule="auto"/>
        <w:rPr>
          <w:rFonts w:ascii="Times New Roman" w:hAnsi="Times New Roman" w:cs="Times New Roman"/>
          <w:noProof/>
          <w:szCs w:val="24"/>
        </w:rPr>
      </w:pPr>
      <w:r>
        <w:rPr>
          <w:rFonts w:ascii="Times New Roman" w:hAnsi="Times New Roman"/>
          <w:noProof/>
        </w:rPr>
        <w:t xml:space="preserve">Obiectivul măsurii este de a </w:t>
      </w:r>
      <w:r>
        <w:rPr>
          <w:rFonts w:ascii="Times New Roman" w:hAnsi="Times New Roman" w:cs="Times New Roman"/>
          <w:noProof/>
          <w:szCs w:val="24"/>
        </w:rPr>
        <w:t xml:space="preserve">oferi </w:t>
      </w:r>
      <w:r>
        <w:rPr>
          <w:rFonts w:ascii="Times New Roman" w:hAnsi="Times New Roman"/>
          <w:noProof/>
        </w:rPr>
        <w:t>sprijin specific elevilor din municipalitățile selectate în cadrul programului de recuperare a plăților (Catching up Settlements Programme).</w:t>
      </w:r>
      <w:r>
        <w:rPr>
          <w:rFonts w:ascii="Times New Roman" w:hAnsi="Times New Roman" w:cs="Times New Roman"/>
          <w:noProof/>
          <w:szCs w:val="24"/>
        </w:rPr>
        <w:t xml:space="preserve"> </w:t>
      </w:r>
    </w:p>
    <w:p w14:paraId="24BDDA83" w14:textId="1727B4D5" w:rsidR="00702291" w:rsidRDefault="00712B31">
      <w:pPr>
        <w:pStyle w:val="P68B1DB1-Normal34"/>
        <w:spacing w:after="120" w:line="240" w:lineRule="auto"/>
        <w:rPr>
          <w:noProof/>
        </w:rPr>
      </w:pPr>
      <w:r>
        <w:rPr>
          <w:noProof/>
        </w:rPr>
        <w:t>Măsura constă în participarea instituțiilor publice de învățământ la dezvoltarea pedagogică favorabilă incluziunii.</w:t>
      </w:r>
    </w:p>
    <w:p w14:paraId="317F5462" w14:textId="798A6B0C" w:rsidR="00702291" w:rsidRDefault="00702291">
      <w:pPr>
        <w:spacing w:after="120" w:line="240" w:lineRule="auto"/>
        <w:rPr>
          <w:rFonts w:ascii="Times New Roman" w:hAnsi="Times New Roman" w:cs="Times New Roman"/>
          <w:noProof/>
          <w:sz w:val="24"/>
          <w:szCs w:val="24"/>
        </w:rPr>
        <w:sectPr w:rsidR="00702291" w:rsidSect="003B5873">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AB8D5DB" w14:textId="77777777" w:rsidR="00702291" w:rsidRDefault="00712B31">
      <w:pPr>
        <w:pStyle w:val="P68B1DB1-Heading310"/>
        <w:spacing w:before="0" w:after="120"/>
        <w:rPr>
          <w:noProof/>
        </w:rPr>
      </w:pPr>
      <w:r>
        <w:rPr>
          <w:noProof/>
        </w:rPr>
        <w:t xml:space="preserve">C.2. </w:t>
      </w:r>
      <w:r>
        <w:rPr>
          <w:noProof/>
        </w:rPr>
        <w:tab/>
        <w:t>Jaloane, ținte, indicatori și calendarul de monitorizare și implementare aplicabile sprijinului financiar nerambursabil</w:t>
      </w:r>
    </w:p>
    <w:tbl>
      <w:tblPr>
        <w:tblW w:w="15735" w:type="dxa"/>
        <w:tblInd w:w="-743" w:type="dxa"/>
        <w:tblLayout w:type="fixed"/>
        <w:tblLook w:val="04A0" w:firstRow="1" w:lastRow="0" w:firstColumn="1" w:lastColumn="0" w:noHBand="0" w:noVBand="1"/>
      </w:tblPr>
      <w:tblGrid>
        <w:gridCol w:w="709"/>
        <w:gridCol w:w="2127"/>
        <w:gridCol w:w="879"/>
        <w:gridCol w:w="1559"/>
        <w:gridCol w:w="1276"/>
        <w:gridCol w:w="992"/>
        <w:gridCol w:w="993"/>
        <w:gridCol w:w="992"/>
        <w:gridCol w:w="1134"/>
        <w:gridCol w:w="709"/>
        <w:gridCol w:w="4365"/>
      </w:tblGrid>
      <w:tr w:rsidR="00702291" w14:paraId="7FA7B41A" w14:textId="77777777" w:rsidTr="00FA4EAF">
        <w:trPr>
          <w:trHeight w:val="300"/>
          <w:tblHeader/>
        </w:trPr>
        <w:tc>
          <w:tcPr>
            <w:tcW w:w="709" w:type="dxa"/>
            <w:vMerge w:val="restart"/>
            <w:tcBorders>
              <w:top w:val="single" w:sz="4" w:space="0" w:color="auto"/>
              <w:left w:val="single" w:sz="4" w:space="0" w:color="auto"/>
              <w:right w:val="single" w:sz="4" w:space="0" w:color="auto"/>
            </w:tcBorders>
            <w:shd w:val="clear" w:color="auto" w:fill="BDD7EE"/>
            <w:vAlign w:val="center"/>
            <w:hideMark/>
          </w:tcPr>
          <w:p w14:paraId="01D66ACA" w14:textId="77777777" w:rsidR="00702291" w:rsidRDefault="00712B31">
            <w:pPr>
              <w:pStyle w:val="P68B1DB1-Normal37"/>
              <w:spacing w:after="120" w:line="240" w:lineRule="auto"/>
              <w:jc w:val="center"/>
              <w:rPr>
                <w:noProof/>
              </w:rPr>
            </w:pPr>
            <w:r>
              <w:rPr>
                <w:noProof/>
              </w:rPr>
              <w:t>Număr secvențial</w:t>
            </w:r>
          </w:p>
        </w:tc>
        <w:tc>
          <w:tcPr>
            <w:tcW w:w="2127" w:type="dxa"/>
            <w:vMerge w:val="restart"/>
            <w:tcBorders>
              <w:top w:val="single" w:sz="4" w:space="0" w:color="auto"/>
              <w:left w:val="single" w:sz="4" w:space="0" w:color="auto"/>
              <w:right w:val="single" w:sz="4" w:space="0" w:color="auto"/>
            </w:tcBorders>
            <w:shd w:val="clear" w:color="auto" w:fill="BDD7EE"/>
            <w:vAlign w:val="center"/>
          </w:tcPr>
          <w:p w14:paraId="7F9706E0" w14:textId="3A76FD0B" w:rsidR="00702291" w:rsidRDefault="00712B31">
            <w:pPr>
              <w:pStyle w:val="P68B1DB1-Normal37"/>
              <w:spacing w:after="120" w:line="240" w:lineRule="auto"/>
              <w:jc w:val="center"/>
              <w:rPr>
                <w:rFonts w:eastAsiaTheme="minorHAnsi"/>
                <w:noProof/>
              </w:rPr>
            </w:pPr>
            <w:r>
              <w:rPr>
                <w:noProof/>
              </w:rPr>
              <w:t>Măsură conexă (reformă sau investiții)</w:t>
            </w:r>
          </w:p>
        </w:tc>
        <w:tc>
          <w:tcPr>
            <w:tcW w:w="879" w:type="dxa"/>
            <w:vMerge w:val="restart"/>
            <w:tcBorders>
              <w:top w:val="single" w:sz="4" w:space="0" w:color="auto"/>
              <w:left w:val="single" w:sz="4" w:space="0" w:color="auto"/>
              <w:right w:val="single" w:sz="4" w:space="0" w:color="auto"/>
            </w:tcBorders>
            <w:shd w:val="clear" w:color="auto" w:fill="BDD7EE"/>
            <w:vAlign w:val="center"/>
          </w:tcPr>
          <w:p w14:paraId="6B4B73B8" w14:textId="19F8F9E2" w:rsidR="00702291" w:rsidRDefault="00712B31">
            <w:pPr>
              <w:pStyle w:val="P68B1DB1-Normal37"/>
              <w:spacing w:after="120" w:line="240" w:lineRule="auto"/>
              <w:jc w:val="center"/>
              <w:rPr>
                <w:rFonts w:eastAsiaTheme="minorHAnsi"/>
                <w:noProof/>
              </w:rPr>
            </w:pPr>
            <w:r>
              <w:rPr>
                <w:noProof/>
              </w:rPr>
              <w:t>Etapă</w:t>
            </w:r>
            <w:r>
              <w:rPr>
                <w:noProof/>
              </w:rPr>
              <w:br/>
              <w:t>/Țintei</w:t>
            </w:r>
          </w:p>
        </w:tc>
        <w:tc>
          <w:tcPr>
            <w:tcW w:w="1559" w:type="dxa"/>
            <w:vMerge w:val="restart"/>
            <w:tcBorders>
              <w:top w:val="single" w:sz="4" w:space="0" w:color="auto"/>
              <w:left w:val="single" w:sz="4" w:space="0" w:color="auto"/>
              <w:right w:val="single" w:sz="4" w:space="0" w:color="auto"/>
            </w:tcBorders>
            <w:shd w:val="clear" w:color="auto" w:fill="BDD7EE"/>
            <w:vAlign w:val="center"/>
          </w:tcPr>
          <w:p w14:paraId="5633FFC0" w14:textId="718A8CE0" w:rsidR="00702291" w:rsidRDefault="00712B31">
            <w:pPr>
              <w:pStyle w:val="P68B1DB1-Normal37"/>
              <w:spacing w:after="120" w:line="240" w:lineRule="auto"/>
              <w:jc w:val="center"/>
              <w:rPr>
                <w:rFonts w:eastAsiaTheme="minorHAnsi"/>
                <w:noProof/>
              </w:rPr>
            </w:pPr>
            <w:r>
              <w:rPr>
                <w:noProof/>
              </w:rPr>
              <w:t>Nume</w:t>
            </w:r>
          </w:p>
        </w:tc>
        <w:tc>
          <w:tcPr>
            <w:tcW w:w="1276" w:type="dxa"/>
            <w:vMerge w:val="restart"/>
            <w:tcBorders>
              <w:top w:val="single" w:sz="4" w:space="0" w:color="auto"/>
              <w:left w:val="single" w:sz="4" w:space="0" w:color="auto"/>
              <w:right w:val="single" w:sz="4" w:space="0" w:color="auto"/>
            </w:tcBorders>
            <w:shd w:val="clear" w:color="auto" w:fill="BDD7EE"/>
            <w:vAlign w:val="center"/>
          </w:tcPr>
          <w:p w14:paraId="67EE5A91" w14:textId="0474701A" w:rsidR="00702291" w:rsidRDefault="00712B31">
            <w:pPr>
              <w:pStyle w:val="P68B1DB1-Normal32"/>
              <w:spacing w:after="120" w:line="240" w:lineRule="auto"/>
              <w:jc w:val="center"/>
              <w:rPr>
                <w:rFonts w:eastAsiaTheme="minorHAnsi"/>
                <w:b/>
                <w:noProof/>
              </w:rPr>
            </w:pPr>
            <w:r>
              <w:rPr>
                <w:b/>
                <w:noProof/>
              </w:rPr>
              <w:t>Indicatori calitativi</w:t>
            </w:r>
            <w:r>
              <w:rPr>
                <w:noProof/>
              </w:rPr>
              <w:br/>
            </w:r>
            <w:r>
              <w:rPr>
                <w:b/>
                <w:noProof/>
              </w:rPr>
              <w:t>(pentru jaloane)</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E154F5B" w14:textId="6B148C3A" w:rsidR="00702291" w:rsidRDefault="00712B31">
            <w:pPr>
              <w:pStyle w:val="P68B1DB1-Normal32"/>
              <w:spacing w:after="120" w:line="240" w:lineRule="auto"/>
              <w:jc w:val="center"/>
              <w:rPr>
                <w:rFonts w:eastAsiaTheme="minorHAnsi"/>
                <w:b/>
                <w:noProof/>
              </w:rPr>
            </w:pPr>
            <w:r>
              <w:rPr>
                <w:b/>
                <w:noProof/>
              </w:rPr>
              <w:t>Indicatori cantitativi</w:t>
            </w:r>
            <w:r>
              <w:rPr>
                <w:noProof/>
              </w:rPr>
              <w:br/>
            </w:r>
            <w:r>
              <w:rPr>
                <w:b/>
                <w:noProof/>
              </w:rPr>
              <w:t>(pentru obiective)</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5292385D" w14:textId="589DAEA4" w:rsidR="00702291" w:rsidRDefault="00712B31">
            <w:pPr>
              <w:pStyle w:val="P68B1DB1-Normal32"/>
              <w:spacing w:after="120" w:line="240" w:lineRule="auto"/>
              <w:jc w:val="center"/>
              <w:rPr>
                <w:rFonts w:eastAsiaTheme="minorHAnsi"/>
                <w:b/>
                <w:noProof/>
              </w:rPr>
            </w:pPr>
            <w:r>
              <w:rPr>
                <w:b/>
                <w:noProof/>
              </w:rPr>
              <w:t>Calendar orientativ pentru finalizare</w:t>
            </w:r>
            <w:r>
              <w:rPr>
                <w:noProof/>
              </w:rPr>
              <w:br/>
            </w:r>
          </w:p>
        </w:tc>
        <w:tc>
          <w:tcPr>
            <w:tcW w:w="4365" w:type="dxa"/>
            <w:vMerge w:val="restart"/>
            <w:tcBorders>
              <w:top w:val="single" w:sz="4" w:space="0" w:color="auto"/>
              <w:left w:val="single" w:sz="4" w:space="0" w:color="auto"/>
              <w:right w:val="single" w:sz="4" w:space="0" w:color="auto"/>
            </w:tcBorders>
            <w:shd w:val="clear" w:color="auto" w:fill="BDD7EE"/>
            <w:vAlign w:val="center"/>
            <w:hideMark/>
          </w:tcPr>
          <w:p w14:paraId="4E892D9D" w14:textId="77777777" w:rsidR="00702291" w:rsidRDefault="00712B31">
            <w:pPr>
              <w:pStyle w:val="P68B1DB1-Normal37"/>
              <w:spacing w:after="120" w:line="240" w:lineRule="auto"/>
              <w:jc w:val="center"/>
              <w:rPr>
                <w:rFonts w:eastAsiaTheme="minorHAnsi"/>
                <w:noProof/>
              </w:rPr>
            </w:pPr>
            <w:r>
              <w:rPr>
                <w:noProof/>
              </w:rPr>
              <w:t>Descrierea fiecărui jalon și a fiecărei ținte</w:t>
            </w:r>
          </w:p>
        </w:tc>
      </w:tr>
      <w:tr w:rsidR="00702291" w14:paraId="54DADFD1" w14:textId="77777777" w:rsidTr="00FA4EAF">
        <w:trPr>
          <w:trHeight w:val="300"/>
          <w:tblHeader/>
        </w:trPr>
        <w:tc>
          <w:tcPr>
            <w:tcW w:w="709" w:type="dxa"/>
            <w:vMerge/>
            <w:tcBorders>
              <w:left w:val="single" w:sz="4" w:space="0" w:color="auto"/>
              <w:right w:val="single" w:sz="4" w:space="0" w:color="auto"/>
            </w:tcBorders>
            <w:shd w:val="clear" w:color="auto" w:fill="BDD7EE"/>
            <w:vAlign w:val="center"/>
            <w:hideMark/>
          </w:tcPr>
          <w:p w14:paraId="491688C3" w14:textId="77777777" w:rsidR="00702291" w:rsidRDefault="00702291">
            <w:pPr>
              <w:spacing w:after="120" w:line="240" w:lineRule="auto"/>
              <w:rPr>
                <w:rFonts w:ascii="Times New Roman" w:hAnsi="Times New Roman" w:cs="Times New Roman"/>
                <w:b/>
                <w:noProof/>
                <w:sz w:val="18"/>
                <w:szCs w:val="18"/>
              </w:rPr>
            </w:pPr>
          </w:p>
        </w:tc>
        <w:tc>
          <w:tcPr>
            <w:tcW w:w="2127" w:type="dxa"/>
            <w:vMerge/>
            <w:tcBorders>
              <w:left w:val="single" w:sz="4" w:space="0" w:color="auto"/>
              <w:right w:val="single" w:sz="4" w:space="0" w:color="auto"/>
            </w:tcBorders>
            <w:shd w:val="clear" w:color="auto" w:fill="BDD7EE"/>
            <w:vAlign w:val="center"/>
          </w:tcPr>
          <w:p w14:paraId="00898A7E" w14:textId="77777777" w:rsidR="00702291" w:rsidRDefault="00702291">
            <w:pPr>
              <w:spacing w:after="120" w:line="240" w:lineRule="auto"/>
              <w:rPr>
                <w:rFonts w:ascii="Times New Roman" w:hAnsi="Times New Roman" w:cs="Times New Roman"/>
                <w:b/>
                <w:noProof/>
                <w:sz w:val="18"/>
                <w:szCs w:val="18"/>
              </w:rPr>
            </w:pPr>
          </w:p>
        </w:tc>
        <w:tc>
          <w:tcPr>
            <w:tcW w:w="879" w:type="dxa"/>
            <w:vMerge/>
            <w:tcBorders>
              <w:left w:val="single" w:sz="4" w:space="0" w:color="auto"/>
              <w:right w:val="single" w:sz="4" w:space="0" w:color="auto"/>
            </w:tcBorders>
            <w:shd w:val="clear" w:color="auto" w:fill="BDD7EE"/>
            <w:vAlign w:val="center"/>
          </w:tcPr>
          <w:p w14:paraId="3792BB99" w14:textId="77777777" w:rsidR="00702291" w:rsidRDefault="00702291">
            <w:pPr>
              <w:spacing w:after="120" w:line="240" w:lineRule="auto"/>
              <w:rPr>
                <w:rFonts w:ascii="Times New Roman" w:hAnsi="Times New Roman" w:cs="Times New Roman"/>
                <w:b/>
                <w:noProof/>
                <w:sz w:val="18"/>
                <w:szCs w:val="18"/>
              </w:rPr>
            </w:pPr>
          </w:p>
        </w:tc>
        <w:tc>
          <w:tcPr>
            <w:tcW w:w="1559" w:type="dxa"/>
            <w:vMerge/>
            <w:tcBorders>
              <w:left w:val="single" w:sz="4" w:space="0" w:color="auto"/>
              <w:right w:val="single" w:sz="4" w:space="0" w:color="auto"/>
            </w:tcBorders>
            <w:shd w:val="clear" w:color="auto" w:fill="BDD7EE"/>
            <w:vAlign w:val="center"/>
          </w:tcPr>
          <w:p w14:paraId="13339C6D" w14:textId="77777777" w:rsidR="00702291" w:rsidRDefault="00702291">
            <w:pPr>
              <w:spacing w:after="120" w:line="240" w:lineRule="auto"/>
              <w:rPr>
                <w:rFonts w:ascii="Times New Roman" w:hAnsi="Times New Roman" w:cs="Times New Roman"/>
                <w:b/>
                <w:noProof/>
                <w:sz w:val="18"/>
                <w:szCs w:val="18"/>
              </w:rPr>
            </w:pPr>
          </w:p>
        </w:tc>
        <w:tc>
          <w:tcPr>
            <w:tcW w:w="1276" w:type="dxa"/>
            <w:vMerge/>
            <w:tcBorders>
              <w:left w:val="single" w:sz="4" w:space="0" w:color="auto"/>
              <w:right w:val="single" w:sz="4" w:space="0" w:color="auto"/>
            </w:tcBorders>
            <w:shd w:val="clear" w:color="auto" w:fill="BDD7EE"/>
            <w:vAlign w:val="center"/>
          </w:tcPr>
          <w:p w14:paraId="2AEDB9CA" w14:textId="211F4E96" w:rsidR="00702291" w:rsidRDefault="00702291">
            <w:pPr>
              <w:spacing w:after="120" w:line="240" w:lineRule="auto"/>
              <w:rPr>
                <w:rFonts w:ascii="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CFD3ABE" w14:textId="77777777" w:rsidR="00702291" w:rsidRDefault="00712B31">
            <w:pPr>
              <w:pStyle w:val="P68B1DB1-Normal37"/>
              <w:spacing w:after="120" w:line="240" w:lineRule="auto"/>
              <w:jc w:val="center"/>
              <w:rPr>
                <w:rFonts w:eastAsiaTheme="minorHAnsi"/>
                <w:noProof/>
              </w:rPr>
            </w:pPr>
            <w:r>
              <w:rPr>
                <w:noProof/>
              </w:rPr>
              <w:t>Unitatea de măsură</w:t>
            </w:r>
          </w:p>
        </w:tc>
        <w:tc>
          <w:tcPr>
            <w:tcW w:w="993" w:type="dxa"/>
            <w:tcBorders>
              <w:top w:val="single" w:sz="4" w:space="0" w:color="auto"/>
              <w:left w:val="nil"/>
              <w:bottom w:val="single" w:sz="4" w:space="0" w:color="auto"/>
              <w:right w:val="single" w:sz="4" w:space="0" w:color="auto"/>
            </w:tcBorders>
            <w:shd w:val="clear" w:color="auto" w:fill="BDD7EE"/>
            <w:vAlign w:val="center"/>
            <w:hideMark/>
          </w:tcPr>
          <w:p w14:paraId="19C38C5A" w14:textId="77777777" w:rsidR="00702291" w:rsidRDefault="00712B31">
            <w:pPr>
              <w:pStyle w:val="P68B1DB1-Normal37"/>
              <w:spacing w:after="120" w:line="240" w:lineRule="auto"/>
              <w:jc w:val="center"/>
              <w:rPr>
                <w:rFonts w:eastAsiaTheme="minorHAnsi"/>
                <w:noProof/>
              </w:rPr>
            </w:pPr>
            <w:r>
              <w:rPr>
                <w:noProof/>
              </w:rPr>
              <w:t xml:space="preserve">Situația de referință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7DEC1FF3" w14:textId="77777777" w:rsidR="00702291" w:rsidRDefault="00712B31">
            <w:pPr>
              <w:pStyle w:val="P68B1DB1-Normal37"/>
              <w:spacing w:after="120" w:line="240" w:lineRule="auto"/>
              <w:jc w:val="center"/>
              <w:rPr>
                <w:rFonts w:eastAsiaTheme="minorHAnsi"/>
                <w:noProof/>
              </w:rPr>
            </w:pPr>
            <w:r>
              <w:rPr>
                <w:noProof/>
              </w:rPr>
              <w:t xml:space="preserve">Obiectiv </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6692A383" w14:textId="77777777" w:rsidR="00702291" w:rsidRDefault="00712B31">
            <w:pPr>
              <w:pStyle w:val="P68B1DB1-Normal37"/>
              <w:spacing w:after="120" w:line="240" w:lineRule="auto"/>
              <w:jc w:val="center"/>
              <w:rPr>
                <w:rFonts w:eastAsiaTheme="minorHAnsi"/>
                <w:noProof/>
              </w:rPr>
            </w:pPr>
            <w:r>
              <w:rPr>
                <w:noProof/>
              </w:rPr>
              <w:t>Trimestru</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2297CAB5" w14:textId="77777777" w:rsidR="00702291" w:rsidRDefault="00712B31">
            <w:pPr>
              <w:pStyle w:val="P68B1DB1-Normal37"/>
              <w:spacing w:after="120" w:line="240" w:lineRule="auto"/>
              <w:jc w:val="center"/>
              <w:rPr>
                <w:rFonts w:eastAsiaTheme="minorHAnsi"/>
                <w:noProof/>
              </w:rPr>
            </w:pPr>
            <w:r>
              <w:rPr>
                <w:noProof/>
              </w:rPr>
              <w:t>Anul</w:t>
            </w:r>
          </w:p>
        </w:tc>
        <w:tc>
          <w:tcPr>
            <w:tcW w:w="4365" w:type="dxa"/>
            <w:vMerge/>
            <w:tcBorders>
              <w:left w:val="single" w:sz="4" w:space="0" w:color="auto"/>
              <w:right w:val="single" w:sz="4" w:space="0" w:color="auto"/>
            </w:tcBorders>
            <w:shd w:val="clear" w:color="auto" w:fill="BDD7EE"/>
            <w:vAlign w:val="center"/>
            <w:hideMark/>
          </w:tcPr>
          <w:p w14:paraId="34484DBB" w14:textId="77777777" w:rsidR="00702291" w:rsidRDefault="00702291">
            <w:pPr>
              <w:spacing w:after="120" w:line="240" w:lineRule="auto"/>
              <w:rPr>
                <w:rFonts w:ascii="Times New Roman" w:hAnsi="Times New Roman" w:cs="Times New Roman"/>
                <w:b/>
                <w:noProof/>
                <w:sz w:val="18"/>
                <w:szCs w:val="18"/>
              </w:rPr>
            </w:pPr>
          </w:p>
        </w:tc>
      </w:tr>
      <w:tr w:rsidR="00702291" w14:paraId="46EA3E84" w14:textId="77777777" w:rsidTr="00FA4EAF">
        <w:trPr>
          <w:trHeight w:val="1072"/>
        </w:trPr>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2363C0" w14:textId="04BC0DAB" w:rsidR="00702291" w:rsidRDefault="00712B31">
            <w:pPr>
              <w:pStyle w:val="P68B1DB1-Normal32"/>
              <w:spacing w:after="120" w:line="240" w:lineRule="auto"/>
              <w:rPr>
                <w:noProof/>
              </w:rPr>
            </w:pPr>
            <w:r>
              <w:rPr>
                <w:noProof/>
              </w:rPr>
              <w:t>13</w:t>
            </w:r>
          </w:p>
        </w:tc>
        <w:tc>
          <w:tcPr>
            <w:tcW w:w="212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C9082B" w14:textId="54D7BFEF" w:rsidR="00702291" w:rsidRDefault="00712B31">
            <w:pPr>
              <w:pStyle w:val="P68B1DB1-Normal32"/>
              <w:spacing w:after="120" w:line="240" w:lineRule="auto"/>
              <w:rPr>
                <w:rFonts w:eastAsiaTheme="minorHAnsi"/>
                <w:noProof/>
              </w:rPr>
            </w:pPr>
            <w:r>
              <w:rPr>
                <w:noProof/>
              </w:rPr>
              <w:t>C3.I1 Producția și utilizarea energiei din surse regenerabile în localitățile defavorizate</w:t>
            </w:r>
          </w:p>
        </w:tc>
        <w:tc>
          <w:tcPr>
            <w:tcW w:w="8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74ED4F" w14:textId="77777777" w:rsidR="00702291" w:rsidRDefault="00712B31">
            <w:pPr>
              <w:pStyle w:val="P68B1DB1-Normal32"/>
              <w:spacing w:after="120" w:line="240" w:lineRule="auto"/>
              <w:rPr>
                <w:rFonts w:eastAsiaTheme="minorHAnsi"/>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BDE541" w14:textId="78D021EF" w:rsidR="00702291" w:rsidRDefault="00712B31">
            <w:pPr>
              <w:pStyle w:val="P68B1DB1-Normal32"/>
              <w:spacing w:after="120" w:line="240" w:lineRule="auto"/>
              <w:rPr>
                <w:rFonts w:eastAsiaTheme="minorHAnsi"/>
                <w:noProof/>
              </w:rPr>
            </w:pPr>
            <w:r>
              <w:rPr>
                <w:noProof/>
              </w:rPr>
              <w:t xml:space="preserve">Instalarea de capacități de producție de energie din surse regenerabile în beneficiul gospodăriilor din municipalitățile selectate în cadrul programului de recuperare a decalajelor </w:t>
            </w:r>
          </w:p>
          <w:p w14:paraId="4A1099B2" w14:textId="77777777" w:rsidR="00702291" w:rsidRDefault="00702291">
            <w:pPr>
              <w:spacing w:after="120" w:line="240" w:lineRule="auto"/>
              <w:rPr>
                <w:rFonts w:ascii="Times New Roman" w:hAnsi="Times New Roman" w:cs="Times New Roman"/>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E52C83" w14:textId="77777777" w:rsidR="00702291" w:rsidRDefault="00702291">
            <w:pPr>
              <w:spacing w:after="120" w:line="240" w:lineRule="auto"/>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E98F2E" w14:textId="77777777" w:rsidR="00702291" w:rsidRDefault="00712B31">
            <w:pPr>
              <w:pStyle w:val="P68B1DB1-Normal32"/>
              <w:spacing w:after="120" w:line="240" w:lineRule="auto"/>
              <w:rPr>
                <w:rFonts w:eastAsiaTheme="minorHAnsi"/>
                <w:noProof/>
              </w:rPr>
            </w:pPr>
            <w:r>
              <w:rPr>
                <w:noProof/>
              </w:rPr>
              <w:t>kWp</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26BFA4" w14:textId="78EF5F14" w:rsidR="00702291" w:rsidRDefault="00712B31">
            <w:pPr>
              <w:pStyle w:val="P68B1DB1-Normal32"/>
              <w:spacing w:after="120" w:line="240" w:lineRule="auto"/>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92A796" w14:textId="6A0C9CC4" w:rsidR="00702291" w:rsidRDefault="00712B31">
            <w:pPr>
              <w:pStyle w:val="P68B1DB1-Normal32"/>
              <w:spacing w:after="120" w:line="240" w:lineRule="auto"/>
              <w:rPr>
                <w:noProof/>
              </w:rPr>
            </w:pPr>
            <w:r>
              <w:rPr>
                <w:noProof/>
              </w:rPr>
              <w:t>15 000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33D106" w14:textId="73D1C35E" w:rsidR="00702291" w:rsidRDefault="00F233DB">
            <w:pPr>
              <w:pStyle w:val="P68B1DB1-Normal32"/>
              <w:spacing w:after="120" w:line="240" w:lineRule="auto"/>
              <w:rPr>
                <w:rFonts w:eastAsiaTheme="minorHAnsi"/>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E6C17A" w14:textId="0EAB6D29" w:rsidR="00702291" w:rsidRDefault="00712B31">
            <w:pPr>
              <w:pStyle w:val="P68B1DB1-Normal32"/>
              <w:spacing w:after="120" w:line="240" w:lineRule="auto"/>
              <w:rPr>
                <w:rFonts w:eastAsiaTheme="minorHAnsi"/>
                <w:noProof/>
              </w:rPr>
            </w:pPr>
            <w:r>
              <w:rPr>
                <w:noProof/>
              </w:rPr>
              <w:t>2026</w:t>
            </w:r>
          </w:p>
        </w:tc>
        <w:tc>
          <w:tcPr>
            <w:tcW w:w="436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FED001" w14:textId="4FDFE3F1" w:rsidR="00702291" w:rsidRDefault="00712B31">
            <w:pPr>
              <w:pStyle w:val="P68B1DB1-Normal32"/>
              <w:spacing w:after="120" w:line="240" w:lineRule="auto"/>
              <w:jc w:val="both"/>
              <w:rPr>
                <w:noProof/>
              </w:rPr>
            </w:pPr>
            <w:bookmarkStart w:id="3" w:name="_Hlk230871306"/>
            <w:r>
              <w:rPr>
                <w:noProof/>
              </w:rPr>
              <w:t xml:space="preserve">Instalarea de centrale fotovoltaice cu o capacitate totală de cel puțin 15 000 kWp. </w:t>
            </w:r>
          </w:p>
          <w:p w14:paraId="335B0C0E" w14:textId="219BE539" w:rsidR="00702291" w:rsidRDefault="00712B31">
            <w:pPr>
              <w:pStyle w:val="P68B1DB1-Normal32"/>
              <w:spacing w:after="120" w:line="240" w:lineRule="auto"/>
              <w:jc w:val="both"/>
              <w:rPr>
                <w:noProof/>
              </w:rPr>
            </w:pPr>
            <w:r>
              <w:rPr>
                <w:noProof/>
              </w:rPr>
              <w:t>Granturi acordate unui număr de 1 500 de beneficiari din municipalitățile selectate în cadrul programului de lichidare a plăților pentru subvenționarea costurilor anuale ale energiei electrice.</w:t>
            </w:r>
            <w:bookmarkEnd w:id="3"/>
          </w:p>
        </w:tc>
      </w:tr>
      <w:tr w:rsidR="00702291" w14:paraId="7721BFC5" w14:textId="77777777" w:rsidTr="00FA4E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36D2818" w14:textId="2CB9A30A" w:rsidR="00702291" w:rsidRDefault="00712B31">
            <w:pPr>
              <w:pStyle w:val="P68B1DB1-Normal32"/>
              <w:spacing w:after="120" w:line="240" w:lineRule="auto"/>
              <w:rPr>
                <w:noProof/>
              </w:rPr>
            </w:pPr>
            <w:r>
              <w:rPr>
                <w:noProof/>
              </w:rPr>
              <w:t>14</w:t>
            </w:r>
          </w:p>
        </w:tc>
        <w:tc>
          <w:tcPr>
            <w:tcW w:w="2127" w:type="dxa"/>
            <w:tcBorders>
              <w:top w:val="single" w:sz="4" w:space="0" w:color="auto"/>
              <w:left w:val="nil"/>
              <w:bottom w:val="single" w:sz="4" w:space="0" w:color="auto"/>
              <w:right w:val="single" w:sz="4" w:space="0" w:color="auto"/>
            </w:tcBorders>
            <w:shd w:val="clear" w:color="auto" w:fill="C6EFCE"/>
            <w:vAlign w:val="center"/>
          </w:tcPr>
          <w:p w14:paraId="2DA7E7E7" w14:textId="73E85690" w:rsidR="00702291" w:rsidRDefault="00712B31">
            <w:pPr>
              <w:pStyle w:val="P68B1DB1-Normal32"/>
              <w:spacing w:after="120" w:line="240" w:lineRule="auto"/>
              <w:rPr>
                <w:rFonts w:eastAsiaTheme="minorHAnsi"/>
                <w:noProof/>
              </w:rPr>
            </w:pPr>
            <w:r>
              <w:rPr>
                <w:noProof/>
              </w:rPr>
              <w:t>C3.I2 Promovarea ocupării forței de muncă și a dezvoltării competențelor pe baza particularităților locale</w:t>
            </w:r>
          </w:p>
        </w:tc>
        <w:tc>
          <w:tcPr>
            <w:tcW w:w="879" w:type="dxa"/>
            <w:tcBorders>
              <w:top w:val="single" w:sz="4" w:space="0" w:color="auto"/>
              <w:left w:val="nil"/>
              <w:bottom w:val="single" w:sz="4" w:space="0" w:color="auto"/>
              <w:right w:val="single" w:sz="4" w:space="0" w:color="auto"/>
            </w:tcBorders>
            <w:shd w:val="clear" w:color="auto" w:fill="C6EFCE"/>
            <w:vAlign w:val="center"/>
          </w:tcPr>
          <w:p w14:paraId="1D7851D3" w14:textId="77777777" w:rsidR="00702291" w:rsidRDefault="00712B31">
            <w:pPr>
              <w:pStyle w:val="P68B1DB1-Normal32"/>
              <w:spacing w:after="120" w:line="240" w:lineRule="auto"/>
              <w:rPr>
                <w:rFonts w:eastAsiaTheme="minorHAnsi"/>
                <w:noProof/>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vAlign w:val="center"/>
          </w:tcPr>
          <w:p w14:paraId="2BE7DB61" w14:textId="77777777" w:rsidR="00702291" w:rsidRDefault="00712B31">
            <w:pPr>
              <w:pStyle w:val="P68B1DB1-Normal32"/>
              <w:spacing w:after="120" w:line="240" w:lineRule="auto"/>
              <w:rPr>
                <w:rFonts w:eastAsiaTheme="minorHAnsi"/>
                <w:noProof/>
              </w:rPr>
            </w:pPr>
            <w:r>
              <w:rPr>
                <w:noProof/>
              </w:rPr>
              <w:t>Participarea la programe de socializare a forței de muncă</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8D7D5E7" w14:textId="77777777" w:rsidR="00702291" w:rsidRDefault="00702291">
            <w:pPr>
              <w:spacing w:after="120" w:line="240" w:lineRule="auto"/>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0B35EB91" w14:textId="77777777" w:rsidR="00702291" w:rsidRDefault="00712B31">
            <w:pPr>
              <w:pStyle w:val="P68B1DB1-Normal32"/>
              <w:spacing w:after="120" w:line="240" w:lineRule="auto"/>
              <w:rPr>
                <w:rFonts w:eastAsiaTheme="minorHAnsi"/>
                <w:noProof/>
              </w:rPr>
            </w:pPr>
            <w:r>
              <w:rPr>
                <w:noProof/>
              </w:rPr>
              <w:t>Număr</w:t>
            </w:r>
          </w:p>
        </w:tc>
        <w:tc>
          <w:tcPr>
            <w:tcW w:w="993" w:type="dxa"/>
            <w:tcBorders>
              <w:top w:val="single" w:sz="4" w:space="0" w:color="auto"/>
              <w:left w:val="nil"/>
              <w:bottom w:val="single" w:sz="4" w:space="0" w:color="auto"/>
              <w:right w:val="single" w:sz="4" w:space="0" w:color="auto"/>
            </w:tcBorders>
            <w:shd w:val="clear" w:color="auto" w:fill="C6EFCE"/>
            <w:vAlign w:val="center"/>
          </w:tcPr>
          <w:p w14:paraId="2E9ADBD7" w14:textId="77777777" w:rsidR="00702291" w:rsidRDefault="00712B31">
            <w:pPr>
              <w:pStyle w:val="P68B1DB1-Normal32"/>
              <w:spacing w:after="120" w:line="240" w:lineRule="auto"/>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5F0897F" w14:textId="232DFD8C" w:rsidR="00702291" w:rsidRDefault="00712B31">
            <w:pPr>
              <w:pStyle w:val="P68B1DB1-Normal32"/>
              <w:spacing w:after="120" w:line="240" w:lineRule="auto"/>
              <w:rPr>
                <w:noProof/>
              </w:rPr>
            </w:pPr>
            <w:r>
              <w:rPr>
                <w:noProof/>
              </w:rPr>
              <w:t>7 000</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77D77E10" w14:textId="4276EC19" w:rsidR="00702291" w:rsidRDefault="00F233DB">
            <w:pPr>
              <w:pStyle w:val="P68B1DB1-Normal32"/>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10C1D1B" w14:textId="24D2D2A6" w:rsidR="00702291" w:rsidRDefault="00712B31">
            <w:pPr>
              <w:pStyle w:val="P68B1DB1-Normal32"/>
              <w:spacing w:after="120" w:line="240" w:lineRule="auto"/>
              <w:rPr>
                <w:rFonts w:eastAsiaTheme="minorHAnsi"/>
                <w:noProof/>
              </w:rPr>
            </w:pPr>
            <w:r>
              <w:rPr>
                <w:noProof/>
              </w:rPr>
              <w:t>2026</w:t>
            </w:r>
          </w:p>
        </w:tc>
        <w:tc>
          <w:tcPr>
            <w:tcW w:w="4365" w:type="dxa"/>
            <w:tcBorders>
              <w:top w:val="single" w:sz="4" w:space="0" w:color="auto"/>
              <w:left w:val="nil"/>
              <w:bottom w:val="single" w:sz="4" w:space="0" w:color="auto"/>
              <w:right w:val="single" w:sz="4" w:space="0" w:color="auto"/>
            </w:tcBorders>
            <w:shd w:val="clear" w:color="auto" w:fill="C6EFCE"/>
            <w:vAlign w:val="center"/>
          </w:tcPr>
          <w:p w14:paraId="68C560DC" w14:textId="71E413CF" w:rsidR="00702291" w:rsidRDefault="00712B31">
            <w:pPr>
              <w:pStyle w:val="P68B1DB1-Normal32"/>
              <w:spacing w:after="120" w:line="240" w:lineRule="auto"/>
              <w:jc w:val="both"/>
              <w:rPr>
                <w:noProof/>
              </w:rPr>
            </w:pPr>
            <w:r>
              <w:rPr>
                <w:noProof/>
              </w:rPr>
              <w:t>Cel puțin 7 000 de persoane din municipalitățile selectate în cadrul programului „Catching up Settlements” au participat la programe de socializare a forței de muncă, de exemplu ateliere, formare, mentorat sau servicii personalizate de ocupare a forței de muncă.</w:t>
            </w:r>
          </w:p>
        </w:tc>
      </w:tr>
      <w:tr w:rsidR="00702291" w14:paraId="0A1D2290" w14:textId="77777777" w:rsidTr="00FA4E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3FBD64" w14:textId="01254276" w:rsidR="00702291" w:rsidRDefault="00712B31">
            <w:pPr>
              <w:pStyle w:val="P68B1DB1-Normal32"/>
              <w:spacing w:after="120" w:line="240" w:lineRule="auto"/>
              <w:rPr>
                <w:noProof/>
              </w:rPr>
            </w:pPr>
            <w:r>
              <w:rPr>
                <w:noProof/>
              </w:rPr>
              <w:t>15</w:t>
            </w:r>
          </w:p>
        </w:tc>
        <w:tc>
          <w:tcPr>
            <w:tcW w:w="2127" w:type="dxa"/>
            <w:tcBorders>
              <w:top w:val="single" w:sz="4" w:space="0" w:color="auto"/>
              <w:left w:val="nil"/>
              <w:bottom w:val="single" w:sz="4" w:space="0" w:color="auto"/>
              <w:right w:val="single" w:sz="4" w:space="0" w:color="auto"/>
            </w:tcBorders>
            <w:shd w:val="clear" w:color="auto" w:fill="C6EFCE"/>
            <w:vAlign w:val="center"/>
            <w:hideMark/>
          </w:tcPr>
          <w:p w14:paraId="45518037" w14:textId="5B8DF946" w:rsidR="00702291" w:rsidRDefault="00712B31">
            <w:pPr>
              <w:pStyle w:val="P68B1DB1-Normal32"/>
              <w:spacing w:after="120" w:line="240" w:lineRule="auto"/>
              <w:rPr>
                <w:rFonts w:eastAsiaTheme="minorHAnsi"/>
                <w:noProof/>
              </w:rPr>
            </w:pPr>
            <w:r>
              <w:rPr>
                <w:noProof/>
              </w:rPr>
              <w:t>C3.I3 pedagogie orientată spre comunitate</w:t>
            </w:r>
          </w:p>
        </w:tc>
        <w:tc>
          <w:tcPr>
            <w:tcW w:w="879" w:type="dxa"/>
            <w:tcBorders>
              <w:top w:val="single" w:sz="4" w:space="0" w:color="auto"/>
              <w:left w:val="nil"/>
              <w:bottom w:val="single" w:sz="4" w:space="0" w:color="auto"/>
              <w:right w:val="single" w:sz="4" w:space="0" w:color="auto"/>
            </w:tcBorders>
            <w:shd w:val="clear" w:color="auto" w:fill="C6EFCE"/>
            <w:vAlign w:val="center"/>
            <w:hideMark/>
          </w:tcPr>
          <w:p w14:paraId="62B0A47B" w14:textId="77777777" w:rsidR="00702291" w:rsidRDefault="00712B31">
            <w:pPr>
              <w:pStyle w:val="P68B1DB1-Normal32"/>
              <w:spacing w:after="120" w:line="240" w:lineRule="auto"/>
              <w:rPr>
                <w:rFonts w:eastAsiaTheme="minorHAnsi"/>
                <w:noProof/>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vAlign w:val="center"/>
            <w:hideMark/>
          </w:tcPr>
          <w:p w14:paraId="2DA2EF1B" w14:textId="7CCD5344" w:rsidR="00702291" w:rsidRDefault="00712B31">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Dezvoltarea pedagogică a instituțiilor publice de învățământ </w:t>
            </w:r>
            <w:r>
              <w:rPr>
                <w:rStyle w:val="normaltextrun"/>
                <w:rFonts w:ascii="Times New Roman" w:hAnsi="Times New Roman" w:cs="Times New Roman"/>
                <w:noProof/>
                <w:sz w:val="18"/>
                <w:szCs w:val="18"/>
                <w:bdr w:val="none" w:sz="0" w:space="0" w:color="auto" w:frame="1"/>
              </w:rPr>
              <w:t xml:space="preserve">sau de formare profesională </w:t>
            </w:r>
          </w:p>
        </w:tc>
        <w:tc>
          <w:tcPr>
            <w:tcW w:w="1276" w:type="dxa"/>
            <w:tcBorders>
              <w:top w:val="single" w:sz="4" w:space="0" w:color="auto"/>
              <w:left w:val="nil"/>
              <w:bottom w:val="single" w:sz="4" w:space="0" w:color="auto"/>
              <w:right w:val="single" w:sz="4" w:space="0" w:color="auto"/>
            </w:tcBorders>
            <w:shd w:val="clear" w:color="auto" w:fill="C6EFCE"/>
            <w:vAlign w:val="center"/>
            <w:hideMark/>
          </w:tcPr>
          <w:p w14:paraId="5EBBB247" w14:textId="77777777" w:rsidR="00702291" w:rsidRDefault="00702291">
            <w:pPr>
              <w:spacing w:after="120" w:line="240" w:lineRule="auto"/>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vAlign w:val="center"/>
            <w:hideMark/>
          </w:tcPr>
          <w:p w14:paraId="61B334F8" w14:textId="77777777" w:rsidR="00702291" w:rsidRDefault="00712B31">
            <w:pPr>
              <w:pStyle w:val="P68B1DB1-Normal32"/>
              <w:spacing w:after="120" w:line="240" w:lineRule="auto"/>
              <w:rPr>
                <w:rFonts w:eastAsiaTheme="minorHAnsi"/>
                <w:noProof/>
              </w:rPr>
            </w:pPr>
            <w:r>
              <w:rPr>
                <w:noProof/>
              </w:rPr>
              <w:t>Număr</w:t>
            </w:r>
          </w:p>
        </w:tc>
        <w:tc>
          <w:tcPr>
            <w:tcW w:w="993" w:type="dxa"/>
            <w:tcBorders>
              <w:top w:val="single" w:sz="4" w:space="0" w:color="auto"/>
              <w:left w:val="nil"/>
              <w:bottom w:val="single" w:sz="4" w:space="0" w:color="auto"/>
              <w:right w:val="single" w:sz="4" w:space="0" w:color="auto"/>
            </w:tcBorders>
            <w:shd w:val="clear" w:color="auto" w:fill="C6EFCE"/>
            <w:vAlign w:val="center"/>
            <w:hideMark/>
          </w:tcPr>
          <w:p w14:paraId="3303EC81" w14:textId="6C0065D7" w:rsidR="00702291" w:rsidRDefault="00712B31">
            <w:pPr>
              <w:pStyle w:val="P68B1DB1-Normal32"/>
              <w:spacing w:after="120" w:line="240" w:lineRule="auto"/>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vAlign w:val="center"/>
            <w:hideMark/>
          </w:tcPr>
          <w:p w14:paraId="3894E59C" w14:textId="2043A9A4" w:rsidR="00702291" w:rsidRDefault="00712B31">
            <w:pPr>
              <w:pStyle w:val="P68B1DB1-Normal32"/>
              <w:spacing w:after="120" w:line="240" w:lineRule="auto"/>
              <w:rPr>
                <w:noProof/>
              </w:rPr>
            </w:pPr>
            <w:r>
              <w:rPr>
                <w:noProof/>
              </w:rPr>
              <w:t>60</w:t>
            </w:r>
          </w:p>
        </w:tc>
        <w:tc>
          <w:tcPr>
            <w:tcW w:w="1134" w:type="dxa"/>
            <w:tcBorders>
              <w:top w:val="single" w:sz="4" w:space="0" w:color="auto"/>
              <w:left w:val="nil"/>
              <w:bottom w:val="single" w:sz="4" w:space="0" w:color="auto"/>
              <w:right w:val="single" w:sz="4" w:space="0" w:color="auto"/>
            </w:tcBorders>
            <w:shd w:val="clear" w:color="auto" w:fill="C6EFCE"/>
            <w:vAlign w:val="center"/>
            <w:hideMark/>
          </w:tcPr>
          <w:p w14:paraId="433955DB" w14:textId="769950F2" w:rsidR="00702291" w:rsidRDefault="00F233DB">
            <w:pPr>
              <w:pStyle w:val="P68B1DB1-Normal32"/>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hideMark/>
          </w:tcPr>
          <w:p w14:paraId="099F97A4" w14:textId="77777777" w:rsidR="00702291" w:rsidRDefault="00712B31">
            <w:pPr>
              <w:pStyle w:val="P68B1DB1-Normal32"/>
              <w:spacing w:after="120" w:line="240" w:lineRule="auto"/>
              <w:rPr>
                <w:rFonts w:eastAsiaTheme="minorHAnsi"/>
                <w:noProof/>
              </w:rPr>
            </w:pPr>
            <w:r>
              <w:rPr>
                <w:noProof/>
              </w:rPr>
              <w:t>2026</w:t>
            </w:r>
          </w:p>
        </w:tc>
        <w:tc>
          <w:tcPr>
            <w:tcW w:w="4365" w:type="dxa"/>
            <w:tcBorders>
              <w:top w:val="single" w:sz="4" w:space="0" w:color="auto"/>
              <w:left w:val="nil"/>
              <w:bottom w:val="single" w:sz="4" w:space="0" w:color="auto"/>
              <w:right w:val="single" w:sz="4" w:space="0" w:color="auto"/>
            </w:tcBorders>
            <w:shd w:val="clear" w:color="auto" w:fill="C6EFCE"/>
            <w:vAlign w:val="center"/>
            <w:hideMark/>
          </w:tcPr>
          <w:p w14:paraId="4A892354" w14:textId="46E8003F" w:rsidR="00702291" w:rsidRDefault="00712B31">
            <w:pPr>
              <w:pStyle w:val="P68B1DB1-Normal32"/>
              <w:spacing w:after="120" w:line="240" w:lineRule="auto"/>
              <w:jc w:val="both"/>
              <w:rPr>
                <w:noProof/>
              </w:rPr>
            </w:pPr>
            <w:r>
              <w:rPr>
                <w:noProof/>
              </w:rPr>
              <w:t>Participarea a cel puțin 60 instituții publice de învățământ sau de formare profesională din municipalitățile selectate în cadrul programului de recuperare a decalajelor la programe de dezvoltare pedagogică favorabile incluziunii și orientate către comunitate, de exemplu diagnostice sociale pentru instituțiile publice de învățământ, programe școlare extinse și metode de orientare profesională pentru profesori.</w:t>
            </w:r>
          </w:p>
        </w:tc>
      </w:tr>
    </w:tbl>
    <w:p w14:paraId="1AC3A803" w14:textId="77777777" w:rsidR="00702291" w:rsidRDefault="00702291">
      <w:pPr>
        <w:spacing w:after="120" w:line="240" w:lineRule="auto"/>
        <w:rPr>
          <w:rFonts w:ascii="Times New Roman" w:hAnsi="Times New Roman" w:cs="Times New Roman"/>
          <w:b/>
          <w:noProof/>
          <w:sz w:val="24"/>
          <w:szCs w:val="24"/>
          <w:u w:val="single"/>
        </w:rPr>
      </w:pPr>
    </w:p>
    <w:p w14:paraId="5F112952" w14:textId="77777777" w:rsidR="00702291" w:rsidRDefault="00702291">
      <w:pPr>
        <w:spacing w:after="120" w:line="240" w:lineRule="auto"/>
        <w:jc w:val="both"/>
        <w:rPr>
          <w:rFonts w:ascii="Times New Roman" w:hAnsi="Times New Roman" w:cs="Times New Roman"/>
          <w:noProof/>
          <w:sz w:val="24"/>
          <w:szCs w:val="24"/>
        </w:rPr>
        <w:sectPr w:rsidR="00702291" w:rsidSect="009030B8">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64897E3D" w14:textId="4B975F43" w:rsidR="00702291" w:rsidRDefault="00712B31">
      <w:pPr>
        <w:pStyle w:val="P68B1DB1-Normal2"/>
        <w:keepNext/>
        <w:spacing w:after="120" w:line="240" w:lineRule="auto"/>
        <w:jc w:val="both"/>
        <w:outlineLvl w:val="1"/>
        <w:rPr>
          <w:noProof/>
        </w:rPr>
      </w:pPr>
      <w:r>
        <w:rPr>
          <w:noProof/>
        </w:rPr>
        <w:t>D. COMPONENTA 4: GESTIONAREA APEI ȘI ECONOMIA CIRCULARĂ</w:t>
      </w:r>
    </w:p>
    <w:p w14:paraId="41CEF560" w14:textId="61A34D8A" w:rsidR="00702291" w:rsidRDefault="00712B31">
      <w:pPr>
        <w:pStyle w:val="P68B1DB1-Normal36"/>
        <w:spacing w:after="120" w:line="240" w:lineRule="auto"/>
        <w:jc w:val="both"/>
        <w:rPr>
          <w:rFonts w:cs="Times New Roman"/>
          <w:noProof/>
        </w:rPr>
      </w:pPr>
      <w:r>
        <w:rPr>
          <w:noProof/>
        </w:rPr>
        <w:t xml:space="preserve">Această componentă a planului de redresare și reziliență al Ungariei urmărește să abordeze provocările cu care se confruntă Ungaria în ceea ce privește gestionarea apei și tranziția sa către o economie circulară. </w:t>
      </w:r>
    </w:p>
    <w:p w14:paraId="7E4791B5" w14:textId="5DEA13CE" w:rsidR="00702291" w:rsidRDefault="00712B31">
      <w:pPr>
        <w:pStyle w:val="P68B1DB1-Normal36"/>
        <w:spacing w:after="120" w:line="240" w:lineRule="auto"/>
        <w:jc w:val="both"/>
        <w:rPr>
          <w:noProof/>
        </w:rPr>
      </w:pPr>
      <w:r>
        <w:rPr>
          <w:noProof/>
        </w:rPr>
        <w:t>Deficitul de apă are un efect negativ asupra stării corpurilor de apă, a ecosistemelor și a terenurilor agricole. Obiectivul acestei componente este de a contribui la introducerea unor soluții în domeniul gestionării apei prin stabilirea unui plan de acțiune și a unor măsuri de retenție a apei.</w:t>
      </w:r>
    </w:p>
    <w:p w14:paraId="5A7B7B39" w14:textId="1D071862" w:rsidR="00702291" w:rsidRDefault="00712B31">
      <w:pPr>
        <w:pStyle w:val="P68B1DB1-Normal36"/>
        <w:spacing w:after="120" w:line="240" w:lineRule="auto"/>
        <w:jc w:val="both"/>
        <w:rPr>
          <w:noProof/>
        </w:rPr>
      </w:pPr>
      <w:r>
        <w:rPr>
          <w:noProof/>
        </w:rPr>
        <w:t>Măsurile din cadrul economiei circulare contribuie la un sistem mai dezvoltat de gestionare a deșeurilor în Ungaria. Acest lucru necesită stabilirea principalelor cerințe legislative și procedurale pentru pregătirea economiei maghiare în vederea tranziției către economia circulară, însoțite de activități de sensibilizare cu privire la reciclarea deșeurilor. Obiectivele acestei componente sunt în concordanță cu cadrul UE de gestionare a deșeurilor.</w:t>
      </w:r>
    </w:p>
    <w:p w14:paraId="1AADC684" w14:textId="55AF06F9" w:rsidR="00702291" w:rsidRDefault="00712B31">
      <w:pPr>
        <w:pStyle w:val="P68B1DB1-Normal36"/>
        <w:spacing w:after="120" w:line="240" w:lineRule="auto"/>
        <w:jc w:val="both"/>
        <w:rPr>
          <w:rFonts w:eastAsia="Times New Roman" w:cs="Times New Roman"/>
          <w:noProof/>
        </w:rPr>
      </w:pPr>
      <w:r>
        <w:rPr>
          <w:noProof/>
        </w:rPr>
        <w:t xml:space="preserve">Componenta contribuie la abordarea recomandărilor specifice fiecărei țări de a concentra politica economică legată de investiții asupra gestionării durabile a apei (Recomandarea specifică fiecărei țări nr. 3 din 2020 și Recomandarea specifică fiecărei țări nr. 5 din 2022). În plus, această componentă contribuie la abordarea recomandărilor specifice fiecărei țări de promovare a reformei privind gestionarea durabilă a deșeurilor și circularitatea economiei (Recomandarea specifică fiecărei țări nr. 5 din 2022). </w:t>
      </w:r>
    </w:p>
    <w:p w14:paraId="6E5791FA" w14:textId="68AC4B99" w:rsidR="00702291" w:rsidRDefault="00712B31">
      <w:pPr>
        <w:pStyle w:val="P68B1DB1-Normal6"/>
        <w:spacing w:after="120" w:line="240" w:lineRule="auto"/>
        <w:jc w:val="both"/>
        <w:rPr>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B806489" w14:textId="77777777" w:rsidR="00702291" w:rsidRDefault="00712B31">
      <w:pPr>
        <w:pStyle w:val="P68B1DB1-Heading310"/>
        <w:spacing w:before="0" w:after="120"/>
        <w:rPr>
          <w:rFonts w:eastAsiaTheme="minorHAnsi"/>
          <w:noProof/>
        </w:rPr>
      </w:pPr>
      <w:r>
        <w:rPr>
          <w:noProof/>
        </w:rPr>
        <w:t>D.1. Descrierea reformelor și a investițiilor pentru sprijinul financiar nerambursabil</w:t>
      </w:r>
    </w:p>
    <w:p w14:paraId="279D8F66" w14:textId="15B64399" w:rsidR="00702291" w:rsidRDefault="00712B31">
      <w:pPr>
        <w:pStyle w:val="P68B1DB1-Heading411"/>
        <w:spacing w:before="0" w:after="120" w:line="240" w:lineRule="auto"/>
        <w:rPr>
          <w:rFonts w:eastAsiaTheme="minorHAnsi"/>
          <w:noProof/>
        </w:rPr>
      </w:pPr>
      <w:r>
        <w:rPr>
          <w:noProof/>
        </w:rPr>
        <w:t>C4.R1: Sensibilizare – apă</w:t>
      </w:r>
    </w:p>
    <w:p w14:paraId="78695F17" w14:textId="77777777" w:rsidR="00702291" w:rsidRDefault="00712B31">
      <w:pPr>
        <w:pStyle w:val="P68B1DB1-Normal6"/>
        <w:spacing w:after="120" w:line="240" w:lineRule="auto"/>
        <w:jc w:val="both"/>
        <w:rPr>
          <w:noProof/>
        </w:rPr>
      </w:pPr>
      <w:r>
        <w:rPr>
          <w:noProof/>
        </w:rPr>
        <w:t>Obiectivul reformei este de a stabili un cadru de gestionare a apei</w:t>
      </w:r>
      <w:r>
        <w:rPr>
          <w:noProof/>
        </w:rPr>
        <w:noBreakHyphen/>
        <w:t xml:space="preserve"> rezilient la schimbările climatice și durabil prin alinierea utilizării apei la resursele de apă disponibile și la previziunile privind schimbările climatice. </w:t>
      </w:r>
    </w:p>
    <w:p w14:paraId="16485352" w14:textId="34DD175B" w:rsidR="00702291" w:rsidRDefault="00712B31">
      <w:pPr>
        <w:pStyle w:val="P68B1DB1-Normal36"/>
        <w:spacing w:after="120" w:line="240" w:lineRule="auto"/>
        <w:jc w:val="both"/>
        <w:rPr>
          <w:rFonts w:eastAsia="Times New Roman" w:cs="Times New Roman"/>
          <w:b/>
          <w:noProof/>
        </w:rPr>
      </w:pPr>
      <w:r>
        <w:rPr>
          <w:noProof/>
        </w:rPr>
        <w:t xml:space="preserve">Măsura constă în adoptarea unui plan de acțiune privind gestionarea durabilă a apei și realizarea unor intervenții controlate de reținere a apei. </w:t>
      </w:r>
    </w:p>
    <w:p w14:paraId="7F776729" w14:textId="526147D8" w:rsidR="00702291" w:rsidRDefault="00712B31">
      <w:pPr>
        <w:pStyle w:val="P68B1DB1-Heading411"/>
        <w:spacing w:before="0" w:after="120" w:line="240" w:lineRule="auto"/>
        <w:rPr>
          <w:noProof/>
        </w:rPr>
      </w:pPr>
      <w:r>
        <w:rPr>
          <w:noProof/>
        </w:rPr>
        <w:t>C4.I1: Protecția naturii</w:t>
      </w:r>
    </w:p>
    <w:p w14:paraId="004D13C5" w14:textId="33DF59CC" w:rsidR="00702291" w:rsidRDefault="00712B31">
      <w:pPr>
        <w:pStyle w:val="P68B1DB1-Normal34"/>
        <w:spacing w:after="120" w:line="240" w:lineRule="auto"/>
        <w:jc w:val="both"/>
        <w:rPr>
          <w:noProof/>
        </w:rPr>
      </w:pPr>
      <w:r>
        <w:rPr>
          <w:noProof/>
        </w:rPr>
        <w:t xml:space="preserve">Obiectivul acestei investiții este de a îmbunătăți calitatea apei și starea ecologică a tronsonului (Soroksári) -Dunăre prin construirea și punerea în funcțiune a noii stații de pompare Kvassay și a infrastructurii aferente și de a asigura o aprovizionare cu apă fiabilă și rezilientă la schimbările climatice. </w:t>
      </w:r>
    </w:p>
    <w:p w14:paraId="28693442" w14:textId="70F6A6F0" w:rsidR="00702291" w:rsidRDefault="00712B31">
      <w:pPr>
        <w:pStyle w:val="P68B1DB1-Normal34"/>
        <w:spacing w:after="120" w:line="240" w:lineRule="auto"/>
        <w:jc w:val="both"/>
        <w:rPr>
          <w:noProof/>
          <w:highlight w:val="yellow"/>
        </w:rPr>
      </w:pPr>
      <w:r>
        <w:rPr>
          <w:noProof/>
        </w:rPr>
        <w:t>Măsura constă în finalizarea structurii de aspirație de pe partea dunăreană a noii stații de pompare, instalarea a patru pompe de elice cu echipamentele lor mecanice și electrice și stabilirea sistemului de alimentare cu energie electrică de înaltă</w:t>
      </w:r>
      <w:r>
        <w:rPr>
          <w:noProof/>
        </w:rPr>
        <w:noBreakHyphen/>
        <w:t xml:space="preserve"> tensiune și de control. </w:t>
      </w:r>
    </w:p>
    <w:p w14:paraId="3B14D3CA" w14:textId="1C48FE94" w:rsidR="00702291" w:rsidRDefault="00712B31">
      <w:pPr>
        <w:pStyle w:val="P68B1DB1-Heading411"/>
        <w:spacing w:before="0" w:after="120" w:line="240" w:lineRule="auto"/>
        <w:rPr>
          <w:rFonts w:eastAsiaTheme="minorHAnsi"/>
          <w:noProof/>
        </w:rPr>
      </w:pPr>
      <w:r>
        <w:rPr>
          <w:noProof/>
        </w:rPr>
        <w:t>C4.R2: Reglementarea internă a tranziției către o economie circulară</w:t>
      </w:r>
    </w:p>
    <w:p w14:paraId="290DCB05" w14:textId="77777777" w:rsidR="00702291" w:rsidRDefault="00712B31">
      <w:pPr>
        <w:pStyle w:val="P68B1DB1-Normal36"/>
        <w:spacing w:after="120" w:line="240" w:lineRule="auto"/>
        <w:jc w:val="both"/>
        <w:rPr>
          <w:rFonts w:eastAsiaTheme="minorHAnsi"/>
          <w:noProof/>
        </w:rPr>
      </w:pPr>
      <w:r>
        <w:rPr>
          <w:noProof/>
        </w:rPr>
        <w:t xml:space="preserve">Obiectivul acestei măsuri este de a crea un cadru juridic solid pentru tranziția către o economie circulară. </w:t>
      </w:r>
    </w:p>
    <w:p w14:paraId="1132421B" w14:textId="7C05CCCD" w:rsidR="00702291" w:rsidRDefault="00712B31">
      <w:pPr>
        <w:pStyle w:val="P68B1DB1-Normal34"/>
        <w:spacing w:after="120" w:line="240" w:lineRule="auto"/>
        <w:rPr>
          <w:noProof/>
        </w:rPr>
      </w:pPr>
      <w:r>
        <w:rPr>
          <w:noProof/>
        </w:rPr>
        <w:t xml:space="preserve">Măsura constă în intrarea în vigoare a modificărilor aduse cadrului juridic în vederea creării unui mediu favorabil gestionării deșeurilor în Ungaria. </w:t>
      </w:r>
    </w:p>
    <w:p w14:paraId="501EBDA1" w14:textId="6575371C" w:rsidR="00702291" w:rsidRDefault="00712B31">
      <w:pPr>
        <w:pStyle w:val="P68B1DB1-Heading411"/>
        <w:spacing w:before="0" w:after="120" w:line="240" w:lineRule="auto"/>
        <w:rPr>
          <w:noProof/>
        </w:rPr>
      </w:pPr>
      <w:r>
        <w:rPr>
          <w:noProof/>
        </w:rPr>
        <w:t>C4.R3: Plan de acțiune pentru activitățile de sensibilizare la nivel local</w:t>
      </w:r>
    </w:p>
    <w:p w14:paraId="465DAFB1" w14:textId="77777777" w:rsidR="00702291" w:rsidRDefault="00712B31">
      <w:pPr>
        <w:pStyle w:val="P68B1DB1-Normal36"/>
        <w:spacing w:after="120" w:line="240" w:lineRule="auto"/>
        <w:jc w:val="both"/>
        <w:rPr>
          <w:rFonts w:cs="Times New Roman"/>
          <w:noProof/>
        </w:rPr>
      </w:pPr>
      <w:r>
        <w:rPr>
          <w:noProof/>
        </w:rPr>
        <w:t xml:space="preserve">Obiectivul măsurii este de a sensibiliza populația cu privire la reciclarea deșeurilor. </w:t>
      </w:r>
    </w:p>
    <w:p w14:paraId="05D0D602" w14:textId="5C6A9343" w:rsidR="00702291" w:rsidRDefault="00712B31">
      <w:pPr>
        <w:pStyle w:val="P68B1DB1-Normal36"/>
        <w:autoSpaceDE w:val="0"/>
        <w:autoSpaceDN w:val="0"/>
        <w:spacing w:after="120" w:line="240" w:lineRule="auto"/>
        <w:jc w:val="both"/>
        <w:rPr>
          <w:rFonts w:cs="Times New Roman"/>
          <w:b/>
          <w:noProof/>
          <w:u w:val="single"/>
        </w:rPr>
        <w:sectPr w:rsidR="00702291" w:rsidSect="009030B8">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08"/>
          <w:docGrid w:linePitch="360"/>
        </w:sectPr>
      </w:pPr>
      <w:r>
        <w:rPr>
          <w:noProof/>
        </w:rPr>
        <w:t>Reforma constă în adoptarea unui plan național de acțiune în domeniul comunicării, care informează publicul larg cu privire la nivelurile superioare ale ierarhiei deșeurilor.</w:t>
      </w:r>
    </w:p>
    <w:p w14:paraId="37AEC7DE" w14:textId="77777777" w:rsidR="00702291" w:rsidRDefault="00712B31">
      <w:pPr>
        <w:pStyle w:val="P68B1DB1-Heading310"/>
        <w:spacing w:before="0" w:after="120"/>
        <w:rPr>
          <w:noProof/>
        </w:rPr>
      </w:pPr>
      <w:r>
        <w:rPr>
          <w:noProof/>
        </w:rPr>
        <w:t xml:space="preserve">D.2. </w:t>
      </w:r>
      <w:r>
        <w:rPr>
          <w:noProof/>
        </w:rPr>
        <w:tab/>
        <w:t>Jaloane, ținte, indicatori și calendarul de monitorizare și implementare aplicabile sprijinului financiar nerambursabil</w:t>
      </w:r>
    </w:p>
    <w:tbl>
      <w:tblPr>
        <w:tblStyle w:val="GridTable1Light-Accent1"/>
        <w:tblW w:w="1526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35"/>
        <w:gridCol w:w="1417"/>
        <w:gridCol w:w="992"/>
        <w:gridCol w:w="1560"/>
        <w:gridCol w:w="1270"/>
        <w:gridCol w:w="992"/>
        <w:gridCol w:w="993"/>
        <w:gridCol w:w="850"/>
        <w:gridCol w:w="992"/>
        <w:gridCol w:w="636"/>
        <w:gridCol w:w="4426"/>
      </w:tblGrid>
      <w:tr w:rsidR="00702291" w14:paraId="1BAA6D9A" w14:textId="77777777" w:rsidTr="00FA4EAF">
        <w:trPr>
          <w:cnfStyle w:val="100000000000" w:firstRow="1" w:lastRow="0" w:firstColumn="0" w:lastColumn="0" w:oddVBand="0" w:evenVBand="0" w:oddHBand="0" w:evenHBand="0" w:firstRowFirstColumn="0" w:firstRowLastColumn="0" w:lastRowFirstColumn="0" w:lastRowLastColumn="0"/>
          <w:trHeight w:val="1016"/>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73671E1" w14:textId="77777777" w:rsidR="00702291" w:rsidRDefault="00712B31">
            <w:pPr>
              <w:pStyle w:val="P68B1DB1-Normal32"/>
              <w:spacing w:after="120"/>
              <w:jc w:val="center"/>
              <w:rPr>
                <w:noProof/>
              </w:rPr>
            </w:pPr>
            <w:r>
              <w:rPr>
                <w:noProof/>
              </w:rPr>
              <w:t>Număr secvențial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EBBA39A"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F7FFCC6" w14:textId="4313CB95"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Etapă/</w:t>
            </w:r>
            <w:r w:rsidR="00FA4EAF">
              <w:rPr>
                <w:noProof/>
              </w:rPr>
              <w:t xml:space="preserve"> </w:t>
            </w:r>
            <w:r>
              <w:rPr>
                <w:noProof/>
              </w:rPr>
              <w:t>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C1109BF"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Nume</w:t>
            </w:r>
          </w:p>
        </w:tc>
        <w:tc>
          <w:tcPr>
            <w:tcW w:w="127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4AFF214" w14:textId="362AD2EC"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Indicatori calitativi </w:t>
            </w:r>
            <w:r>
              <w:rPr>
                <w:noProof/>
              </w:rPr>
              <w:b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CE6AF52" w14:textId="76AA93DF"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Indicatori cantitativi </w:t>
            </w:r>
            <w:r>
              <w:rPr>
                <w:noProof/>
              </w:rPr>
              <w:br/>
              <w:t>(pentru obiective)</w:t>
            </w:r>
          </w:p>
        </w:tc>
        <w:tc>
          <w:tcPr>
            <w:tcW w:w="1628"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8E0D6A0"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Calendar orientativ pentru finalizare</w:t>
            </w:r>
          </w:p>
        </w:tc>
        <w:tc>
          <w:tcPr>
            <w:tcW w:w="442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49678F1"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Descrierea fiecărui jalon și a fiecărei ținte</w:t>
            </w:r>
          </w:p>
        </w:tc>
      </w:tr>
      <w:tr w:rsidR="00FA4EAF" w14:paraId="2E260657" w14:textId="77777777" w:rsidTr="00FA4EAF">
        <w:trPr>
          <w:cnfStyle w:val="100000000000" w:firstRow="1" w:lastRow="0" w:firstColumn="0" w:lastColumn="0" w:oddVBand="0" w:evenVBand="0" w:oddHBand="0" w:evenHBand="0" w:firstRowFirstColumn="0" w:firstRowLastColumn="0" w:lastRowFirstColumn="0" w:lastRowLastColumn="0"/>
          <w:trHeight w:val="601"/>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ign w:val="center"/>
          </w:tcPr>
          <w:p w14:paraId="743B5B53" w14:textId="77777777" w:rsidR="00702291" w:rsidRDefault="00702291">
            <w:pPr>
              <w:spacing w:after="120"/>
              <w:rPr>
                <w:rFonts w:ascii="Times New Roman" w:hAnsi="Times New Roman" w:cs="Times New Roman"/>
                <w:b w:val="0"/>
                <w:noProof/>
                <w:sz w:val="18"/>
                <w:szCs w:val="18"/>
              </w:rPr>
            </w:pPr>
          </w:p>
        </w:tc>
        <w:tc>
          <w:tcPr>
            <w:tcW w:w="1417" w:type="dxa"/>
            <w:vMerge/>
            <w:vAlign w:val="center"/>
          </w:tcPr>
          <w:p w14:paraId="242B69B4" w14:textId="77777777" w:rsidR="00702291" w:rsidRDefault="0070229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vMerge/>
            <w:vAlign w:val="center"/>
          </w:tcPr>
          <w:p w14:paraId="3082DD42" w14:textId="77777777" w:rsidR="00702291" w:rsidRDefault="0070229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560" w:type="dxa"/>
            <w:vMerge/>
            <w:vAlign w:val="center"/>
          </w:tcPr>
          <w:p w14:paraId="276EEFAA" w14:textId="77777777" w:rsidR="00702291" w:rsidRDefault="0070229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270" w:type="dxa"/>
            <w:vMerge/>
            <w:vAlign w:val="center"/>
          </w:tcPr>
          <w:p w14:paraId="65ED198F" w14:textId="77777777" w:rsidR="00702291" w:rsidRDefault="0070229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tcBorders>
              <w:top w:val="single" w:sz="4" w:space="0" w:color="auto"/>
              <w:bottom w:val="single" w:sz="4" w:space="0" w:color="auto"/>
            </w:tcBorders>
            <w:shd w:val="clear" w:color="auto" w:fill="B4C6E7" w:themeFill="accent1" w:themeFillTint="66"/>
            <w:vAlign w:val="center"/>
          </w:tcPr>
          <w:p w14:paraId="53FA63C1"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Unitatea de măsură</w:t>
            </w:r>
          </w:p>
        </w:tc>
        <w:tc>
          <w:tcPr>
            <w:tcW w:w="993" w:type="dxa"/>
            <w:tcBorders>
              <w:top w:val="single" w:sz="4" w:space="0" w:color="auto"/>
              <w:bottom w:val="single" w:sz="4" w:space="0" w:color="auto"/>
            </w:tcBorders>
            <w:shd w:val="clear" w:color="auto" w:fill="B4C6E7" w:themeFill="accent1" w:themeFillTint="66"/>
            <w:vAlign w:val="center"/>
          </w:tcPr>
          <w:p w14:paraId="47D1D707"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Situația de referință</w:t>
            </w:r>
          </w:p>
        </w:tc>
        <w:tc>
          <w:tcPr>
            <w:tcW w:w="850" w:type="dxa"/>
            <w:tcBorders>
              <w:top w:val="single" w:sz="4" w:space="0" w:color="auto"/>
              <w:bottom w:val="single" w:sz="4" w:space="0" w:color="auto"/>
            </w:tcBorders>
            <w:shd w:val="clear" w:color="auto" w:fill="B4C6E7" w:themeFill="accent1" w:themeFillTint="66"/>
            <w:vAlign w:val="center"/>
          </w:tcPr>
          <w:p w14:paraId="5833014E" w14:textId="77777777" w:rsidR="00702291" w:rsidRPr="00FA4EAF"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sz w:val="16"/>
                <w:szCs w:val="16"/>
              </w:rPr>
            </w:pPr>
            <w:r w:rsidRPr="00FA4EAF">
              <w:rPr>
                <w:noProof/>
                <w:sz w:val="16"/>
                <w:szCs w:val="16"/>
              </w:rPr>
              <w:t>Obiectiv</w:t>
            </w:r>
          </w:p>
        </w:tc>
        <w:tc>
          <w:tcPr>
            <w:tcW w:w="992" w:type="dxa"/>
            <w:tcBorders>
              <w:top w:val="single" w:sz="4" w:space="0" w:color="auto"/>
              <w:bottom w:val="single" w:sz="4" w:space="0" w:color="auto"/>
            </w:tcBorders>
            <w:shd w:val="clear" w:color="auto" w:fill="B4C6E7" w:themeFill="accent1" w:themeFillTint="66"/>
            <w:vAlign w:val="center"/>
          </w:tcPr>
          <w:p w14:paraId="37C5FE67" w14:textId="77777777" w:rsidR="00702291" w:rsidRPr="00FA4EAF"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sz w:val="16"/>
                <w:szCs w:val="16"/>
              </w:rPr>
            </w:pPr>
            <w:r w:rsidRPr="00FA4EAF">
              <w:rPr>
                <w:noProof/>
                <w:sz w:val="16"/>
                <w:szCs w:val="16"/>
              </w:rPr>
              <w:t>Trimestru</w:t>
            </w:r>
          </w:p>
        </w:tc>
        <w:tc>
          <w:tcPr>
            <w:tcW w:w="636" w:type="dxa"/>
            <w:tcBorders>
              <w:top w:val="single" w:sz="4" w:space="0" w:color="auto"/>
              <w:bottom w:val="single" w:sz="4" w:space="0" w:color="auto"/>
            </w:tcBorders>
            <w:shd w:val="clear" w:color="auto" w:fill="B4C6E7" w:themeFill="accent1" w:themeFillTint="66"/>
            <w:vAlign w:val="center"/>
          </w:tcPr>
          <w:p w14:paraId="41BD92EE"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Anul</w:t>
            </w:r>
          </w:p>
        </w:tc>
        <w:tc>
          <w:tcPr>
            <w:tcW w:w="4426" w:type="dxa"/>
            <w:vMerge/>
            <w:vAlign w:val="center"/>
          </w:tcPr>
          <w:p w14:paraId="20BA8250" w14:textId="77777777" w:rsidR="00702291" w:rsidRDefault="0070229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6A7608" w14:paraId="0555E2D6" w14:textId="77777777" w:rsidTr="00FA4EAF">
        <w:trPr>
          <w:trHeight w:val="1857"/>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03CDF1D4" w14:textId="7FA063FA" w:rsidR="00702291" w:rsidRDefault="00712B31">
            <w:pPr>
              <w:pStyle w:val="P68B1DB1-Normal32"/>
              <w:spacing w:after="120"/>
              <w:rPr>
                <w:b w:val="0"/>
                <w:bCs w:val="0"/>
                <w:noProof/>
              </w:rPr>
            </w:pPr>
            <w:r>
              <w:rPr>
                <w:noProof/>
              </w:rPr>
              <w:t>16</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0EC30AAA" w14:textId="7E8C5DFA"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C4.R1 Sensibilizare – apă</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6B7CDB85"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vAlign w:val="center"/>
          </w:tcPr>
          <w:p w14:paraId="2FFE6D43" w14:textId="058EDA99" w:rsidR="00702291" w:rsidRDefault="00712B31">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Adoptarea unui plan de acțiune privind gestionarea durabilă a apei </w:t>
            </w:r>
          </w:p>
        </w:tc>
        <w:tc>
          <w:tcPr>
            <w:tcW w:w="1270" w:type="dxa"/>
            <w:tcBorders>
              <w:top w:val="single" w:sz="4" w:space="0" w:color="auto"/>
              <w:left w:val="single" w:sz="4" w:space="0" w:color="auto"/>
              <w:bottom w:val="single" w:sz="4" w:space="0" w:color="auto"/>
              <w:right w:val="single" w:sz="4" w:space="0" w:color="auto"/>
            </w:tcBorders>
            <w:shd w:val="clear" w:color="auto" w:fill="C6EFCE"/>
            <w:vAlign w:val="center"/>
          </w:tcPr>
          <w:p w14:paraId="4EB26534" w14:textId="4FCF1EC7" w:rsidR="00702291" w:rsidRDefault="00712B31">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Se adoptă planul de acțiune privind gestionarea durabilă a apei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2CE148C5"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59B16EFA"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06FB5C9E"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741CCD2C" w14:textId="4A313810"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636" w:type="dxa"/>
            <w:tcBorders>
              <w:top w:val="single" w:sz="4" w:space="0" w:color="auto"/>
              <w:left w:val="single" w:sz="4" w:space="0" w:color="auto"/>
              <w:bottom w:val="single" w:sz="4" w:space="0" w:color="auto"/>
              <w:right w:val="single" w:sz="4" w:space="0" w:color="auto"/>
            </w:tcBorders>
            <w:shd w:val="clear" w:color="auto" w:fill="C6EFCE"/>
            <w:vAlign w:val="center"/>
          </w:tcPr>
          <w:p w14:paraId="0FF7FE88" w14:textId="462C3983"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tcBorders>
              <w:top w:val="single" w:sz="4" w:space="0" w:color="auto"/>
              <w:left w:val="single" w:sz="4" w:space="0" w:color="auto"/>
              <w:bottom w:val="single" w:sz="4" w:space="0" w:color="auto"/>
              <w:right w:val="single" w:sz="4" w:space="0" w:color="auto"/>
            </w:tcBorders>
            <w:shd w:val="clear" w:color="auto" w:fill="C6EFCE"/>
            <w:vAlign w:val="center"/>
          </w:tcPr>
          <w:p w14:paraId="7A1834E8" w14:textId="77777777" w:rsidR="00702291" w:rsidRDefault="00712B31">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Guvernul a adoptat un plan de acțiune privind gestionarea durabilă a apei, care stabilește măsuri, responsabilități și termene pentru:</w:t>
            </w:r>
          </w:p>
          <w:p w14:paraId="0DB29634" w14:textId="77777777" w:rsidR="00702291" w:rsidRDefault="00712B31">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alinierea utilizării apei la resursele de apă disponibile și la previziunile privind schimbările climatice, inclusiv reducerea impactului inundațiilor și al secetei și asigurarea rezilienței pe termen lung în domeniul apei.</w:t>
            </w:r>
          </w:p>
          <w:p w14:paraId="17390E5A" w14:textId="29A72F28" w:rsidR="00702291" w:rsidRDefault="00712B31">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prioritizarea soluțiilor bazate pe natură și a măsurilor de retenție naturală a apei, inclusiv integrarea acestora în planurile de management al bazinelor hidrografice și în amenajarea teritoriului</w:t>
            </w:r>
          </w:p>
          <w:p w14:paraId="02E854C9" w14:textId="77777777" w:rsidR="00702291" w:rsidRDefault="00712B31">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creșterea eficienței utilizării apei, inclusiv reducerea pierderilor și promovarea utilizării circulare a apei și a gestionării durabile a apelor pluviale urbane</w:t>
            </w:r>
          </w:p>
          <w:p w14:paraId="26095E71" w14:textId="77777777" w:rsidR="00702291" w:rsidRDefault="00712B31">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dezvoltarea competențelor verzi în sectorul apei și în domeniile conexe prin măsuri specifice de formare și perfecționare și la nivel local</w:t>
            </w:r>
          </w:p>
          <w:p w14:paraId="5078CA1A" w14:textId="77777777" w:rsidR="00702291" w:rsidRDefault="00712B31">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elaborarea unui cadru de monitorizare și evaluare pentru evaluarea stării cantitative și calitative a corpurilor de apă subterană și a impactului măsurilor de retenție a apei.</w:t>
            </w:r>
          </w:p>
          <w:p w14:paraId="44EE2901" w14:textId="7806A092" w:rsidR="00702291" w:rsidRDefault="00712B31">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estimarea nevoilor financiare</w:t>
            </w:r>
          </w:p>
          <w:p w14:paraId="4813775B" w14:textId="77777777" w:rsidR="00702291" w:rsidRDefault="00712B31">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să pregătească recomandări pentru viitoarele modificări legislative necesare pentru punerea în aplicare a planului de acțiune, pe baza implicării structurate a părților interesate.</w:t>
            </w:r>
          </w:p>
          <w:p w14:paraId="04A33C88" w14:textId="4A66045F" w:rsidR="00702291" w:rsidRDefault="00712B31">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Pe lângă adoptarea planului de acțiune, se vor desfășura activități de comunicare privind gestionarea durabilă a apei.</w:t>
            </w:r>
          </w:p>
        </w:tc>
      </w:tr>
      <w:tr w:rsidR="006A7608" w14:paraId="27A64AB6" w14:textId="77777777" w:rsidTr="00FA4EAF">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18C26488" w14:textId="47286A93" w:rsidR="00702291" w:rsidRDefault="00712B31">
            <w:pPr>
              <w:pStyle w:val="P68B1DB1-Normal32"/>
              <w:spacing w:after="120"/>
              <w:rPr>
                <w:b w:val="0"/>
                <w:bCs w:val="0"/>
                <w:noProof/>
              </w:rPr>
            </w:pPr>
            <w:r>
              <w:rPr>
                <w:noProof/>
              </w:rPr>
              <w:t>17</w:t>
            </w:r>
          </w:p>
        </w:tc>
        <w:tc>
          <w:tcPr>
            <w:tcW w:w="1417" w:type="dxa"/>
            <w:shd w:val="clear" w:color="auto" w:fill="C6EFCE"/>
            <w:vAlign w:val="center"/>
          </w:tcPr>
          <w:p w14:paraId="74976150" w14:textId="30C66E2B"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C4.R1 Sensibilizare – apă</w:t>
            </w:r>
          </w:p>
        </w:tc>
        <w:tc>
          <w:tcPr>
            <w:tcW w:w="992" w:type="dxa"/>
            <w:shd w:val="clear" w:color="auto" w:fill="C6EFCE"/>
            <w:vAlign w:val="center"/>
          </w:tcPr>
          <w:p w14:paraId="6E7D24D5"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60" w:type="dxa"/>
            <w:shd w:val="clear" w:color="auto" w:fill="C6EFCE"/>
            <w:vAlign w:val="center"/>
          </w:tcPr>
          <w:p w14:paraId="51FAF970" w14:textId="2736EF12" w:rsidR="00702291" w:rsidRDefault="00712B31">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Numărul hectarelor de intervenții de retenție a apei </w:t>
            </w:r>
          </w:p>
        </w:tc>
        <w:tc>
          <w:tcPr>
            <w:tcW w:w="1270" w:type="dxa"/>
            <w:shd w:val="clear" w:color="auto" w:fill="C6EFCE"/>
            <w:vAlign w:val="center"/>
          </w:tcPr>
          <w:p w14:paraId="2440137B"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992" w:type="dxa"/>
            <w:shd w:val="clear" w:color="auto" w:fill="C6EFCE"/>
            <w:vAlign w:val="center"/>
          </w:tcPr>
          <w:p w14:paraId="49382EB3"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Numărul de hectare</w:t>
            </w:r>
          </w:p>
        </w:tc>
        <w:tc>
          <w:tcPr>
            <w:tcW w:w="993" w:type="dxa"/>
            <w:shd w:val="clear" w:color="auto" w:fill="C6EFCE"/>
            <w:vAlign w:val="center"/>
          </w:tcPr>
          <w:p w14:paraId="0B645AC7"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50" w:type="dxa"/>
            <w:shd w:val="clear" w:color="auto" w:fill="C6EFCE"/>
            <w:vAlign w:val="center"/>
          </w:tcPr>
          <w:p w14:paraId="23FB3E4A" w14:textId="7CBB8B21"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18 000</w:t>
            </w:r>
          </w:p>
        </w:tc>
        <w:tc>
          <w:tcPr>
            <w:tcW w:w="992" w:type="dxa"/>
            <w:shd w:val="clear" w:color="auto" w:fill="C6EFCE"/>
            <w:vAlign w:val="center"/>
          </w:tcPr>
          <w:p w14:paraId="789166FC" w14:textId="1165BA96"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636" w:type="dxa"/>
            <w:shd w:val="clear" w:color="auto" w:fill="C6EFCE"/>
            <w:vAlign w:val="center"/>
          </w:tcPr>
          <w:p w14:paraId="7D28C409" w14:textId="692A6900"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shd w:val="clear" w:color="auto" w:fill="C6EFCE"/>
            <w:vAlign w:val="center"/>
          </w:tcPr>
          <w:p w14:paraId="1FF57C17" w14:textId="3313E5C1" w:rsidR="00702291" w:rsidRDefault="00712B31">
            <w:pPr>
              <w:pStyle w:val="P68B1DB1-Normal41"/>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Cel puțin 18 000 ha de teren agricol au fost implicate în programul „Apă pentru peisaj”, în cadrul căruia intervențiile controlate de reținere a apei sunt fie efectuate, fie evaluate ca fiind fezabile de către autoritatea din domeniul apei.</w:t>
            </w:r>
          </w:p>
        </w:tc>
      </w:tr>
      <w:tr w:rsidR="006A7608" w14:paraId="66AA41B4" w14:textId="5A622652" w:rsidTr="00FA4EAF">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289B1B1D" w14:textId="6DA7A1C3" w:rsidR="00702291" w:rsidRDefault="00712B31">
            <w:pPr>
              <w:pStyle w:val="P68B1DB1-Normal32"/>
              <w:spacing w:after="120"/>
              <w:rPr>
                <w:b w:val="0"/>
                <w:noProof/>
              </w:rPr>
            </w:pPr>
            <w:r>
              <w:rPr>
                <w:noProof/>
              </w:rPr>
              <w:t>18</w:t>
            </w:r>
          </w:p>
        </w:tc>
        <w:tc>
          <w:tcPr>
            <w:tcW w:w="1417" w:type="dxa"/>
            <w:shd w:val="clear" w:color="auto" w:fill="C6EFCE"/>
            <w:vAlign w:val="center"/>
          </w:tcPr>
          <w:p w14:paraId="616C014C" w14:textId="52F59E24"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C4.I1 Protecția naturii</w:t>
            </w:r>
          </w:p>
        </w:tc>
        <w:tc>
          <w:tcPr>
            <w:tcW w:w="992" w:type="dxa"/>
            <w:shd w:val="clear" w:color="auto" w:fill="C6EFCE"/>
            <w:vAlign w:val="center"/>
          </w:tcPr>
          <w:p w14:paraId="077AB1AE" w14:textId="5212D47F"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60" w:type="dxa"/>
            <w:shd w:val="clear" w:color="auto" w:fill="C6EFCE"/>
            <w:vAlign w:val="center"/>
          </w:tcPr>
          <w:p w14:paraId="08FF175D" w14:textId="121A935C" w:rsidR="00702291" w:rsidRDefault="00712B31">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Livrarea stației de pompare Kvassay – Faza 2</w:t>
            </w:r>
          </w:p>
        </w:tc>
        <w:tc>
          <w:tcPr>
            <w:tcW w:w="1270" w:type="dxa"/>
            <w:shd w:val="clear" w:color="auto" w:fill="C6EFCE"/>
            <w:vAlign w:val="center"/>
          </w:tcPr>
          <w:p w14:paraId="3D2FF246" w14:textId="29E216F3" w:rsidR="00702291" w:rsidRDefault="00712B31">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Punerea în funcțiune a stației de pompare Kvassay</w:t>
            </w:r>
          </w:p>
        </w:tc>
        <w:tc>
          <w:tcPr>
            <w:tcW w:w="992" w:type="dxa"/>
            <w:shd w:val="clear" w:color="auto" w:fill="C6EFCE"/>
            <w:vAlign w:val="center"/>
          </w:tcPr>
          <w:p w14:paraId="736E36B3" w14:textId="621D2C2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shd w:val="clear" w:color="auto" w:fill="C6EFCE"/>
            <w:vAlign w:val="center"/>
          </w:tcPr>
          <w:p w14:paraId="663577F9" w14:textId="1433B54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C486A8B" w14:textId="1EBE27DB"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shd w:val="clear" w:color="auto" w:fill="C6EFCE"/>
            <w:vAlign w:val="center"/>
          </w:tcPr>
          <w:p w14:paraId="712C1D3A" w14:textId="38DE1E82"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636" w:type="dxa"/>
            <w:shd w:val="clear" w:color="auto" w:fill="C6EFCE"/>
            <w:vAlign w:val="center"/>
          </w:tcPr>
          <w:p w14:paraId="446A25E4" w14:textId="4637D65B"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shd w:val="clear" w:color="auto" w:fill="C6EFCE"/>
            <w:vAlign w:val="center"/>
          </w:tcPr>
          <w:p w14:paraId="27AE5972" w14:textId="35DFE713" w:rsidR="00702291" w:rsidRDefault="00712B31">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Punerea în funcțiune a structurii de aspirație de pe Dunăre, a celor patru pompe de elice împreună cu echipamentele lor mecanice și electrice, a sistemului de alimentare cu energie electrică de înaltă tensiune și a sistemului de control, care formează a doua fază a proiectului stației de pompare Kvassay. Realizarea unei analize de mediu.</w:t>
            </w:r>
          </w:p>
        </w:tc>
      </w:tr>
      <w:tr w:rsidR="006A7608" w14:paraId="73D5ABED" w14:textId="77777777" w:rsidTr="00FA4EAF">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13ED91DB" w14:textId="69B0A130" w:rsidR="00702291" w:rsidRDefault="00712B31">
            <w:pPr>
              <w:pStyle w:val="P68B1DB1-Normal32"/>
              <w:spacing w:after="120"/>
              <w:jc w:val="both"/>
              <w:rPr>
                <w:b w:val="0"/>
                <w:noProof/>
              </w:rPr>
            </w:pPr>
            <w:r>
              <w:rPr>
                <w:noProof/>
              </w:rPr>
              <w:t>19</w:t>
            </w:r>
          </w:p>
        </w:tc>
        <w:tc>
          <w:tcPr>
            <w:tcW w:w="1417" w:type="dxa"/>
            <w:shd w:val="clear" w:color="auto" w:fill="C6EFCE"/>
            <w:vAlign w:val="center"/>
          </w:tcPr>
          <w:p w14:paraId="1C0144FE" w14:textId="1D6E1248"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C4.R2 Reglementarea internă a tranziției către o economie circulară</w:t>
            </w:r>
          </w:p>
        </w:tc>
        <w:tc>
          <w:tcPr>
            <w:tcW w:w="992" w:type="dxa"/>
            <w:shd w:val="clear" w:color="auto" w:fill="C6EFCE"/>
            <w:vAlign w:val="center"/>
          </w:tcPr>
          <w:p w14:paraId="77C09438" w14:textId="2516895B"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60" w:type="dxa"/>
            <w:shd w:val="clear" w:color="auto" w:fill="C6EFCE"/>
            <w:vAlign w:val="center"/>
          </w:tcPr>
          <w:p w14:paraId="32032147" w14:textId="6CA022BA"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necesar (e) pentru operaționalizarea practicii de gestionare a deșeurilor și adoptarea unui plan național de gestionare a deșeurilor</w:t>
            </w:r>
          </w:p>
        </w:tc>
        <w:tc>
          <w:tcPr>
            <w:tcW w:w="1270" w:type="dxa"/>
            <w:shd w:val="clear" w:color="auto" w:fill="C6EFCE"/>
            <w:vAlign w:val="center"/>
          </w:tcPr>
          <w:p w14:paraId="3D20813A" w14:textId="56611C06"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 xml:space="preserve">Dispoziție din actele juridice care indică intrarea în vigoare și, respectiv, adoptarea unui plan național de gestionare a deșeurilor </w:t>
            </w:r>
          </w:p>
        </w:tc>
        <w:tc>
          <w:tcPr>
            <w:tcW w:w="992" w:type="dxa"/>
            <w:shd w:val="clear" w:color="auto" w:fill="C6EFCE"/>
            <w:vAlign w:val="center"/>
          </w:tcPr>
          <w:p w14:paraId="230A5F25" w14:textId="77777777" w:rsidR="00702291" w:rsidRDefault="0070229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shd w:val="clear" w:color="auto" w:fill="C6EFCE"/>
            <w:vAlign w:val="center"/>
          </w:tcPr>
          <w:p w14:paraId="5FF0D672" w14:textId="77777777" w:rsidR="00702291" w:rsidRDefault="0070229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355FC29C" w14:textId="77777777" w:rsidR="00702291" w:rsidRDefault="0070229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shd w:val="clear" w:color="auto" w:fill="C6EFCE"/>
            <w:vAlign w:val="center"/>
          </w:tcPr>
          <w:p w14:paraId="35B9A36E" w14:textId="45AA5BD9" w:rsidR="00702291" w:rsidRDefault="00F233DB">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636" w:type="dxa"/>
            <w:shd w:val="clear" w:color="auto" w:fill="C6EFCE"/>
            <w:vAlign w:val="center"/>
          </w:tcPr>
          <w:p w14:paraId="2DBF74C0" w14:textId="6D5EB406"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shd w:val="clear" w:color="auto" w:fill="C6EFCE"/>
            <w:vAlign w:val="center"/>
          </w:tcPr>
          <w:p w14:paraId="209C7FC1"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rFonts w:eastAsiaTheme="minorHAnsi"/>
                <w:noProof/>
              </w:rPr>
            </w:pPr>
            <w:r>
              <w:rPr>
                <w:noProof/>
              </w:rPr>
              <w:t xml:space="preserve">Intrarea în vigoare a actului (actelor) juridic (e) care reglementează următoarele elemente: </w:t>
            </w:r>
          </w:p>
          <w:p w14:paraId="2EDDC643" w14:textId="59A8D8A0" w:rsidR="00702291" w:rsidRDefault="00712B31">
            <w:pPr>
              <w:pStyle w:val="P68B1DB1-ListParagraph43"/>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Stabilirea și reglementarea sistemului de garanție pentru sticlele pentru băuturi;</w:t>
            </w:r>
          </w:p>
          <w:p w14:paraId="17BF1514" w14:textId="65E8D60D" w:rsidR="00702291" w:rsidRDefault="00712B31">
            <w:pPr>
              <w:pStyle w:val="P68B1DB1-ListParagraph43"/>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Reducerea impactului anumitor produse din plastic asupra mediului (inclusiv măsuri privind produsele din plastic de unică folosință);</w:t>
            </w:r>
          </w:p>
          <w:p w14:paraId="18985A7D" w14:textId="77777777" w:rsidR="00702291" w:rsidRDefault="00712B31">
            <w:pPr>
              <w:pStyle w:val="P68B1DB1-ListParagraph43"/>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Normele privind răspunderea extinsă a producătorilor;</w:t>
            </w:r>
          </w:p>
          <w:p w14:paraId="10C4CD37" w14:textId="6D674EA7" w:rsidR="00702291" w:rsidRDefault="00712B31">
            <w:pPr>
              <w:pStyle w:val="P68B1DB1-ListParagraph43"/>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 xml:space="preserve">Eliminarea deșeurilor abandonate din bunurile imobile și transportul la locul de tratare a deșeurilor. </w:t>
            </w:r>
          </w:p>
          <w:p w14:paraId="24EEAFA9" w14:textId="652D29A3"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Adoptarea unui plan național de gestionare a deșeurilor care să stabilească un cadru pentru tranziția către o economie circulară și prevenirea generării de deșeuri.</w:t>
            </w:r>
          </w:p>
        </w:tc>
      </w:tr>
      <w:tr w:rsidR="006A7608" w14:paraId="24EFBC44" w14:textId="77777777" w:rsidTr="00FA4EAF">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44C3655B" w14:textId="10A33BF1" w:rsidR="00702291" w:rsidRDefault="00712B31">
            <w:pPr>
              <w:pStyle w:val="P68B1DB1-Normal32"/>
              <w:spacing w:after="120"/>
              <w:jc w:val="both"/>
              <w:rPr>
                <w:b w:val="0"/>
                <w:noProof/>
              </w:rPr>
            </w:pPr>
            <w:r>
              <w:rPr>
                <w:noProof/>
              </w:rPr>
              <w:t>20</w:t>
            </w:r>
          </w:p>
        </w:tc>
        <w:tc>
          <w:tcPr>
            <w:tcW w:w="1417" w:type="dxa"/>
            <w:shd w:val="clear" w:color="auto" w:fill="C6EFCE"/>
            <w:vAlign w:val="center"/>
          </w:tcPr>
          <w:p w14:paraId="1714395D" w14:textId="4A34FDCB"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C4.R3: Plan de acțiune pentru activitățile de sensibilizare la nivel local </w:t>
            </w:r>
          </w:p>
        </w:tc>
        <w:tc>
          <w:tcPr>
            <w:tcW w:w="992" w:type="dxa"/>
            <w:shd w:val="clear" w:color="auto" w:fill="C6EFCE"/>
            <w:vAlign w:val="center"/>
          </w:tcPr>
          <w:p w14:paraId="7DE96E70" w14:textId="05BF23B5"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60" w:type="dxa"/>
            <w:shd w:val="clear" w:color="auto" w:fill="C6EFCE"/>
            <w:vAlign w:val="center"/>
          </w:tcPr>
          <w:p w14:paraId="7F3EADBA" w14:textId="613F4B5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Adoptarea unui plan național de acțiune în domeniul comunicării</w:t>
            </w:r>
          </w:p>
        </w:tc>
        <w:tc>
          <w:tcPr>
            <w:tcW w:w="1270" w:type="dxa"/>
            <w:shd w:val="clear" w:color="auto" w:fill="C6EFCE"/>
            <w:vAlign w:val="center"/>
          </w:tcPr>
          <w:p w14:paraId="229BC044" w14:textId="0A85CD4A"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Adoptarea unui plan național de acțiune în domeniul comunicării</w:t>
            </w:r>
          </w:p>
        </w:tc>
        <w:tc>
          <w:tcPr>
            <w:tcW w:w="992" w:type="dxa"/>
            <w:shd w:val="clear" w:color="auto" w:fill="C6EFCE"/>
            <w:vAlign w:val="center"/>
          </w:tcPr>
          <w:p w14:paraId="4C2BC8BE" w14:textId="77777777" w:rsidR="00702291" w:rsidRDefault="0070229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shd w:val="clear" w:color="auto" w:fill="C6EFCE"/>
            <w:vAlign w:val="center"/>
          </w:tcPr>
          <w:p w14:paraId="46C10B46" w14:textId="77777777" w:rsidR="00702291" w:rsidRDefault="0070229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76DA45A2" w14:textId="77777777" w:rsidR="00702291" w:rsidRDefault="0070229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shd w:val="clear" w:color="auto" w:fill="C6EFCE"/>
            <w:vAlign w:val="center"/>
          </w:tcPr>
          <w:p w14:paraId="2EAE4373" w14:textId="161B536A" w:rsidR="00702291" w:rsidRDefault="00F233DB">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636" w:type="dxa"/>
            <w:shd w:val="clear" w:color="auto" w:fill="C6EFCE"/>
            <w:vAlign w:val="center"/>
          </w:tcPr>
          <w:p w14:paraId="6E5E6652" w14:textId="568472DC"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shd w:val="clear" w:color="auto" w:fill="C6EFCE"/>
            <w:vAlign w:val="center"/>
          </w:tcPr>
          <w:p w14:paraId="368845EF" w14:textId="64DF2349"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Adoptarea planului național de acțiune în domeniul comunicării, care oferă un cadru de comunicare pentru informarea publicului larg cu privire la nivelurile superioare ale ierarhiei deșeurilor. </w:t>
            </w:r>
          </w:p>
        </w:tc>
      </w:tr>
    </w:tbl>
    <w:p w14:paraId="70782E2B" w14:textId="77777777" w:rsidR="00702291" w:rsidRDefault="00702291">
      <w:pPr>
        <w:spacing w:after="120" w:line="240" w:lineRule="auto"/>
        <w:rPr>
          <w:rFonts w:ascii="Times New Roman" w:hAnsi="Times New Roman" w:cs="Times New Roman"/>
          <w:noProof/>
          <w:sz w:val="24"/>
          <w:szCs w:val="24"/>
        </w:rPr>
        <w:sectPr w:rsidR="00702291" w:rsidSect="009030B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08"/>
          <w:docGrid w:linePitch="360"/>
        </w:sectPr>
      </w:pPr>
    </w:p>
    <w:p w14:paraId="4D901218" w14:textId="3BE2F0C6" w:rsidR="00702291" w:rsidRDefault="00712B31">
      <w:pPr>
        <w:pStyle w:val="P68B1DB1-Normal44"/>
        <w:keepNext/>
        <w:spacing w:after="120" w:line="240" w:lineRule="auto"/>
        <w:jc w:val="both"/>
        <w:outlineLvl w:val="1"/>
        <w:rPr>
          <w:noProof/>
        </w:rPr>
      </w:pPr>
      <w:r>
        <w:rPr>
          <w:noProof/>
        </w:rPr>
        <w:t xml:space="preserve">E. COMPONENTA 5: TRANSPORT ECOLOGIC DURABIL </w:t>
      </w:r>
    </w:p>
    <w:p w14:paraId="13168420" w14:textId="7AE16863" w:rsidR="00702291" w:rsidRDefault="00712B31">
      <w:pPr>
        <w:pStyle w:val="P68B1DB1-Text145"/>
        <w:keepNext w:val="0"/>
        <w:spacing w:before="0" w:after="120" w:line="240" w:lineRule="auto"/>
        <w:rPr>
          <w:noProof/>
        </w:rPr>
      </w:pPr>
      <w:r>
        <w:rPr>
          <w:noProof/>
        </w:rPr>
        <w:t>Această componentă a planului de redresare și reziliență al Ungariei abordează necesitatea de a consolida contribuția sectorului transporturilor la reducerea emisiilor de gaze cu efect de seră și de poluanți, de a accelera modernizarea rețelei de transport și a materialului rulant, de a spori atractivitatea modurilor de transport durabile, în special a transportului public, și de a îmbunătăți coeziunea socială și teritorială.</w:t>
      </w:r>
    </w:p>
    <w:p w14:paraId="61D769CF" w14:textId="18B701D2" w:rsidR="00702291" w:rsidRDefault="00712B31">
      <w:pPr>
        <w:pStyle w:val="P68B1DB1-Text146"/>
        <w:keepNext w:val="0"/>
        <w:spacing w:before="0" w:after="120" w:line="240" w:lineRule="auto"/>
        <w:rPr>
          <w:noProof/>
        </w:rPr>
      </w:pPr>
      <w:r>
        <w:rPr>
          <w:noProof/>
        </w:rPr>
        <w:t>Obiectivul acestei componente este de a promova mobilitatea durabilă, de a consolida transportul public cu emisii scăzute de dioxid de carbon, de a reduce externalitățile negative ale transporturilor (în special congestionarea traficului și emisiile) și de a oferi moduri de transport accesibile, în principal prin consolidarea infrastructurii și a vehiculelor de transport public. Se preconizează că măsurile din cadrul acestei componente vor conduce la o reducere a emisiilor generate de transporturi prin încurajarea utilizării modurilor de transport urbane și suburbane ecologice și, în general, prin consolidarea alternativelor la autoturismele individuale. Se preconizează că transportul public va deveni mai atractiv, ceea ce ar duce la trecerea unui număr mai mare de utilizatori de la autoturismul personal la transportul public. De asemenea, se preconizează că o infrastructură feroviară mai solidă va facilita transferul modal al mărfurilor. În acest scop, această componentă constă în reforme și investiții care promovează transportul durabil prin modernizarea liniilor feroviare importante, achiziționarea de autobuze și tramvaie cu emisii zero pentru transportul public, îmbunătățirea supravegherii pieței feroviare și introducerea legislației privind tarifele pentru transportul public. Componenta include, de asemenea, înființarea unei societăți de material rulant (ROSCO) pentru a cataliza reînnoirea materialului rulant al Ungariei și pentru a crea baza pentru o gestionare mai eficientă a serviciilor feroviare.</w:t>
      </w:r>
    </w:p>
    <w:p w14:paraId="42B46115" w14:textId="342129BC" w:rsidR="00702291" w:rsidRDefault="00712B31">
      <w:pPr>
        <w:pStyle w:val="P68B1DB1-Text146"/>
        <w:keepNext w:val="0"/>
        <w:spacing w:before="0" w:after="120" w:line="240" w:lineRule="auto"/>
        <w:rPr>
          <w:noProof/>
        </w:rPr>
      </w:pPr>
      <w:r>
        <w:rPr>
          <w:noProof/>
        </w:rPr>
        <w:t>Componenta contribuie la abordarea recomandărilor specifice fiecărei țări privind concentrarea politicii economice legate de investiții asupra infrastructurii de transport, ținând seama de disparitățile regionale, și privind concentrarea investițiilor asupra tranziției verzi, în special asupra transportului durabil (Recomandarea specifică fiecărei țări 3 în 2019 și 2020) și asupra reducerii dependenței de combustibilii fosili în transporturi prin intensificarea eforturilor privind eficiența energetică, în special prin electrificare (Recomandarea specifică fiecărei țări 6 în 2022).</w:t>
      </w:r>
    </w:p>
    <w:p w14:paraId="0EC5F1F8" w14:textId="35FD50DB" w:rsidR="00702291" w:rsidRDefault="00712B31">
      <w:pPr>
        <w:pStyle w:val="P68B1DB1-Text145"/>
        <w:keepNext w:val="0"/>
        <w:spacing w:before="0" w:after="120" w:line="240" w:lineRule="auto"/>
        <w:rPr>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5AE06B2B" w14:textId="77777777" w:rsidR="00702291" w:rsidRDefault="00712B31">
      <w:pPr>
        <w:pStyle w:val="P68B1DB1-Heading310"/>
        <w:spacing w:before="0" w:after="120"/>
        <w:rPr>
          <w:noProof/>
        </w:rPr>
      </w:pPr>
      <w:r>
        <w:rPr>
          <w:noProof/>
        </w:rPr>
        <w:t xml:space="preserve">E.1. </w:t>
      </w:r>
      <w:r>
        <w:rPr>
          <w:noProof/>
        </w:rPr>
        <w:tab/>
        <w:t>Descrierea reformelor și a investițiilor pentru sprijinul financiar nerambursabil</w:t>
      </w:r>
    </w:p>
    <w:p w14:paraId="608D40E4" w14:textId="314AFFF8" w:rsidR="00702291" w:rsidRDefault="00712B31">
      <w:pPr>
        <w:pStyle w:val="P68B1DB1-Heading411"/>
        <w:spacing w:before="0" w:after="120" w:line="240" w:lineRule="auto"/>
        <w:rPr>
          <w:noProof/>
        </w:rPr>
      </w:pPr>
      <w:r>
        <w:rPr>
          <w:noProof/>
        </w:rPr>
        <w:t xml:space="preserve">C5.I1: Dezvoltarea unei linii de cale ferată suburbane </w:t>
      </w:r>
    </w:p>
    <w:p w14:paraId="6EEBC786" w14:textId="3C9CDD3E" w:rsidR="00702291" w:rsidRDefault="00712B31">
      <w:pPr>
        <w:pStyle w:val="P68B1DB1-Normal12"/>
        <w:spacing w:after="120" w:line="240" w:lineRule="auto"/>
        <w:jc w:val="both"/>
        <w:rPr>
          <w:rFonts w:ascii="Times New Roman" w:hAnsi="Times New Roman" w:cs="Times New Roman"/>
          <w:b/>
          <w:bCs/>
          <w:noProof/>
          <w:szCs w:val="24"/>
        </w:rPr>
      </w:pPr>
      <w:r>
        <w:rPr>
          <w:rFonts w:ascii="Times New Roman" w:hAnsi="Times New Roman"/>
          <w:noProof/>
        </w:rPr>
        <w:t xml:space="preserve">Obiectivul măsurii este de a direcționa traficul către moduri cu emisii scăzute de CO2. Măsura </w:t>
      </w:r>
      <w:r>
        <w:rPr>
          <w:rFonts w:ascii="Times New Roman" w:hAnsi="Times New Roman"/>
          <w:noProof/>
          <w:szCs w:val="20"/>
        </w:rPr>
        <w:t>constă</w:t>
      </w:r>
      <w:r w:rsidR="00FA4EAF">
        <w:rPr>
          <w:rFonts w:ascii="Times New Roman" w:hAnsi="Times New Roman"/>
          <w:noProof/>
          <w:szCs w:val="20"/>
        </w:rPr>
        <w:t xml:space="preserve"> </w:t>
      </w:r>
      <w:r>
        <w:rPr>
          <w:rFonts w:ascii="Times New Roman" w:hAnsi="Times New Roman" w:cs="Times New Roman"/>
          <w:noProof/>
          <w:szCs w:val="24"/>
        </w:rPr>
        <w:t>în</w:t>
      </w:r>
      <w:r>
        <w:rPr>
          <w:rFonts w:ascii="Times New Roman" w:hAnsi="Times New Roman"/>
          <w:noProof/>
          <w:szCs w:val="20"/>
        </w:rPr>
        <w:t xml:space="preserve"> </w:t>
      </w:r>
      <w:r>
        <w:rPr>
          <w:rFonts w:ascii="Times New Roman" w:hAnsi="Times New Roman"/>
          <w:noProof/>
        </w:rPr>
        <w:t>lucrări pe un</w:t>
      </w:r>
      <w:r>
        <w:rPr>
          <w:rFonts w:ascii="Times New Roman" w:hAnsi="Times New Roman"/>
          <w:noProof/>
          <w:szCs w:val="20"/>
        </w:rPr>
        <w:t xml:space="preserve"> tronson feroviar</w:t>
      </w:r>
      <w:r>
        <w:rPr>
          <w:rFonts w:ascii="Times New Roman" w:hAnsi="Times New Roman"/>
          <w:noProof/>
        </w:rPr>
        <w:t>.</w:t>
      </w:r>
    </w:p>
    <w:p w14:paraId="2587BDAF" w14:textId="215E3112" w:rsidR="00702291" w:rsidRDefault="00712B31">
      <w:pPr>
        <w:pStyle w:val="P68B1DB1-Heading411"/>
        <w:spacing w:before="0" w:after="120" w:line="240" w:lineRule="auto"/>
        <w:rPr>
          <w:rFonts w:eastAsiaTheme="minorHAnsi"/>
          <w:noProof/>
        </w:rPr>
      </w:pPr>
      <w:r>
        <w:rPr>
          <w:noProof/>
        </w:rPr>
        <w:t>C5.I2: Comutarea congestionării rețelei feroviare pe coridorul TEN-T</w:t>
      </w:r>
    </w:p>
    <w:p w14:paraId="4B074032" w14:textId="3502211F" w:rsidR="00702291" w:rsidRDefault="00712B31">
      <w:pPr>
        <w:pStyle w:val="P68B1DB1-Text147"/>
        <w:keepNext w:val="0"/>
        <w:spacing w:before="0" w:after="120" w:line="240" w:lineRule="auto"/>
        <w:rPr>
          <w:rFonts w:ascii="Times New Roman" w:hAnsi="Times New Roman"/>
          <w:noProof/>
        </w:rPr>
      </w:pPr>
      <w:r>
        <w:rPr>
          <w:rFonts w:ascii="Times New Roman" w:hAnsi="Times New Roman"/>
          <w:noProof/>
        </w:rPr>
        <w:t xml:space="preserve">Obiectivul măsurii este de a direcționa traficul către moduri de transport cu emisii scăzute de CO2 și de a îmbunătăți utilizarea transportului de marfă și de călători pe distanțe lungi. Măsura </w:t>
      </w:r>
      <w:r>
        <w:rPr>
          <w:rFonts w:ascii="Times New Roman" w:hAnsi="Times New Roman" w:cs="Times New Roman"/>
          <w:noProof/>
          <w:szCs w:val="24"/>
        </w:rPr>
        <w:t>constă în</w:t>
      </w:r>
      <w:r>
        <w:rPr>
          <w:rFonts w:ascii="Times New Roman" w:hAnsi="Times New Roman"/>
          <w:noProof/>
        </w:rPr>
        <w:t xml:space="preserve"> lucrări pe un tronson feroviar. </w:t>
      </w:r>
    </w:p>
    <w:p w14:paraId="0F942B14" w14:textId="77777777" w:rsidR="00702291" w:rsidRDefault="00712B31">
      <w:pPr>
        <w:pStyle w:val="P68B1DB1-Heading411"/>
        <w:spacing w:before="0" w:after="120" w:line="240" w:lineRule="auto"/>
        <w:rPr>
          <w:rFonts w:eastAsiaTheme="minorHAnsi"/>
          <w:noProof/>
        </w:rPr>
      </w:pPr>
      <w:r>
        <w:rPr>
          <w:noProof/>
        </w:rPr>
        <w:t>C5.I3: Dezvoltarea transportului cu autobuzul cu emisii zero</w:t>
      </w:r>
    </w:p>
    <w:p w14:paraId="42455184" w14:textId="643FF036" w:rsidR="00702291" w:rsidRDefault="00712B31">
      <w:pPr>
        <w:pStyle w:val="P68B1DB1-Text146"/>
        <w:keepNext w:val="0"/>
        <w:spacing w:before="0" w:after="120" w:line="240" w:lineRule="auto"/>
        <w:rPr>
          <w:noProof/>
        </w:rPr>
      </w:pPr>
      <w:r>
        <w:rPr>
          <w:noProof/>
        </w:rPr>
        <w:t xml:space="preserve">Obiectivul măsurii este reînnoirea și decarbonizarea parcului de vehicule de transport public din Ungaria prin furnizarea de autobuze cu emisii zero. </w:t>
      </w:r>
    </w:p>
    <w:p w14:paraId="5ED2BA7A" w14:textId="3A3E0427" w:rsidR="00702291" w:rsidRDefault="00712B31">
      <w:pPr>
        <w:pStyle w:val="P68B1DB1-Normal34"/>
        <w:spacing w:after="120" w:line="240" w:lineRule="auto"/>
        <w:jc w:val="both"/>
        <w:rPr>
          <w:noProof/>
        </w:rPr>
      </w:pPr>
      <w:r>
        <w:rPr>
          <w:noProof/>
        </w:rPr>
        <w:t xml:space="preserve">Măsura constă în livrarea a 187 autobuze cu emisii zero/electrice. </w:t>
      </w:r>
    </w:p>
    <w:p w14:paraId="0E09547E" w14:textId="78323224" w:rsidR="00702291" w:rsidRDefault="00712B31">
      <w:pPr>
        <w:pStyle w:val="P68B1DB1-Heading411"/>
        <w:spacing w:before="0" w:after="120" w:line="240" w:lineRule="auto"/>
        <w:rPr>
          <w:rFonts w:eastAsiaTheme="minorHAnsi"/>
          <w:noProof/>
        </w:rPr>
      </w:pPr>
      <w:r>
        <w:rPr>
          <w:noProof/>
        </w:rPr>
        <w:t xml:space="preserve">C5.I4: Dezvoltarea sistemului de tramvai și troleibuz </w:t>
      </w:r>
    </w:p>
    <w:p w14:paraId="7197F515" w14:textId="38BA9773" w:rsidR="00702291" w:rsidRDefault="00712B31">
      <w:pPr>
        <w:pStyle w:val="P68B1DB1-Normal12"/>
        <w:spacing w:after="120" w:line="240" w:lineRule="auto"/>
        <w:jc w:val="both"/>
        <w:rPr>
          <w:rFonts w:ascii="Times New Roman" w:hAnsi="Times New Roman" w:cs="Times New Roman"/>
          <w:noProof/>
          <w:szCs w:val="24"/>
        </w:rPr>
      </w:pPr>
      <w:r>
        <w:rPr>
          <w:rFonts w:ascii="Times New Roman" w:hAnsi="Times New Roman"/>
          <w:noProof/>
          <w:szCs w:val="20"/>
        </w:rPr>
        <w:t>Obiectivul măsurii este de a îmbunătăți infrastructura de transport</w:t>
      </w:r>
      <w:r>
        <w:rPr>
          <w:rFonts w:ascii="Times New Roman" w:hAnsi="Times New Roman" w:cs="Times New Roman"/>
          <w:noProof/>
          <w:szCs w:val="24"/>
        </w:rPr>
        <w:t xml:space="preserve">. </w:t>
      </w:r>
    </w:p>
    <w:p w14:paraId="6BB16761" w14:textId="6303F656" w:rsidR="00702291" w:rsidRDefault="00712B31">
      <w:pPr>
        <w:pStyle w:val="P68B1DB1-Normal36"/>
        <w:spacing w:after="120" w:line="240" w:lineRule="auto"/>
        <w:jc w:val="both"/>
        <w:rPr>
          <w:rFonts w:cs="Times New Roman"/>
          <w:noProof/>
        </w:rPr>
      </w:pPr>
      <w:r>
        <w:rPr>
          <w:noProof/>
        </w:rPr>
        <w:t xml:space="preserve">Măsura constă în predarea sau producția de tramvaie și livrarea de troleibuze. </w:t>
      </w:r>
    </w:p>
    <w:p w14:paraId="598C077A" w14:textId="5ECA4A7C" w:rsidR="00702291" w:rsidRDefault="00712B31">
      <w:pPr>
        <w:pStyle w:val="P68B1DB1-Heading411"/>
        <w:spacing w:before="0" w:after="120" w:line="240" w:lineRule="auto"/>
        <w:rPr>
          <w:noProof/>
        </w:rPr>
      </w:pPr>
      <w:r>
        <w:rPr>
          <w:noProof/>
        </w:rPr>
        <w:t>C5.I5: Lucrări pe tronsonul feroviar</w:t>
      </w:r>
    </w:p>
    <w:p w14:paraId="22DA8A7F" w14:textId="39D77DB6" w:rsidR="00702291" w:rsidRDefault="00712B31">
      <w:pPr>
        <w:pStyle w:val="P68B1DB1-Normal48"/>
        <w:spacing w:after="120" w:line="240" w:lineRule="auto"/>
        <w:jc w:val="both"/>
        <w:rPr>
          <w:noProof/>
        </w:rPr>
      </w:pPr>
      <w:r>
        <w:rPr>
          <w:noProof/>
        </w:rPr>
        <w:t xml:space="preserve">Obiectivul măsurii este electrificarea tronsoanelor de cale ferată. </w:t>
      </w:r>
    </w:p>
    <w:p w14:paraId="4744E05A" w14:textId="0403FF89" w:rsidR="00702291" w:rsidRDefault="00712B31">
      <w:pPr>
        <w:pStyle w:val="P68B1DB1-Normal48"/>
        <w:spacing w:after="120" w:line="240" w:lineRule="auto"/>
        <w:jc w:val="both"/>
        <w:rPr>
          <w:noProof/>
        </w:rPr>
      </w:pPr>
      <w:r>
        <w:rPr>
          <w:noProof/>
        </w:rPr>
        <w:t>Măsura constă în lucrări de (re) construcție legate de tronsonul feroviar „Szeged-Rendező – Röszke – frontiera țării” și de conectarea liniilor de cale ferată 136 și 140.</w:t>
      </w:r>
    </w:p>
    <w:p w14:paraId="385FAF0B" w14:textId="6B1D966A" w:rsidR="00702291" w:rsidRDefault="00712B31">
      <w:pPr>
        <w:pStyle w:val="P68B1DB1-Heading411"/>
        <w:spacing w:before="0" w:after="120" w:line="240" w:lineRule="auto"/>
        <w:rPr>
          <w:rFonts w:eastAsia="Times New Roman"/>
          <w:noProof/>
        </w:rPr>
      </w:pPr>
      <w:r>
        <w:rPr>
          <w:noProof/>
        </w:rPr>
        <w:t xml:space="preserve">C5.I6: Stimularea adoptării de către întreprinderi a vehiculelor electrice (VE) </w:t>
      </w:r>
    </w:p>
    <w:p w14:paraId="68339EEC" w14:textId="692050AC" w:rsidR="00702291" w:rsidRDefault="00712B31">
      <w:pPr>
        <w:pStyle w:val="P68B1DB1-Normal48"/>
        <w:spacing w:after="120" w:line="240" w:lineRule="auto"/>
        <w:jc w:val="both"/>
        <w:rPr>
          <w:noProof/>
        </w:rPr>
      </w:pPr>
      <w:r>
        <w:rPr>
          <w:noProof/>
        </w:rPr>
        <w:t xml:space="preserve">Obiectivul acestei măsuri este de a spori gradul de utilizare a vehiculelor electrice de către întreprinderi prin furnizarea de sprijin financiar sub formă de granturi. </w:t>
      </w:r>
    </w:p>
    <w:p w14:paraId="49CB0460" w14:textId="7CCD2FCF" w:rsidR="00702291" w:rsidRDefault="00712B31">
      <w:pPr>
        <w:pStyle w:val="P68B1DB1-Normal48"/>
        <w:spacing w:after="120" w:line="240" w:lineRule="auto"/>
        <w:jc w:val="both"/>
        <w:rPr>
          <w:noProof/>
        </w:rPr>
      </w:pPr>
      <w:r>
        <w:rPr>
          <w:noProof/>
        </w:rPr>
        <w:t>Măsura constă în sprijin financiar acordat întreprinderilor pentru achiziționarea a cel puțin 10 000 de vehicule electrice.</w:t>
      </w:r>
    </w:p>
    <w:p w14:paraId="1BFE3CBD" w14:textId="1263BFF6" w:rsidR="00702291" w:rsidRDefault="00712B31">
      <w:pPr>
        <w:pStyle w:val="P68B1DB1-Heading411"/>
        <w:spacing w:before="0" w:after="120" w:line="240" w:lineRule="auto"/>
        <w:rPr>
          <w:rFonts w:eastAsia="Calibri"/>
          <w:noProof/>
        </w:rPr>
      </w:pPr>
      <w:r>
        <w:rPr>
          <w:noProof/>
        </w:rPr>
        <w:t>C5.I7: Instituirea unui instrument financiar pentru a crește gradul de instalare a stațiilor de încărcare pentru vehiculele electrice (VE)</w:t>
      </w:r>
    </w:p>
    <w:p w14:paraId="036CE1E0" w14:textId="4EBAC057" w:rsidR="00702291" w:rsidRDefault="00712B31">
      <w:pPr>
        <w:pStyle w:val="P68B1DB1-Normal48"/>
        <w:spacing w:after="120" w:line="240" w:lineRule="auto"/>
        <w:jc w:val="both"/>
        <w:rPr>
          <w:rFonts w:eastAsia="Calibri"/>
          <w:noProof/>
        </w:rPr>
      </w:pPr>
      <w:r>
        <w:rPr>
          <w:noProof/>
        </w:rPr>
        <w:t xml:space="preserve">Măsura constă într-o investiție publică într-un mecanism, pentru a stimula investițiile private și a îmbunătăți accesul la finanțare în sectorul mobilității electrice din Ungaria prin dezvoltarea infrastructurii de încărcare pentru vehiculele electrice. Mecanismul funcționează prin acordarea de sprijin combinat sub formă de împrumuturi și granturi direct sectorului privat, precum și entităților din sectorul public implicate în activități similare. </w:t>
      </w:r>
    </w:p>
    <w:p w14:paraId="0321FF3B" w14:textId="77777777" w:rsidR="00702291" w:rsidRDefault="00712B31">
      <w:pPr>
        <w:pStyle w:val="P68B1DB1-Normal48"/>
        <w:spacing w:after="120" w:line="240" w:lineRule="auto"/>
        <w:jc w:val="both"/>
        <w:rPr>
          <w:rFonts w:eastAsia="Calibri"/>
          <w:noProof/>
        </w:rPr>
      </w:pPr>
      <w:r>
        <w:rPr>
          <w:noProof/>
        </w:rPr>
        <w:t>Facilitatea este gestionată de Banca Ungară de Dezvoltare (</w:t>
      </w:r>
      <w:r>
        <w:rPr>
          <w:i/>
          <w:noProof/>
        </w:rPr>
        <w:t>Magyar Fejlesztési Bank Zrt.</w:t>
      </w:r>
      <w:r>
        <w:rPr>
          <w:noProof/>
        </w:rPr>
        <w:t xml:space="preserve"> MFB) în calitate de partener de implementare. Facilitatea include următoarea linie de produse:</w:t>
      </w:r>
    </w:p>
    <w:p w14:paraId="4A493E65" w14:textId="02A5F8C5" w:rsidR="00702291" w:rsidRDefault="00712B31">
      <w:pPr>
        <w:pStyle w:val="P68B1DB1-Normal48"/>
        <w:keepNext/>
        <w:numPr>
          <w:ilvl w:val="0"/>
          <w:numId w:val="52"/>
        </w:numPr>
        <w:spacing w:after="120" w:line="240" w:lineRule="auto"/>
        <w:jc w:val="both"/>
        <w:rPr>
          <w:rFonts w:eastAsia="Calibri"/>
          <w:noProof/>
        </w:rPr>
      </w:pPr>
      <w:r>
        <w:rPr>
          <w:noProof/>
        </w:rPr>
        <w:t>Sprijin combinat sub formă de împrumuturi și granturi pentru instalarea de stații de încărcare. Ponderea granturilor și a împrumuturilor se decide pe baza următoarelor criterii:</w:t>
      </w:r>
    </w:p>
    <w:p w14:paraId="76EB78DD" w14:textId="77777777" w:rsidR="00702291" w:rsidRDefault="00712B31">
      <w:pPr>
        <w:pStyle w:val="P68B1DB1-Normal48"/>
        <w:keepNext/>
        <w:numPr>
          <w:ilvl w:val="1"/>
          <w:numId w:val="52"/>
        </w:numPr>
        <w:spacing w:after="120" w:line="240" w:lineRule="auto"/>
        <w:jc w:val="both"/>
        <w:rPr>
          <w:rFonts w:eastAsia="Calibri"/>
          <w:noProof/>
        </w:rPr>
      </w:pPr>
      <w:r>
        <w:rPr>
          <w:noProof/>
        </w:rPr>
        <w:t>harta ajutoarelor de stat regionale, astfel cum este inclusă la articolul 36a din Regulamentul general de exceptare pe categorii de ajutoare (RGECA);</w:t>
      </w:r>
    </w:p>
    <w:p w14:paraId="4288B4C4" w14:textId="6FBC964A" w:rsidR="00702291" w:rsidRDefault="00712B31">
      <w:pPr>
        <w:pStyle w:val="P68B1DB1-Normal48"/>
        <w:keepNext/>
        <w:numPr>
          <w:ilvl w:val="1"/>
          <w:numId w:val="52"/>
        </w:numPr>
        <w:spacing w:after="120" w:line="240" w:lineRule="auto"/>
        <w:jc w:val="both"/>
        <w:rPr>
          <w:rFonts w:eastAsia="Calibri"/>
          <w:noProof/>
        </w:rPr>
      </w:pPr>
      <w:r>
        <w:rPr>
          <w:noProof/>
        </w:rPr>
        <w:t>dimensiunea societății care depune o cerere în cadrul mecanismului. Și anume, cu cât întreprinderea este mai mică, cu atât este mai mare ponderea sprijinului sub formă de granturi;</w:t>
      </w:r>
    </w:p>
    <w:p w14:paraId="118B8E0F" w14:textId="4B9D964F" w:rsidR="00702291" w:rsidRDefault="00712B31">
      <w:pPr>
        <w:pStyle w:val="P68B1DB1-Normal48"/>
        <w:keepNext/>
        <w:numPr>
          <w:ilvl w:val="1"/>
          <w:numId w:val="52"/>
        </w:numPr>
        <w:spacing w:after="120" w:line="240" w:lineRule="auto"/>
        <w:jc w:val="both"/>
        <w:rPr>
          <w:rFonts w:eastAsia="Calibri"/>
          <w:noProof/>
        </w:rPr>
      </w:pPr>
      <w:r>
        <w:rPr>
          <w:noProof/>
        </w:rPr>
        <w:t>stațiile de încărcare pentru vehiculele grele care urmează să fie instalate de beneficiarii finali. În special, cu cât este mai mare raportul dintre stațiile HDV, cu atât este mai mare ponderea sprijinului sub formă de granturi.</w:t>
      </w:r>
    </w:p>
    <w:p w14:paraId="31D59A89" w14:textId="77777777" w:rsidR="00702291" w:rsidRDefault="00712B31">
      <w:pPr>
        <w:pStyle w:val="P68B1DB1-Normal48"/>
        <w:spacing w:after="120" w:line="240" w:lineRule="auto"/>
        <w:jc w:val="both"/>
        <w:rPr>
          <w:rFonts w:eastAsia="Calibri"/>
          <w:noProof/>
        </w:rPr>
      </w:pPr>
      <w:r>
        <w:rPr>
          <w:noProof/>
        </w:rPr>
        <w:t>Pentru a pune în aplicare investiția în instrument, Ungaria și MFB semnează un acord de punere în aplicare care include următorul conținut:</w:t>
      </w:r>
    </w:p>
    <w:p w14:paraId="6A963F60" w14:textId="3846D9A3" w:rsidR="00702291" w:rsidRDefault="00712B31">
      <w:pPr>
        <w:pStyle w:val="P68B1DB1-Normal48"/>
        <w:numPr>
          <w:ilvl w:val="0"/>
          <w:numId w:val="107"/>
        </w:numPr>
        <w:spacing w:after="120" w:line="240" w:lineRule="auto"/>
        <w:jc w:val="both"/>
        <w:rPr>
          <w:rFonts w:eastAsia="Times New Roman"/>
          <w:noProof/>
        </w:rPr>
      </w:pPr>
      <w:r>
        <w:rPr>
          <w:noProof/>
        </w:rPr>
        <w:t>Descrierea procesului decizional al instrumentului: Decizia inițială de investiție a facilității este luată de un comitet pentru investiții sau de un alt organ de conducere echivalent și este aprobată cu o majoritate de voturi de către membri care sunt independenți de guvern. Decizia finală de investiții a facilității se limitează la aprobarea (fără modificări) sau la exercitarea unui drept de veto cu privire la o decizie de investiții propusă de comitetul pentru investiții sau de organul de conducere echivalent.</w:t>
      </w:r>
    </w:p>
    <w:p w14:paraId="20B6AFE2" w14:textId="09785161" w:rsidR="00702291" w:rsidRDefault="00712B31">
      <w:pPr>
        <w:pStyle w:val="P68B1DB1-Normal34"/>
        <w:numPr>
          <w:ilvl w:val="0"/>
          <w:numId w:val="107"/>
        </w:numPr>
        <w:spacing w:after="120" w:line="240" w:lineRule="auto"/>
        <w:jc w:val="both"/>
        <w:rPr>
          <w:rFonts w:eastAsia="Calibri"/>
          <w:noProof/>
        </w:rPr>
      </w:pPr>
      <w:r>
        <w:rPr>
          <w:noProof/>
        </w:rPr>
        <w:t>Cerințele-cheie ale politicii de investiții asociate,</w:t>
      </w:r>
      <w:r>
        <w:rPr>
          <w:b/>
          <w:noProof/>
        </w:rPr>
        <w:t xml:space="preserve"> </w:t>
      </w:r>
      <w:r>
        <w:rPr>
          <w:noProof/>
        </w:rPr>
        <w:t>care includ:</w:t>
      </w:r>
    </w:p>
    <w:p w14:paraId="1B8626E7" w14:textId="77777777" w:rsidR="00702291" w:rsidRDefault="00712B31">
      <w:pPr>
        <w:pStyle w:val="P68B1DB1-Normal34"/>
        <w:numPr>
          <w:ilvl w:val="2"/>
          <w:numId w:val="108"/>
        </w:numPr>
        <w:spacing w:after="120" w:line="240" w:lineRule="auto"/>
        <w:jc w:val="both"/>
        <w:rPr>
          <w:rFonts w:eastAsia="Calibri"/>
          <w:noProof/>
        </w:rPr>
      </w:pPr>
      <w:r>
        <w:rPr>
          <w:noProof/>
        </w:rPr>
        <w:t>Descrierea produsului financiar și a beneficiarilor finali eligibili.</w:t>
      </w:r>
    </w:p>
    <w:p w14:paraId="048F2F6F" w14:textId="77777777" w:rsidR="00702291" w:rsidRDefault="00712B31">
      <w:pPr>
        <w:pStyle w:val="P68B1DB1-Normal34"/>
        <w:numPr>
          <w:ilvl w:val="2"/>
          <w:numId w:val="108"/>
        </w:numPr>
        <w:spacing w:after="120" w:line="240" w:lineRule="auto"/>
        <w:jc w:val="both"/>
        <w:rPr>
          <w:rFonts w:eastAsia="Calibri"/>
          <w:noProof/>
        </w:rPr>
      </w:pPr>
      <w:r>
        <w:rPr>
          <w:noProof/>
        </w:rPr>
        <w:t>Cerința ca toate investițiile care beneficiază de sprijin să fie viabile din punct de vedere economic</w:t>
      </w:r>
      <w:r>
        <w:rPr>
          <w:b/>
          <w:noProof/>
        </w:rPr>
        <w:t>.</w:t>
      </w:r>
    </w:p>
    <w:p w14:paraId="289948C7" w14:textId="169629F6" w:rsidR="00702291" w:rsidRDefault="00712B31">
      <w:pPr>
        <w:pStyle w:val="P68B1DB1-Normal34"/>
        <w:numPr>
          <w:ilvl w:val="2"/>
          <w:numId w:val="108"/>
        </w:numPr>
        <w:spacing w:after="120" w:line="240" w:lineRule="auto"/>
        <w:jc w:val="both"/>
        <w:rPr>
          <w:rFonts w:eastAsia="Calibri"/>
          <w:noProof/>
        </w:rPr>
      </w:pPr>
      <w:r>
        <w:rPr>
          <w:noProof/>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noProof/>
        </w:rPr>
        <w:footnoteReference w:id="2"/>
      </w:r>
      <w:r>
        <w:rPr>
          <w:noProof/>
        </w:rPr>
        <w:t>, (ii) activitățile și activele din cadrul schemei UE de comercializare a certificatelor de emisii (ETS) care realizează emisii preconizate de gaze cu efect de seră care nu sunt mai mici decât valorile de referință aplicabile</w:t>
      </w:r>
      <w:r>
        <w:rPr>
          <w:noProof/>
        </w:rPr>
        <w:footnoteReference w:id="3"/>
      </w:r>
      <w:r>
        <w:rPr>
          <w:noProof/>
        </w:rPr>
        <w:t>, (iii)</w:t>
      </w:r>
      <w:r w:rsidR="00FA4EAF">
        <w:rPr>
          <w:noProof/>
        </w:rPr>
        <w:t> </w:t>
      </w:r>
      <w:r>
        <w:rPr>
          <w:noProof/>
        </w:rPr>
        <w:t>activitățile și activele legate de depozitele de deșeuri, incineratoare</w:t>
      </w:r>
      <w:r>
        <w:rPr>
          <w:noProof/>
        </w:rPr>
        <w:footnoteReference w:id="4"/>
      </w:r>
      <w:r>
        <w:rPr>
          <w:noProof/>
        </w:rPr>
        <w:t xml:space="preserve"> și stațiile de tratare mecano-biologică</w:t>
      </w:r>
      <w:r>
        <w:rPr>
          <w:noProof/>
        </w:rPr>
        <w:footnoteReference w:id="5"/>
      </w:r>
      <w:r>
        <w:rPr>
          <w:noProof/>
        </w:rPr>
        <w:t xml:space="preserve">. </w:t>
      </w:r>
    </w:p>
    <w:p w14:paraId="10629C20" w14:textId="625C727E" w:rsidR="00702291" w:rsidRDefault="00712B31">
      <w:pPr>
        <w:pStyle w:val="P68B1DB1-Normal34"/>
        <w:numPr>
          <w:ilvl w:val="2"/>
          <w:numId w:val="108"/>
        </w:numPr>
        <w:spacing w:after="120" w:line="240" w:lineRule="auto"/>
        <w:jc w:val="both"/>
        <w:rPr>
          <w:rFonts w:eastAsia="Calibri"/>
          <w:noProof/>
        </w:rPr>
      </w:pPr>
      <w:r>
        <w:rPr>
          <w:noProof/>
        </w:rPr>
        <w:t>Cerința ca beneficiarii finali ai mecanismului să nu primească sprijin din partea altor instrumente ale Uniunii pentru a acoperi aceleași costuri.</w:t>
      </w:r>
    </w:p>
    <w:p w14:paraId="03F82DE7" w14:textId="393B2F98" w:rsidR="00702291" w:rsidRDefault="00712B31">
      <w:pPr>
        <w:pStyle w:val="P68B1DB1-ListParagraph35"/>
        <w:numPr>
          <w:ilvl w:val="0"/>
          <w:numId w:val="107"/>
        </w:numPr>
        <w:spacing w:after="120" w:line="240" w:lineRule="auto"/>
        <w:contextualSpacing w:val="0"/>
        <w:rPr>
          <w:noProof/>
        </w:rPr>
      </w:pPr>
      <w:r>
        <w:rPr>
          <w:noProof/>
        </w:rPr>
        <w:t>Suma care face obiectul acordului de punere în aplicare, structura comisioanelor pentru partenerul de implementare și cerința de a reinvesti orice restituiri în conformitate cu politica de investiții a facilității.</w:t>
      </w:r>
    </w:p>
    <w:p w14:paraId="02F8793D" w14:textId="71DB4522" w:rsidR="00702291" w:rsidRDefault="00712B31">
      <w:pPr>
        <w:pStyle w:val="P68B1DB1-ListParagraph35"/>
        <w:numPr>
          <w:ilvl w:val="0"/>
          <w:numId w:val="107"/>
        </w:numPr>
        <w:spacing w:after="120" w:line="240" w:lineRule="auto"/>
        <w:contextualSpacing w:val="0"/>
        <w:rPr>
          <w:rFonts w:eastAsia="Calibri"/>
          <w:noProof/>
        </w:rPr>
      </w:pPr>
      <w:r>
        <w:rPr>
          <w:noProof/>
        </w:rPr>
        <w:t>Cerințe de monitorizare, audit și control, inclusiv:</w:t>
      </w:r>
    </w:p>
    <w:p w14:paraId="114FD3AF" w14:textId="1118201A" w:rsidR="00702291" w:rsidRDefault="00712B31">
      <w:pPr>
        <w:pStyle w:val="P68B1DB1-Normal48"/>
        <w:numPr>
          <w:ilvl w:val="0"/>
          <w:numId w:val="109"/>
        </w:numPr>
        <w:spacing w:after="120" w:line="240" w:lineRule="auto"/>
        <w:jc w:val="both"/>
        <w:rPr>
          <w:rFonts w:eastAsia="Calibri"/>
          <w:noProof/>
        </w:rPr>
      </w:pPr>
      <w:r>
        <w:rPr>
          <w:noProof/>
        </w:rPr>
        <w:t>Descrierea sistemului de monitorizare al partenerului de implementare pentru raportarea cu privire la investițiile mobilizate.</w:t>
      </w:r>
    </w:p>
    <w:p w14:paraId="3E788EBC" w14:textId="31B86EED" w:rsidR="00702291" w:rsidRDefault="00712B31">
      <w:pPr>
        <w:pStyle w:val="P68B1DB1-Normal48"/>
        <w:numPr>
          <w:ilvl w:val="0"/>
          <w:numId w:val="109"/>
        </w:numPr>
        <w:spacing w:after="120" w:line="240" w:lineRule="auto"/>
        <w:jc w:val="both"/>
        <w:rPr>
          <w:rFonts w:eastAsia="Calibri"/>
          <w:noProof/>
        </w:rPr>
      </w:pPr>
      <w:r>
        <w:rPr>
          <w:noProof/>
        </w:rPr>
        <w:t xml:space="preserve">Descrierea procedurilor partenerului de implementare care vor asigura prevenirea, detectarea și corectarea fraudei, a corupției și a conflictelor de interese. </w:t>
      </w:r>
    </w:p>
    <w:p w14:paraId="32088895" w14:textId="77777777" w:rsidR="00702291" w:rsidRDefault="00712B31">
      <w:pPr>
        <w:pStyle w:val="P68B1DB1-Normal48"/>
        <w:numPr>
          <w:ilvl w:val="0"/>
          <w:numId w:val="109"/>
        </w:numPr>
        <w:spacing w:after="120" w:line="240" w:lineRule="auto"/>
        <w:jc w:val="both"/>
        <w:rPr>
          <w:rFonts w:eastAsia="Calibri"/>
          <w:noProof/>
        </w:rPr>
      </w:pPr>
      <w:r>
        <w:rPr>
          <w:noProof/>
        </w:rPr>
        <w:t>Obligația de a verifica eligibilitatea fiecărei operațiuni în conformitate cu cerințele prevăzute în acordul de punere în aplicare înainte de a se angaja să finanțeze o operațiune.</w:t>
      </w:r>
    </w:p>
    <w:p w14:paraId="0C6C7E25" w14:textId="77777777" w:rsidR="00702291" w:rsidRDefault="00712B31">
      <w:pPr>
        <w:pStyle w:val="P68B1DB1-Normal48"/>
        <w:numPr>
          <w:ilvl w:val="0"/>
          <w:numId w:val="109"/>
        </w:numPr>
        <w:spacing w:after="120" w:line="240" w:lineRule="auto"/>
        <w:jc w:val="both"/>
        <w:rPr>
          <w:rFonts w:eastAsia="Calibri"/>
          <w:noProof/>
        </w:rPr>
      </w:pPr>
      <w:r>
        <w:rPr>
          <w:noProof/>
        </w:rPr>
        <w:t xml:space="preserve">Obligația de a efectua audituri ex post bazate pe riscuri, în conformitate cu un plan de audit al MFB.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prevăzute în acordul de punere în aplicare aplicabil. </w:t>
      </w:r>
    </w:p>
    <w:p w14:paraId="20DBE2F4" w14:textId="077BF912" w:rsidR="00702291" w:rsidRDefault="00712B31">
      <w:pPr>
        <w:pStyle w:val="P68B1DB1-Normal34"/>
        <w:numPr>
          <w:ilvl w:val="0"/>
          <w:numId w:val="107"/>
        </w:numPr>
        <w:spacing w:after="120" w:line="240" w:lineRule="auto"/>
        <w:jc w:val="both"/>
        <w:rPr>
          <w:rFonts w:eastAsia="Calibri"/>
          <w:noProof/>
        </w:rPr>
      </w:pPr>
      <w:r>
        <w:rPr>
          <w:noProof/>
        </w:rPr>
        <w:t xml:space="preserve">Cerințe pentru investițiile în domeniul climei efectuate de partenerul de implementare: Cel puțin 19 418 569 EUR din investițiile MRR în mecanism contribuie la obiectivele legate de schimbările climatice, în conformitate cu anexa VI la Regulamentul privind MRR. </w:t>
      </w:r>
    </w:p>
    <w:p w14:paraId="186E8AE9" w14:textId="57BC1894" w:rsidR="00702291" w:rsidRDefault="00712B31">
      <w:pPr>
        <w:pStyle w:val="P68B1DB1-Heading411"/>
        <w:spacing w:before="0" w:after="120" w:line="240" w:lineRule="auto"/>
        <w:rPr>
          <w:noProof/>
        </w:rPr>
      </w:pPr>
      <w:r>
        <w:rPr>
          <w:noProof/>
        </w:rPr>
        <w:t xml:space="preserve">C5.R1: Reforma tarifară </w:t>
      </w:r>
    </w:p>
    <w:p w14:paraId="63D3C2D1" w14:textId="561163A8" w:rsidR="00702291" w:rsidRDefault="00712B31">
      <w:pPr>
        <w:pStyle w:val="P68B1DB1-Text146"/>
        <w:spacing w:before="0" w:after="120" w:line="240" w:lineRule="auto"/>
        <w:rPr>
          <w:noProof/>
        </w:rPr>
      </w:pPr>
      <w:r>
        <w:rPr>
          <w:noProof/>
        </w:rPr>
        <w:t xml:space="preserve">Obiectivul acestei măsuri este de a încuraja utilizarea transportului public. </w:t>
      </w:r>
    </w:p>
    <w:p w14:paraId="4DE5B247" w14:textId="63A3058D" w:rsidR="00702291" w:rsidRDefault="00712B31">
      <w:pPr>
        <w:pStyle w:val="P68B1DB1-Text146"/>
        <w:spacing w:before="0" w:after="120" w:line="240" w:lineRule="auto"/>
        <w:rPr>
          <w:noProof/>
        </w:rPr>
      </w:pPr>
      <w:r>
        <w:rPr>
          <w:noProof/>
        </w:rPr>
        <w:t xml:space="preserve">Măsura constă în intrarea în vigoare a actului (actelor) juridic (e) referitor (e) la reducerile de călătorie pentru transportul public de călători. </w:t>
      </w:r>
    </w:p>
    <w:p w14:paraId="389CEF8C" w14:textId="77777777" w:rsidR="00702291" w:rsidRDefault="00702291">
      <w:pPr>
        <w:pStyle w:val="Text1"/>
        <w:spacing w:before="0" w:after="120" w:line="240" w:lineRule="auto"/>
        <w:rPr>
          <w:rFonts w:ascii="Times New Roman" w:hAnsi="Times New Roman"/>
          <w:noProof/>
          <w:sz w:val="24"/>
          <w:szCs w:val="24"/>
        </w:rPr>
      </w:pPr>
    </w:p>
    <w:p w14:paraId="65933C38" w14:textId="77777777" w:rsidR="00702291" w:rsidRDefault="00702291">
      <w:pPr>
        <w:pStyle w:val="Text1"/>
        <w:keepNext w:val="0"/>
        <w:spacing w:before="0" w:after="120" w:line="240" w:lineRule="auto"/>
        <w:rPr>
          <w:rFonts w:ascii="Times New Roman" w:hAnsi="Times New Roman" w:cs="Times New Roman"/>
          <w:noProof/>
          <w:sz w:val="24"/>
          <w:szCs w:val="24"/>
        </w:rPr>
      </w:pPr>
    </w:p>
    <w:p w14:paraId="5C7A2096" w14:textId="77777777" w:rsidR="00702291" w:rsidRDefault="00702291">
      <w:pPr>
        <w:pStyle w:val="Text1"/>
        <w:keepNext w:val="0"/>
        <w:spacing w:before="0" w:after="120" w:line="240" w:lineRule="auto"/>
        <w:rPr>
          <w:rFonts w:ascii="Times New Roman" w:hAnsi="Times New Roman" w:cs="Times New Roman"/>
          <w:noProof/>
          <w:sz w:val="24"/>
          <w:szCs w:val="24"/>
        </w:rPr>
      </w:pPr>
    </w:p>
    <w:p w14:paraId="5440F814" w14:textId="77777777" w:rsidR="00702291" w:rsidRDefault="00702291">
      <w:pPr>
        <w:spacing w:after="120" w:line="240" w:lineRule="auto"/>
        <w:rPr>
          <w:rFonts w:ascii="Times New Roman" w:hAnsi="Times New Roman" w:cs="Times New Roman"/>
          <w:b/>
          <w:noProof/>
          <w:sz w:val="24"/>
          <w:szCs w:val="24"/>
          <w:u w:val="single"/>
        </w:rPr>
        <w:sectPr w:rsidR="00702291" w:rsidSect="009030B8">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08"/>
          <w:docGrid w:linePitch="360"/>
        </w:sectPr>
      </w:pPr>
    </w:p>
    <w:p w14:paraId="5B79EC15" w14:textId="77777777" w:rsidR="00702291" w:rsidRDefault="00712B31">
      <w:pPr>
        <w:pStyle w:val="P68B1DB1-Heading310"/>
        <w:spacing w:before="0" w:after="120"/>
        <w:rPr>
          <w:noProof/>
        </w:rPr>
      </w:pPr>
      <w:r>
        <w:rPr>
          <w:noProof/>
        </w:rPr>
        <w:t xml:space="preserve">E.2. </w:t>
      </w:r>
      <w:r>
        <w:rPr>
          <w:noProof/>
        </w:rPr>
        <w:tab/>
        <w:t>Jaloane, ținte, indicatori și calendarul de monitorizare și implementare aplicabile sprijinului financiar nerambursabil</w:t>
      </w:r>
    </w:p>
    <w:tbl>
      <w:tblPr>
        <w:tblW w:w="15065" w:type="dxa"/>
        <w:jc w:val="center"/>
        <w:tblLayout w:type="fixed"/>
        <w:tblLook w:val="04A0" w:firstRow="1" w:lastRow="0" w:firstColumn="1" w:lastColumn="0" w:noHBand="0" w:noVBand="1"/>
      </w:tblPr>
      <w:tblGrid>
        <w:gridCol w:w="1134"/>
        <w:gridCol w:w="1598"/>
        <w:gridCol w:w="1232"/>
        <w:gridCol w:w="1649"/>
        <w:gridCol w:w="1333"/>
        <w:gridCol w:w="1031"/>
        <w:gridCol w:w="949"/>
        <w:gridCol w:w="850"/>
        <w:gridCol w:w="992"/>
        <w:gridCol w:w="709"/>
        <w:gridCol w:w="3588"/>
      </w:tblGrid>
      <w:tr w:rsidR="00702291" w14:paraId="6A3ADE58" w14:textId="77777777" w:rsidTr="00FA4EAF">
        <w:trPr>
          <w:trHeight w:val="945"/>
          <w:tblHeade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F62D325" w14:textId="77777777" w:rsidR="00702291" w:rsidRDefault="00712B31">
            <w:pPr>
              <w:pStyle w:val="P68B1DB1-Normal37"/>
              <w:spacing w:after="120" w:line="240" w:lineRule="auto"/>
              <w:jc w:val="center"/>
              <w:rPr>
                <w:noProof/>
              </w:rPr>
            </w:pPr>
            <w:r>
              <w:rPr>
                <w:noProof/>
              </w:rPr>
              <w:t>Număr secvențial</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D4B1366" w14:textId="77777777" w:rsidR="00702291" w:rsidRDefault="00712B31">
            <w:pPr>
              <w:pStyle w:val="P68B1DB1-Normal37"/>
              <w:spacing w:after="120" w:line="240" w:lineRule="auto"/>
              <w:jc w:val="center"/>
              <w:rPr>
                <w:rFonts w:eastAsiaTheme="minorHAnsi"/>
                <w:noProof/>
              </w:rPr>
            </w:pPr>
            <w:r>
              <w:rPr>
                <w:noProof/>
              </w:rPr>
              <w:t>Măsură conexă (reformă sau investiții)</w:t>
            </w:r>
          </w:p>
        </w:tc>
        <w:tc>
          <w:tcPr>
            <w:tcW w:w="123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4340BB2" w14:textId="77777777" w:rsidR="00702291" w:rsidRDefault="00712B31">
            <w:pPr>
              <w:pStyle w:val="P68B1DB1-Normal37"/>
              <w:spacing w:after="120" w:line="240" w:lineRule="auto"/>
              <w:jc w:val="center"/>
              <w:rPr>
                <w:rFonts w:eastAsiaTheme="minorHAnsi"/>
                <w:noProof/>
              </w:rPr>
            </w:pPr>
            <w:r>
              <w:rPr>
                <w:noProof/>
              </w:rPr>
              <w:t>Kilometraje/</w:t>
            </w:r>
          </w:p>
          <w:p w14:paraId="5BB164C2" w14:textId="77777777" w:rsidR="00702291" w:rsidRDefault="00712B31">
            <w:pPr>
              <w:pStyle w:val="P68B1DB1-Normal37"/>
              <w:spacing w:after="120" w:line="240" w:lineRule="auto"/>
              <w:jc w:val="center"/>
              <w:rPr>
                <w:rFonts w:eastAsiaTheme="minorHAnsi"/>
                <w:noProof/>
              </w:rPr>
            </w:pPr>
            <w:r>
              <w:rPr>
                <w:noProof/>
              </w:rPr>
              <w:t>Țintă</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F73500D" w14:textId="77777777" w:rsidR="00702291" w:rsidRDefault="00712B31">
            <w:pPr>
              <w:pStyle w:val="P68B1DB1-Normal37"/>
              <w:spacing w:after="120" w:line="240" w:lineRule="auto"/>
              <w:jc w:val="center"/>
              <w:rPr>
                <w:rFonts w:eastAsiaTheme="minorHAnsi"/>
                <w:noProof/>
              </w:rPr>
            </w:pPr>
            <w:r>
              <w:rPr>
                <w:noProof/>
              </w:rPr>
              <w:t>Nume</w:t>
            </w:r>
          </w:p>
        </w:tc>
        <w:tc>
          <w:tcPr>
            <w:tcW w:w="133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5D2D9F0" w14:textId="4AF8CF74" w:rsidR="00702291" w:rsidRDefault="00712B31">
            <w:pPr>
              <w:pStyle w:val="P68B1DB1-Normal32"/>
              <w:spacing w:after="120" w:line="240" w:lineRule="auto"/>
              <w:jc w:val="center"/>
              <w:rPr>
                <w:rFonts w:eastAsiaTheme="minorHAnsi"/>
                <w:b/>
                <w:noProof/>
              </w:rPr>
            </w:pPr>
            <w:r>
              <w:rPr>
                <w:b/>
                <w:noProof/>
              </w:rPr>
              <w:t>Indicatori calitativi</w:t>
            </w:r>
            <w:r>
              <w:rPr>
                <w:noProof/>
              </w:rPr>
              <w:br/>
            </w:r>
            <w:r>
              <w:rPr>
                <w:b/>
                <w:noProof/>
              </w:rPr>
              <w:t>(pentru jaloane)</w:t>
            </w:r>
          </w:p>
        </w:tc>
        <w:tc>
          <w:tcPr>
            <w:tcW w:w="283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FFB683" w14:textId="77777777" w:rsidR="00702291" w:rsidRDefault="00712B31">
            <w:pPr>
              <w:pStyle w:val="P68B1DB1-Normal37"/>
              <w:spacing w:after="120" w:line="240" w:lineRule="auto"/>
              <w:jc w:val="center"/>
              <w:rPr>
                <w:rFonts w:eastAsiaTheme="minorHAnsi"/>
                <w:noProof/>
              </w:rPr>
            </w:pPr>
            <w:r>
              <w:rPr>
                <w:noProof/>
              </w:rPr>
              <w:t>Indicatori cantitativi (pentru ținte)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1098FC4" w14:textId="77777777" w:rsidR="00702291" w:rsidRDefault="00712B31">
            <w:pPr>
              <w:pStyle w:val="P68B1DB1-Normal37"/>
              <w:spacing w:after="120" w:line="240" w:lineRule="auto"/>
              <w:jc w:val="center"/>
              <w:rPr>
                <w:rFonts w:eastAsiaTheme="minorHAnsi"/>
                <w:noProof/>
              </w:rPr>
            </w:pPr>
            <w:r>
              <w:rPr>
                <w:noProof/>
              </w:rPr>
              <w:t>Calendar orientativ pentru finalizare</w:t>
            </w:r>
          </w:p>
        </w:tc>
        <w:tc>
          <w:tcPr>
            <w:tcW w:w="358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6DD1352" w14:textId="77777777" w:rsidR="00702291" w:rsidRDefault="00712B31">
            <w:pPr>
              <w:pStyle w:val="P68B1DB1-Normal37"/>
              <w:spacing w:after="120" w:line="240" w:lineRule="auto"/>
              <w:jc w:val="center"/>
              <w:rPr>
                <w:rFonts w:eastAsiaTheme="minorHAnsi"/>
                <w:noProof/>
              </w:rPr>
            </w:pPr>
            <w:r>
              <w:rPr>
                <w:noProof/>
              </w:rPr>
              <w:t>Descrierea fiecărui jalon și a fiecărei ținte</w:t>
            </w:r>
          </w:p>
        </w:tc>
      </w:tr>
      <w:tr w:rsidR="00702291" w14:paraId="2E58695D" w14:textId="77777777" w:rsidTr="00FA4EAF">
        <w:trPr>
          <w:trHeight w:val="557"/>
          <w:tblHeader/>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F70C097" w14:textId="77777777" w:rsidR="00702291" w:rsidRDefault="00702291">
            <w:pPr>
              <w:spacing w:after="120" w:line="240" w:lineRule="auto"/>
              <w:jc w:val="center"/>
              <w:rPr>
                <w:rFonts w:ascii="Times New Roman" w:hAnsi="Times New Roman" w:cs="Times New Roman"/>
                <w:b/>
                <w:noProof/>
                <w:sz w:val="18"/>
                <w:szCs w:val="18"/>
              </w:rPr>
            </w:pPr>
          </w:p>
        </w:tc>
        <w:tc>
          <w:tcPr>
            <w:tcW w:w="1598" w:type="dxa"/>
            <w:vMerge/>
            <w:tcBorders>
              <w:top w:val="single" w:sz="4" w:space="0" w:color="auto"/>
              <w:left w:val="single" w:sz="4" w:space="0" w:color="auto"/>
              <w:bottom w:val="single" w:sz="4" w:space="0" w:color="auto"/>
              <w:right w:val="single" w:sz="4" w:space="0" w:color="auto"/>
            </w:tcBorders>
            <w:vAlign w:val="center"/>
            <w:hideMark/>
          </w:tcPr>
          <w:p w14:paraId="53994CE7" w14:textId="77777777" w:rsidR="00702291" w:rsidRDefault="00702291">
            <w:pPr>
              <w:spacing w:after="120" w:line="240" w:lineRule="auto"/>
              <w:jc w:val="center"/>
              <w:rPr>
                <w:rFonts w:ascii="Times New Roman" w:hAnsi="Times New Roman" w:cs="Times New Roman"/>
                <w:b/>
                <w:noProof/>
                <w:sz w:val="18"/>
                <w:szCs w:val="18"/>
              </w:rPr>
            </w:pPr>
          </w:p>
        </w:tc>
        <w:tc>
          <w:tcPr>
            <w:tcW w:w="1232" w:type="dxa"/>
            <w:vMerge/>
            <w:tcBorders>
              <w:top w:val="single" w:sz="4" w:space="0" w:color="auto"/>
              <w:left w:val="single" w:sz="4" w:space="0" w:color="auto"/>
              <w:bottom w:val="single" w:sz="4" w:space="0" w:color="auto"/>
              <w:right w:val="single" w:sz="4" w:space="0" w:color="auto"/>
            </w:tcBorders>
            <w:vAlign w:val="center"/>
            <w:hideMark/>
          </w:tcPr>
          <w:p w14:paraId="3B28110F" w14:textId="77777777" w:rsidR="00702291" w:rsidRDefault="00702291">
            <w:pPr>
              <w:spacing w:after="120" w:line="240" w:lineRule="auto"/>
              <w:jc w:val="center"/>
              <w:rPr>
                <w:rFonts w:ascii="Times New Roman" w:hAnsi="Times New Roman" w:cs="Times New Roman"/>
                <w:b/>
                <w:noProof/>
                <w:sz w:val="18"/>
                <w:szCs w:val="18"/>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14:paraId="0B234FCF" w14:textId="77777777" w:rsidR="00702291" w:rsidRDefault="00702291">
            <w:pPr>
              <w:spacing w:after="120" w:line="240" w:lineRule="auto"/>
              <w:jc w:val="center"/>
              <w:rPr>
                <w:rFonts w:ascii="Times New Roman" w:hAnsi="Times New Roman" w:cs="Times New Roman"/>
                <w:b/>
                <w:noProof/>
                <w:sz w:val="18"/>
                <w:szCs w:val="18"/>
              </w:rPr>
            </w:pPr>
          </w:p>
        </w:tc>
        <w:tc>
          <w:tcPr>
            <w:tcW w:w="1333" w:type="dxa"/>
            <w:vMerge/>
            <w:tcBorders>
              <w:top w:val="single" w:sz="4" w:space="0" w:color="auto"/>
              <w:left w:val="single" w:sz="4" w:space="0" w:color="auto"/>
            </w:tcBorders>
            <w:vAlign w:val="center"/>
            <w:hideMark/>
          </w:tcPr>
          <w:p w14:paraId="64B96621" w14:textId="77777777" w:rsidR="00702291" w:rsidRDefault="00702291">
            <w:pPr>
              <w:spacing w:after="120" w:line="240" w:lineRule="auto"/>
              <w:jc w:val="center"/>
              <w:rPr>
                <w:rFonts w:ascii="Times New Roman" w:hAnsi="Times New Roman" w:cs="Times New Roman"/>
                <w:b/>
                <w:noProof/>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78FE717" w14:textId="77777777" w:rsidR="00702291" w:rsidRDefault="00712B31">
            <w:pPr>
              <w:pStyle w:val="P68B1DB1-Normal37"/>
              <w:spacing w:after="120" w:line="240" w:lineRule="auto"/>
              <w:jc w:val="center"/>
              <w:rPr>
                <w:rFonts w:eastAsiaTheme="minorHAnsi"/>
                <w:noProof/>
              </w:rPr>
            </w:pPr>
            <w:r>
              <w:rPr>
                <w:noProof/>
              </w:rPr>
              <w:t>Unitatea de măsură</w:t>
            </w:r>
          </w:p>
        </w:tc>
        <w:tc>
          <w:tcPr>
            <w:tcW w:w="9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6A134CC" w14:textId="77777777" w:rsidR="00702291" w:rsidRDefault="00712B31">
            <w:pPr>
              <w:pStyle w:val="P68B1DB1-Normal37"/>
              <w:spacing w:after="120" w:line="240" w:lineRule="auto"/>
              <w:jc w:val="center"/>
              <w:rPr>
                <w:rFonts w:eastAsiaTheme="minorHAnsi"/>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1734EFA" w14:textId="77777777" w:rsidR="00702291" w:rsidRPr="00FA4EAF" w:rsidRDefault="00712B31">
            <w:pPr>
              <w:pStyle w:val="P68B1DB1-Normal37"/>
              <w:spacing w:after="120" w:line="240" w:lineRule="auto"/>
              <w:jc w:val="center"/>
              <w:rPr>
                <w:rFonts w:eastAsiaTheme="minorHAnsi"/>
                <w:noProof/>
                <w:sz w:val="16"/>
                <w:szCs w:val="16"/>
              </w:rPr>
            </w:pPr>
            <w:r w:rsidRPr="00FA4EAF">
              <w:rPr>
                <w:noProof/>
                <w:sz w:val="16"/>
                <w:szCs w:val="16"/>
              </w:rPr>
              <w:t>Obiectiv</w:t>
            </w:r>
          </w:p>
        </w:tc>
        <w:tc>
          <w:tcPr>
            <w:tcW w:w="9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FA990A2" w14:textId="77777777" w:rsidR="00702291" w:rsidRPr="00FA4EAF" w:rsidRDefault="00712B31">
            <w:pPr>
              <w:pStyle w:val="P68B1DB1-Normal37"/>
              <w:spacing w:after="120" w:line="240" w:lineRule="auto"/>
              <w:jc w:val="center"/>
              <w:rPr>
                <w:rFonts w:eastAsiaTheme="minorHAnsi"/>
                <w:noProof/>
                <w:sz w:val="16"/>
                <w:szCs w:val="16"/>
              </w:rPr>
            </w:pPr>
            <w:r w:rsidRPr="00FA4EAF">
              <w:rPr>
                <w:noProof/>
                <w:sz w:val="16"/>
                <w:szCs w:val="16"/>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71E5916" w14:textId="77777777" w:rsidR="00702291" w:rsidRDefault="00712B31">
            <w:pPr>
              <w:pStyle w:val="P68B1DB1-Normal37"/>
              <w:spacing w:after="120" w:line="240" w:lineRule="auto"/>
              <w:jc w:val="center"/>
              <w:rPr>
                <w:rFonts w:eastAsiaTheme="minorHAnsi"/>
                <w:noProof/>
              </w:rPr>
            </w:pPr>
            <w:r>
              <w:rPr>
                <w:noProof/>
              </w:rPr>
              <w:t>Anul</w:t>
            </w:r>
          </w:p>
        </w:tc>
        <w:tc>
          <w:tcPr>
            <w:tcW w:w="3588" w:type="dxa"/>
            <w:vMerge/>
            <w:tcBorders>
              <w:top w:val="single" w:sz="4" w:space="0" w:color="auto"/>
              <w:bottom w:val="single" w:sz="4" w:space="0" w:color="auto"/>
              <w:right w:val="single" w:sz="4" w:space="0" w:color="auto"/>
            </w:tcBorders>
            <w:vAlign w:val="center"/>
            <w:hideMark/>
          </w:tcPr>
          <w:p w14:paraId="624C90B5" w14:textId="77777777" w:rsidR="00702291" w:rsidRDefault="00702291">
            <w:pPr>
              <w:spacing w:after="120" w:line="240" w:lineRule="auto"/>
              <w:rPr>
                <w:rFonts w:ascii="Times New Roman" w:hAnsi="Times New Roman" w:cs="Times New Roman"/>
                <w:b/>
                <w:noProof/>
                <w:sz w:val="18"/>
                <w:szCs w:val="18"/>
              </w:rPr>
            </w:pPr>
          </w:p>
        </w:tc>
      </w:tr>
      <w:tr w:rsidR="00702291" w14:paraId="0617045A" w14:textId="77777777" w:rsidTr="00FA4EAF">
        <w:trPr>
          <w:trHeight w:val="7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E429F" w14:textId="0018EDEF" w:rsidR="00702291" w:rsidRDefault="00712B31">
            <w:pPr>
              <w:pStyle w:val="P68B1DB1-Normal32"/>
              <w:spacing w:after="120" w:line="240" w:lineRule="auto"/>
              <w:rPr>
                <w:noProof/>
              </w:rPr>
            </w:pPr>
            <w:r>
              <w:rPr>
                <w:noProof/>
              </w:rPr>
              <w:t>21</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691E873B" w14:textId="490945C2" w:rsidR="00702291" w:rsidRDefault="00712B31">
            <w:pPr>
              <w:pStyle w:val="P68B1DB1-Normal32"/>
              <w:spacing w:after="120" w:line="240" w:lineRule="auto"/>
              <w:rPr>
                <w:noProof/>
              </w:rPr>
            </w:pPr>
            <w:r>
              <w:rPr>
                <w:noProof/>
              </w:rPr>
              <w:t>C5.I1 Dezvoltarea unei linii de cale ferată suburbane</w:t>
            </w:r>
          </w:p>
        </w:tc>
        <w:tc>
          <w:tcPr>
            <w:tcW w:w="1232" w:type="dxa"/>
            <w:tcBorders>
              <w:top w:val="single" w:sz="4" w:space="0" w:color="auto"/>
              <w:left w:val="nil"/>
              <w:bottom w:val="single" w:sz="4" w:space="0" w:color="auto"/>
              <w:right w:val="single" w:sz="4" w:space="0" w:color="auto"/>
            </w:tcBorders>
            <w:shd w:val="clear" w:color="auto" w:fill="C6EFCE"/>
            <w:noWrap/>
            <w:vAlign w:val="center"/>
          </w:tcPr>
          <w:p w14:paraId="5336C87C" w14:textId="65476AA6" w:rsidR="00702291" w:rsidRDefault="00712B31">
            <w:pPr>
              <w:pStyle w:val="P68B1DB1-Normal32"/>
              <w:spacing w:after="120" w:line="240" w:lineRule="auto"/>
              <w:rPr>
                <w:noProof/>
              </w:rPr>
            </w:pPr>
            <w:r>
              <w:rPr>
                <w:noProof/>
              </w:rPr>
              <w:t>Etapă</w:t>
            </w:r>
          </w:p>
        </w:tc>
        <w:tc>
          <w:tcPr>
            <w:tcW w:w="1649" w:type="dxa"/>
            <w:tcBorders>
              <w:top w:val="single" w:sz="4" w:space="0" w:color="auto"/>
              <w:left w:val="nil"/>
              <w:bottom w:val="single" w:sz="4" w:space="0" w:color="auto"/>
              <w:right w:val="single" w:sz="4" w:space="0" w:color="auto"/>
            </w:tcBorders>
            <w:shd w:val="clear" w:color="auto" w:fill="C6EFCE"/>
            <w:vAlign w:val="center"/>
          </w:tcPr>
          <w:p w14:paraId="77B62605" w14:textId="46117E2C" w:rsidR="00702291" w:rsidRDefault="00712B31">
            <w:pPr>
              <w:pStyle w:val="P68B1DB1-Normal32"/>
              <w:spacing w:after="120" w:line="240" w:lineRule="auto"/>
              <w:rPr>
                <w:noProof/>
              </w:rPr>
            </w:pPr>
            <w:r>
              <w:rPr>
                <w:noProof/>
              </w:rPr>
              <w:t>Lucrări legate de tronsonul feroviar Debrecen-Balmazújváros </w:t>
            </w:r>
          </w:p>
        </w:tc>
        <w:tc>
          <w:tcPr>
            <w:tcW w:w="1333" w:type="dxa"/>
            <w:tcBorders>
              <w:top w:val="single" w:sz="4" w:space="0" w:color="auto"/>
              <w:left w:val="nil"/>
              <w:bottom w:val="single" w:sz="4" w:space="0" w:color="auto"/>
              <w:right w:val="single" w:sz="4" w:space="0" w:color="auto"/>
            </w:tcBorders>
            <w:shd w:val="clear" w:color="auto" w:fill="C6EFCE"/>
            <w:vAlign w:val="center"/>
          </w:tcPr>
          <w:p w14:paraId="21DD7A04" w14:textId="2EBE8ADC" w:rsidR="00702291" w:rsidRDefault="00712B31">
            <w:pPr>
              <w:pStyle w:val="P68B1DB1-Normal32"/>
              <w:spacing w:after="120" w:line="240" w:lineRule="auto"/>
              <w:rPr>
                <w:noProof/>
              </w:rPr>
            </w:pPr>
            <w:r>
              <w:rPr>
                <w:noProof/>
              </w:rPr>
              <w:t>Protocol (e) de predare și acceptare</w:t>
            </w:r>
          </w:p>
        </w:tc>
        <w:tc>
          <w:tcPr>
            <w:tcW w:w="1031" w:type="dxa"/>
            <w:tcBorders>
              <w:top w:val="single" w:sz="4" w:space="0" w:color="auto"/>
              <w:left w:val="nil"/>
              <w:bottom w:val="single" w:sz="4" w:space="0" w:color="auto"/>
              <w:right w:val="single" w:sz="4" w:space="0" w:color="auto"/>
            </w:tcBorders>
            <w:shd w:val="clear" w:color="auto" w:fill="C6EFCE"/>
            <w:noWrap/>
            <w:vAlign w:val="center"/>
          </w:tcPr>
          <w:p w14:paraId="489EAA05" w14:textId="10C1D8A6" w:rsidR="00702291" w:rsidRDefault="00702291">
            <w:pPr>
              <w:spacing w:after="120" w:line="240" w:lineRule="auto"/>
              <w:jc w:val="center"/>
              <w:rPr>
                <w:rFonts w:ascii="Times New Roman"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09ED4EFF" w14:textId="327F6DD7" w:rsidR="00702291" w:rsidRDefault="0070229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6FFC438E" w14:textId="6055F72A" w:rsidR="00702291" w:rsidRDefault="0070229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vAlign w:val="center"/>
          </w:tcPr>
          <w:p w14:paraId="3BB8A442" w14:textId="290BCE99" w:rsidR="00702291" w:rsidRDefault="00F233DB">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3582539D" w14:textId="4F5FD0D9" w:rsidR="00702291" w:rsidRDefault="00712B31">
            <w:pPr>
              <w:pStyle w:val="P68B1DB1-Normal32"/>
              <w:spacing w:after="120" w:line="240" w:lineRule="auto"/>
              <w:jc w:val="center"/>
              <w:rPr>
                <w:noProof/>
              </w:rPr>
            </w:pPr>
            <w:r>
              <w:rPr>
                <w:noProof/>
              </w:rPr>
              <w:t>2026</w:t>
            </w:r>
          </w:p>
        </w:tc>
        <w:tc>
          <w:tcPr>
            <w:tcW w:w="3588" w:type="dxa"/>
            <w:tcBorders>
              <w:top w:val="single" w:sz="4" w:space="0" w:color="auto"/>
              <w:left w:val="nil"/>
              <w:bottom w:val="single" w:sz="4" w:space="0" w:color="auto"/>
              <w:right w:val="single" w:sz="4" w:space="0" w:color="auto"/>
            </w:tcBorders>
            <w:shd w:val="clear" w:color="auto" w:fill="C6EFCE"/>
            <w:vAlign w:val="center"/>
          </w:tcPr>
          <w:p w14:paraId="69C5D562" w14:textId="5AF3365E" w:rsidR="00702291" w:rsidRDefault="00712B31">
            <w:pPr>
              <w:pStyle w:val="P68B1DB1-Normal32"/>
              <w:spacing w:after="120" w:line="240" w:lineRule="auto"/>
              <w:rPr>
                <w:noProof/>
              </w:rPr>
            </w:pPr>
            <w:r>
              <w:rPr>
                <w:noProof/>
              </w:rPr>
              <w:t>Protocolul (protocoalele) tehnic (e) de predare și recepție pentru lucrările de (re) construcție a infrastructurii feroviare dintre Debrecen și Balmazújváros. </w:t>
            </w:r>
          </w:p>
          <w:p w14:paraId="63CE8D7E" w14:textId="77777777" w:rsidR="00702291" w:rsidRDefault="00702291">
            <w:pPr>
              <w:spacing w:after="120" w:line="240" w:lineRule="auto"/>
              <w:rPr>
                <w:rFonts w:ascii="Times New Roman" w:hAnsi="Times New Roman" w:cs="Times New Roman"/>
                <w:noProof/>
                <w:sz w:val="18"/>
                <w:szCs w:val="18"/>
              </w:rPr>
            </w:pPr>
          </w:p>
        </w:tc>
      </w:tr>
      <w:tr w:rsidR="00702291" w14:paraId="1D7955E9" w14:textId="77777777" w:rsidTr="00FA4EAF">
        <w:trPr>
          <w:trHeight w:val="410"/>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hideMark/>
          </w:tcPr>
          <w:p w14:paraId="4726C824" w14:textId="7C378C04" w:rsidR="00702291" w:rsidRDefault="00712B31">
            <w:pPr>
              <w:pStyle w:val="P68B1DB1-Normal32"/>
              <w:spacing w:after="120" w:line="240" w:lineRule="auto"/>
              <w:rPr>
                <w:noProof/>
              </w:rPr>
            </w:pPr>
            <w:r>
              <w:rPr>
                <w:noProof/>
              </w:rPr>
              <w:t>22</w:t>
            </w:r>
          </w:p>
        </w:tc>
        <w:tc>
          <w:tcPr>
            <w:tcW w:w="1598" w:type="dxa"/>
            <w:tcBorders>
              <w:top w:val="nil"/>
              <w:left w:val="nil"/>
              <w:bottom w:val="single" w:sz="4" w:space="0" w:color="auto"/>
              <w:right w:val="single" w:sz="4" w:space="0" w:color="auto"/>
            </w:tcBorders>
            <w:shd w:val="clear" w:color="auto" w:fill="C6EFCE"/>
            <w:vAlign w:val="center"/>
            <w:hideMark/>
          </w:tcPr>
          <w:p w14:paraId="35D8F095" w14:textId="77777777" w:rsidR="00702291" w:rsidRDefault="00712B31">
            <w:pPr>
              <w:pStyle w:val="P68B1DB1-Normal32"/>
              <w:spacing w:after="120" w:line="240" w:lineRule="auto"/>
              <w:rPr>
                <w:rFonts w:eastAsiaTheme="minorHAnsi"/>
                <w:noProof/>
              </w:rPr>
            </w:pPr>
            <w:r>
              <w:rPr>
                <w:noProof/>
              </w:rPr>
              <w:t>C5.I2 Comutarea congestionării rețelei feroviare pe coridorul TEN-T</w:t>
            </w:r>
          </w:p>
        </w:tc>
        <w:tc>
          <w:tcPr>
            <w:tcW w:w="1232" w:type="dxa"/>
            <w:tcBorders>
              <w:top w:val="nil"/>
              <w:left w:val="nil"/>
              <w:bottom w:val="single" w:sz="4" w:space="0" w:color="auto"/>
              <w:right w:val="single" w:sz="4" w:space="0" w:color="auto"/>
            </w:tcBorders>
            <w:shd w:val="clear" w:color="auto" w:fill="C6EFCE"/>
            <w:noWrap/>
            <w:vAlign w:val="center"/>
            <w:hideMark/>
          </w:tcPr>
          <w:p w14:paraId="5E92665C" w14:textId="690E20E7" w:rsidR="00702291" w:rsidRDefault="00712B31">
            <w:pPr>
              <w:pStyle w:val="P68B1DB1-Normal32"/>
              <w:spacing w:after="120" w:line="240" w:lineRule="auto"/>
              <w:rPr>
                <w:rFonts w:eastAsiaTheme="minorHAnsi"/>
                <w:noProof/>
              </w:rPr>
            </w:pPr>
            <w:r>
              <w:rPr>
                <w:noProof/>
              </w:rPr>
              <w:t>Etapă</w:t>
            </w:r>
          </w:p>
        </w:tc>
        <w:tc>
          <w:tcPr>
            <w:tcW w:w="1649" w:type="dxa"/>
            <w:tcBorders>
              <w:top w:val="nil"/>
              <w:left w:val="nil"/>
              <w:bottom w:val="single" w:sz="4" w:space="0" w:color="auto"/>
              <w:right w:val="single" w:sz="4" w:space="0" w:color="auto"/>
            </w:tcBorders>
            <w:shd w:val="clear" w:color="auto" w:fill="C6EFCE"/>
            <w:vAlign w:val="center"/>
            <w:hideMark/>
          </w:tcPr>
          <w:p w14:paraId="316DB648" w14:textId="6DFB5B41" w:rsidR="00702291" w:rsidRDefault="00712B31">
            <w:pPr>
              <w:pStyle w:val="P68B1DB1-Normal32"/>
              <w:spacing w:after="120" w:line="240" w:lineRule="auto"/>
              <w:rPr>
                <w:noProof/>
              </w:rPr>
            </w:pPr>
            <w:r>
              <w:rPr>
                <w:noProof/>
              </w:rPr>
              <w:t>Lucrări legate de tronsonul feroviar Békéscsaba-Lőkösháza</w:t>
            </w:r>
          </w:p>
        </w:tc>
        <w:tc>
          <w:tcPr>
            <w:tcW w:w="1333" w:type="dxa"/>
            <w:tcBorders>
              <w:top w:val="nil"/>
              <w:left w:val="nil"/>
              <w:bottom w:val="single" w:sz="4" w:space="0" w:color="auto"/>
              <w:right w:val="single" w:sz="4" w:space="0" w:color="auto"/>
            </w:tcBorders>
            <w:shd w:val="clear" w:color="auto" w:fill="C6EFCE"/>
            <w:vAlign w:val="center"/>
            <w:hideMark/>
          </w:tcPr>
          <w:p w14:paraId="58F6C058" w14:textId="4F19FD8F" w:rsidR="00702291" w:rsidRDefault="00712B31">
            <w:pPr>
              <w:pStyle w:val="P68B1DB1-Normal32"/>
              <w:spacing w:after="120" w:line="240" w:lineRule="auto"/>
              <w:rPr>
                <w:noProof/>
              </w:rPr>
            </w:pPr>
            <w:r>
              <w:rPr>
                <w:noProof/>
              </w:rPr>
              <w:t>Protocol (e) de predare și acceptare</w:t>
            </w:r>
          </w:p>
        </w:tc>
        <w:tc>
          <w:tcPr>
            <w:tcW w:w="1031" w:type="dxa"/>
            <w:tcBorders>
              <w:top w:val="nil"/>
              <w:left w:val="nil"/>
              <w:bottom w:val="single" w:sz="4" w:space="0" w:color="auto"/>
              <w:right w:val="single" w:sz="4" w:space="0" w:color="auto"/>
            </w:tcBorders>
            <w:shd w:val="clear" w:color="auto" w:fill="C6EFCE"/>
            <w:noWrap/>
            <w:vAlign w:val="center"/>
            <w:hideMark/>
          </w:tcPr>
          <w:p w14:paraId="0D3DE828" w14:textId="5EE8BB5B" w:rsidR="00702291" w:rsidRDefault="00702291">
            <w:pPr>
              <w:spacing w:after="120" w:line="240" w:lineRule="auto"/>
              <w:jc w:val="center"/>
              <w:rPr>
                <w:rFonts w:ascii="Times New Roman" w:eastAsiaTheme="minorHAnsi"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hideMark/>
          </w:tcPr>
          <w:p w14:paraId="1B00077F" w14:textId="77777777" w:rsidR="00702291" w:rsidRDefault="0070229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hideMark/>
          </w:tcPr>
          <w:p w14:paraId="6B2C591E" w14:textId="40B20930" w:rsidR="00702291" w:rsidRDefault="0070229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vAlign w:val="center"/>
            <w:hideMark/>
          </w:tcPr>
          <w:p w14:paraId="1F63C6C4" w14:textId="673DE9B8" w:rsidR="00702291" w:rsidRDefault="00F233DB">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hideMark/>
          </w:tcPr>
          <w:p w14:paraId="51CD1236" w14:textId="77777777" w:rsidR="00702291" w:rsidRDefault="00712B31">
            <w:pPr>
              <w:pStyle w:val="P68B1DB1-Normal32"/>
              <w:spacing w:after="120" w:line="240" w:lineRule="auto"/>
              <w:jc w:val="center"/>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hideMark/>
          </w:tcPr>
          <w:p w14:paraId="4340869F" w14:textId="0BEE718E" w:rsidR="00702291" w:rsidRDefault="00712B31">
            <w:pPr>
              <w:pStyle w:val="P68B1DB1-Normal32"/>
              <w:spacing w:after="120" w:line="240" w:lineRule="auto"/>
              <w:rPr>
                <w:noProof/>
              </w:rPr>
            </w:pPr>
            <w:r>
              <w:rPr>
                <w:noProof/>
              </w:rPr>
              <w:t>Protocolul (protocoalele) tehnic (e) de predare și recepție pentru lucrările de (re) construcție a infrastructurii feroviare dintre Békéscsaba și Lőkösháza.</w:t>
            </w:r>
          </w:p>
        </w:tc>
      </w:tr>
      <w:tr w:rsidR="00702291" w14:paraId="323651DE" w14:textId="77777777" w:rsidTr="00FA4EAF">
        <w:trPr>
          <w:trHeight w:val="930"/>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hideMark/>
          </w:tcPr>
          <w:p w14:paraId="74DFE8F1" w14:textId="7A036132" w:rsidR="00702291" w:rsidRDefault="00712B31">
            <w:pPr>
              <w:pStyle w:val="P68B1DB1-Normal32"/>
              <w:spacing w:after="120" w:line="240" w:lineRule="auto"/>
              <w:rPr>
                <w:noProof/>
              </w:rPr>
            </w:pPr>
            <w:r>
              <w:rPr>
                <w:noProof/>
              </w:rPr>
              <w:t>23</w:t>
            </w:r>
          </w:p>
        </w:tc>
        <w:tc>
          <w:tcPr>
            <w:tcW w:w="1598" w:type="dxa"/>
            <w:tcBorders>
              <w:top w:val="nil"/>
              <w:left w:val="nil"/>
              <w:bottom w:val="single" w:sz="4" w:space="0" w:color="auto"/>
              <w:right w:val="single" w:sz="4" w:space="0" w:color="auto"/>
            </w:tcBorders>
            <w:shd w:val="clear" w:color="auto" w:fill="C6EFCE"/>
            <w:vAlign w:val="center"/>
            <w:hideMark/>
          </w:tcPr>
          <w:p w14:paraId="4CF86CCC" w14:textId="77777777" w:rsidR="00702291" w:rsidRDefault="00712B31">
            <w:pPr>
              <w:pStyle w:val="P68B1DB1-Normal32"/>
              <w:spacing w:after="120" w:line="240" w:lineRule="auto"/>
              <w:rPr>
                <w:rFonts w:eastAsiaTheme="minorHAnsi"/>
                <w:noProof/>
              </w:rPr>
            </w:pPr>
            <w:r>
              <w:rPr>
                <w:noProof/>
              </w:rPr>
              <w:t>C5.I3 Dezvoltarea transportului cu autobuzul cu emisii zero</w:t>
            </w:r>
          </w:p>
        </w:tc>
        <w:tc>
          <w:tcPr>
            <w:tcW w:w="1232" w:type="dxa"/>
            <w:tcBorders>
              <w:top w:val="nil"/>
              <w:left w:val="nil"/>
              <w:bottom w:val="single" w:sz="4" w:space="0" w:color="auto"/>
              <w:right w:val="single" w:sz="4" w:space="0" w:color="auto"/>
            </w:tcBorders>
            <w:shd w:val="clear" w:color="auto" w:fill="C6EFCE"/>
            <w:noWrap/>
            <w:vAlign w:val="center"/>
            <w:hideMark/>
          </w:tcPr>
          <w:p w14:paraId="7172A2B3" w14:textId="77777777" w:rsidR="00702291" w:rsidRDefault="00712B31">
            <w:pPr>
              <w:pStyle w:val="P68B1DB1-Normal32"/>
              <w:spacing w:after="120" w:line="240" w:lineRule="auto"/>
              <w:rPr>
                <w:rFonts w:eastAsiaTheme="minorHAnsi"/>
                <w:noProof/>
              </w:rPr>
            </w:pPr>
            <w:r>
              <w:rPr>
                <w:noProof/>
              </w:rPr>
              <w:t>Țintă</w:t>
            </w:r>
          </w:p>
        </w:tc>
        <w:tc>
          <w:tcPr>
            <w:tcW w:w="1649" w:type="dxa"/>
            <w:tcBorders>
              <w:top w:val="nil"/>
              <w:left w:val="nil"/>
              <w:bottom w:val="single" w:sz="4" w:space="0" w:color="auto"/>
              <w:right w:val="single" w:sz="4" w:space="0" w:color="auto"/>
            </w:tcBorders>
            <w:shd w:val="clear" w:color="auto" w:fill="C6EFCE"/>
            <w:vAlign w:val="center"/>
            <w:hideMark/>
          </w:tcPr>
          <w:p w14:paraId="55D8B000" w14:textId="4DDA3349" w:rsidR="00702291" w:rsidRDefault="00712B31">
            <w:pPr>
              <w:pStyle w:val="P68B1DB1-Normal32"/>
              <w:spacing w:after="120" w:line="240" w:lineRule="auto"/>
              <w:rPr>
                <w:noProof/>
              </w:rPr>
            </w:pPr>
            <w:r>
              <w:rPr>
                <w:noProof/>
              </w:rPr>
              <w:t>Livrarea de autobuze electrice/cu emisii zero</w:t>
            </w:r>
          </w:p>
        </w:tc>
        <w:tc>
          <w:tcPr>
            <w:tcW w:w="1333" w:type="dxa"/>
            <w:tcBorders>
              <w:top w:val="nil"/>
              <w:left w:val="nil"/>
              <w:bottom w:val="single" w:sz="4" w:space="0" w:color="auto"/>
              <w:right w:val="single" w:sz="4" w:space="0" w:color="auto"/>
            </w:tcBorders>
            <w:shd w:val="clear" w:color="auto" w:fill="C6EFCE"/>
            <w:vAlign w:val="center"/>
            <w:hideMark/>
          </w:tcPr>
          <w:p w14:paraId="74E4DD51" w14:textId="0B32B2B9" w:rsidR="00702291" w:rsidRDefault="00712B31">
            <w:pPr>
              <w:pStyle w:val="P68B1DB1-Normal32"/>
              <w:spacing w:after="120" w:line="240" w:lineRule="auto"/>
              <w:rPr>
                <w:noProof/>
                <w:highlight w:val="yellow"/>
              </w:rPr>
            </w:pPr>
            <w:r>
              <w:rPr>
                <w:noProof/>
              </w:rPr>
              <w:t xml:space="preserve"> </w:t>
            </w:r>
          </w:p>
        </w:tc>
        <w:tc>
          <w:tcPr>
            <w:tcW w:w="1031" w:type="dxa"/>
            <w:tcBorders>
              <w:top w:val="nil"/>
              <w:left w:val="nil"/>
              <w:bottom w:val="single" w:sz="4" w:space="0" w:color="auto"/>
              <w:right w:val="single" w:sz="4" w:space="0" w:color="auto"/>
            </w:tcBorders>
            <w:shd w:val="clear" w:color="auto" w:fill="C6EFCE"/>
            <w:noWrap/>
            <w:vAlign w:val="center"/>
            <w:hideMark/>
          </w:tcPr>
          <w:p w14:paraId="0B0B6D28" w14:textId="77777777" w:rsidR="00702291" w:rsidRDefault="00712B31">
            <w:pPr>
              <w:pStyle w:val="P68B1DB1-Normal32"/>
              <w:spacing w:after="120" w:line="240" w:lineRule="auto"/>
              <w:jc w:val="center"/>
              <w:rPr>
                <w:noProof/>
              </w:rPr>
            </w:pPr>
            <w:r>
              <w:rPr>
                <w:noProof/>
              </w:rPr>
              <w:t>Număr</w:t>
            </w:r>
          </w:p>
        </w:tc>
        <w:tc>
          <w:tcPr>
            <w:tcW w:w="949" w:type="dxa"/>
            <w:tcBorders>
              <w:top w:val="nil"/>
              <w:left w:val="nil"/>
              <w:bottom w:val="single" w:sz="4" w:space="0" w:color="auto"/>
              <w:right w:val="single" w:sz="4" w:space="0" w:color="auto"/>
            </w:tcBorders>
            <w:shd w:val="clear" w:color="auto" w:fill="C6EFCE"/>
            <w:noWrap/>
            <w:vAlign w:val="center"/>
            <w:hideMark/>
          </w:tcPr>
          <w:p w14:paraId="50674D67" w14:textId="0EC615ED" w:rsidR="00702291" w:rsidRDefault="00712B31">
            <w:pPr>
              <w:pStyle w:val="P68B1DB1-Normal32"/>
              <w:spacing w:after="120" w:line="240"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hideMark/>
          </w:tcPr>
          <w:p w14:paraId="26115943" w14:textId="6043D294" w:rsidR="00702291" w:rsidRDefault="00712B31">
            <w:pPr>
              <w:pStyle w:val="P68B1DB1-Normal32"/>
              <w:spacing w:after="120" w:line="240" w:lineRule="auto"/>
              <w:jc w:val="center"/>
              <w:rPr>
                <w:noProof/>
              </w:rPr>
            </w:pPr>
            <w:r>
              <w:rPr>
                <w:noProof/>
              </w:rPr>
              <w:t>187</w:t>
            </w:r>
          </w:p>
        </w:tc>
        <w:tc>
          <w:tcPr>
            <w:tcW w:w="992" w:type="dxa"/>
            <w:tcBorders>
              <w:top w:val="nil"/>
              <w:left w:val="nil"/>
              <w:bottom w:val="single" w:sz="4" w:space="0" w:color="auto"/>
              <w:right w:val="single" w:sz="4" w:space="0" w:color="auto"/>
            </w:tcBorders>
            <w:shd w:val="clear" w:color="auto" w:fill="C6EFCE"/>
            <w:vAlign w:val="center"/>
            <w:hideMark/>
          </w:tcPr>
          <w:p w14:paraId="029A27F3" w14:textId="16E09CD5" w:rsidR="00702291" w:rsidRDefault="00F233DB">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hideMark/>
          </w:tcPr>
          <w:p w14:paraId="6EFB4920" w14:textId="3FA2C8DF" w:rsidR="00702291" w:rsidRDefault="00712B31">
            <w:pPr>
              <w:pStyle w:val="P68B1DB1-Normal32"/>
              <w:spacing w:after="120" w:line="240" w:lineRule="auto"/>
              <w:jc w:val="center"/>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hideMark/>
          </w:tcPr>
          <w:p w14:paraId="79AFD552" w14:textId="03C5F30E" w:rsidR="00702291" w:rsidRDefault="00712B31">
            <w:pPr>
              <w:pStyle w:val="P68B1DB1-Normal32"/>
              <w:spacing w:after="120" w:line="240" w:lineRule="auto"/>
              <w:rPr>
                <w:noProof/>
              </w:rPr>
            </w:pPr>
            <w:r>
              <w:rPr>
                <w:noProof/>
              </w:rPr>
              <w:t>Livrarea a 187 autobuze electrice/cu emisii zero.</w:t>
            </w:r>
          </w:p>
          <w:p w14:paraId="39314524" w14:textId="25EDFAA1" w:rsidR="00702291" w:rsidRDefault="00702291">
            <w:pPr>
              <w:spacing w:after="120" w:line="240" w:lineRule="auto"/>
              <w:rPr>
                <w:rFonts w:ascii="Times New Roman" w:hAnsi="Times New Roman" w:cs="Times New Roman"/>
                <w:noProof/>
                <w:sz w:val="18"/>
                <w:szCs w:val="18"/>
              </w:rPr>
            </w:pPr>
          </w:p>
        </w:tc>
      </w:tr>
      <w:tr w:rsidR="00702291" w14:paraId="0946B03F" w14:textId="77777777" w:rsidTr="00FA4EAF">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4DD7BAB8" w14:textId="6D83394D" w:rsidR="00702291" w:rsidRDefault="00712B31">
            <w:pPr>
              <w:pStyle w:val="P68B1DB1-Normal32"/>
              <w:spacing w:after="120" w:line="240" w:lineRule="auto"/>
              <w:rPr>
                <w:noProof/>
              </w:rPr>
            </w:pPr>
            <w:r>
              <w:rPr>
                <w:noProof/>
              </w:rPr>
              <w:t>24</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682305E0" w14:textId="5C0A0FD0" w:rsidR="00702291" w:rsidRDefault="00712B31">
            <w:pPr>
              <w:pStyle w:val="P68B1DB1-Normal32"/>
              <w:spacing w:after="120" w:line="240" w:lineRule="auto"/>
              <w:rPr>
                <w:rFonts w:eastAsiaTheme="minorHAnsi"/>
                <w:noProof/>
              </w:rPr>
            </w:pPr>
            <w:r>
              <w:rPr>
                <w:noProof/>
              </w:rPr>
              <w:t xml:space="preserve">C5.I4 Dezvoltarea sistemului de tramvai și troleibuz </w:t>
            </w:r>
          </w:p>
        </w:tc>
        <w:tc>
          <w:tcPr>
            <w:tcW w:w="1232" w:type="dxa"/>
            <w:tcBorders>
              <w:top w:val="nil"/>
              <w:left w:val="nil"/>
              <w:bottom w:val="single" w:sz="4" w:space="0" w:color="auto"/>
              <w:right w:val="single" w:sz="4" w:space="0" w:color="auto"/>
            </w:tcBorders>
            <w:shd w:val="clear" w:color="auto" w:fill="C6EFCE"/>
            <w:noWrap/>
            <w:vAlign w:val="center"/>
          </w:tcPr>
          <w:p w14:paraId="22A5504C" w14:textId="5E3A306A" w:rsidR="00702291" w:rsidRDefault="00712B31">
            <w:pPr>
              <w:pStyle w:val="P68B1DB1-Normal32"/>
              <w:spacing w:after="120" w:line="240" w:lineRule="auto"/>
              <w:rPr>
                <w:rFonts w:eastAsiaTheme="minorHAnsi"/>
                <w:noProof/>
              </w:rPr>
            </w:pPr>
            <w:r>
              <w:rPr>
                <w:noProof/>
              </w:rPr>
              <w:t>Etapă</w:t>
            </w:r>
          </w:p>
        </w:tc>
        <w:tc>
          <w:tcPr>
            <w:tcW w:w="1649" w:type="dxa"/>
            <w:tcBorders>
              <w:top w:val="single" w:sz="4" w:space="0" w:color="auto"/>
              <w:left w:val="nil"/>
              <w:bottom w:val="single" w:sz="4" w:space="0" w:color="auto"/>
              <w:right w:val="single" w:sz="4" w:space="0" w:color="auto"/>
            </w:tcBorders>
            <w:shd w:val="clear" w:color="auto" w:fill="C6EFCE"/>
            <w:vAlign w:val="center"/>
          </w:tcPr>
          <w:p w14:paraId="3B0638FE" w14:textId="6E4FF1C7" w:rsidR="00702291" w:rsidRDefault="00712B31">
            <w:pPr>
              <w:pStyle w:val="P68B1DB1-Normal32"/>
              <w:spacing w:after="120" w:line="240" w:lineRule="auto"/>
              <w:rPr>
                <w:noProof/>
              </w:rPr>
            </w:pPr>
            <w:r>
              <w:rPr>
                <w:noProof/>
              </w:rPr>
              <w:t>Tramvaie</w:t>
            </w:r>
          </w:p>
        </w:tc>
        <w:tc>
          <w:tcPr>
            <w:tcW w:w="1333" w:type="dxa"/>
            <w:tcBorders>
              <w:top w:val="nil"/>
              <w:left w:val="nil"/>
              <w:bottom w:val="single" w:sz="4" w:space="0" w:color="auto"/>
              <w:right w:val="single" w:sz="4" w:space="0" w:color="auto"/>
            </w:tcBorders>
            <w:shd w:val="clear" w:color="auto" w:fill="C6EFCE"/>
            <w:vAlign w:val="center"/>
          </w:tcPr>
          <w:p w14:paraId="78C549C1" w14:textId="79604392" w:rsidR="00702291" w:rsidRDefault="00712B31">
            <w:pPr>
              <w:pStyle w:val="P68B1DB1-Normal32"/>
              <w:spacing w:after="120" w:line="240" w:lineRule="auto"/>
              <w:rPr>
                <w:noProof/>
              </w:rPr>
            </w:pPr>
            <w:r>
              <w:rPr>
                <w:noProof/>
              </w:rPr>
              <w:t>Protocol (e) tehnic (e) de predare/raport (e) de producție</w:t>
            </w:r>
          </w:p>
        </w:tc>
        <w:tc>
          <w:tcPr>
            <w:tcW w:w="1031" w:type="dxa"/>
            <w:tcBorders>
              <w:top w:val="nil"/>
              <w:left w:val="nil"/>
              <w:bottom w:val="single" w:sz="4" w:space="0" w:color="auto"/>
              <w:right w:val="single" w:sz="4" w:space="0" w:color="auto"/>
            </w:tcBorders>
            <w:shd w:val="clear" w:color="auto" w:fill="C6EFCE"/>
            <w:noWrap/>
            <w:vAlign w:val="center"/>
          </w:tcPr>
          <w:p w14:paraId="43AB5704" w14:textId="7D0D3BE9" w:rsidR="00702291" w:rsidRDefault="00702291">
            <w:pPr>
              <w:spacing w:after="120" w:line="240" w:lineRule="auto"/>
              <w:jc w:val="center"/>
              <w:rPr>
                <w:rFonts w:ascii="Times New Roman" w:eastAsiaTheme="minorHAnsi"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1F360F7E" w14:textId="7FC04DDB" w:rsidR="00702291" w:rsidRDefault="0070229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77FD22D8" w14:textId="0F77C046" w:rsidR="00702291" w:rsidRDefault="00702291">
            <w:pPr>
              <w:spacing w:after="120" w:line="240" w:lineRule="auto"/>
              <w:jc w:val="center"/>
              <w:rPr>
                <w:rFonts w:ascii="Times New Roman" w:eastAsiaTheme="minorHAns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vAlign w:val="center"/>
          </w:tcPr>
          <w:p w14:paraId="452EC303" w14:textId="4899B701" w:rsidR="00702291" w:rsidRDefault="00F233DB">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2DFC1E63" w14:textId="77777777" w:rsidR="00702291" w:rsidRDefault="00712B31">
            <w:pPr>
              <w:pStyle w:val="P68B1DB1-Normal32"/>
              <w:spacing w:after="120" w:line="240" w:lineRule="auto"/>
              <w:jc w:val="center"/>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2B8ADCD5" w14:textId="50930617" w:rsidR="00702291" w:rsidRDefault="00712B31">
            <w:pPr>
              <w:pStyle w:val="P68B1DB1-Normal32"/>
              <w:spacing w:after="120" w:line="240" w:lineRule="auto"/>
              <w:rPr>
                <w:noProof/>
              </w:rPr>
            </w:pPr>
            <w:r>
              <w:rPr>
                <w:noProof/>
              </w:rPr>
              <w:t xml:space="preserve">Protocolul (protocoalele) tehnic (e) de predare pentru 41 tramvaie și raportul (rapoartele) de producție pentru 4 tramvaie. </w:t>
            </w:r>
          </w:p>
        </w:tc>
      </w:tr>
      <w:tr w:rsidR="00702291" w14:paraId="51A77253" w14:textId="77777777" w:rsidTr="00FA4EAF">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77E424B2" w14:textId="1D3016EA" w:rsidR="00702291" w:rsidRDefault="00712B31">
            <w:pPr>
              <w:pStyle w:val="P68B1DB1-Normal32"/>
              <w:spacing w:after="120" w:line="240" w:lineRule="auto"/>
              <w:rPr>
                <w:noProof/>
              </w:rPr>
            </w:pPr>
            <w:r>
              <w:rPr>
                <w:noProof/>
              </w:rPr>
              <w:t>25</w:t>
            </w:r>
          </w:p>
        </w:tc>
        <w:tc>
          <w:tcPr>
            <w:tcW w:w="1598" w:type="dxa"/>
            <w:tcBorders>
              <w:top w:val="nil"/>
              <w:left w:val="nil"/>
              <w:bottom w:val="single" w:sz="4" w:space="0" w:color="auto"/>
              <w:right w:val="single" w:sz="4" w:space="0" w:color="auto"/>
            </w:tcBorders>
            <w:shd w:val="clear" w:color="auto" w:fill="C6EFCE"/>
            <w:vAlign w:val="center"/>
          </w:tcPr>
          <w:p w14:paraId="0660A945" w14:textId="090D9374" w:rsidR="00702291" w:rsidRDefault="00712B31">
            <w:pPr>
              <w:pStyle w:val="P68B1DB1-Normal32"/>
              <w:spacing w:after="120" w:line="240" w:lineRule="auto"/>
              <w:rPr>
                <w:rFonts w:eastAsiaTheme="minorHAnsi"/>
                <w:noProof/>
              </w:rPr>
            </w:pPr>
            <w:r>
              <w:rPr>
                <w:noProof/>
              </w:rPr>
              <w:t xml:space="preserve">C5.I4 Dezvoltarea sistemului de tramvai și troleibuz </w:t>
            </w:r>
          </w:p>
        </w:tc>
        <w:tc>
          <w:tcPr>
            <w:tcW w:w="1232" w:type="dxa"/>
            <w:tcBorders>
              <w:top w:val="nil"/>
              <w:left w:val="nil"/>
              <w:bottom w:val="single" w:sz="4" w:space="0" w:color="auto"/>
              <w:right w:val="single" w:sz="4" w:space="0" w:color="auto"/>
            </w:tcBorders>
            <w:shd w:val="clear" w:color="auto" w:fill="C6EFCE"/>
            <w:noWrap/>
            <w:vAlign w:val="center"/>
          </w:tcPr>
          <w:p w14:paraId="454A5F0F" w14:textId="6A9FB6F7" w:rsidR="00702291" w:rsidRDefault="00712B31">
            <w:pPr>
              <w:pStyle w:val="P68B1DB1-Normal32"/>
              <w:spacing w:after="120" w:line="240" w:lineRule="auto"/>
              <w:rPr>
                <w:rFonts w:eastAsiaTheme="minorHAnsi"/>
                <w:noProof/>
              </w:rPr>
            </w:pPr>
            <w:r>
              <w:rPr>
                <w:noProof/>
              </w:rPr>
              <w:t>Etapă</w:t>
            </w:r>
          </w:p>
        </w:tc>
        <w:tc>
          <w:tcPr>
            <w:tcW w:w="1649" w:type="dxa"/>
            <w:tcBorders>
              <w:top w:val="nil"/>
              <w:left w:val="nil"/>
              <w:bottom w:val="single" w:sz="4" w:space="0" w:color="auto"/>
              <w:right w:val="single" w:sz="4" w:space="0" w:color="auto"/>
            </w:tcBorders>
            <w:shd w:val="clear" w:color="auto" w:fill="C6EFCE"/>
            <w:vAlign w:val="center"/>
          </w:tcPr>
          <w:p w14:paraId="512D959E" w14:textId="069527B9" w:rsidR="00702291" w:rsidRDefault="00712B31">
            <w:pPr>
              <w:pStyle w:val="P68B1DB1-Normal32"/>
              <w:spacing w:after="120" w:line="240" w:lineRule="auto"/>
              <w:rPr>
                <w:noProof/>
              </w:rPr>
            </w:pPr>
            <w:r>
              <w:rPr>
                <w:noProof/>
              </w:rPr>
              <w:t xml:space="preserve">Troleibuze </w:t>
            </w:r>
          </w:p>
        </w:tc>
        <w:tc>
          <w:tcPr>
            <w:tcW w:w="1333" w:type="dxa"/>
            <w:tcBorders>
              <w:top w:val="nil"/>
              <w:left w:val="nil"/>
              <w:bottom w:val="single" w:sz="4" w:space="0" w:color="auto"/>
              <w:right w:val="single" w:sz="4" w:space="0" w:color="auto"/>
            </w:tcBorders>
            <w:shd w:val="clear" w:color="auto" w:fill="C6EFCE"/>
            <w:vAlign w:val="center"/>
          </w:tcPr>
          <w:p w14:paraId="5CD1C010" w14:textId="58EBE313" w:rsidR="00702291" w:rsidRDefault="00712B31">
            <w:pPr>
              <w:pStyle w:val="P68B1DB1-Normal32"/>
              <w:spacing w:after="120" w:line="240" w:lineRule="auto"/>
              <w:rPr>
                <w:noProof/>
              </w:rPr>
            </w:pPr>
            <w:r>
              <w:rPr>
                <w:noProof/>
              </w:rPr>
              <w:t>Protocol (e) tehnic (e) de predare</w:t>
            </w:r>
          </w:p>
        </w:tc>
        <w:tc>
          <w:tcPr>
            <w:tcW w:w="1031" w:type="dxa"/>
            <w:tcBorders>
              <w:top w:val="nil"/>
              <w:left w:val="nil"/>
              <w:bottom w:val="single" w:sz="4" w:space="0" w:color="auto"/>
              <w:right w:val="single" w:sz="4" w:space="0" w:color="auto"/>
            </w:tcBorders>
            <w:shd w:val="clear" w:color="auto" w:fill="C6EFCE"/>
            <w:noWrap/>
            <w:vAlign w:val="center"/>
          </w:tcPr>
          <w:p w14:paraId="75C214B4" w14:textId="23219C41" w:rsidR="00702291" w:rsidRDefault="00702291">
            <w:pPr>
              <w:spacing w:after="120" w:line="240" w:lineRule="auto"/>
              <w:jc w:val="center"/>
              <w:rPr>
                <w:rFonts w:ascii="Times New Roman" w:eastAsiaTheme="minorHAnsi"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31A13700" w14:textId="77777777" w:rsidR="00702291" w:rsidRDefault="0070229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0C7CD59" w14:textId="5B743E5B" w:rsidR="00702291" w:rsidRDefault="0070229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vAlign w:val="center"/>
          </w:tcPr>
          <w:p w14:paraId="5C1D9AB5" w14:textId="6396402E" w:rsidR="00702291" w:rsidRDefault="00F233DB">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76C5079D" w14:textId="77777777" w:rsidR="00702291" w:rsidRDefault="00712B31">
            <w:pPr>
              <w:pStyle w:val="P68B1DB1-Normal32"/>
              <w:spacing w:after="120" w:line="240" w:lineRule="auto"/>
              <w:jc w:val="center"/>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7FC20785" w14:textId="14B91D24" w:rsidR="00702291" w:rsidRDefault="00712B31">
            <w:pPr>
              <w:pStyle w:val="P68B1DB1-Normal32"/>
              <w:spacing w:after="120" w:line="240" w:lineRule="auto"/>
              <w:rPr>
                <w:noProof/>
              </w:rPr>
            </w:pPr>
            <w:r>
              <w:rPr>
                <w:noProof/>
              </w:rPr>
              <w:t>Protocol (e) tehnic (e) de predare pentru 48 troleibuze.</w:t>
            </w:r>
          </w:p>
        </w:tc>
      </w:tr>
      <w:tr w:rsidR="00702291" w14:paraId="3A8BCA2B" w14:textId="77777777" w:rsidTr="00FA4EAF">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4AE2195D" w14:textId="01B4D099" w:rsidR="00702291" w:rsidRDefault="00712B31">
            <w:pPr>
              <w:pStyle w:val="P68B1DB1-Normal32"/>
              <w:spacing w:after="120" w:line="240" w:lineRule="auto"/>
              <w:rPr>
                <w:noProof/>
              </w:rPr>
            </w:pPr>
            <w:r>
              <w:rPr>
                <w:noProof/>
              </w:rPr>
              <w:t>26</w:t>
            </w:r>
          </w:p>
        </w:tc>
        <w:tc>
          <w:tcPr>
            <w:tcW w:w="1598" w:type="dxa"/>
            <w:tcBorders>
              <w:top w:val="nil"/>
              <w:left w:val="nil"/>
              <w:bottom w:val="single" w:sz="4" w:space="0" w:color="auto"/>
              <w:right w:val="single" w:sz="4" w:space="0" w:color="auto"/>
            </w:tcBorders>
            <w:shd w:val="clear" w:color="auto" w:fill="C6EFCE"/>
            <w:vAlign w:val="center"/>
          </w:tcPr>
          <w:p w14:paraId="5EF3D029" w14:textId="410326D0" w:rsidR="00702291" w:rsidRDefault="00712B31">
            <w:pPr>
              <w:pStyle w:val="P68B1DB1-Normal32"/>
              <w:spacing w:after="120" w:line="240" w:lineRule="auto"/>
              <w:rPr>
                <w:noProof/>
              </w:rPr>
            </w:pPr>
            <w:r>
              <w:rPr>
                <w:noProof/>
              </w:rPr>
              <w:t>C5.I5: Lucrări pe tronsonul feroviar</w:t>
            </w:r>
          </w:p>
        </w:tc>
        <w:tc>
          <w:tcPr>
            <w:tcW w:w="1232" w:type="dxa"/>
            <w:tcBorders>
              <w:top w:val="nil"/>
              <w:left w:val="nil"/>
              <w:bottom w:val="single" w:sz="4" w:space="0" w:color="auto"/>
              <w:right w:val="single" w:sz="4" w:space="0" w:color="auto"/>
            </w:tcBorders>
            <w:shd w:val="clear" w:color="auto" w:fill="C6EFCE"/>
            <w:noWrap/>
            <w:vAlign w:val="center"/>
          </w:tcPr>
          <w:p w14:paraId="4A85AAC2" w14:textId="35FAFCA8" w:rsidR="00702291" w:rsidRDefault="00712B31">
            <w:pPr>
              <w:pStyle w:val="P68B1DB1-Normal32"/>
              <w:spacing w:after="120" w:line="240" w:lineRule="auto"/>
              <w:rPr>
                <w:noProof/>
              </w:rPr>
            </w:pPr>
            <w:r>
              <w:rPr>
                <w:noProof/>
              </w:rPr>
              <w:t>Etapă</w:t>
            </w:r>
          </w:p>
        </w:tc>
        <w:tc>
          <w:tcPr>
            <w:tcW w:w="1649" w:type="dxa"/>
            <w:tcBorders>
              <w:top w:val="nil"/>
              <w:left w:val="nil"/>
              <w:bottom w:val="single" w:sz="4" w:space="0" w:color="auto"/>
              <w:right w:val="single" w:sz="4" w:space="0" w:color="auto"/>
            </w:tcBorders>
            <w:shd w:val="clear" w:color="auto" w:fill="C6EFCE"/>
            <w:vAlign w:val="center"/>
          </w:tcPr>
          <w:p w14:paraId="04F4A39B" w14:textId="30F4BFFF" w:rsidR="00702291" w:rsidRDefault="00712B31">
            <w:pPr>
              <w:pStyle w:val="P68B1DB1-Normal32"/>
              <w:spacing w:after="120" w:line="240" w:lineRule="auto"/>
              <w:rPr>
                <w:noProof/>
              </w:rPr>
            </w:pPr>
            <w:r>
              <w:rPr>
                <w:noProof/>
              </w:rPr>
              <w:t xml:space="preserve">Lucrări legate de tronsonul feroviar Szeged-Rendező – Röszke – frontiera țării </w:t>
            </w:r>
          </w:p>
        </w:tc>
        <w:tc>
          <w:tcPr>
            <w:tcW w:w="1333" w:type="dxa"/>
            <w:tcBorders>
              <w:top w:val="nil"/>
              <w:left w:val="nil"/>
              <w:bottom w:val="single" w:sz="4" w:space="0" w:color="auto"/>
              <w:right w:val="single" w:sz="4" w:space="0" w:color="auto"/>
            </w:tcBorders>
            <w:shd w:val="clear" w:color="auto" w:fill="C6EFCE"/>
            <w:vAlign w:val="center"/>
          </w:tcPr>
          <w:p w14:paraId="38351D98" w14:textId="44A1C74E" w:rsidR="00702291" w:rsidRDefault="00712B31">
            <w:pPr>
              <w:pStyle w:val="P68B1DB1-Normal49"/>
              <w:spacing w:after="120" w:line="240" w:lineRule="auto"/>
              <w:rPr>
                <w:noProof/>
              </w:rPr>
            </w:pPr>
            <w:r>
              <w:rPr>
                <w:noProof/>
              </w:rPr>
              <w:t>Protocol (e) tehnic (e) de predare</w:t>
            </w:r>
          </w:p>
        </w:tc>
        <w:tc>
          <w:tcPr>
            <w:tcW w:w="1031" w:type="dxa"/>
            <w:tcBorders>
              <w:top w:val="nil"/>
              <w:left w:val="nil"/>
              <w:bottom w:val="single" w:sz="4" w:space="0" w:color="auto"/>
              <w:right w:val="single" w:sz="4" w:space="0" w:color="auto"/>
            </w:tcBorders>
            <w:shd w:val="clear" w:color="auto" w:fill="C6EFCE"/>
            <w:noWrap/>
            <w:vAlign w:val="center"/>
          </w:tcPr>
          <w:p w14:paraId="68BD111B" w14:textId="2184B072" w:rsidR="00702291" w:rsidRDefault="00702291">
            <w:pPr>
              <w:spacing w:after="120" w:line="240" w:lineRule="auto"/>
              <w:jc w:val="center"/>
              <w:rPr>
                <w:rFonts w:ascii="Times New Roman"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38461E30" w14:textId="7A71CB05" w:rsidR="00702291" w:rsidRDefault="00702291">
            <w:pPr>
              <w:spacing w:after="120" w:line="240" w:lineRule="auto"/>
              <w:jc w:val="center"/>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7500E80F" w14:textId="7A867533" w:rsidR="00702291" w:rsidRDefault="0070229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vAlign w:val="center"/>
          </w:tcPr>
          <w:p w14:paraId="3ED3725F" w14:textId="40CDD576" w:rsidR="00702291" w:rsidRDefault="00F233DB">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50D78825" w14:textId="77777777" w:rsidR="00702291" w:rsidRDefault="00712B31">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778EC0EA" w14:textId="4BCDB018" w:rsidR="00702291" w:rsidRDefault="00712B31">
            <w:pPr>
              <w:pStyle w:val="P68B1DB1-Normal32"/>
              <w:spacing w:after="120" w:line="240" w:lineRule="auto"/>
              <w:rPr>
                <w:noProof/>
              </w:rPr>
            </w:pPr>
            <w:r>
              <w:rPr>
                <w:noProof/>
              </w:rPr>
              <w:t xml:space="preserve">Protocolul (protocoalele) tehnic (e) de predare pentru lucrările de (re) construcție legate de tronsonul feroviar „Szeged-Rendező – Röszke – frontiera țării” și conectarea liniilor de cale ferată 136 și 140. </w:t>
            </w:r>
          </w:p>
        </w:tc>
      </w:tr>
      <w:tr w:rsidR="00702291" w14:paraId="4D777EF9" w14:textId="77777777" w:rsidTr="00FA4EAF">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3AF64E49" w14:textId="261AFE07" w:rsidR="00702291" w:rsidRDefault="00712B31">
            <w:pPr>
              <w:pStyle w:val="P68B1DB1-Normal32"/>
              <w:spacing w:after="120" w:line="240" w:lineRule="auto"/>
              <w:rPr>
                <w:noProof/>
              </w:rPr>
            </w:pPr>
            <w:r>
              <w:rPr>
                <w:noProof/>
              </w:rPr>
              <w:t>27</w:t>
            </w:r>
          </w:p>
        </w:tc>
        <w:tc>
          <w:tcPr>
            <w:tcW w:w="1598" w:type="dxa"/>
            <w:tcBorders>
              <w:top w:val="nil"/>
              <w:left w:val="nil"/>
              <w:bottom w:val="single" w:sz="4" w:space="0" w:color="auto"/>
              <w:right w:val="single" w:sz="4" w:space="0" w:color="auto"/>
            </w:tcBorders>
            <w:shd w:val="clear" w:color="auto" w:fill="C6EFCE"/>
            <w:vAlign w:val="center"/>
          </w:tcPr>
          <w:p w14:paraId="16260CE1" w14:textId="5779DA80" w:rsidR="00702291" w:rsidRDefault="00712B31">
            <w:pPr>
              <w:pStyle w:val="P68B1DB1-Normal32"/>
              <w:spacing w:after="120" w:line="240" w:lineRule="auto"/>
              <w:rPr>
                <w:noProof/>
              </w:rPr>
            </w:pPr>
            <w:r>
              <w:rPr>
                <w:noProof/>
              </w:rPr>
              <w:t>C5.I6: Stimularea adoptării de către întreprinderi a vehiculelor electrice (VE)</w:t>
            </w:r>
          </w:p>
        </w:tc>
        <w:tc>
          <w:tcPr>
            <w:tcW w:w="1232" w:type="dxa"/>
            <w:tcBorders>
              <w:top w:val="nil"/>
              <w:left w:val="nil"/>
              <w:bottom w:val="single" w:sz="4" w:space="0" w:color="auto"/>
              <w:right w:val="single" w:sz="4" w:space="0" w:color="auto"/>
            </w:tcBorders>
            <w:shd w:val="clear" w:color="auto" w:fill="C6EFCE"/>
            <w:noWrap/>
            <w:vAlign w:val="center"/>
          </w:tcPr>
          <w:p w14:paraId="4CC8DCB8" w14:textId="77777777" w:rsidR="00702291" w:rsidRDefault="00712B31">
            <w:pPr>
              <w:pStyle w:val="P68B1DB1-Normal32"/>
              <w:spacing w:after="120" w:line="240" w:lineRule="auto"/>
              <w:rPr>
                <w:noProof/>
              </w:rPr>
            </w:pPr>
            <w:r>
              <w:rPr>
                <w:noProof/>
              </w:rPr>
              <w:t>Țintă</w:t>
            </w:r>
          </w:p>
        </w:tc>
        <w:tc>
          <w:tcPr>
            <w:tcW w:w="1649" w:type="dxa"/>
            <w:tcBorders>
              <w:top w:val="nil"/>
              <w:left w:val="nil"/>
              <w:bottom w:val="single" w:sz="4" w:space="0" w:color="auto"/>
              <w:right w:val="single" w:sz="4" w:space="0" w:color="auto"/>
            </w:tcBorders>
            <w:shd w:val="clear" w:color="auto" w:fill="C6EFCE"/>
            <w:vAlign w:val="center"/>
          </w:tcPr>
          <w:p w14:paraId="50C85589" w14:textId="080514C5" w:rsidR="00702291" w:rsidRDefault="00712B31">
            <w:pPr>
              <w:pStyle w:val="P68B1DB1-Normal32"/>
              <w:spacing w:after="120" w:line="240" w:lineRule="auto"/>
              <w:rPr>
                <w:noProof/>
              </w:rPr>
            </w:pPr>
            <w:r>
              <w:rPr>
                <w:noProof/>
              </w:rPr>
              <w:t xml:space="preserve">Sprijin financiar pentru achiziționarea de vehicule electrice </w:t>
            </w:r>
          </w:p>
        </w:tc>
        <w:tc>
          <w:tcPr>
            <w:tcW w:w="1333" w:type="dxa"/>
            <w:tcBorders>
              <w:top w:val="nil"/>
              <w:left w:val="nil"/>
              <w:bottom w:val="single" w:sz="4" w:space="0" w:color="auto"/>
              <w:right w:val="single" w:sz="4" w:space="0" w:color="auto"/>
            </w:tcBorders>
            <w:shd w:val="clear" w:color="auto" w:fill="C6EFCE"/>
            <w:vAlign w:val="center"/>
          </w:tcPr>
          <w:p w14:paraId="308648AE" w14:textId="77777777" w:rsidR="00702291" w:rsidRDefault="00702291">
            <w:pPr>
              <w:spacing w:after="120" w:line="240" w:lineRule="auto"/>
              <w:jc w:val="center"/>
              <w:rPr>
                <w:rFonts w:ascii="Times New Roman" w:eastAsia="Calibri" w:hAnsi="Times New Roman" w:cs="Times New Roman"/>
                <w:noProof/>
                <w:sz w:val="18"/>
                <w:szCs w:val="18"/>
              </w:rPr>
            </w:pPr>
          </w:p>
        </w:tc>
        <w:tc>
          <w:tcPr>
            <w:tcW w:w="1031" w:type="dxa"/>
            <w:tcBorders>
              <w:top w:val="nil"/>
              <w:left w:val="nil"/>
              <w:bottom w:val="single" w:sz="4" w:space="0" w:color="auto"/>
              <w:right w:val="single" w:sz="4" w:space="0" w:color="auto"/>
            </w:tcBorders>
            <w:shd w:val="clear" w:color="auto" w:fill="C6EFCE"/>
            <w:noWrap/>
            <w:vAlign w:val="center"/>
          </w:tcPr>
          <w:p w14:paraId="2A9F01DF" w14:textId="77777777" w:rsidR="00702291" w:rsidRDefault="00712B31">
            <w:pPr>
              <w:pStyle w:val="P68B1DB1-Normal32"/>
              <w:spacing w:after="120" w:line="240" w:lineRule="auto"/>
              <w:jc w:val="center"/>
              <w:rPr>
                <w:noProof/>
              </w:rPr>
            </w:pPr>
            <w:r>
              <w:rPr>
                <w:noProof/>
              </w:rPr>
              <w:t>Număr</w:t>
            </w:r>
          </w:p>
        </w:tc>
        <w:tc>
          <w:tcPr>
            <w:tcW w:w="949" w:type="dxa"/>
            <w:tcBorders>
              <w:top w:val="nil"/>
              <w:left w:val="nil"/>
              <w:bottom w:val="single" w:sz="4" w:space="0" w:color="auto"/>
              <w:right w:val="single" w:sz="4" w:space="0" w:color="auto"/>
            </w:tcBorders>
            <w:shd w:val="clear" w:color="auto" w:fill="C6EFCE"/>
            <w:noWrap/>
            <w:vAlign w:val="center"/>
          </w:tcPr>
          <w:p w14:paraId="31178681" w14:textId="77777777" w:rsidR="00702291" w:rsidRDefault="00712B31">
            <w:pPr>
              <w:pStyle w:val="P68B1DB1-Normal49"/>
              <w:spacing w:after="120" w:line="240"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6E8FC912" w14:textId="51D50192" w:rsidR="00702291" w:rsidRDefault="00712B31">
            <w:pPr>
              <w:pStyle w:val="P68B1DB1-Normal32"/>
              <w:spacing w:after="120" w:line="240" w:lineRule="auto"/>
              <w:jc w:val="center"/>
              <w:rPr>
                <w:noProof/>
              </w:rPr>
            </w:pPr>
            <w:r>
              <w:rPr>
                <w:noProof/>
              </w:rPr>
              <w:t>10 000</w:t>
            </w:r>
          </w:p>
        </w:tc>
        <w:tc>
          <w:tcPr>
            <w:tcW w:w="992" w:type="dxa"/>
            <w:tcBorders>
              <w:top w:val="nil"/>
              <w:left w:val="nil"/>
              <w:bottom w:val="single" w:sz="4" w:space="0" w:color="auto"/>
              <w:right w:val="single" w:sz="4" w:space="0" w:color="auto"/>
            </w:tcBorders>
            <w:shd w:val="clear" w:color="auto" w:fill="C6EFCE"/>
            <w:vAlign w:val="center"/>
          </w:tcPr>
          <w:p w14:paraId="1D2198F3" w14:textId="3DBD33EA" w:rsidR="00702291" w:rsidRDefault="00F233DB">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2CF55ADA" w14:textId="35DB5F0D" w:rsidR="00702291" w:rsidRDefault="00712B31">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5BAB15FD" w14:textId="52C1E136" w:rsidR="00702291" w:rsidRDefault="00712B31">
            <w:pPr>
              <w:pStyle w:val="P68B1DB1-Normal32"/>
              <w:spacing w:after="120" w:line="240" w:lineRule="auto"/>
              <w:rPr>
                <w:noProof/>
              </w:rPr>
            </w:pPr>
            <w:r>
              <w:rPr>
                <w:noProof/>
              </w:rPr>
              <w:t xml:space="preserve">Plata de fonduri către întreprinderi pentru achiziționarea a cel puțin 10 000 de vehicule electrice. </w:t>
            </w:r>
          </w:p>
        </w:tc>
      </w:tr>
      <w:tr w:rsidR="00702291" w14:paraId="0F0CA8C4" w14:textId="77777777" w:rsidTr="00FA4EAF">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7C4EFE28" w14:textId="3BCDB84F" w:rsidR="00702291" w:rsidRDefault="00712B31">
            <w:pPr>
              <w:pStyle w:val="P68B1DB1-Normal32"/>
              <w:spacing w:after="120" w:line="240" w:lineRule="auto"/>
              <w:rPr>
                <w:noProof/>
              </w:rPr>
            </w:pPr>
            <w:r>
              <w:rPr>
                <w:noProof/>
              </w:rPr>
              <w:t>28</w:t>
            </w:r>
          </w:p>
        </w:tc>
        <w:tc>
          <w:tcPr>
            <w:tcW w:w="1598" w:type="dxa"/>
            <w:tcBorders>
              <w:top w:val="nil"/>
              <w:left w:val="nil"/>
              <w:bottom w:val="single" w:sz="4" w:space="0" w:color="auto"/>
              <w:right w:val="single" w:sz="4" w:space="0" w:color="auto"/>
            </w:tcBorders>
            <w:shd w:val="clear" w:color="auto" w:fill="C6EFCE"/>
            <w:vAlign w:val="center"/>
          </w:tcPr>
          <w:p w14:paraId="7D792D5A" w14:textId="585926E3" w:rsidR="00702291" w:rsidRDefault="00712B31">
            <w:pPr>
              <w:pStyle w:val="P68B1DB1-Normal32"/>
              <w:spacing w:after="120" w:line="240" w:lineRule="auto"/>
              <w:rPr>
                <w:noProof/>
              </w:rPr>
            </w:pPr>
            <w:r>
              <w:rPr>
                <w:noProof/>
              </w:rPr>
              <w:t>C5.I7: Instituirea unui instrument financiar pentru a crește gradul de instalare a stațiilor de încărcare pentru vehiculele electrice (VE)</w:t>
            </w:r>
          </w:p>
        </w:tc>
        <w:tc>
          <w:tcPr>
            <w:tcW w:w="1232" w:type="dxa"/>
            <w:tcBorders>
              <w:top w:val="nil"/>
              <w:left w:val="nil"/>
              <w:bottom w:val="single" w:sz="4" w:space="0" w:color="auto"/>
              <w:right w:val="single" w:sz="4" w:space="0" w:color="auto"/>
            </w:tcBorders>
            <w:shd w:val="clear" w:color="auto" w:fill="C6EFCE"/>
            <w:noWrap/>
            <w:vAlign w:val="center"/>
          </w:tcPr>
          <w:p w14:paraId="2CCDDA65" w14:textId="77777777" w:rsidR="00702291" w:rsidRDefault="00712B31">
            <w:pPr>
              <w:pStyle w:val="P68B1DB1-Normal32"/>
              <w:spacing w:after="120" w:line="240" w:lineRule="auto"/>
              <w:rPr>
                <w:noProof/>
              </w:rPr>
            </w:pPr>
            <w:r>
              <w:rPr>
                <w:noProof/>
              </w:rPr>
              <w:t>Etapă</w:t>
            </w:r>
          </w:p>
        </w:tc>
        <w:tc>
          <w:tcPr>
            <w:tcW w:w="1649" w:type="dxa"/>
            <w:tcBorders>
              <w:top w:val="nil"/>
              <w:left w:val="nil"/>
              <w:bottom w:val="single" w:sz="4" w:space="0" w:color="auto"/>
              <w:right w:val="single" w:sz="4" w:space="0" w:color="auto"/>
            </w:tcBorders>
            <w:shd w:val="clear" w:color="auto" w:fill="C6EFCE"/>
            <w:vAlign w:val="center"/>
          </w:tcPr>
          <w:p w14:paraId="7040228A" w14:textId="77777777" w:rsidR="00702291" w:rsidRDefault="00712B31">
            <w:pPr>
              <w:pStyle w:val="P68B1DB1-Normal32"/>
              <w:spacing w:after="120" w:line="240" w:lineRule="auto"/>
              <w:rPr>
                <w:noProof/>
              </w:rPr>
            </w:pPr>
            <w:r>
              <w:rPr>
                <w:noProof/>
              </w:rPr>
              <w:t>Acord de punere în aplicare</w:t>
            </w:r>
          </w:p>
        </w:tc>
        <w:tc>
          <w:tcPr>
            <w:tcW w:w="1333" w:type="dxa"/>
            <w:tcBorders>
              <w:top w:val="nil"/>
              <w:left w:val="nil"/>
              <w:bottom w:val="single" w:sz="4" w:space="0" w:color="auto"/>
              <w:right w:val="single" w:sz="4" w:space="0" w:color="auto"/>
            </w:tcBorders>
            <w:shd w:val="clear" w:color="auto" w:fill="C6EFCE"/>
            <w:vAlign w:val="center"/>
          </w:tcPr>
          <w:p w14:paraId="6779FDC5" w14:textId="77777777" w:rsidR="00702291" w:rsidRDefault="00712B31">
            <w:pPr>
              <w:pStyle w:val="P68B1DB1-Normal49"/>
              <w:spacing w:after="120" w:line="240" w:lineRule="auto"/>
              <w:rPr>
                <w:noProof/>
              </w:rPr>
            </w:pPr>
            <w:r>
              <w:rPr>
                <w:noProof/>
              </w:rPr>
              <w:t>Intrarea în vigoare a acordului de punere în aplicare</w:t>
            </w:r>
          </w:p>
        </w:tc>
        <w:tc>
          <w:tcPr>
            <w:tcW w:w="1031" w:type="dxa"/>
            <w:tcBorders>
              <w:top w:val="nil"/>
              <w:left w:val="nil"/>
              <w:bottom w:val="single" w:sz="4" w:space="0" w:color="auto"/>
              <w:right w:val="single" w:sz="4" w:space="0" w:color="auto"/>
            </w:tcBorders>
            <w:shd w:val="clear" w:color="auto" w:fill="C6EFCE"/>
            <w:noWrap/>
            <w:vAlign w:val="center"/>
          </w:tcPr>
          <w:p w14:paraId="4E094F4C" w14:textId="77777777" w:rsidR="00702291" w:rsidRDefault="00712B31">
            <w:pPr>
              <w:pStyle w:val="P68B1DB1-Normal32"/>
              <w:spacing w:after="120" w:line="240" w:lineRule="auto"/>
              <w:jc w:val="center"/>
              <w:rPr>
                <w:noProof/>
              </w:rPr>
            </w:pPr>
            <w:r>
              <w:rPr>
                <w:noProof/>
              </w:rPr>
              <w:t xml:space="preserve"> </w:t>
            </w:r>
          </w:p>
        </w:tc>
        <w:tc>
          <w:tcPr>
            <w:tcW w:w="949" w:type="dxa"/>
            <w:tcBorders>
              <w:top w:val="nil"/>
              <w:left w:val="nil"/>
              <w:bottom w:val="single" w:sz="4" w:space="0" w:color="auto"/>
              <w:right w:val="single" w:sz="4" w:space="0" w:color="auto"/>
            </w:tcBorders>
            <w:shd w:val="clear" w:color="auto" w:fill="C6EFCE"/>
            <w:noWrap/>
            <w:vAlign w:val="center"/>
          </w:tcPr>
          <w:p w14:paraId="5634038E" w14:textId="77777777" w:rsidR="00702291" w:rsidRDefault="00712B31">
            <w:pPr>
              <w:pStyle w:val="P68B1DB1-Normal49"/>
              <w:spacing w:after="120" w:line="240" w:lineRule="auto"/>
              <w:jc w:val="center"/>
              <w:rPr>
                <w:noProof/>
              </w:rPr>
            </w:pPr>
            <w:r>
              <w:rPr>
                <w:noProof/>
              </w:rPr>
              <w:t xml:space="preserve"> </w:t>
            </w:r>
          </w:p>
        </w:tc>
        <w:tc>
          <w:tcPr>
            <w:tcW w:w="850" w:type="dxa"/>
            <w:tcBorders>
              <w:top w:val="nil"/>
              <w:left w:val="nil"/>
              <w:bottom w:val="single" w:sz="4" w:space="0" w:color="auto"/>
              <w:right w:val="single" w:sz="4" w:space="0" w:color="auto"/>
            </w:tcBorders>
            <w:shd w:val="clear" w:color="auto" w:fill="C6EFCE"/>
            <w:noWrap/>
            <w:vAlign w:val="center"/>
          </w:tcPr>
          <w:p w14:paraId="24793C79" w14:textId="77777777" w:rsidR="00702291" w:rsidRDefault="00712B31">
            <w:pPr>
              <w:pStyle w:val="P68B1DB1-Normal32"/>
              <w:spacing w:after="120" w:line="240" w:lineRule="auto"/>
              <w:jc w:val="center"/>
              <w:rPr>
                <w:noProof/>
              </w:rPr>
            </w:pPr>
            <w:r>
              <w:rPr>
                <w:noProof/>
              </w:rPr>
              <w:t xml:space="preserve"> </w:t>
            </w:r>
          </w:p>
        </w:tc>
        <w:tc>
          <w:tcPr>
            <w:tcW w:w="992" w:type="dxa"/>
            <w:tcBorders>
              <w:top w:val="nil"/>
              <w:left w:val="nil"/>
              <w:bottom w:val="single" w:sz="4" w:space="0" w:color="auto"/>
              <w:right w:val="single" w:sz="4" w:space="0" w:color="auto"/>
            </w:tcBorders>
            <w:shd w:val="clear" w:color="auto" w:fill="C6EFCE"/>
            <w:vAlign w:val="center"/>
          </w:tcPr>
          <w:p w14:paraId="5A11B849" w14:textId="4A88C5E7" w:rsidR="00702291" w:rsidRDefault="00F233DB">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74D7A98C" w14:textId="3BADBB43" w:rsidR="00702291" w:rsidRDefault="00712B31">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109068AF" w14:textId="7B1FA6FC" w:rsidR="00702291" w:rsidRDefault="00712B31">
            <w:pPr>
              <w:pStyle w:val="P68B1DB1-Normal32"/>
              <w:spacing w:after="120" w:line="240" w:lineRule="auto"/>
              <w:rPr>
                <w:noProof/>
              </w:rPr>
            </w:pPr>
            <w:r>
              <w:rPr>
                <w:noProof/>
              </w:rPr>
              <w:t>Intrarea în vigoare a acordului de punere în aplicare.</w:t>
            </w:r>
          </w:p>
        </w:tc>
      </w:tr>
      <w:tr w:rsidR="00702291" w14:paraId="79A7F3A7" w14:textId="77777777" w:rsidTr="00FA4EAF">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73B31A9A" w14:textId="12F5C29F" w:rsidR="00702291" w:rsidRDefault="00712B31">
            <w:pPr>
              <w:pStyle w:val="P68B1DB1-Normal32"/>
              <w:spacing w:after="120" w:line="240" w:lineRule="auto"/>
              <w:rPr>
                <w:noProof/>
              </w:rPr>
            </w:pPr>
            <w:r>
              <w:rPr>
                <w:noProof/>
              </w:rPr>
              <w:t>29</w:t>
            </w:r>
          </w:p>
        </w:tc>
        <w:tc>
          <w:tcPr>
            <w:tcW w:w="1598" w:type="dxa"/>
            <w:tcBorders>
              <w:top w:val="nil"/>
              <w:left w:val="nil"/>
              <w:bottom w:val="single" w:sz="4" w:space="0" w:color="auto"/>
              <w:right w:val="single" w:sz="4" w:space="0" w:color="auto"/>
            </w:tcBorders>
            <w:shd w:val="clear" w:color="auto" w:fill="C6EFCE"/>
            <w:vAlign w:val="center"/>
          </w:tcPr>
          <w:p w14:paraId="39107703" w14:textId="68304D4A" w:rsidR="00702291" w:rsidRDefault="00712B31">
            <w:pPr>
              <w:pStyle w:val="P68B1DB1-Normal32"/>
              <w:spacing w:after="120" w:line="240" w:lineRule="auto"/>
              <w:rPr>
                <w:noProof/>
              </w:rPr>
            </w:pPr>
            <w:r>
              <w:rPr>
                <w:noProof/>
              </w:rPr>
              <w:t>C5.I7: Instituirea unui instrument financiar pentru a crește gradul de instalare a stațiilor de încărcare pentru vehiculele electrice (VE)</w:t>
            </w:r>
          </w:p>
        </w:tc>
        <w:tc>
          <w:tcPr>
            <w:tcW w:w="1232" w:type="dxa"/>
            <w:tcBorders>
              <w:top w:val="nil"/>
              <w:left w:val="nil"/>
              <w:bottom w:val="single" w:sz="4" w:space="0" w:color="auto"/>
              <w:right w:val="single" w:sz="4" w:space="0" w:color="auto"/>
            </w:tcBorders>
            <w:shd w:val="clear" w:color="auto" w:fill="C6EFCE"/>
            <w:noWrap/>
            <w:vAlign w:val="center"/>
          </w:tcPr>
          <w:p w14:paraId="47B28BAD" w14:textId="77777777" w:rsidR="00702291" w:rsidRDefault="00712B31">
            <w:pPr>
              <w:pStyle w:val="P68B1DB1-Normal32"/>
              <w:spacing w:after="120" w:line="240" w:lineRule="auto"/>
              <w:rPr>
                <w:noProof/>
              </w:rPr>
            </w:pPr>
            <w:r>
              <w:rPr>
                <w:noProof/>
              </w:rPr>
              <w:t>Țintă</w:t>
            </w:r>
          </w:p>
        </w:tc>
        <w:tc>
          <w:tcPr>
            <w:tcW w:w="1649" w:type="dxa"/>
            <w:tcBorders>
              <w:top w:val="nil"/>
              <w:left w:val="nil"/>
              <w:bottom w:val="single" w:sz="4" w:space="0" w:color="auto"/>
              <w:right w:val="single" w:sz="4" w:space="0" w:color="auto"/>
            </w:tcBorders>
            <w:shd w:val="clear" w:color="auto" w:fill="C6EFCE"/>
            <w:vAlign w:val="center"/>
          </w:tcPr>
          <w:p w14:paraId="27A540AB" w14:textId="77777777" w:rsidR="00702291" w:rsidRDefault="00712B31">
            <w:pPr>
              <w:pStyle w:val="P68B1DB1-Normal32"/>
              <w:spacing w:after="120" w:line="240" w:lineRule="auto"/>
              <w:rPr>
                <w:noProof/>
              </w:rPr>
            </w:pPr>
            <w:r>
              <w:rPr>
                <w:noProof/>
              </w:rPr>
              <w:t>Acorduri juridice semnate cu beneficiarii finali</w:t>
            </w:r>
          </w:p>
        </w:tc>
        <w:tc>
          <w:tcPr>
            <w:tcW w:w="1333" w:type="dxa"/>
            <w:tcBorders>
              <w:top w:val="nil"/>
              <w:left w:val="nil"/>
              <w:bottom w:val="single" w:sz="4" w:space="0" w:color="auto"/>
              <w:right w:val="single" w:sz="4" w:space="0" w:color="auto"/>
            </w:tcBorders>
            <w:shd w:val="clear" w:color="auto" w:fill="C6EFCE"/>
            <w:vAlign w:val="center"/>
          </w:tcPr>
          <w:p w14:paraId="09AEAB47" w14:textId="77777777" w:rsidR="00702291" w:rsidRDefault="00702291">
            <w:pPr>
              <w:spacing w:after="120" w:line="240" w:lineRule="auto"/>
              <w:jc w:val="center"/>
              <w:rPr>
                <w:rFonts w:ascii="Times New Roman" w:eastAsia="Calibri" w:hAnsi="Times New Roman" w:cs="Times New Roman"/>
                <w:noProof/>
                <w:sz w:val="18"/>
                <w:szCs w:val="18"/>
              </w:rPr>
            </w:pPr>
          </w:p>
        </w:tc>
        <w:tc>
          <w:tcPr>
            <w:tcW w:w="1031" w:type="dxa"/>
            <w:tcBorders>
              <w:top w:val="nil"/>
              <w:left w:val="nil"/>
              <w:bottom w:val="single" w:sz="4" w:space="0" w:color="auto"/>
              <w:right w:val="single" w:sz="4" w:space="0" w:color="auto"/>
            </w:tcBorders>
            <w:shd w:val="clear" w:color="auto" w:fill="C6EFCE"/>
            <w:noWrap/>
            <w:vAlign w:val="center"/>
          </w:tcPr>
          <w:p w14:paraId="0CED7D64" w14:textId="77777777" w:rsidR="00702291" w:rsidRDefault="00712B31">
            <w:pPr>
              <w:pStyle w:val="P68B1DB1-Normal32"/>
              <w:spacing w:after="120" w:line="240" w:lineRule="auto"/>
              <w:jc w:val="center"/>
              <w:rPr>
                <w:noProof/>
              </w:rPr>
            </w:pPr>
            <w:r>
              <w:rPr>
                <w:noProof/>
              </w:rPr>
              <w:t>%</w:t>
            </w:r>
          </w:p>
        </w:tc>
        <w:tc>
          <w:tcPr>
            <w:tcW w:w="949" w:type="dxa"/>
            <w:tcBorders>
              <w:top w:val="nil"/>
              <w:left w:val="nil"/>
              <w:bottom w:val="single" w:sz="4" w:space="0" w:color="auto"/>
              <w:right w:val="single" w:sz="4" w:space="0" w:color="auto"/>
            </w:tcBorders>
            <w:shd w:val="clear" w:color="auto" w:fill="C6EFCE"/>
            <w:noWrap/>
            <w:vAlign w:val="center"/>
          </w:tcPr>
          <w:p w14:paraId="0DF01A75" w14:textId="77777777" w:rsidR="00702291" w:rsidRDefault="00712B31">
            <w:pPr>
              <w:pStyle w:val="P68B1DB1-Normal49"/>
              <w:spacing w:after="120" w:line="240"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4F33A5A9" w14:textId="77777777" w:rsidR="00702291" w:rsidRDefault="00712B31">
            <w:pPr>
              <w:pStyle w:val="P68B1DB1-Normal32"/>
              <w:spacing w:after="120" w:line="240" w:lineRule="auto"/>
              <w:jc w:val="center"/>
              <w:rPr>
                <w:noProof/>
              </w:rPr>
            </w:pPr>
            <w:r>
              <w:rPr>
                <w:noProof/>
              </w:rPr>
              <w:t>100</w:t>
            </w:r>
          </w:p>
        </w:tc>
        <w:tc>
          <w:tcPr>
            <w:tcW w:w="992" w:type="dxa"/>
            <w:tcBorders>
              <w:top w:val="nil"/>
              <w:left w:val="nil"/>
              <w:bottom w:val="single" w:sz="4" w:space="0" w:color="auto"/>
              <w:right w:val="single" w:sz="4" w:space="0" w:color="auto"/>
            </w:tcBorders>
            <w:shd w:val="clear" w:color="auto" w:fill="C6EFCE"/>
            <w:vAlign w:val="center"/>
          </w:tcPr>
          <w:p w14:paraId="0B673637" w14:textId="0421A6E8" w:rsidR="00702291" w:rsidRDefault="00F233DB">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11978C16" w14:textId="77777777" w:rsidR="00702291" w:rsidRDefault="00712B31">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7DE5F2FE" w14:textId="77777777" w:rsidR="00702291" w:rsidRDefault="00712B31">
            <w:pPr>
              <w:pStyle w:val="P68B1DB1-Normal32"/>
              <w:spacing w:after="120" w:line="240" w:lineRule="auto"/>
              <w:rPr>
                <w:noProof/>
              </w:rPr>
            </w:pPr>
            <w:r>
              <w:rPr>
                <w:noProof/>
              </w:rPr>
              <w:t>MFB trebuie să fi încheiat acorduri juridice de finanțare cu beneficiarii finali pentru o sumă necesară pentru a utiliza 100 % din investițiile MRR în mecanism (ținând seama de comisioanele de gestionare). 100 % din această finanțare contribuie la obiectivele climatice utilizând metodologia din anexa VI la Regulamentul privind MRR.</w:t>
            </w:r>
          </w:p>
        </w:tc>
      </w:tr>
      <w:tr w:rsidR="00702291" w14:paraId="2D55BA42" w14:textId="77777777" w:rsidTr="00FA4EAF">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3B3B57C3" w14:textId="793819F6" w:rsidR="00702291" w:rsidRDefault="00712B31">
            <w:pPr>
              <w:pStyle w:val="P68B1DB1-Normal32"/>
              <w:spacing w:after="120" w:line="240" w:lineRule="auto"/>
              <w:rPr>
                <w:noProof/>
              </w:rPr>
            </w:pPr>
            <w:r>
              <w:rPr>
                <w:noProof/>
              </w:rPr>
              <w:t>30</w:t>
            </w:r>
          </w:p>
        </w:tc>
        <w:tc>
          <w:tcPr>
            <w:tcW w:w="1598" w:type="dxa"/>
            <w:tcBorders>
              <w:top w:val="nil"/>
              <w:left w:val="nil"/>
              <w:bottom w:val="single" w:sz="4" w:space="0" w:color="auto"/>
              <w:right w:val="single" w:sz="4" w:space="0" w:color="auto"/>
            </w:tcBorders>
            <w:shd w:val="clear" w:color="auto" w:fill="C6EFCE"/>
            <w:vAlign w:val="center"/>
          </w:tcPr>
          <w:p w14:paraId="6EA2A4AF" w14:textId="6CFAB073" w:rsidR="00702291" w:rsidRDefault="00712B31">
            <w:pPr>
              <w:pStyle w:val="P68B1DB1-Normal32"/>
              <w:spacing w:after="120" w:line="240" w:lineRule="auto"/>
              <w:rPr>
                <w:noProof/>
              </w:rPr>
            </w:pPr>
            <w:r>
              <w:rPr>
                <w:noProof/>
              </w:rPr>
              <w:t>C5.I7: Instituirea unui instrument financiar pentru a crește gradul de instalare a stațiilor de încărcare pentru vehiculele electrice (VE)</w:t>
            </w:r>
          </w:p>
        </w:tc>
        <w:tc>
          <w:tcPr>
            <w:tcW w:w="1232" w:type="dxa"/>
            <w:tcBorders>
              <w:top w:val="nil"/>
              <w:left w:val="nil"/>
              <w:bottom w:val="single" w:sz="4" w:space="0" w:color="auto"/>
              <w:right w:val="single" w:sz="4" w:space="0" w:color="auto"/>
            </w:tcBorders>
            <w:shd w:val="clear" w:color="auto" w:fill="C6EFCE"/>
            <w:noWrap/>
            <w:vAlign w:val="center"/>
          </w:tcPr>
          <w:p w14:paraId="7094CD66" w14:textId="77777777" w:rsidR="00702291" w:rsidRDefault="00712B31">
            <w:pPr>
              <w:pStyle w:val="P68B1DB1-Normal32"/>
              <w:spacing w:after="120" w:line="240" w:lineRule="auto"/>
              <w:rPr>
                <w:noProof/>
              </w:rPr>
            </w:pPr>
            <w:r>
              <w:rPr>
                <w:noProof/>
              </w:rPr>
              <w:t>Etapă</w:t>
            </w:r>
          </w:p>
        </w:tc>
        <w:tc>
          <w:tcPr>
            <w:tcW w:w="1649" w:type="dxa"/>
            <w:tcBorders>
              <w:top w:val="nil"/>
              <w:left w:val="nil"/>
              <w:bottom w:val="single" w:sz="4" w:space="0" w:color="auto"/>
              <w:right w:val="single" w:sz="4" w:space="0" w:color="auto"/>
            </w:tcBorders>
            <w:shd w:val="clear" w:color="auto" w:fill="C6EFCE"/>
            <w:vAlign w:val="center"/>
          </w:tcPr>
          <w:p w14:paraId="1798BDC4" w14:textId="4C3518D0" w:rsidR="00702291" w:rsidRDefault="00712B31">
            <w:pPr>
              <w:pStyle w:val="P68B1DB1-Normal32"/>
              <w:spacing w:after="120" w:line="240" w:lineRule="auto"/>
              <w:rPr>
                <w:noProof/>
              </w:rPr>
            </w:pPr>
            <w:r>
              <w:rPr>
                <w:noProof/>
              </w:rPr>
              <w:t>Ministerul a finalizat investiția</w:t>
            </w:r>
          </w:p>
        </w:tc>
        <w:tc>
          <w:tcPr>
            <w:tcW w:w="1333" w:type="dxa"/>
            <w:tcBorders>
              <w:top w:val="nil"/>
              <w:left w:val="nil"/>
              <w:bottom w:val="single" w:sz="4" w:space="0" w:color="auto"/>
              <w:right w:val="single" w:sz="4" w:space="0" w:color="auto"/>
            </w:tcBorders>
            <w:shd w:val="clear" w:color="auto" w:fill="C6EFCE"/>
            <w:vAlign w:val="center"/>
          </w:tcPr>
          <w:p w14:paraId="59B4B77B" w14:textId="77777777" w:rsidR="00702291" w:rsidRDefault="00712B31">
            <w:pPr>
              <w:pStyle w:val="P68B1DB1-Normal49"/>
              <w:spacing w:after="120" w:line="240" w:lineRule="auto"/>
              <w:rPr>
                <w:noProof/>
              </w:rPr>
            </w:pPr>
            <w:r>
              <w:rPr>
                <w:noProof/>
              </w:rPr>
              <w:t xml:space="preserve">Certificatul de transfer </w:t>
            </w:r>
          </w:p>
        </w:tc>
        <w:tc>
          <w:tcPr>
            <w:tcW w:w="1031" w:type="dxa"/>
            <w:tcBorders>
              <w:top w:val="nil"/>
              <w:left w:val="nil"/>
              <w:bottom w:val="single" w:sz="4" w:space="0" w:color="auto"/>
              <w:right w:val="single" w:sz="4" w:space="0" w:color="auto"/>
            </w:tcBorders>
            <w:shd w:val="clear" w:color="auto" w:fill="C6EFCE"/>
            <w:noWrap/>
            <w:vAlign w:val="center"/>
          </w:tcPr>
          <w:p w14:paraId="04EFDB21" w14:textId="77777777" w:rsidR="00702291" w:rsidRDefault="00702291">
            <w:pPr>
              <w:spacing w:after="120" w:line="240" w:lineRule="auto"/>
              <w:jc w:val="center"/>
              <w:rPr>
                <w:rFonts w:ascii="Times New Roman"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00B6349E" w14:textId="77777777" w:rsidR="00702291" w:rsidRDefault="00702291">
            <w:pPr>
              <w:spacing w:after="120" w:line="240" w:lineRule="auto"/>
              <w:jc w:val="center"/>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690D4AA4" w14:textId="77777777" w:rsidR="00702291" w:rsidRDefault="0070229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vAlign w:val="center"/>
          </w:tcPr>
          <w:p w14:paraId="3DF56D17" w14:textId="775BF186" w:rsidR="00702291" w:rsidRDefault="00F233DB">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0B66E5CC" w14:textId="77777777" w:rsidR="00702291" w:rsidRDefault="00712B31">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058A7FCE" w14:textId="387D9CA1" w:rsidR="00702291" w:rsidRDefault="00712B31">
            <w:pPr>
              <w:pStyle w:val="P68B1DB1-Normal32"/>
              <w:spacing w:after="120" w:line="240" w:lineRule="auto"/>
              <w:rPr>
                <w:noProof/>
              </w:rPr>
            </w:pPr>
            <w:r>
              <w:rPr>
                <w:noProof/>
              </w:rPr>
              <w:t xml:space="preserve">Ungaria transferă cel puțin 19 418 569 EUR din MFB către mecanism. </w:t>
            </w:r>
          </w:p>
        </w:tc>
      </w:tr>
      <w:tr w:rsidR="00702291" w14:paraId="19CC30DC" w14:textId="77777777" w:rsidTr="00FA4EAF">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1FD9C17B" w14:textId="16E34CC8" w:rsidR="00702291" w:rsidRDefault="00712B31">
            <w:pPr>
              <w:pStyle w:val="P68B1DB1-Normal32"/>
              <w:spacing w:after="120" w:line="240" w:lineRule="auto"/>
              <w:rPr>
                <w:noProof/>
              </w:rPr>
            </w:pPr>
            <w:r>
              <w:rPr>
                <w:noProof/>
              </w:rPr>
              <w:t>31</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7FE051AA" w14:textId="40930F56" w:rsidR="00702291" w:rsidRDefault="00712B31">
            <w:pPr>
              <w:pStyle w:val="P68B1DB1-Normal32"/>
              <w:spacing w:after="120" w:line="240" w:lineRule="auto"/>
              <w:rPr>
                <w:rFonts w:eastAsiaTheme="minorHAnsi"/>
                <w:noProof/>
              </w:rPr>
            </w:pPr>
            <w:r>
              <w:rPr>
                <w:noProof/>
              </w:rPr>
              <w:t xml:space="preserve">C5.R1 Reforma tarifară </w:t>
            </w:r>
          </w:p>
        </w:tc>
        <w:tc>
          <w:tcPr>
            <w:tcW w:w="1232" w:type="dxa"/>
            <w:tcBorders>
              <w:top w:val="nil"/>
              <w:left w:val="nil"/>
              <w:bottom w:val="single" w:sz="4" w:space="0" w:color="auto"/>
              <w:right w:val="single" w:sz="4" w:space="0" w:color="auto"/>
            </w:tcBorders>
            <w:shd w:val="clear" w:color="auto" w:fill="C6EFCE"/>
            <w:noWrap/>
            <w:vAlign w:val="center"/>
          </w:tcPr>
          <w:p w14:paraId="5BA9D99F" w14:textId="77777777" w:rsidR="00702291" w:rsidRDefault="00712B31">
            <w:pPr>
              <w:pStyle w:val="P68B1DB1-Normal32"/>
              <w:spacing w:after="120" w:line="240" w:lineRule="auto"/>
              <w:rPr>
                <w:rFonts w:eastAsiaTheme="minorHAnsi"/>
                <w:noProof/>
              </w:rPr>
            </w:pPr>
            <w:r>
              <w:rPr>
                <w:noProof/>
              </w:rPr>
              <w:t>Etapă</w:t>
            </w:r>
          </w:p>
        </w:tc>
        <w:tc>
          <w:tcPr>
            <w:tcW w:w="1649" w:type="dxa"/>
            <w:tcBorders>
              <w:top w:val="single" w:sz="4" w:space="0" w:color="auto"/>
              <w:left w:val="nil"/>
              <w:bottom w:val="single" w:sz="4" w:space="0" w:color="auto"/>
              <w:right w:val="single" w:sz="4" w:space="0" w:color="auto"/>
            </w:tcBorders>
            <w:shd w:val="clear" w:color="auto" w:fill="C6EFCE"/>
            <w:vAlign w:val="center"/>
          </w:tcPr>
          <w:p w14:paraId="1E0E9423" w14:textId="171B98AA" w:rsidR="00702291" w:rsidRDefault="00712B31">
            <w:pPr>
              <w:pStyle w:val="P68B1DB1-Normal32"/>
              <w:spacing w:after="120" w:line="240" w:lineRule="auto"/>
              <w:rPr>
                <w:rFonts w:eastAsiaTheme="minorHAnsi"/>
                <w:noProof/>
              </w:rPr>
            </w:pPr>
            <w:r>
              <w:rPr>
                <w:noProof/>
              </w:rPr>
              <w:t xml:space="preserve">Intrarea în vigoare a actului (actelor) juridic (e) referitor (e) la tarife </w:t>
            </w:r>
          </w:p>
        </w:tc>
        <w:tc>
          <w:tcPr>
            <w:tcW w:w="1333" w:type="dxa"/>
            <w:tcBorders>
              <w:top w:val="nil"/>
              <w:left w:val="nil"/>
              <w:bottom w:val="single" w:sz="4" w:space="0" w:color="auto"/>
              <w:right w:val="single" w:sz="4" w:space="0" w:color="auto"/>
            </w:tcBorders>
            <w:shd w:val="clear" w:color="auto" w:fill="C6EFCE"/>
            <w:vAlign w:val="center"/>
          </w:tcPr>
          <w:p w14:paraId="3055C15B" w14:textId="18BC6BFB" w:rsidR="00702291" w:rsidRDefault="00712B31">
            <w:pPr>
              <w:pStyle w:val="P68B1DB1-Normal32"/>
              <w:spacing w:after="120" w:line="240" w:lineRule="auto"/>
              <w:ind w:left="34"/>
              <w:rPr>
                <w:rFonts w:eastAsiaTheme="minorHAnsi"/>
                <w:noProof/>
              </w:rPr>
            </w:pPr>
            <w:r>
              <w:rPr>
                <w:noProof/>
              </w:rPr>
              <w:t>Dispoziție din actul (actele) juridic (e) care indică intrarea în vigoare</w:t>
            </w:r>
          </w:p>
        </w:tc>
        <w:tc>
          <w:tcPr>
            <w:tcW w:w="1031" w:type="dxa"/>
            <w:tcBorders>
              <w:top w:val="nil"/>
              <w:left w:val="nil"/>
              <w:bottom w:val="single" w:sz="4" w:space="0" w:color="auto"/>
              <w:right w:val="single" w:sz="4" w:space="0" w:color="auto"/>
            </w:tcBorders>
            <w:shd w:val="clear" w:color="auto" w:fill="C6EFCE"/>
            <w:noWrap/>
            <w:vAlign w:val="center"/>
          </w:tcPr>
          <w:p w14:paraId="64E79433" w14:textId="77777777" w:rsidR="00702291" w:rsidRDefault="00702291">
            <w:pPr>
              <w:spacing w:after="120" w:line="240" w:lineRule="auto"/>
              <w:jc w:val="center"/>
              <w:rPr>
                <w:rFonts w:ascii="Times New Roman"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232D680F" w14:textId="77777777" w:rsidR="00702291" w:rsidRDefault="0070229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FFDC0C6" w14:textId="77777777" w:rsidR="00702291" w:rsidRDefault="0070229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vAlign w:val="center"/>
          </w:tcPr>
          <w:p w14:paraId="64D91DAE" w14:textId="462B6E24" w:rsidR="00702291" w:rsidRDefault="00F233DB">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78548D6D" w14:textId="4DAC8F7E" w:rsidR="00702291" w:rsidRDefault="00712B31">
            <w:pPr>
              <w:pStyle w:val="P68B1DB1-Normal32"/>
              <w:spacing w:after="120" w:line="240" w:lineRule="auto"/>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65D0E41E" w14:textId="11B6CC7E" w:rsidR="00702291" w:rsidRDefault="00712B31">
            <w:pPr>
              <w:pStyle w:val="P68B1DB1-Normal32"/>
              <w:spacing w:after="120" w:line="240" w:lineRule="auto"/>
              <w:rPr>
                <w:noProof/>
              </w:rPr>
            </w:pPr>
            <w:r>
              <w:rPr>
                <w:noProof/>
              </w:rPr>
              <w:t>Intrarea în vigoare a actului (actelor) juridic (e) referitor (e) la reducerile de călătorie pentru transportul public de călători.</w:t>
            </w:r>
          </w:p>
        </w:tc>
      </w:tr>
    </w:tbl>
    <w:p w14:paraId="1D0A5DDD" w14:textId="77777777" w:rsidR="00702291" w:rsidRDefault="00702291">
      <w:pPr>
        <w:spacing w:after="120" w:line="240" w:lineRule="auto"/>
        <w:rPr>
          <w:rFonts w:ascii="Times New Roman" w:hAnsi="Times New Roman" w:cs="Times New Roman"/>
          <w:noProof/>
          <w:sz w:val="24"/>
          <w:szCs w:val="24"/>
        </w:rPr>
        <w:sectPr w:rsidR="00702291" w:rsidSect="009030B8">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08"/>
          <w:docGrid w:linePitch="360"/>
        </w:sectPr>
      </w:pPr>
    </w:p>
    <w:p w14:paraId="21E29702" w14:textId="5191BB7F" w:rsidR="00702291" w:rsidRDefault="00712B31">
      <w:pPr>
        <w:pStyle w:val="P68B1DB1-Heading310"/>
        <w:spacing w:before="0" w:after="120"/>
        <w:rPr>
          <w:noProof/>
        </w:rPr>
      </w:pPr>
      <w:r>
        <w:rPr>
          <w:noProof/>
        </w:rPr>
        <w:t>E.3. Descrierea reformelor și a investițiilor pentru împrumut</w:t>
      </w:r>
    </w:p>
    <w:p w14:paraId="26437B77" w14:textId="77777777" w:rsidR="00702291" w:rsidRDefault="00712B31">
      <w:pPr>
        <w:pStyle w:val="P68B1DB1-Heading411"/>
        <w:spacing w:before="0" w:after="120" w:line="240" w:lineRule="auto"/>
        <w:rPr>
          <w:noProof/>
        </w:rPr>
      </w:pPr>
      <w:r>
        <w:rPr>
          <w:noProof/>
        </w:rPr>
        <w:t>C5.I8: Injecția de capital într-o societate pe acțiuni nou creată „ROSCO”</w:t>
      </w:r>
    </w:p>
    <w:p w14:paraId="0F462EFC" w14:textId="7FFD1B96" w:rsidR="00702291" w:rsidRDefault="00712B31">
      <w:pPr>
        <w:pStyle w:val="P68B1DB1-Normal34"/>
        <w:spacing w:after="120" w:line="240" w:lineRule="auto"/>
        <w:jc w:val="both"/>
        <w:rPr>
          <w:noProof/>
        </w:rPr>
      </w:pPr>
      <w:r>
        <w:rPr>
          <w:noProof/>
        </w:rPr>
        <w:t xml:space="preserve">Această măsură vizează sprijinirea potențialului de creștere al economiei maghiare prin ajustarea structurală a nivelului sprijinului public disponibil pentru a remedia disfuncționalitățile pieței și ineficiențele din cadrul economiei. Măsura constă într-o injecție de capital în valoare de 1 800 000 000 EUR în societatea de material rulant (ROSCO). </w:t>
      </w:r>
    </w:p>
    <w:p w14:paraId="2108B79B" w14:textId="77777777" w:rsidR="00702291" w:rsidRDefault="00712B31">
      <w:pPr>
        <w:pStyle w:val="P68B1DB1-Normal34"/>
        <w:spacing w:after="120" w:line="240" w:lineRule="auto"/>
        <w:jc w:val="both"/>
        <w:rPr>
          <w:noProof/>
        </w:rPr>
      </w:pPr>
      <w:r>
        <w:rPr>
          <w:noProof/>
        </w:rPr>
        <w:t>Îndeplinirea satisfăcătoare a jaloanelor din cadrul acestei măsuri este condiționată de îndeplinirea satisfăcătoare a jaloanelor reformei C5.R2.</w:t>
      </w:r>
    </w:p>
    <w:p w14:paraId="66788362" w14:textId="762BECB5" w:rsidR="00702291" w:rsidRDefault="00712B31">
      <w:pPr>
        <w:pStyle w:val="P68B1DB1-Heading411"/>
        <w:spacing w:before="0" w:after="120" w:line="240" w:lineRule="auto"/>
        <w:rPr>
          <w:noProof/>
        </w:rPr>
      </w:pPr>
      <w:r>
        <w:rPr>
          <w:noProof/>
        </w:rPr>
        <w:t>C5.R2: Reforma serviciilor feroviare în Ungaria</w:t>
      </w:r>
    </w:p>
    <w:p w14:paraId="38552AC8" w14:textId="77777777" w:rsidR="00702291" w:rsidRDefault="00712B31">
      <w:pPr>
        <w:pStyle w:val="P68B1DB1-Text146"/>
        <w:spacing w:before="0" w:after="120" w:line="240" w:lineRule="auto"/>
        <w:rPr>
          <w:noProof/>
        </w:rPr>
      </w:pPr>
      <w:r>
        <w:rPr>
          <w:noProof/>
        </w:rPr>
        <w:t xml:space="preserve">Obiectivul acestei măsuri este de a contribui la îmbunătățirea pieței feroviare din Ungaria. </w:t>
      </w:r>
    </w:p>
    <w:p w14:paraId="36570EE0" w14:textId="208C9DA7" w:rsidR="00702291" w:rsidRDefault="00712B31">
      <w:pPr>
        <w:pStyle w:val="P68B1DB1-Text146"/>
        <w:spacing w:before="0" w:after="120" w:line="240" w:lineRule="auto"/>
        <w:rPr>
          <w:noProof/>
        </w:rPr>
      </w:pPr>
      <w:r>
        <w:rPr>
          <w:noProof/>
        </w:rPr>
        <w:t xml:space="preserve">Aceasta constă în intrarea în vigoare a actului (actelor) juridic (e) privind înființarea Autorității Naționale de Transport Public (NPTA) și a Societății de material rulant (ROSCO). </w:t>
      </w:r>
    </w:p>
    <w:p w14:paraId="51709636" w14:textId="3D3FB027" w:rsidR="00702291" w:rsidRDefault="00702291">
      <w:pPr>
        <w:spacing w:after="120" w:line="240" w:lineRule="auto"/>
        <w:rPr>
          <w:rFonts w:ascii="Times New Roman" w:hAnsi="Times New Roman"/>
          <w:noProof/>
          <w:sz w:val="24"/>
          <w:szCs w:val="24"/>
        </w:rPr>
      </w:pPr>
    </w:p>
    <w:p w14:paraId="28CA1EBA" w14:textId="77777777" w:rsidR="00702291" w:rsidRDefault="00702291">
      <w:pPr>
        <w:pStyle w:val="Text1"/>
        <w:spacing w:before="0" w:after="120" w:line="240" w:lineRule="auto"/>
        <w:rPr>
          <w:rFonts w:ascii="Times New Roman" w:hAnsi="Times New Roman"/>
          <w:noProof/>
          <w:sz w:val="24"/>
          <w:szCs w:val="24"/>
        </w:rPr>
        <w:sectPr w:rsidR="00702291" w:rsidSect="00BC385A">
          <w:headerReference w:type="default" r:id="rId78"/>
          <w:footerReference w:type="default" r:id="rId79"/>
          <w:pgSz w:w="11907" w:h="16839"/>
          <w:pgMar w:top="1134" w:right="1134" w:bottom="1134" w:left="1134" w:header="567" w:footer="567" w:gutter="0"/>
          <w:cols w:space="708"/>
          <w:docGrid w:linePitch="360"/>
        </w:sectPr>
      </w:pPr>
    </w:p>
    <w:p w14:paraId="5EBDD9C1" w14:textId="10CEDAA7" w:rsidR="00702291" w:rsidRDefault="00712B31">
      <w:pPr>
        <w:pStyle w:val="P68B1DB1-Heading350"/>
        <w:spacing w:before="0" w:after="120"/>
        <w:rPr>
          <w:rFonts w:ascii="Times New Roman" w:hAnsi="Times New Roman"/>
          <w:noProof/>
        </w:rPr>
      </w:pPr>
      <w:r>
        <w:rPr>
          <w:rFonts w:ascii="Times New Roman" w:hAnsi="Times New Roman"/>
          <w:noProof/>
        </w:rPr>
        <w:t xml:space="preserve">E.4. </w:t>
      </w:r>
      <w:r>
        <w:rPr>
          <w:rFonts w:ascii="Times New Roman" w:hAnsi="Times New Roman"/>
          <w:noProof/>
        </w:rPr>
        <w:tab/>
      </w:r>
      <w:r>
        <w:rPr>
          <w:rFonts w:ascii="Times New Roman" w:hAnsi="Times New Roman" w:cs="Times New Roman"/>
          <w:noProof/>
          <w:szCs w:val="24"/>
        </w:rPr>
        <w:t>Jaloane, ținte, indicatori și calendarul de monitorizare și punere în aplicare pentru sprijinul sub formă de împrumut</w:t>
      </w:r>
    </w:p>
    <w:tbl>
      <w:tblPr>
        <w:tblW w:w="15065" w:type="dxa"/>
        <w:jc w:val="center"/>
        <w:tblLayout w:type="fixed"/>
        <w:tblLook w:val="04A0" w:firstRow="1" w:lastRow="0" w:firstColumn="1" w:lastColumn="0" w:noHBand="0" w:noVBand="1"/>
      </w:tblPr>
      <w:tblGrid>
        <w:gridCol w:w="1134"/>
        <w:gridCol w:w="1598"/>
        <w:gridCol w:w="1232"/>
        <w:gridCol w:w="1649"/>
        <w:gridCol w:w="1186"/>
        <w:gridCol w:w="993"/>
        <w:gridCol w:w="992"/>
        <w:gridCol w:w="913"/>
        <w:gridCol w:w="930"/>
        <w:gridCol w:w="678"/>
        <w:gridCol w:w="3760"/>
      </w:tblGrid>
      <w:tr w:rsidR="00702291" w14:paraId="4E90561D" w14:textId="77777777" w:rsidTr="00FA4EAF">
        <w:trPr>
          <w:cantSplit/>
          <w:trHeight w:val="945"/>
          <w:tblHeade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9E48C91" w14:textId="77777777" w:rsidR="00702291" w:rsidRDefault="00712B31">
            <w:pPr>
              <w:pStyle w:val="P68B1DB1-Normal37"/>
              <w:spacing w:after="120" w:line="240" w:lineRule="auto"/>
              <w:jc w:val="center"/>
              <w:rPr>
                <w:noProof/>
              </w:rPr>
            </w:pPr>
            <w:r>
              <w:rPr>
                <w:noProof/>
              </w:rPr>
              <w:t>Număr secvențial</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FF16521" w14:textId="77777777" w:rsidR="00702291" w:rsidRDefault="00712B31">
            <w:pPr>
              <w:pStyle w:val="P68B1DB1-Normal37"/>
              <w:spacing w:after="120" w:line="240" w:lineRule="auto"/>
              <w:jc w:val="center"/>
              <w:rPr>
                <w:rFonts w:eastAsiaTheme="minorHAnsi"/>
                <w:noProof/>
              </w:rPr>
            </w:pPr>
            <w:r>
              <w:rPr>
                <w:noProof/>
              </w:rPr>
              <w:t>Măsură conexă (reformă sau investiții)</w:t>
            </w:r>
          </w:p>
        </w:tc>
        <w:tc>
          <w:tcPr>
            <w:tcW w:w="123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AC15D48" w14:textId="77777777" w:rsidR="00702291" w:rsidRDefault="00712B31">
            <w:pPr>
              <w:pStyle w:val="P68B1DB1-Normal37"/>
              <w:spacing w:after="120" w:line="240" w:lineRule="auto"/>
              <w:jc w:val="center"/>
              <w:rPr>
                <w:rFonts w:eastAsiaTheme="minorHAnsi"/>
                <w:noProof/>
              </w:rPr>
            </w:pPr>
            <w:r>
              <w:rPr>
                <w:noProof/>
              </w:rPr>
              <w:t>Kilometraje/</w:t>
            </w:r>
          </w:p>
          <w:p w14:paraId="27247923" w14:textId="77777777" w:rsidR="00702291" w:rsidRDefault="00712B31">
            <w:pPr>
              <w:pStyle w:val="P68B1DB1-Normal37"/>
              <w:spacing w:after="120" w:line="240" w:lineRule="auto"/>
              <w:jc w:val="center"/>
              <w:rPr>
                <w:rFonts w:eastAsiaTheme="minorHAnsi"/>
                <w:noProof/>
              </w:rPr>
            </w:pPr>
            <w:r>
              <w:rPr>
                <w:noProof/>
              </w:rPr>
              <w:t>Țintă</w:t>
            </w:r>
          </w:p>
        </w:tc>
        <w:tc>
          <w:tcPr>
            <w:tcW w:w="1649" w:type="dxa"/>
            <w:vMerge w:val="restar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3D47EF5C" w14:textId="77777777" w:rsidR="00702291" w:rsidRDefault="00712B31">
            <w:pPr>
              <w:pStyle w:val="P68B1DB1-Normal37"/>
              <w:spacing w:after="120" w:line="240" w:lineRule="auto"/>
              <w:jc w:val="center"/>
              <w:rPr>
                <w:rFonts w:eastAsiaTheme="minorHAnsi"/>
                <w:noProof/>
              </w:rPr>
            </w:pPr>
            <w:r>
              <w:rPr>
                <w:noProof/>
              </w:rPr>
              <w:t>Nume</w:t>
            </w:r>
          </w:p>
        </w:tc>
        <w:tc>
          <w:tcPr>
            <w:tcW w:w="118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BB66661" w14:textId="1B08B26A" w:rsidR="00702291" w:rsidRDefault="00712B31">
            <w:pPr>
              <w:pStyle w:val="P68B1DB1-Normal32"/>
              <w:spacing w:after="120" w:line="240" w:lineRule="auto"/>
              <w:jc w:val="center"/>
              <w:rPr>
                <w:rFonts w:eastAsiaTheme="minorHAnsi"/>
                <w:b/>
                <w:noProof/>
              </w:rPr>
            </w:pPr>
            <w:r>
              <w:rPr>
                <w:b/>
                <w:noProof/>
              </w:rPr>
              <w:t>Indicatori calitativi</w:t>
            </w:r>
            <w:r>
              <w:rPr>
                <w:noProof/>
              </w:rPr>
              <w:br/>
            </w:r>
            <w:r>
              <w:rPr>
                <w:b/>
                <w:noProof/>
              </w:rPr>
              <w:t>(pentru jaloane)</w:t>
            </w:r>
          </w:p>
        </w:tc>
        <w:tc>
          <w:tcPr>
            <w:tcW w:w="2898" w:type="dxa"/>
            <w:gridSpan w:val="3"/>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F82556D" w14:textId="77777777" w:rsidR="00702291" w:rsidRDefault="00712B31">
            <w:pPr>
              <w:pStyle w:val="P68B1DB1-Normal37"/>
              <w:spacing w:after="120" w:line="240" w:lineRule="auto"/>
              <w:jc w:val="center"/>
              <w:rPr>
                <w:rFonts w:eastAsiaTheme="minorHAnsi"/>
                <w:noProof/>
              </w:rPr>
            </w:pPr>
            <w:r>
              <w:rPr>
                <w:noProof/>
              </w:rPr>
              <w:t>Indicatori cantitativi (pentru ținte)</w:t>
            </w:r>
          </w:p>
        </w:tc>
        <w:tc>
          <w:tcPr>
            <w:tcW w:w="1608" w:type="dxa"/>
            <w:gridSpan w:val="2"/>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76142DA8" w14:textId="77777777" w:rsidR="00702291" w:rsidRDefault="00712B31">
            <w:pPr>
              <w:pStyle w:val="P68B1DB1-Normal37"/>
              <w:spacing w:after="120" w:line="240" w:lineRule="auto"/>
              <w:jc w:val="center"/>
              <w:rPr>
                <w:rFonts w:eastAsiaTheme="minorHAnsi"/>
                <w:noProof/>
              </w:rPr>
            </w:pPr>
            <w:r>
              <w:rPr>
                <w:noProof/>
              </w:rPr>
              <w:t>Calendar orientativ pentru finalizare</w:t>
            </w:r>
          </w:p>
        </w:tc>
        <w:tc>
          <w:tcPr>
            <w:tcW w:w="376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F2877FE" w14:textId="77777777" w:rsidR="00702291" w:rsidRDefault="00712B31">
            <w:pPr>
              <w:pStyle w:val="P68B1DB1-Normal37"/>
              <w:spacing w:after="120" w:line="240" w:lineRule="auto"/>
              <w:jc w:val="center"/>
              <w:rPr>
                <w:rFonts w:eastAsiaTheme="minorHAnsi"/>
                <w:noProof/>
              </w:rPr>
            </w:pPr>
            <w:r>
              <w:rPr>
                <w:noProof/>
              </w:rPr>
              <w:t>Descrierea fiecărui jalon și a fiecărei ținte</w:t>
            </w:r>
          </w:p>
        </w:tc>
      </w:tr>
      <w:tr w:rsidR="00702291" w14:paraId="6D5B59D8" w14:textId="77777777" w:rsidTr="00FA4EAF">
        <w:trPr>
          <w:cantSplit/>
          <w:trHeight w:val="557"/>
          <w:tblHeader/>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24486B5" w14:textId="77777777" w:rsidR="00702291" w:rsidRDefault="00702291">
            <w:pPr>
              <w:spacing w:after="120" w:line="240" w:lineRule="auto"/>
              <w:jc w:val="center"/>
              <w:rPr>
                <w:rFonts w:ascii="Times New Roman" w:hAnsi="Times New Roman" w:cs="Times New Roman"/>
                <w:b/>
                <w:noProof/>
                <w:sz w:val="18"/>
                <w:szCs w:val="18"/>
              </w:rPr>
            </w:pPr>
          </w:p>
        </w:tc>
        <w:tc>
          <w:tcPr>
            <w:tcW w:w="1598" w:type="dxa"/>
            <w:vMerge/>
            <w:tcBorders>
              <w:top w:val="single" w:sz="4" w:space="0" w:color="auto"/>
              <w:left w:val="single" w:sz="4" w:space="0" w:color="auto"/>
              <w:bottom w:val="single" w:sz="4" w:space="0" w:color="auto"/>
              <w:right w:val="single" w:sz="4" w:space="0" w:color="auto"/>
            </w:tcBorders>
            <w:vAlign w:val="center"/>
            <w:hideMark/>
          </w:tcPr>
          <w:p w14:paraId="69F07E01" w14:textId="77777777" w:rsidR="00702291" w:rsidRDefault="00702291">
            <w:pPr>
              <w:spacing w:after="120" w:line="240" w:lineRule="auto"/>
              <w:jc w:val="center"/>
              <w:rPr>
                <w:rFonts w:ascii="Times New Roman" w:hAnsi="Times New Roman" w:cs="Times New Roman"/>
                <w:b/>
                <w:noProof/>
                <w:sz w:val="18"/>
                <w:szCs w:val="18"/>
              </w:rPr>
            </w:pPr>
          </w:p>
        </w:tc>
        <w:tc>
          <w:tcPr>
            <w:tcW w:w="1232" w:type="dxa"/>
            <w:vMerge/>
            <w:tcBorders>
              <w:top w:val="single" w:sz="4" w:space="0" w:color="auto"/>
              <w:left w:val="single" w:sz="4" w:space="0" w:color="auto"/>
              <w:bottom w:val="single" w:sz="4" w:space="0" w:color="auto"/>
              <w:right w:val="single" w:sz="4" w:space="0" w:color="auto"/>
            </w:tcBorders>
            <w:vAlign w:val="center"/>
            <w:hideMark/>
          </w:tcPr>
          <w:p w14:paraId="4A1EEBAB" w14:textId="77777777" w:rsidR="00702291" w:rsidRDefault="00702291">
            <w:pPr>
              <w:spacing w:after="120" w:line="240" w:lineRule="auto"/>
              <w:jc w:val="center"/>
              <w:rPr>
                <w:rFonts w:ascii="Times New Roman" w:hAnsi="Times New Roman" w:cs="Times New Roman"/>
                <w:b/>
                <w:noProof/>
                <w:sz w:val="18"/>
                <w:szCs w:val="18"/>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14:paraId="1F43C9E7" w14:textId="77777777" w:rsidR="00702291" w:rsidRDefault="00702291">
            <w:pPr>
              <w:spacing w:after="120" w:line="240" w:lineRule="auto"/>
              <w:jc w:val="center"/>
              <w:rPr>
                <w:rFonts w:ascii="Times New Roman" w:hAnsi="Times New Roman" w:cs="Times New Roman"/>
                <w:b/>
                <w:noProof/>
                <w:sz w:val="18"/>
                <w:szCs w:val="18"/>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14:paraId="06A5610A" w14:textId="77777777" w:rsidR="00702291" w:rsidRDefault="00702291">
            <w:pPr>
              <w:spacing w:after="120" w:line="240" w:lineRule="auto"/>
              <w:jc w:val="center"/>
              <w:rPr>
                <w:rFonts w:ascii="Times New Roman" w:hAnsi="Times New Roman" w:cs="Times New Roman"/>
                <w:b/>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1886001" w14:textId="77777777" w:rsidR="00702291" w:rsidRDefault="00712B31">
            <w:pPr>
              <w:pStyle w:val="P68B1DB1-Normal37"/>
              <w:spacing w:after="120" w:line="240" w:lineRule="auto"/>
              <w:jc w:val="center"/>
              <w:rPr>
                <w:rFonts w:eastAsiaTheme="minorHAnsi"/>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7D7AFA6" w14:textId="77777777" w:rsidR="00702291" w:rsidRDefault="00712B31">
            <w:pPr>
              <w:pStyle w:val="P68B1DB1-Normal37"/>
              <w:spacing w:after="120" w:line="240" w:lineRule="auto"/>
              <w:jc w:val="center"/>
              <w:rPr>
                <w:rFonts w:eastAsiaTheme="minorHAnsi"/>
                <w:noProof/>
              </w:rPr>
            </w:pPr>
            <w:r>
              <w:rPr>
                <w:noProof/>
              </w:rPr>
              <w:t>Situația de referință</w:t>
            </w:r>
          </w:p>
        </w:tc>
        <w:tc>
          <w:tcPr>
            <w:tcW w:w="91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87A505D" w14:textId="77777777" w:rsidR="00702291" w:rsidRDefault="00712B31">
            <w:pPr>
              <w:pStyle w:val="P68B1DB1-Normal37"/>
              <w:spacing w:after="120" w:line="240" w:lineRule="auto"/>
              <w:jc w:val="center"/>
              <w:rPr>
                <w:rFonts w:eastAsiaTheme="minorHAnsi"/>
                <w:noProof/>
              </w:rPr>
            </w:pPr>
            <w:r>
              <w:rPr>
                <w:noProof/>
              </w:rPr>
              <w:t>Obiectiv</w:t>
            </w:r>
          </w:p>
        </w:tc>
        <w:tc>
          <w:tcPr>
            <w:tcW w:w="93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769F08E" w14:textId="77777777" w:rsidR="00702291" w:rsidRPr="00FA4EAF" w:rsidRDefault="00712B31">
            <w:pPr>
              <w:pStyle w:val="P68B1DB1-Normal37"/>
              <w:spacing w:after="120" w:line="240" w:lineRule="auto"/>
              <w:jc w:val="center"/>
              <w:rPr>
                <w:rFonts w:eastAsiaTheme="minorHAnsi"/>
                <w:noProof/>
                <w:sz w:val="16"/>
                <w:szCs w:val="16"/>
              </w:rPr>
            </w:pPr>
            <w:r w:rsidRPr="00FA4EAF">
              <w:rPr>
                <w:noProof/>
                <w:sz w:val="16"/>
                <w:szCs w:val="16"/>
              </w:rPr>
              <w:t>Trimestru</w:t>
            </w:r>
          </w:p>
        </w:tc>
        <w:tc>
          <w:tcPr>
            <w:tcW w:w="67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63E3938" w14:textId="77777777" w:rsidR="00702291" w:rsidRDefault="00712B31">
            <w:pPr>
              <w:pStyle w:val="P68B1DB1-Normal37"/>
              <w:spacing w:after="120" w:line="240" w:lineRule="auto"/>
              <w:jc w:val="center"/>
              <w:rPr>
                <w:rFonts w:eastAsiaTheme="minorHAnsi"/>
                <w:noProof/>
              </w:rPr>
            </w:pPr>
            <w:r>
              <w:rPr>
                <w:noProof/>
              </w:rPr>
              <w:t>Anul</w:t>
            </w:r>
          </w:p>
        </w:tc>
        <w:tc>
          <w:tcPr>
            <w:tcW w:w="3760" w:type="dxa"/>
            <w:vMerge/>
            <w:tcBorders>
              <w:top w:val="single" w:sz="4" w:space="0" w:color="auto"/>
              <w:bottom w:val="single" w:sz="4" w:space="0" w:color="auto"/>
              <w:right w:val="single" w:sz="4" w:space="0" w:color="auto"/>
            </w:tcBorders>
            <w:vAlign w:val="center"/>
            <w:hideMark/>
          </w:tcPr>
          <w:p w14:paraId="4C261E0B" w14:textId="77777777" w:rsidR="00702291" w:rsidRDefault="00702291">
            <w:pPr>
              <w:spacing w:after="120" w:line="240" w:lineRule="auto"/>
              <w:rPr>
                <w:rFonts w:ascii="Times New Roman" w:hAnsi="Times New Roman" w:cs="Times New Roman"/>
                <w:b/>
                <w:noProof/>
                <w:sz w:val="18"/>
                <w:szCs w:val="18"/>
              </w:rPr>
            </w:pPr>
          </w:p>
        </w:tc>
      </w:tr>
      <w:tr w:rsidR="00702291" w14:paraId="30013672" w14:textId="77777777" w:rsidTr="00FA4EAF">
        <w:trPr>
          <w:trHeight w:val="410"/>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2A91B" w14:textId="4DD54353" w:rsidR="00702291" w:rsidRDefault="00712B31">
            <w:pPr>
              <w:pStyle w:val="P68B1DB1-Normal32"/>
              <w:spacing w:after="120" w:line="240" w:lineRule="auto"/>
              <w:rPr>
                <w:noProof/>
              </w:rPr>
            </w:pPr>
            <w:r>
              <w:rPr>
                <w:noProof/>
              </w:rPr>
              <w:t>32</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696E518A" w14:textId="3D0D76E8" w:rsidR="00702291" w:rsidRDefault="00712B31">
            <w:pPr>
              <w:pStyle w:val="P68B1DB1-Normal32"/>
              <w:spacing w:after="120" w:line="240" w:lineRule="auto"/>
              <w:rPr>
                <w:noProof/>
              </w:rPr>
            </w:pPr>
            <w:r>
              <w:rPr>
                <w:noProof/>
              </w:rPr>
              <w:t>C5.I8: Injecția de capital într-o societate pe acțiuni nou creată „ROSCO”</w:t>
            </w:r>
          </w:p>
        </w:tc>
        <w:tc>
          <w:tcPr>
            <w:tcW w:w="1232" w:type="dxa"/>
            <w:tcBorders>
              <w:top w:val="single" w:sz="4" w:space="0" w:color="auto"/>
              <w:left w:val="nil"/>
              <w:bottom w:val="single" w:sz="4" w:space="0" w:color="auto"/>
              <w:right w:val="single" w:sz="4" w:space="0" w:color="auto"/>
            </w:tcBorders>
            <w:shd w:val="clear" w:color="auto" w:fill="C6EFCE"/>
            <w:noWrap/>
            <w:vAlign w:val="center"/>
          </w:tcPr>
          <w:p w14:paraId="483B0814" w14:textId="76B5409A" w:rsidR="00702291" w:rsidRDefault="00712B31">
            <w:pPr>
              <w:pStyle w:val="P68B1DB1-Normal32"/>
              <w:spacing w:after="120" w:line="240" w:lineRule="auto"/>
              <w:rPr>
                <w:noProof/>
              </w:rPr>
            </w:pPr>
            <w:r>
              <w:rPr>
                <w:noProof/>
              </w:rPr>
              <w:t xml:space="preserve">Etapă </w:t>
            </w:r>
          </w:p>
        </w:tc>
        <w:tc>
          <w:tcPr>
            <w:tcW w:w="1649" w:type="dxa"/>
            <w:tcBorders>
              <w:top w:val="single" w:sz="4" w:space="0" w:color="auto"/>
              <w:left w:val="nil"/>
              <w:bottom w:val="single" w:sz="4" w:space="0" w:color="auto"/>
              <w:right w:val="single" w:sz="4" w:space="0" w:color="auto"/>
            </w:tcBorders>
            <w:shd w:val="clear" w:color="auto" w:fill="C6EFCE"/>
            <w:vAlign w:val="center"/>
          </w:tcPr>
          <w:p w14:paraId="1BB1C527" w14:textId="0984AA10" w:rsidR="00702291" w:rsidRDefault="00712B31">
            <w:pPr>
              <w:pStyle w:val="P68B1DB1-Normal32"/>
              <w:spacing w:after="120" w:line="240" w:lineRule="auto"/>
              <w:rPr>
                <w:noProof/>
              </w:rPr>
            </w:pPr>
            <w:r>
              <w:rPr>
                <w:noProof/>
              </w:rPr>
              <w:t>Injecția de capital în ROSCO</w:t>
            </w:r>
          </w:p>
        </w:tc>
        <w:tc>
          <w:tcPr>
            <w:tcW w:w="1186" w:type="dxa"/>
            <w:tcBorders>
              <w:top w:val="single" w:sz="4" w:space="0" w:color="auto"/>
              <w:left w:val="nil"/>
              <w:bottom w:val="single" w:sz="4" w:space="0" w:color="auto"/>
              <w:right w:val="single" w:sz="4" w:space="0" w:color="auto"/>
            </w:tcBorders>
            <w:shd w:val="clear" w:color="auto" w:fill="C6EFCE"/>
            <w:vAlign w:val="center"/>
          </w:tcPr>
          <w:p w14:paraId="0DE53380" w14:textId="27CAC2E2" w:rsidR="00702291" w:rsidRDefault="00712B31">
            <w:pPr>
              <w:pStyle w:val="P68B1DB1-Normal32"/>
              <w:spacing w:after="120" w:line="240" w:lineRule="auto"/>
              <w:rPr>
                <w:noProof/>
              </w:rPr>
            </w:pPr>
            <w:r>
              <w:rPr>
                <w:noProof/>
              </w:rPr>
              <w:t xml:space="preserve">Certificatul de transfer </w:t>
            </w:r>
          </w:p>
        </w:tc>
        <w:tc>
          <w:tcPr>
            <w:tcW w:w="993" w:type="dxa"/>
            <w:tcBorders>
              <w:top w:val="single" w:sz="4" w:space="0" w:color="auto"/>
              <w:left w:val="nil"/>
              <w:bottom w:val="single" w:sz="4" w:space="0" w:color="auto"/>
              <w:right w:val="single" w:sz="4" w:space="0" w:color="auto"/>
            </w:tcBorders>
            <w:shd w:val="clear" w:color="auto" w:fill="C6EFCE"/>
            <w:noWrap/>
            <w:vAlign w:val="center"/>
          </w:tcPr>
          <w:p w14:paraId="2CF5702C" w14:textId="77777777" w:rsidR="00702291" w:rsidRDefault="00702291">
            <w:pPr>
              <w:spacing w:after="120" w:line="240" w:lineRule="auto"/>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5EDD0413" w14:textId="77777777" w:rsidR="00702291" w:rsidRDefault="00702291">
            <w:pPr>
              <w:spacing w:after="120" w:line="240" w:lineRule="auto"/>
              <w:rPr>
                <w:rFonts w:ascii="Times New Roman" w:hAnsi="Times New Roman" w:cs="Times New Roman"/>
                <w:noProof/>
                <w:sz w:val="18"/>
                <w:szCs w:val="18"/>
              </w:rPr>
            </w:pPr>
          </w:p>
        </w:tc>
        <w:tc>
          <w:tcPr>
            <w:tcW w:w="913" w:type="dxa"/>
            <w:tcBorders>
              <w:top w:val="single" w:sz="4" w:space="0" w:color="auto"/>
              <w:left w:val="nil"/>
              <w:bottom w:val="single" w:sz="4" w:space="0" w:color="auto"/>
              <w:right w:val="single" w:sz="4" w:space="0" w:color="auto"/>
            </w:tcBorders>
            <w:shd w:val="clear" w:color="auto" w:fill="C6EFCE"/>
            <w:noWrap/>
            <w:vAlign w:val="center"/>
          </w:tcPr>
          <w:p w14:paraId="5FF240AA" w14:textId="77777777" w:rsidR="00702291" w:rsidRDefault="00702291">
            <w:pPr>
              <w:spacing w:after="120" w:line="240" w:lineRule="auto"/>
              <w:rPr>
                <w:rFonts w:ascii="Times New Roman" w:hAnsi="Times New Roman" w:cs="Times New Roman"/>
                <w:noProof/>
                <w:sz w:val="18"/>
                <w:szCs w:val="18"/>
              </w:rPr>
            </w:pPr>
          </w:p>
        </w:tc>
        <w:tc>
          <w:tcPr>
            <w:tcW w:w="930" w:type="dxa"/>
            <w:tcBorders>
              <w:top w:val="single" w:sz="4" w:space="0" w:color="auto"/>
              <w:left w:val="nil"/>
              <w:bottom w:val="single" w:sz="4" w:space="0" w:color="auto"/>
              <w:right w:val="single" w:sz="4" w:space="0" w:color="auto"/>
            </w:tcBorders>
            <w:shd w:val="clear" w:color="auto" w:fill="C6EFCE"/>
            <w:vAlign w:val="center"/>
          </w:tcPr>
          <w:p w14:paraId="6BA7ABF2" w14:textId="61BB3CE0" w:rsidR="00702291" w:rsidRDefault="00F233DB">
            <w:pPr>
              <w:pStyle w:val="P68B1DB1-Normal32"/>
              <w:spacing w:after="120" w:line="240" w:lineRule="auto"/>
              <w:rPr>
                <w:noProof/>
              </w:rPr>
            </w:pPr>
            <w:r>
              <w:rPr>
                <w:noProof/>
              </w:rPr>
              <w:t xml:space="preserve">T2 </w:t>
            </w:r>
          </w:p>
        </w:tc>
        <w:tc>
          <w:tcPr>
            <w:tcW w:w="678" w:type="dxa"/>
            <w:tcBorders>
              <w:top w:val="single" w:sz="4" w:space="0" w:color="auto"/>
              <w:left w:val="nil"/>
              <w:bottom w:val="single" w:sz="4" w:space="0" w:color="auto"/>
              <w:right w:val="single" w:sz="4" w:space="0" w:color="auto"/>
            </w:tcBorders>
            <w:shd w:val="clear" w:color="auto" w:fill="C6EFCE"/>
            <w:vAlign w:val="center"/>
          </w:tcPr>
          <w:p w14:paraId="1A7C5C3A" w14:textId="65E67886" w:rsidR="00702291" w:rsidRDefault="00712B31">
            <w:pPr>
              <w:pStyle w:val="P68B1DB1-Normal32"/>
              <w:spacing w:after="120" w:line="240" w:lineRule="auto"/>
              <w:rPr>
                <w:noProof/>
              </w:rPr>
            </w:pPr>
            <w:r>
              <w:rPr>
                <w:noProof/>
              </w:rPr>
              <w:t>2026</w:t>
            </w:r>
          </w:p>
        </w:tc>
        <w:tc>
          <w:tcPr>
            <w:tcW w:w="3760" w:type="dxa"/>
            <w:tcBorders>
              <w:top w:val="single" w:sz="4" w:space="0" w:color="auto"/>
              <w:left w:val="nil"/>
              <w:bottom w:val="single" w:sz="4" w:space="0" w:color="auto"/>
              <w:right w:val="single" w:sz="4" w:space="0" w:color="auto"/>
            </w:tcBorders>
            <w:shd w:val="clear" w:color="auto" w:fill="C6EFCE"/>
            <w:vAlign w:val="center"/>
          </w:tcPr>
          <w:p w14:paraId="609E326C" w14:textId="4F247634" w:rsidR="00702291" w:rsidRDefault="00712B31">
            <w:pPr>
              <w:pStyle w:val="P68B1DB1-Normal32"/>
              <w:spacing w:after="120" w:line="240" w:lineRule="auto"/>
              <w:rPr>
                <w:noProof/>
              </w:rPr>
            </w:pPr>
            <w:r>
              <w:rPr>
                <w:noProof/>
              </w:rPr>
              <w:t>Ungaria transferă 1 800 000 000 EUR către ROSCO pentru a-și majora capitalul propriu.</w:t>
            </w:r>
          </w:p>
        </w:tc>
      </w:tr>
      <w:tr w:rsidR="00702291" w14:paraId="0946E33B" w14:textId="77777777" w:rsidTr="00FA4EAF">
        <w:trPr>
          <w:trHeight w:val="410"/>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9CEE9" w14:textId="5327BBCA" w:rsidR="00702291" w:rsidRDefault="00712B31">
            <w:pPr>
              <w:pStyle w:val="P68B1DB1-Normal32"/>
              <w:spacing w:after="120" w:line="240" w:lineRule="auto"/>
              <w:rPr>
                <w:noProof/>
              </w:rPr>
            </w:pPr>
            <w:r>
              <w:rPr>
                <w:noProof/>
              </w:rPr>
              <w:t>33</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1F43849C" w14:textId="00847410" w:rsidR="00702291" w:rsidRDefault="00712B31">
            <w:pPr>
              <w:pStyle w:val="P68B1DB1-Normal32"/>
              <w:spacing w:after="120" w:line="240" w:lineRule="auto"/>
              <w:rPr>
                <w:noProof/>
              </w:rPr>
            </w:pPr>
            <w:r>
              <w:rPr>
                <w:noProof/>
              </w:rPr>
              <w:t>C5.R2 Reforma serviciilor feroviare în Ungaria</w:t>
            </w:r>
          </w:p>
        </w:tc>
        <w:tc>
          <w:tcPr>
            <w:tcW w:w="1232" w:type="dxa"/>
            <w:tcBorders>
              <w:top w:val="single" w:sz="4" w:space="0" w:color="auto"/>
              <w:left w:val="nil"/>
              <w:bottom w:val="single" w:sz="4" w:space="0" w:color="auto"/>
              <w:right w:val="single" w:sz="4" w:space="0" w:color="auto"/>
            </w:tcBorders>
            <w:shd w:val="clear" w:color="auto" w:fill="C6EFCE"/>
            <w:noWrap/>
            <w:vAlign w:val="center"/>
          </w:tcPr>
          <w:p w14:paraId="7C43157B" w14:textId="1DC8B8A9" w:rsidR="00702291" w:rsidRDefault="00712B31">
            <w:pPr>
              <w:pStyle w:val="P68B1DB1-Normal32"/>
              <w:spacing w:after="120" w:line="240" w:lineRule="auto"/>
              <w:rPr>
                <w:noProof/>
              </w:rPr>
            </w:pPr>
            <w:r>
              <w:rPr>
                <w:noProof/>
              </w:rPr>
              <w:t>Etapă</w:t>
            </w:r>
          </w:p>
        </w:tc>
        <w:tc>
          <w:tcPr>
            <w:tcW w:w="1649" w:type="dxa"/>
            <w:tcBorders>
              <w:top w:val="single" w:sz="4" w:space="0" w:color="auto"/>
              <w:left w:val="nil"/>
              <w:bottom w:val="single" w:sz="4" w:space="0" w:color="auto"/>
              <w:right w:val="single" w:sz="4" w:space="0" w:color="auto"/>
            </w:tcBorders>
            <w:shd w:val="clear" w:color="auto" w:fill="C6EFCE"/>
            <w:vAlign w:val="center"/>
          </w:tcPr>
          <w:p w14:paraId="349C1475" w14:textId="3860F726" w:rsidR="00702291" w:rsidRDefault="00712B31">
            <w:pPr>
              <w:pStyle w:val="P68B1DB1-Normal49"/>
              <w:spacing w:after="120" w:line="240" w:lineRule="auto"/>
              <w:rPr>
                <w:noProof/>
              </w:rPr>
            </w:pPr>
            <w:r>
              <w:rPr>
                <w:noProof/>
              </w:rPr>
              <w:t>Înființarea Autorității Naționale de Transport Public</w:t>
            </w:r>
          </w:p>
        </w:tc>
        <w:tc>
          <w:tcPr>
            <w:tcW w:w="1186" w:type="dxa"/>
            <w:tcBorders>
              <w:top w:val="single" w:sz="4" w:space="0" w:color="auto"/>
              <w:left w:val="nil"/>
              <w:bottom w:val="single" w:sz="4" w:space="0" w:color="auto"/>
              <w:right w:val="single" w:sz="4" w:space="0" w:color="auto"/>
            </w:tcBorders>
            <w:shd w:val="clear" w:color="auto" w:fill="C6EFCE"/>
            <w:vAlign w:val="center"/>
          </w:tcPr>
          <w:p w14:paraId="62C9A13F" w14:textId="77DB6C75" w:rsidR="00702291" w:rsidRDefault="00712B31">
            <w:pPr>
              <w:pStyle w:val="P68B1DB1-Normal49"/>
              <w:spacing w:after="120" w:line="240" w:lineRule="auto"/>
              <w:rPr>
                <w:noProof/>
              </w:rPr>
            </w:pPr>
            <w:r>
              <w:rPr>
                <w:noProof/>
              </w:rPr>
              <w:t>Dispoziție din actul (actele) juridic (e) care indică înființarea și punerea în funcțiune a Autorității Naționale de Transport Public</w:t>
            </w:r>
          </w:p>
        </w:tc>
        <w:tc>
          <w:tcPr>
            <w:tcW w:w="993" w:type="dxa"/>
            <w:tcBorders>
              <w:top w:val="single" w:sz="4" w:space="0" w:color="auto"/>
              <w:left w:val="nil"/>
              <w:bottom w:val="single" w:sz="4" w:space="0" w:color="auto"/>
              <w:right w:val="single" w:sz="4" w:space="0" w:color="auto"/>
            </w:tcBorders>
            <w:shd w:val="clear" w:color="auto" w:fill="C6EFCE"/>
            <w:noWrap/>
          </w:tcPr>
          <w:p w14:paraId="6C3BD86F" w14:textId="77777777" w:rsidR="00702291" w:rsidRDefault="00702291">
            <w:pPr>
              <w:spacing w:after="120" w:line="240" w:lineRule="auto"/>
              <w:jc w:val="center"/>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4EEAFF67" w14:textId="77777777" w:rsidR="00702291" w:rsidRDefault="00702291">
            <w:pPr>
              <w:spacing w:after="120" w:line="240" w:lineRule="auto"/>
              <w:jc w:val="center"/>
              <w:rPr>
                <w:rFonts w:ascii="Times New Roman" w:hAnsi="Times New Roman" w:cs="Times New Roman"/>
                <w:noProof/>
                <w:sz w:val="18"/>
                <w:szCs w:val="18"/>
              </w:rPr>
            </w:pPr>
          </w:p>
        </w:tc>
        <w:tc>
          <w:tcPr>
            <w:tcW w:w="913" w:type="dxa"/>
            <w:tcBorders>
              <w:top w:val="single" w:sz="4" w:space="0" w:color="auto"/>
              <w:left w:val="nil"/>
              <w:bottom w:val="single" w:sz="4" w:space="0" w:color="auto"/>
              <w:right w:val="single" w:sz="4" w:space="0" w:color="auto"/>
            </w:tcBorders>
            <w:shd w:val="clear" w:color="auto" w:fill="C6EFCE"/>
            <w:noWrap/>
          </w:tcPr>
          <w:p w14:paraId="2854ED9C" w14:textId="77777777" w:rsidR="00702291" w:rsidRDefault="00702291">
            <w:pPr>
              <w:spacing w:after="120" w:line="240" w:lineRule="auto"/>
              <w:jc w:val="center"/>
              <w:rPr>
                <w:rFonts w:ascii="Times New Roman" w:hAnsi="Times New Roman" w:cs="Times New Roman"/>
                <w:noProof/>
                <w:sz w:val="18"/>
                <w:szCs w:val="18"/>
              </w:rPr>
            </w:pPr>
          </w:p>
        </w:tc>
        <w:tc>
          <w:tcPr>
            <w:tcW w:w="930" w:type="dxa"/>
            <w:tcBorders>
              <w:top w:val="single" w:sz="4" w:space="0" w:color="auto"/>
              <w:left w:val="nil"/>
              <w:bottom w:val="single" w:sz="4" w:space="0" w:color="auto"/>
              <w:right w:val="single" w:sz="4" w:space="0" w:color="auto"/>
            </w:tcBorders>
            <w:shd w:val="clear" w:color="auto" w:fill="C6EFCE"/>
            <w:vAlign w:val="center"/>
          </w:tcPr>
          <w:p w14:paraId="5D2C2F52" w14:textId="1D5B058A" w:rsidR="00702291" w:rsidRDefault="00F233DB">
            <w:pPr>
              <w:pStyle w:val="P68B1DB1-Normal32"/>
              <w:spacing w:after="120" w:line="240" w:lineRule="auto"/>
              <w:rPr>
                <w:noProof/>
              </w:rPr>
            </w:pPr>
            <w:r>
              <w:rPr>
                <w:noProof/>
              </w:rPr>
              <w:t>T2</w:t>
            </w:r>
          </w:p>
        </w:tc>
        <w:tc>
          <w:tcPr>
            <w:tcW w:w="678" w:type="dxa"/>
            <w:tcBorders>
              <w:top w:val="single" w:sz="4" w:space="0" w:color="auto"/>
              <w:left w:val="nil"/>
              <w:bottom w:val="single" w:sz="4" w:space="0" w:color="auto"/>
              <w:right w:val="single" w:sz="4" w:space="0" w:color="auto"/>
            </w:tcBorders>
            <w:shd w:val="clear" w:color="auto" w:fill="C6EFCE"/>
            <w:vAlign w:val="center"/>
          </w:tcPr>
          <w:p w14:paraId="032038BB" w14:textId="70924FB9" w:rsidR="00702291" w:rsidRDefault="00712B31">
            <w:pPr>
              <w:pStyle w:val="P68B1DB1-Normal32"/>
              <w:spacing w:after="120" w:line="240" w:lineRule="auto"/>
              <w:rPr>
                <w:noProof/>
              </w:rPr>
            </w:pPr>
            <w:r>
              <w:rPr>
                <w:noProof/>
              </w:rPr>
              <w:t>2026</w:t>
            </w:r>
          </w:p>
        </w:tc>
        <w:tc>
          <w:tcPr>
            <w:tcW w:w="3760" w:type="dxa"/>
            <w:tcBorders>
              <w:top w:val="single" w:sz="4" w:space="0" w:color="auto"/>
              <w:left w:val="nil"/>
              <w:bottom w:val="single" w:sz="4" w:space="0" w:color="auto"/>
              <w:right w:val="single" w:sz="4" w:space="0" w:color="auto"/>
            </w:tcBorders>
            <w:shd w:val="clear" w:color="auto" w:fill="C6EFCE"/>
          </w:tcPr>
          <w:p w14:paraId="38096F2F" w14:textId="03A05DA2" w:rsidR="00702291" w:rsidRDefault="00712B31">
            <w:pPr>
              <w:pStyle w:val="P68B1DB1-Normal49"/>
              <w:keepNext/>
              <w:spacing w:after="120" w:line="240" w:lineRule="auto"/>
              <w:jc w:val="both"/>
              <w:rPr>
                <w:noProof/>
              </w:rPr>
            </w:pPr>
            <w:r>
              <w:rPr>
                <w:noProof/>
              </w:rPr>
              <w:t>Intrarea în vigoare a actului (actelor) juridic (e) care instituie Autoritatea Națională de Transport Public (NPTA) ca organism public permanent în subordinea Ministerului Transporturilor.</w:t>
            </w:r>
          </w:p>
          <w:p w14:paraId="5CFB2508" w14:textId="442D28CD" w:rsidR="00702291" w:rsidRDefault="00712B31">
            <w:pPr>
              <w:pStyle w:val="P68B1DB1-Normal49"/>
              <w:keepNext/>
              <w:spacing w:after="120" w:line="240" w:lineRule="auto"/>
              <w:jc w:val="both"/>
              <w:rPr>
                <w:noProof/>
              </w:rPr>
            </w:pPr>
            <w:r>
              <w:rPr>
                <w:noProof/>
              </w:rPr>
              <w:t xml:space="preserve">Legislația definește în mod explicit statutul juridic, structura de guvernanță, mandatul și competențele NPTA și delimitează în mod clar rolurile respective ale NPTA și ROSCO. În special, legislația trebuie să clarifice faptul că NPTA gestionează contractele de servicii publice cu operatorii feroviari, precum și procesul de licitație, în timp ce ROSCO gestionează achiziționarea de material rulant și închirierea acestuia. </w:t>
            </w:r>
          </w:p>
          <w:p w14:paraId="29C87E45" w14:textId="77777777" w:rsidR="00702291" w:rsidRDefault="00712B31">
            <w:pPr>
              <w:pStyle w:val="P68B1DB1-Normal49"/>
              <w:keepNext/>
              <w:spacing w:after="120" w:line="240" w:lineRule="auto"/>
              <w:jc w:val="both"/>
              <w:rPr>
                <w:noProof/>
              </w:rPr>
            </w:pPr>
            <w:r>
              <w:rPr>
                <w:noProof/>
              </w:rPr>
              <w:t>În plus, legislația specifică obligațiile privind schimbul de informații între cele două organisme.</w:t>
            </w:r>
          </w:p>
          <w:p w14:paraId="0BA0F928" w14:textId="77777777" w:rsidR="00702291" w:rsidRDefault="00712B31">
            <w:pPr>
              <w:pStyle w:val="P68B1DB1-Normal49"/>
              <w:keepNext/>
              <w:spacing w:after="120" w:line="240" w:lineRule="auto"/>
              <w:jc w:val="both"/>
              <w:rPr>
                <w:noProof/>
              </w:rPr>
            </w:pPr>
            <w:r>
              <w:rPr>
                <w:noProof/>
              </w:rPr>
              <w:t>În plus, legislația:</w:t>
            </w:r>
          </w:p>
          <w:p w14:paraId="39833013" w14:textId="3A34D024" w:rsidR="00702291" w:rsidRDefault="00712B31">
            <w:pPr>
              <w:pStyle w:val="P68B1DB1-Normal49"/>
              <w:keepNext/>
              <w:spacing w:after="120" w:line="240" w:lineRule="auto"/>
              <w:jc w:val="both"/>
              <w:rPr>
                <w:noProof/>
              </w:rPr>
            </w:pPr>
            <w:r>
              <w:rPr>
                <w:b/>
                <w:noProof/>
              </w:rPr>
              <w:t>În ceea ce privește licitația:</w:t>
            </w:r>
            <w:r>
              <w:rPr>
                <w:noProof/>
              </w:rPr>
              <w:t xml:space="preserve"> împuternicirea NPTA să impună obligații de serviciu public (OSP) și pachete de contracte de servicii publice cu licitație competitivă, în conformitate cu Regulamentul (CE) nr. 1370/2007. Legislația mandatează NPTA să împartă rețeaua în cadrul OSP în loturi contestabile și să adopte un program multianual de licitație pentru aceste loturi, specificând loturile care fac obiectul unei licitații competitive cu prioritate.</w:t>
            </w:r>
          </w:p>
          <w:p w14:paraId="062D0C8B" w14:textId="160B22F9" w:rsidR="00702291" w:rsidRDefault="00712B31">
            <w:pPr>
              <w:pStyle w:val="P68B1DB1-Normal49"/>
              <w:spacing w:after="120" w:line="240" w:lineRule="auto"/>
              <w:rPr>
                <w:noProof/>
                <w:highlight w:val="yellow"/>
              </w:rPr>
            </w:pPr>
            <w:r>
              <w:rPr>
                <w:b/>
                <w:noProof/>
              </w:rPr>
              <w:t>În ceea ce privește planificarea și informarea pasagerilor:</w:t>
            </w:r>
            <w:r>
              <w:rPr>
                <w:noProof/>
              </w:rPr>
              <w:t xml:space="preserve"> desemnează NPTA ca autoritate competentă pentru planificarea transportului public și informarea pasagerilor și specifică funcțiile care trebuie unificate sub autoritatea sa (inclusiv standardele de interoperabilitate pentru emiterea biletelor și sistemele de informare în timp real a pasagerilor).</w:t>
            </w:r>
          </w:p>
        </w:tc>
      </w:tr>
      <w:tr w:rsidR="00702291" w14:paraId="1A4B9BBE" w14:textId="77777777" w:rsidTr="00FA4EAF">
        <w:trPr>
          <w:trHeight w:val="410"/>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254E3" w14:textId="1721C913" w:rsidR="00702291" w:rsidRDefault="00712B31">
            <w:pPr>
              <w:pStyle w:val="P68B1DB1-Normal32"/>
              <w:spacing w:after="120" w:line="240" w:lineRule="auto"/>
              <w:rPr>
                <w:noProof/>
              </w:rPr>
            </w:pPr>
            <w:r>
              <w:rPr>
                <w:noProof/>
              </w:rPr>
              <w:t>34</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5DCF78B5" w14:textId="2D300D3F" w:rsidR="00702291" w:rsidRDefault="00712B31">
            <w:pPr>
              <w:pStyle w:val="P68B1DB1-Normal32"/>
              <w:spacing w:after="120" w:line="240" w:lineRule="auto"/>
              <w:rPr>
                <w:noProof/>
              </w:rPr>
            </w:pPr>
            <w:r>
              <w:rPr>
                <w:noProof/>
              </w:rPr>
              <w:t>C5.R2 Reforma serviciilor feroviare în Ungaria</w:t>
            </w:r>
          </w:p>
        </w:tc>
        <w:tc>
          <w:tcPr>
            <w:tcW w:w="1232" w:type="dxa"/>
            <w:tcBorders>
              <w:top w:val="single" w:sz="4" w:space="0" w:color="auto"/>
              <w:left w:val="nil"/>
              <w:bottom w:val="single" w:sz="4" w:space="0" w:color="auto"/>
              <w:right w:val="single" w:sz="4" w:space="0" w:color="auto"/>
            </w:tcBorders>
            <w:shd w:val="clear" w:color="auto" w:fill="C6EFCE"/>
            <w:noWrap/>
            <w:vAlign w:val="center"/>
          </w:tcPr>
          <w:p w14:paraId="7B569556" w14:textId="0C6480B9" w:rsidR="00702291" w:rsidRDefault="00712B31">
            <w:pPr>
              <w:pStyle w:val="P68B1DB1-Normal32"/>
              <w:spacing w:after="120" w:line="240" w:lineRule="auto"/>
              <w:rPr>
                <w:noProof/>
              </w:rPr>
            </w:pPr>
            <w:r>
              <w:rPr>
                <w:noProof/>
              </w:rPr>
              <w:t>Etapă</w:t>
            </w:r>
          </w:p>
        </w:tc>
        <w:tc>
          <w:tcPr>
            <w:tcW w:w="1649" w:type="dxa"/>
            <w:tcBorders>
              <w:top w:val="single" w:sz="4" w:space="0" w:color="auto"/>
              <w:left w:val="nil"/>
              <w:bottom w:val="single" w:sz="4" w:space="0" w:color="auto"/>
              <w:right w:val="single" w:sz="4" w:space="0" w:color="auto"/>
            </w:tcBorders>
            <w:shd w:val="clear" w:color="auto" w:fill="C6EFCE"/>
            <w:vAlign w:val="center"/>
          </w:tcPr>
          <w:p w14:paraId="43ABFF6D" w14:textId="062BA922" w:rsidR="00702291" w:rsidRDefault="00712B31">
            <w:pPr>
              <w:pStyle w:val="P68B1DB1-Normal49"/>
              <w:spacing w:after="120" w:line="240" w:lineRule="auto"/>
              <w:rPr>
                <w:noProof/>
              </w:rPr>
            </w:pPr>
            <w:r>
              <w:rPr>
                <w:noProof/>
              </w:rPr>
              <w:t>Înființarea ROSCO</w:t>
            </w:r>
          </w:p>
        </w:tc>
        <w:tc>
          <w:tcPr>
            <w:tcW w:w="1186" w:type="dxa"/>
            <w:tcBorders>
              <w:top w:val="single" w:sz="4" w:space="0" w:color="auto"/>
              <w:left w:val="nil"/>
              <w:bottom w:val="single" w:sz="4" w:space="0" w:color="auto"/>
              <w:right w:val="single" w:sz="4" w:space="0" w:color="auto"/>
            </w:tcBorders>
            <w:shd w:val="clear" w:color="auto" w:fill="C6EFCE"/>
            <w:vAlign w:val="center"/>
          </w:tcPr>
          <w:p w14:paraId="2CE3C76B" w14:textId="77777777" w:rsidR="00702291" w:rsidRDefault="00702291">
            <w:pPr>
              <w:spacing w:after="120" w:line="240" w:lineRule="auto"/>
              <w:rPr>
                <w:rFonts w:ascii="Times New Roman" w:eastAsia="Calibri" w:hAnsi="Times New Roman" w:cs="Times New Roman"/>
                <w:noProof/>
                <w:sz w:val="18"/>
                <w:szCs w:val="18"/>
              </w:rPr>
            </w:pPr>
          </w:p>
          <w:p w14:paraId="4D0BD505" w14:textId="77777777" w:rsidR="00702291" w:rsidRDefault="00702291">
            <w:pPr>
              <w:spacing w:after="120" w:line="240" w:lineRule="auto"/>
              <w:rPr>
                <w:rFonts w:ascii="Times New Roman" w:eastAsia="Calibri" w:hAnsi="Times New Roman" w:cs="Times New Roman"/>
                <w:noProof/>
                <w:sz w:val="18"/>
                <w:szCs w:val="18"/>
              </w:rPr>
            </w:pPr>
          </w:p>
          <w:p w14:paraId="11BADF77" w14:textId="77777777" w:rsidR="00702291" w:rsidRDefault="00702291">
            <w:pPr>
              <w:spacing w:after="120" w:line="240" w:lineRule="auto"/>
              <w:rPr>
                <w:rFonts w:ascii="Times New Roman" w:eastAsia="Calibri" w:hAnsi="Times New Roman" w:cs="Times New Roman"/>
                <w:noProof/>
                <w:sz w:val="18"/>
                <w:szCs w:val="18"/>
              </w:rPr>
            </w:pPr>
          </w:p>
          <w:p w14:paraId="496ABC8C" w14:textId="77777777" w:rsidR="00702291" w:rsidRDefault="00702291">
            <w:pPr>
              <w:spacing w:after="120" w:line="240" w:lineRule="auto"/>
              <w:rPr>
                <w:rFonts w:ascii="Times New Roman" w:eastAsia="Calibri" w:hAnsi="Times New Roman" w:cs="Times New Roman"/>
                <w:noProof/>
                <w:sz w:val="18"/>
                <w:szCs w:val="18"/>
              </w:rPr>
            </w:pPr>
          </w:p>
          <w:p w14:paraId="30529269" w14:textId="77777777" w:rsidR="00702291" w:rsidRDefault="00702291">
            <w:pPr>
              <w:spacing w:after="120" w:line="240" w:lineRule="auto"/>
              <w:rPr>
                <w:rFonts w:ascii="Times New Roman" w:eastAsia="Calibri" w:hAnsi="Times New Roman" w:cs="Times New Roman"/>
                <w:noProof/>
                <w:sz w:val="18"/>
                <w:szCs w:val="18"/>
              </w:rPr>
            </w:pPr>
          </w:p>
          <w:p w14:paraId="03B9819B" w14:textId="77777777" w:rsidR="00702291" w:rsidRDefault="00702291">
            <w:pPr>
              <w:spacing w:after="120" w:line="240" w:lineRule="auto"/>
              <w:rPr>
                <w:rFonts w:ascii="Times New Roman" w:eastAsia="Calibri" w:hAnsi="Times New Roman" w:cs="Times New Roman"/>
                <w:noProof/>
                <w:sz w:val="18"/>
                <w:szCs w:val="18"/>
              </w:rPr>
            </w:pPr>
          </w:p>
          <w:p w14:paraId="78033E1D" w14:textId="77777777" w:rsidR="00702291" w:rsidRDefault="00712B31">
            <w:pPr>
              <w:pStyle w:val="P68B1DB1-Normal49"/>
              <w:spacing w:after="120" w:line="240" w:lineRule="auto"/>
              <w:rPr>
                <w:noProof/>
              </w:rPr>
            </w:pPr>
            <w:r>
              <w:rPr>
                <w:noProof/>
              </w:rPr>
              <w:t>Dispoziție din actul juridic care indică înființarea și punerea în funcțiune a ROSCO</w:t>
            </w:r>
          </w:p>
          <w:p w14:paraId="7F1FF003" w14:textId="77777777" w:rsidR="00702291" w:rsidRDefault="00702291">
            <w:pPr>
              <w:spacing w:after="120" w:line="240" w:lineRule="auto"/>
              <w:rPr>
                <w:rFonts w:ascii="Times New Roman" w:eastAsia="Calibri" w:hAnsi="Times New Roman" w:cs="Times New Roman"/>
                <w:noProof/>
                <w:sz w:val="18"/>
                <w:szCs w:val="18"/>
              </w:rPr>
            </w:pPr>
          </w:p>
          <w:p w14:paraId="5F2E4A00" w14:textId="77777777" w:rsidR="00702291" w:rsidRDefault="00702291">
            <w:pPr>
              <w:spacing w:after="120" w:line="240" w:lineRule="auto"/>
              <w:rPr>
                <w:rFonts w:ascii="Times New Roman" w:eastAsia="Calibri" w:hAnsi="Times New Roman" w:cs="Times New Roman"/>
                <w:noProof/>
                <w:sz w:val="18"/>
                <w:szCs w:val="18"/>
              </w:rPr>
            </w:pPr>
          </w:p>
          <w:p w14:paraId="74CB9B7E" w14:textId="77777777" w:rsidR="00702291" w:rsidRDefault="00702291">
            <w:pPr>
              <w:spacing w:after="120" w:line="240" w:lineRule="auto"/>
              <w:rPr>
                <w:rFonts w:ascii="Times New Roman" w:eastAsia="Calibri" w:hAnsi="Times New Roman" w:cs="Times New Roman"/>
                <w:noProof/>
                <w:sz w:val="18"/>
                <w:szCs w:val="18"/>
              </w:rPr>
            </w:pPr>
          </w:p>
          <w:p w14:paraId="57204A8A" w14:textId="77777777" w:rsidR="00702291" w:rsidRDefault="00702291">
            <w:pPr>
              <w:spacing w:after="120" w:line="240" w:lineRule="auto"/>
              <w:rPr>
                <w:rFonts w:ascii="Times New Roman" w:eastAsia="Calibri" w:hAnsi="Times New Roman" w:cs="Times New Roman"/>
                <w:noProof/>
                <w:sz w:val="18"/>
                <w:szCs w:val="18"/>
              </w:rPr>
            </w:pPr>
          </w:p>
          <w:p w14:paraId="689F4203" w14:textId="77777777" w:rsidR="00702291" w:rsidRDefault="00702291">
            <w:pPr>
              <w:spacing w:after="120" w:line="240" w:lineRule="auto"/>
              <w:rPr>
                <w:rFonts w:ascii="Times New Roman" w:eastAsia="Calibri" w:hAnsi="Times New Roman" w:cs="Times New Roman"/>
                <w:noProof/>
                <w:sz w:val="18"/>
                <w:szCs w:val="18"/>
              </w:rPr>
            </w:pPr>
          </w:p>
          <w:p w14:paraId="5FFABFA8" w14:textId="77777777" w:rsidR="00702291" w:rsidRDefault="00702291">
            <w:pPr>
              <w:spacing w:after="120" w:line="240" w:lineRule="auto"/>
              <w:rPr>
                <w:rFonts w:ascii="Times New Roman" w:eastAsia="Calibri" w:hAnsi="Times New Roman" w:cs="Times New Roman"/>
                <w:noProof/>
                <w:sz w:val="18"/>
                <w:szCs w:val="18"/>
              </w:rPr>
            </w:pPr>
          </w:p>
          <w:p w14:paraId="1A6BEEAD" w14:textId="77777777" w:rsidR="00702291" w:rsidRDefault="00702291">
            <w:pPr>
              <w:spacing w:after="120" w:line="240" w:lineRule="auto"/>
              <w:rPr>
                <w:rFonts w:ascii="Times New Roman" w:eastAsia="Calibri" w:hAnsi="Times New Roman" w:cs="Times New Roman"/>
                <w:noProof/>
                <w:sz w:val="18"/>
                <w:szCs w:val="18"/>
              </w:rPr>
            </w:pPr>
          </w:p>
          <w:p w14:paraId="347792C3" w14:textId="77777777" w:rsidR="00702291" w:rsidRDefault="00702291">
            <w:pPr>
              <w:spacing w:after="120" w:line="240" w:lineRule="auto"/>
              <w:rPr>
                <w:rFonts w:ascii="Times New Roman" w:eastAsia="Calibri" w:hAnsi="Times New Roman" w:cs="Times New Roman"/>
                <w:noProof/>
                <w:sz w:val="18"/>
                <w:szCs w:val="18"/>
              </w:rPr>
            </w:pPr>
          </w:p>
          <w:p w14:paraId="3872C3C0" w14:textId="68C4EA89" w:rsidR="00702291" w:rsidRDefault="00702291">
            <w:pPr>
              <w:spacing w:after="120" w:line="240" w:lineRule="auto"/>
              <w:rPr>
                <w:rFonts w:ascii="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vAlign w:val="center"/>
          </w:tcPr>
          <w:p w14:paraId="25CC7DB6" w14:textId="77777777" w:rsidR="00702291" w:rsidRDefault="00702291">
            <w:pPr>
              <w:spacing w:after="120" w:line="240" w:lineRule="auto"/>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30FF643E" w14:textId="77777777" w:rsidR="00702291" w:rsidRDefault="00702291">
            <w:pPr>
              <w:spacing w:after="120" w:line="240" w:lineRule="auto"/>
              <w:rPr>
                <w:rFonts w:ascii="Times New Roman" w:hAnsi="Times New Roman" w:cs="Times New Roman"/>
                <w:noProof/>
                <w:sz w:val="18"/>
                <w:szCs w:val="18"/>
              </w:rPr>
            </w:pPr>
          </w:p>
        </w:tc>
        <w:tc>
          <w:tcPr>
            <w:tcW w:w="913" w:type="dxa"/>
            <w:tcBorders>
              <w:top w:val="single" w:sz="4" w:space="0" w:color="auto"/>
              <w:left w:val="nil"/>
              <w:bottom w:val="single" w:sz="4" w:space="0" w:color="auto"/>
              <w:right w:val="single" w:sz="4" w:space="0" w:color="auto"/>
            </w:tcBorders>
            <w:shd w:val="clear" w:color="auto" w:fill="C6EFCE"/>
            <w:noWrap/>
            <w:vAlign w:val="center"/>
          </w:tcPr>
          <w:p w14:paraId="50B5700B" w14:textId="77777777" w:rsidR="00702291" w:rsidRDefault="00702291">
            <w:pPr>
              <w:spacing w:after="120" w:line="240" w:lineRule="auto"/>
              <w:rPr>
                <w:rFonts w:ascii="Times New Roman" w:hAnsi="Times New Roman" w:cs="Times New Roman"/>
                <w:noProof/>
                <w:sz w:val="18"/>
                <w:szCs w:val="18"/>
              </w:rPr>
            </w:pPr>
          </w:p>
        </w:tc>
        <w:tc>
          <w:tcPr>
            <w:tcW w:w="930" w:type="dxa"/>
            <w:tcBorders>
              <w:top w:val="single" w:sz="4" w:space="0" w:color="auto"/>
              <w:left w:val="nil"/>
              <w:bottom w:val="single" w:sz="4" w:space="0" w:color="auto"/>
              <w:right w:val="single" w:sz="4" w:space="0" w:color="auto"/>
            </w:tcBorders>
            <w:shd w:val="clear" w:color="auto" w:fill="C6EFCE"/>
            <w:vAlign w:val="center"/>
          </w:tcPr>
          <w:p w14:paraId="5B9847D0" w14:textId="65BB31DE" w:rsidR="00702291" w:rsidRDefault="00F233DB">
            <w:pPr>
              <w:pStyle w:val="P68B1DB1-Normal32"/>
              <w:spacing w:after="120" w:line="240" w:lineRule="auto"/>
              <w:rPr>
                <w:noProof/>
              </w:rPr>
            </w:pPr>
            <w:r>
              <w:rPr>
                <w:noProof/>
              </w:rPr>
              <w:t>T2</w:t>
            </w:r>
          </w:p>
        </w:tc>
        <w:tc>
          <w:tcPr>
            <w:tcW w:w="678" w:type="dxa"/>
            <w:tcBorders>
              <w:top w:val="single" w:sz="4" w:space="0" w:color="auto"/>
              <w:left w:val="nil"/>
              <w:bottom w:val="single" w:sz="4" w:space="0" w:color="auto"/>
              <w:right w:val="single" w:sz="4" w:space="0" w:color="auto"/>
            </w:tcBorders>
            <w:shd w:val="clear" w:color="auto" w:fill="C6EFCE"/>
            <w:vAlign w:val="center"/>
          </w:tcPr>
          <w:p w14:paraId="7C07CD07" w14:textId="24D72009" w:rsidR="00702291" w:rsidRDefault="00712B31">
            <w:pPr>
              <w:pStyle w:val="P68B1DB1-Normal32"/>
              <w:spacing w:after="120" w:line="240" w:lineRule="auto"/>
              <w:rPr>
                <w:noProof/>
              </w:rPr>
            </w:pPr>
            <w:r>
              <w:rPr>
                <w:noProof/>
              </w:rPr>
              <w:t>2026</w:t>
            </w:r>
          </w:p>
        </w:tc>
        <w:tc>
          <w:tcPr>
            <w:tcW w:w="3760" w:type="dxa"/>
            <w:tcBorders>
              <w:top w:val="single" w:sz="4" w:space="0" w:color="auto"/>
              <w:left w:val="nil"/>
              <w:bottom w:val="single" w:sz="4" w:space="0" w:color="auto"/>
              <w:right w:val="single" w:sz="4" w:space="0" w:color="auto"/>
            </w:tcBorders>
            <w:shd w:val="clear" w:color="auto" w:fill="C6EFCE"/>
          </w:tcPr>
          <w:p w14:paraId="6BF4B67C" w14:textId="54043EEA" w:rsidR="00702291" w:rsidRDefault="00712B31">
            <w:pPr>
              <w:pStyle w:val="P68B1DB1-Normal49"/>
              <w:keepNext/>
              <w:spacing w:after="120" w:line="240" w:lineRule="auto"/>
              <w:jc w:val="both"/>
              <w:rPr>
                <w:noProof/>
              </w:rPr>
            </w:pPr>
            <w:r>
              <w:rPr>
                <w:noProof/>
              </w:rPr>
              <w:t xml:space="preserve">1) intrarea în vigoare a actului (actelor) juridic (e) care instituie o nouă entitate permanentă deținută integral de stat (Rolling Stock Company – ROSCO) sub forma unei societăți pe acțiuni. </w:t>
            </w:r>
          </w:p>
          <w:p w14:paraId="26099C40" w14:textId="77777777" w:rsidR="00702291" w:rsidRDefault="00712B31">
            <w:pPr>
              <w:pStyle w:val="P68B1DB1-Normal49"/>
              <w:keepNext/>
              <w:spacing w:after="120" w:line="240" w:lineRule="auto"/>
              <w:jc w:val="both"/>
              <w:rPr>
                <w:noProof/>
              </w:rPr>
            </w:pPr>
            <w:r>
              <w:rPr>
                <w:noProof/>
              </w:rPr>
              <w:t>Legislația:</w:t>
            </w:r>
          </w:p>
          <w:p w14:paraId="59BBF7A0" w14:textId="703ECF69" w:rsidR="00702291" w:rsidRDefault="00712B31">
            <w:pPr>
              <w:pStyle w:val="P68B1DB1-ListParagraph51"/>
              <w:keepNext/>
              <w:numPr>
                <w:ilvl w:val="0"/>
                <w:numId w:val="138"/>
              </w:numPr>
              <w:spacing w:after="0" w:line="240" w:lineRule="auto"/>
              <w:ind w:left="153" w:hanging="153"/>
              <w:contextualSpacing w:val="0"/>
              <w:rPr>
                <w:noProof/>
              </w:rPr>
            </w:pPr>
            <w:r>
              <w:rPr>
                <w:noProof/>
              </w:rPr>
              <w:t>să stabilească misiunea, mandatul și competențele unei astfel de societăți pentru a spori concurența în cadrul licitațiilor și contestabilitatea contractelor de servicii. În special, legislația trebuie să asigure disponibilitatea materialului rulant pentru noii operatori OSP în condiții echitabile, egale și nediscriminatorii, cu cerințe standardizate de întreținere operațională.</w:t>
            </w:r>
          </w:p>
          <w:p w14:paraId="1B178DB1" w14:textId="77777777" w:rsidR="00702291" w:rsidRDefault="00712B31">
            <w:pPr>
              <w:pStyle w:val="P68B1DB1-ListParagraph51"/>
              <w:keepNext/>
              <w:numPr>
                <w:ilvl w:val="0"/>
                <w:numId w:val="138"/>
              </w:numPr>
              <w:spacing w:after="120" w:line="240" w:lineRule="auto"/>
              <w:ind w:left="155" w:hanging="155"/>
              <w:contextualSpacing w:val="0"/>
              <w:jc w:val="both"/>
              <w:rPr>
                <w:noProof/>
              </w:rPr>
            </w:pPr>
            <w:r>
              <w:rPr>
                <w:noProof/>
              </w:rPr>
              <w:t>Se precizează că materialul rulant care urmează să fie achiziționat de ROSCO va fi proprietatea ROSCO.</w:t>
            </w:r>
          </w:p>
          <w:p w14:paraId="71A38D99" w14:textId="77777777" w:rsidR="00702291" w:rsidRDefault="00712B31">
            <w:pPr>
              <w:pStyle w:val="P68B1DB1-ListParagraph51"/>
              <w:keepNext/>
              <w:numPr>
                <w:ilvl w:val="0"/>
                <w:numId w:val="138"/>
              </w:numPr>
              <w:tabs>
                <w:tab w:val="left" w:pos="202"/>
              </w:tabs>
              <w:spacing w:after="120" w:line="240" w:lineRule="auto"/>
              <w:ind w:left="155" w:hanging="155"/>
              <w:contextualSpacing w:val="0"/>
              <w:jc w:val="both"/>
              <w:rPr>
                <w:noProof/>
              </w:rPr>
            </w:pPr>
            <w:r>
              <w:rPr>
                <w:noProof/>
              </w:rPr>
              <w:t>Să stabilească principiile generale ale guvernanței corporative și ale structurii organizaționale.</w:t>
            </w:r>
          </w:p>
          <w:p w14:paraId="2A7C1FAB" w14:textId="77777777" w:rsidR="00702291" w:rsidRDefault="00712B31">
            <w:pPr>
              <w:pStyle w:val="P68B1DB1-ListParagraph51"/>
              <w:keepNext/>
              <w:numPr>
                <w:ilvl w:val="0"/>
                <w:numId w:val="138"/>
              </w:numPr>
              <w:spacing w:after="120" w:line="240" w:lineRule="auto"/>
              <w:ind w:left="207" w:hanging="207"/>
              <w:contextualSpacing w:val="0"/>
              <w:jc w:val="both"/>
              <w:rPr>
                <w:noProof/>
              </w:rPr>
            </w:pPr>
            <w:r>
              <w:rPr>
                <w:noProof/>
              </w:rPr>
              <w:t>Stabilește că membrii consiliului de administrație și ai organelor statutare ale societății:</w:t>
            </w:r>
          </w:p>
          <w:p w14:paraId="76D7AAF9" w14:textId="77777777" w:rsidR="00702291" w:rsidRDefault="00712B31">
            <w:pPr>
              <w:pStyle w:val="P68B1DB1-ListParagraph51"/>
              <w:keepNext/>
              <w:numPr>
                <w:ilvl w:val="0"/>
                <w:numId w:val="139"/>
              </w:numPr>
              <w:spacing w:after="120" w:line="240" w:lineRule="auto"/>
              <w:contextualSpacing w:val="0"/>
              <w:jc w:val="both"/>
              <w:rPr>
                <w:noProof/>
              </w:rPr>
            </w:pPr>
            <w:r>
              <w:rPr>
                <w:noProof/>
              </w:rPr>
              <w:t>este selectat din rândul persoanelor care îndeplinesc cerințele de integritate, profesionalism și independență;</w:t>
            </w:r>
          </w:p>
          <w:p w14:paraId="4AC71A14" w14:textId="77777777" w:rsidR="00702291" w:rsidRDefault="00712B31">
            <w:pPr>
              <w:pStyle w:val="P68B1DB1-ListParagraph51"/>
              <w:keepNext/>
              <w:numPr>
                <w:ilvl w:val="0"/>
                <w:numId w:val="139"/>
              </w:numPr>
              <w:spacing w:after="120" w:line="240" w:lineRule="auto"/>
              <w:contextualSpacing w:val="0"/>
              <w:jc w:val="both"/>
              <w:rPr>
                <w:noProof/>
              </w:rPr>
            </w:pPr>
            <w:r>
              <w:rPr>
                <w:noProof/>
              </w:rPr>
              <w:t>să aibă autoritatea, competențele și obiectivitatea necesare pentru a-și îndeplini funcțiile de orientare strategică, de supraveghere a gestionării riscurilor și de monitorizare a gestionării;</w:t>
            </w:r>
          </w:p>
          <w:p w14:paraId="5340426A" w14:textId="77777777" w:rsidR="00702291" w:rsidRDefault="00712B31">
            <w:pPr>
              <w:pStyle w:val="P68B1DB1-ListParagraph51"/>
              <w:keepNext/>
              <w:numPr>
                <w:ilvl w:val="0"/>
                <w:numId w:val="139"/>
              </w:numPr>
              <w:spacing w:after="120" w:line="240" w:lineRule="auto"/>
              <w:contextualSpacing w:val="0"/>
              <w:jc w:val="both"/>
              <w:rPr>
                <w:noProof/>
              </w:rPr>
            </w:pPr>
            <w:r>
              <w:rPr>
                <w:noProof/>
              </w:rPr>
              <w:t>să acționeze cu integritate și să o promoveze;</w:t>
            </w:r>
          </w:p>
          <w:p w14:paraId="6340AB7B" w14:textId="77777777" w:rsidR="00702291" w:rsidRDefault="00712B31">
            <w:pPr>
              <w:pStyle w:val="P68B1DB1-ListParagraph51"/>
              <w:keepNext/>
              <w:numPr>
                <w:ilvl w:val="0"/>
                <w:numId w:val="139"/>
              </w:numPr>
              <w:spacing w:after="120" w:line="240" w:lineRule="auto"/>
              <w:contextualSpacing w:val="0"/>
              <w:jc w:val="both"/>
              <w:rPr>
                <w:noProof/>
              </w:rPr>
            </w:pPr>
            <w:r>
              <w:rPr>
                <w:noProof/>
              </w:rPr>
              <w:t>să fie trași la răspundere pentru acțiunile lor;</w:t>
            </w:r>
          </w:p>
          <w:p w14:paraId="42FF78C2" w14:textId="77777777" w:rsidR="00702291" w:rsidRDefault="00712B31">
            <w:pPr>
              <w:pStyle w:val="P68B1DB1-ListParagraph51"/>
              <w:keepNext/>
              <w:numPr>
                <w:ilvl w:val="0"/>
                <w:numId w:val="138"/>
              </w:numPr>
              <w:spacing w:after="120" w:line="240" w:lineRule="auto"/>
              <w:ind w:left="228" w:hanging="228"/>
              <w:contextualSpacing w:val="0"/>
              <w:jc w:val="both"/>
              <w:rPr>
                <w:noProof/>
              </w:rPr>
            </w:pPr>
            <w:r>
              <w:rPr>
                <w:noProof/>
              </w:rPr>
              <w:t>să stabilească norme privind prevenirea conflictelor de interese.</w:t>
            </w:r>
          </w:p>
          <w:p w14:paraId="07177C19" w14:textId="5221C406" w:rsidR="00702291" w:rsidRDefault="00712B31">
            <w:pPr>
              <w:pStyle w:val="P68B1DB1-Normal49"/>
              <w:keepNext/>
              <w:spacing w:after="120" w:line="240" w:lineRule="auto"/>
              <w:jc w:val="both"/>
              <w:rPr>
                <w:noProof/>
              </w:rPr>
            </w:pPr>
            <w:r>
              <w:rPr>
                <w:noProof/>
              </w:rPr>
              <w:t>2) înregistrarea ROSCO și înscrierea în registrul comerțului.</w:t>
            </w:r>
          </w:p>
          <w:p w14:paraId="5DC8739B" w14:textId="480AFBD6" w:rsidR="00702291" w:rsidRDefault="00712B31">
            <w:pPr>
              <w:pStyle w:val="P68B1DB1-Normal49"/>
              <w:keepNext/>
              <w:spacing w:after="120" w:line="240" w:lineRule="auto"/>
              <w:jc w:val="both"/>
              <w:rPr>
                <w:noProof/>
              </w:rPr>
            </w:pPr>
            <w:r>
              <w:rPr>
                <w:noProof/>
              </w:rPr>
              <w:t xml:space="preserve">3) publicarea și aprobarea de către Ministerul Transporturilor a Cartei corporative (Statutului) a RoSCo, care precizează: </w:t>
            </w:r>
          </w:p>
          <w:p w14:paraId="6E07E5EF" w14:textId="77777777" w:rsidR="00702291" w:rsidRDefault="00712B31">
            <w:pPr>
              <w:pStyle w:val="P68B1DB1-ListParagraph51"/>
              <w:keepNext/>
              <w:numPr>
                <w:ilvl w:val="0"/>
                <w:numId w:val="140"/>
              </w:numPr>
              <w:spacing w:after="120" w:line="240" w:lineRule="auto"/>
              <w:contextualSpacing w:val="0"/>
              <w:jc w:val="both"/>
              <w:rPr>
                <w:noProof/>
              </w:rPr>
            </w:pPr>
            <w:r>
              <w:rPr>
                <w:noProof/>
              </w:rPr>
              <w:t>domeniul exact de activitate al societății, inclusiv faptul că aceasta va funcționa exclusiv ca entitate în numele guvernului central pentru contractele de servicii publice pe piața transportului feroviar;</w:t>
            </w:r>
          </w:p>
          <w:p w14:paraId="400CFFDB" w14:textId="77777777" w:rsidR="00702291" w:rsidRDefault="00712B31">
            <w:pPr>
              <w:pStyle w:val="P68B1DB1-ListParagraph51"/>
              <w:keepNext/>
              <w:numPr>
                <w:ilvl w:val="0"/>
                <w:numId w:val="140"/>
              </w:numPr>
              <w:spacing w:after="120" w:line="240" w:lineRule="auto"/>
              <w:contextualSpacing w:val="0"/>
              <w:jc w:val="both"/>
              <w:rPr>
                <w:noProof/>
              </w:rPr>
            </w:pPr>
            <w:r>
              <w:rPr>
                <w:noProof/>
              </w:rPr>
              <w:t>guvernanța corporativă exactă și structura organizațională.</w:t>
            </w:r>
          </w:p>
          <w:p w14:paraId="4DC03C1D" w14:textId="77777777" w:rsidR="00702291" w:rsidRDefault="00712B31">
            <w:pPr>
              <w:pStyle w:val="P68B1DB1-ListParagraph51"/>
              <w:keepNext/>
              <w:numPr>
                <w:ilvl w:val="0"/>
                <w:numId w:val="140"/>
              </w:numPr>
              <w:spacing w:after="120" w:line="240" w:lineRule="auto"/>
              <w:contextualSpacing w:val="0"/>
              <w:jc w:val="both"/>
              <w:rPr>
                <w:rFonts w:eastAsiaTheme="minorHAnsi"/>
                <w:noProof/>
              </w:rPr>
            </w:pPr>
            <w:r>
              <w:rPr>
                <w:noProof/>
              </w:rPr>
              <w:t xml:space="preserve">materialul rulant eligibil care urmează să fie achiziționat de societate trebuie să aibă emisii zero prin intermediul domeniului de intervenție 72a din anexa VI la Regulamentul privind MRR și să fie compatibil cu standardele ERTMS. </w:t>
            </w:r>
          </w:p>
          <w:p w14:paraId="62CF1048" w14:textId="79C78C2D" w:rsidR="00702291" w:rsidRDefault="00712B31">
            <w:pPr>
              <w:pStyle w:val="P68B1DB1-Normal49"/>
              <w:keepNext/>
              <w:spacing w:after="120" w:line="240" w:lineRule="auto"/>
              <w:jc w:val="both"/>
              <w:rPr>
                <w:noProof/>
              </w:rPr>
            </w:pPr>
            <w:r>
              <w:rPr>
                <w:noProof/>
              </w:rPr>
              <w:t xml:space="preserve">4) aprobarea de către Ministerul Transporturilor, în acord cu Ministerul Economiei și Finanțelor, a unui plan de afaceri pentru perioada 2026-2032, care să detalieze: </w:t>
            </w:r>
          </w:p>
          <w:p w14:paraId="3CB07BA3" w14:textId="77777777" w:rsidR="00702291" w:rsidRDefault="00712B31">
            <w:pPr>
              <w:pStyle w:val="P68B1DB1-ListParagraph51"/>
              <w:keepNext/>
              <w:numPr>
                <w:ilvl w:val="0"/>
                <w:numId w:val="141"/>
              </w:numPr>
              <w:spacing w:after="120" w:line="240" w:lineRule="auto"/>
              <w:contextualSpacing w:val="0"/>
              <w:jc w:val="both"/>
              <w:rPr>
                <w:noProof/>
              </w:rPr>
            </w:pPr>
            <w:r>
              <w:rPr>
                <w:noProof/>
              </w:rPr>
              <w:t xml:space="preserve">liniile de dezvoltare strategică și operațională a societății, ținând seama de misiunea și obiectivele sale statutare; </w:t>
            </w:r>
          </w:p>
          <w:p w14:paraId="4229D85D" w14:textId="06DC9858" w:rsidR="00702291" w:rsidRDefault="00712B31">
            <w:pPr>
              <w:pStyle w:val="P68B1DB1-ListParagraph51"/>
              <w:keepNext/>
              <w:numPr>
                <w:ilvl w:val="0"/>
                <w:numId w:val="141"/>
              </w:numPr>
              <w:spacing w:after="120" w:line="240" w:lineRule="auto"/>
              <w:contextualSpacing w:val="0"/>
              <w:jc w:val="both"/>
              <w:rPr>
                <w:noProof/>
              </w:rPr>
            </w:pPr>
            <w:r>
              <w:rPr>
                <w:noProof/>
              </w:rPr>
              <w:t xml:space="preserve">caracteristicile activităților care urmează să fie desfășurate; </w:t>
            </w:r>
          </w:p>
          <w:p w14:paraId="525176E9" w14:textId="385213F0" w:rsidR="00702291" w:rsidRDefault="00712B31">
            <w:pPr>
              <w:pStyle w:val="P68B1DB1-ListParagraph51"/>
              <w:keepNext/>
              <w:numPr>
                <w:ilvl w:val="0"/>
                <w:numId w:val="141"/>
              </w:numPr>
              <w:spacing w:after="120" w:line="240" w:lineRule="auto"/>
              <w:contextualSpacing w:val="0"/>
              <w:jc w:val="both"/>
              <w:rPr>
                <w:noProof/>
              </w:rPr>
            </w:pPr>
            <w:r>
              <w:rPr>
                <w:noProof/>
              </w:rPr>
              <w:t>cel puțin în ceea ce privește fiecare dintre primele trei exerciții financiare, profilurile de adecvare a capitalului, procedurile de licitație și investițiile planificate și acoperirea financiară aferentă.</w:t>
            </w:r>
          </w:p>
        </w:tc>
      </w:tr>
    </w:tbl>
    <w:p w14:paraId="4122EF34" w14:textId="77777777" w:rsidR="00702291" w:rsidRDefault="00702291">
      <w:pPr>
        <w:spacing w:after="120" w:line="240" w:lineRule="auto"/>
        <w:rPr>
          <w:rFonts w:ascii="Times New Roman" w:hAnsi="Times New Roman" w:cs="Times New Roman"/>
          <w:noProof/>
          <w:sz w:val="24"/>
          <w:szCs w:val="24"/>
        </w:rPr>
        <w:sectPr w:rsidR="00702291" w:rsidSect="007F14C9">
          <w:headerReference w:type="default" r:id="rId80"/>
          <w:footerReference w:type="default" r:id="rId81"/>
          <w:pgSz w:w="16839" w:h="11907" w:orient="landscape"/>
          <w:pgMar w:top="1134" w:right="1134" w:bottom="1134" w:left="1134" w:header="567" w:footer="567" w:gutter="0"/>
          <w:cols w:space="708"/>
          <w:docGrid w:linePitch="360"/>
        </w:sectPr>
      </w:pPr>
    </w:p>
    <w:p w14:paraId="743F6525" w14:textId="41B884A3" w:rsidR="00702291" w:rsidRDefault="00712B31">
      <w:pPr>
        <w:pStyle w:val="P68B1DB1-Normal44"/>
        <w:keepNext/>
        <w:spacing w:after="120" w:line="240" w:lineRule="auto"/>
        <w:jc w:val="both"/>
        <w:outlineLvl w:val="1"/>
        <w:rPr>
          <w:noProof/>
        </w:rPr>
      </w:pPr>
      <w:r>
        <w:rPr>
          <w:noProof/>
        </w:rPr>
        <w:t xml:space="preserve">F. COMPONENTA 6: Energie – tranziția verde </w:t>
      </w:r>
    </w:p>
    <w:p w14:paraId="50EF5F52" w14:textId="77777777" w:rsidR="00702291" w:rsidRDefault="00712B31">
      <w:pPr>
        <w:pStyle w:val="P68B1DB1-Normal6"/>
        <w:spacing w:after="120" w:line="240" w:lineRule="auto"/>
        <w:jc w:val="both"/>
        <w:rPr>
          <w:rFonts w:eastAsiaTheme="minorHAnsi"/>
          <w:noProof/>
        </w:rPr>
      </w:pPr>
      <w:r>
        <w:rPr>
          <w:noProof/>
        </w:rPr>
        <w:t xml:space="preserve">Această componentă a planului de redresare și reziliență al Ungariei abordează mai multe provocări din sectorul energetic. Obiectivul componentei este de a contribui la atingerea obiectivelor Ungariei în materie de climă și energie pentru 2030, având în vedere, de asemenea, necesitatea de a crește nivelul de ambiție al statelor membre în contextul obiectivului UE pentru 2030 de reducere a emisiilor de gaze cu efect de seră cu cel puțin 55 % față de nivelurile din 1990. Strategia națională privind energia pentru 2030 și planul național privind energia și clima vizează consolidarea suveranității energetice și a securității energetice prin reducerea dependenței de importuri, asigurarea aprovizionării cu energie la prețuri accesibile pentru populație și decarbonizarea producției de energie, inclusiv creșterea ponderii producției de energie din surse regenerabile. </w:t>
      </w:r>
    </w:p>
    <w:p w14:paraId="0A28BD1C" w14:textId="13840CFB" w:rsidR="00702291" w:rsidRDefault="00712B31">
      <w:pPr>
        <w:pStyle w:val="P68B1DB1-Normal36"/>
        <w:spacing w:after="120" w:line="240" w:lineRule="auto"/>
        <w:jc w:val="both"/>
        <w:rPr>
          <w:noProof/>
          <w:color w:val="000000" w:themeColor="text1"/>
        </w:rPr>
      </w:pPr>
      <w:r>
        <w:rPr>
          <w:noProof/>
          <w:color w:val="000000" w:themeColor="text1"/>
        </w:rPr>
        <w:t>În acest context, componenta vizează crearea de capacități suplimentare bazate pe surse regenerabile de energie și</w:t>
      </w:r>
      <w:r>
        <w:rPr>
          <w:noProof/>
        </w:rPr>
        <w:t>, în cele din urmă, reducerea emisiilor de gaze cu efect de seră</w:t>
      </w:r>
      <w:r>
        <w:rPr>
          <w:noProof/>
          <w:color w:val="000000" w:themeColor="text1"/>
        </w:rPr>
        <w:t xml:space="preserve">. Modificările aduse cadrului juridic stabilesc un mediu de reglementare favorabil pentru atingerea acestui obiectiv. În vederea integrării capacităților de producție a energiei din surse regenerabile de energie în rețeaua de energie electrică într-un mod sigur și flexibil, componenta sprijină investițiile legate de dezvoltarea rețelei și investițiile în instalații de stocare a energiei electrice. </w:t>
      </w:r>
      <w:r>
        <w:rPr>
          <w:noProof/>
        </w:rPr>
        <w:t>Se preconizează că investițiile în contoare inteligente vor contribui la optimizarea cererii de energie electrică pe termen lung.</w:t>
      </w:r>
      <w:r>
        <w:rPr>
          <w:noProof/>
          <w:color w:val="000000" w:themeColor="text1"/>
        </w:rPr>
        <w:t xml:space="preserve"> Componenta conduce, de asemenea, la crearea unei capacități suplimentare de producție de energie din surse regenerabile prin sprijinirea generării de energie eoliană onshore și a instalării de sisteme rezidențiale de panouri solare. În plus, pentru a aborda provocările legate de poluarea aerului și de eficiența energetică, acesta oferă, de asemenea, sprijin gospodăriilor pentru instalarea de sisteme electrice de încălzire și pentru înlocuirea ferestrelor, pe lângă sistemele de panouri solare și unitățile de stocare. </w:t>
      </w:r>
    </w:p>
    <w:p w14:paraId="57EB995C" w14:textId="3AA260DD" w:rsidR="00702291" w:rsidRDefault="00712B31">
      <w:pPr>
        <w:pStyle w:val="P68B1DB1-Normal52"/>
        <w:spacing w:after="120" w:line="240" w:lineRule="auto"/>
        <w:jc w:val="both"/>
        <w:rPr>
          <w:rFonts w:eastAsiaTheme="minorHAnsi"/>
          <w:noProof/>
          <w:color w:val="000000" w:themeColor="text1"/>
        </w:rPr>
      </w:pPr>
      <w:r>
        <w:rPr>
          <w:noProof/>
        </w:rPr>
        <w:t xml:space="preserve">Se preconizează că măsurile din cadrul acestei componente vor contribui la tranziția verde și la realizarea obiectivului neutralității climatice până în 2050. </w:t>
      </w:r>
    </w:p>
    <w:p w14:paraId="0467557D" w14:textId="77777777" w:rsidR="00702291" w:rsidRDefault="00712B31">
      <w:pPr>
        <w:pStyle w:val="P68B1DB1-Normal52"/>
        <w:spacing w:after="120" w:line="240" w:lineRule="auto"/>
        <w:jc w:val="both"/>
        <w:rPr>
          <w:rFonts w:eastAsiaTheme="minorHAnsi"/>
          <w:noProof/>
          <w:color w:val="000000" w:themeColor="text1"/>
        </w:rPr>
      </w:pPr>
      <w:r>
        <w:rPr>
          <w:noProof/>
        </w:rPr>
        <w:t xml:space="preserve">Dezvoltarea rețelelor inteligente pe baza unor soluții tehnice inovatoare reprezintă un pas important către digitalizare. Exploatarea datelor prin soluții digitale asigură o mai bună previziune a echilibrului dintre cerere și ofertă și o mai bună reglementare a producției de energie. </w:t>
      </w:r>
    </w:p>
    <w:p w14:paraId="0B474194" w14:textId="77777777" w:rsidR="00702291" w:rsidRDefault="00712B31">
      <w:pPr>
        <w:pStyle w:val="P68B1DB1-Normal6"/>
        <w:spacing w:after="120" w:line="240" w:lineRule="auto"/>
        <w:jc w:val="both"/>
        <w:rPr>
          <w:rFonts w:eastAsiaTheme="minorHAnsi"/>
          <w:noProof/>
        </w:rPr>
      </w:pPr>
      <w:r>
        <w:rPr>
          <w:noProof/>
        </w:rPr>
        <w:t xml:space="preserve">Componenta contribuie la autonomia strategică și la securitatea Ungariei ca parte a obiectivelor europene. Extinderea capacităților de producție a energiei din surse regenerabile conduce la creșterea suveranității energetice prin creșterea ponderii surselor interne de energie. Dezvoltarea rețelei contribuie, de asemenea, la îmbunătățirea securității rețelei de energie electrică. </w:t>
      </w:r>
    </w:p>
    <w:p w14:paraId="47AB81D6" w14:textId="77777777" w:rsidR="00702291" w:rsidRDefault="00712B31">
      <w:pPr>
        <w:pStyle w:val="P68B1DB1-Normal6"/>
        <w:spacing w:after="120" w:line="240" w:lineRule="auto"/>
        <w:jc w:val="both"/>
        <w:rPr>
          <w:rFonts w:eastAsiaTheme="minorHAnsi"/>
          <w:noProof/>
        </w:rPr>
      </w:pPr>
      <w:r>
        <w:rPr>
          <w:noProof/>
        </w:rPr>
        <w:t>Se preconizează, de asemenea, că investițiile vor contribui la crearea de locuri de muncă la nivel local, inclusiv pentru sectorul IMM-urilor.</w:t>
      </w:r>
    </w:p>
    <w:p w14:paraId="19A0DBFE" w14:textId="66915DC5" w:rsidR="00702291" w:rsidRDefault="00712B31">
      <w:pPr>
        <w:pStyle w:val="P68B1DB1-Normal36"/>
        <w:spacing w:after="120" w:line="240" w:lineRule="auto"/>
        <w:jc w:val="both"/>
        <w:rPr>
          <w:noProof/>
        </w:rPr>
      </w:pPr>
      <w:r>
        <w:rPr>
          <w:noProof/>
          <w:color w:val="000000" w:themeColor="text1"/>
        </w:rPr>
        <w:t xml:space="preserve">Componenta contribuie la abordarea recomandărilor specifice fiecărei țări în ceea ce privește necesitatea de a pune accentul pe tranziția verde și pe cea digitală, în special pe producția și utilizarea curată și eficientă a energiei </w:t>
      </w:r>
      <w:r>
        <w:rPr>
          <w:noProof/>
        </w:rPr>
        <w:t xml:space="preserve">(Recomandarea specifică fiecărei țări nr. 3 din 2020) </w:t>
      </w:r>
      <w:r>
        <w:rPr>
          <w:noProof/>
          <w:color w:val="000000" w:themeColor="text1"/>
        </w:rPr>
        <w:t xml:space="preserve">și de a plasa energia cu emisii scăzute de dioxid de carbon și eficiența energetică și a resurselor în centrul politicii economice orientate către investiții </w:t>
      </w:r>
      <w:r>
        <w:rPr>
          <w:noProof/>
        </w:rPr>
        <w:t xml:space="preserve">(Recomandarea specifică fiecărei țări nr. 3 din 2019). Aceasta contribuie, de asemenea, la abordarea recomandării specifice fiecărei țări nr. 6 din 2022 privind necesitatea de a reduce dependența generală de combustibilii fosili prin accelerarea utilizării surselor regenerabile de energie, prin simplificarea procedurilor de autorizare și modernizarea infrastructurii de energie electrică, precum și la abordarea recomandării specifice fiecărei țări nr. 4 din 2025 privind necesitatea de a îmbunătăți flexibilitatea și concurența în sectorul energiei electrice, prin consolidarea pieței de echilibrare și prin stimularea comerțului transfrontalier cu energie electrică. </w:t>
      </w:r>
    </w:p>
    <w:p w14:paraId="307110F8" w14:textId="77777777" w:rsidR="00702291" w:rsidRDefault="00712B31">
      <w:pPr>
        <w:pStyle w:val="P68B1DB1-Normal6"/>
        <w:spacing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84F816C" w14:textId="415F819E" w:rsidR="00702291" w:rsidRDefault="00702291">
      <w:pPr>
        <w:pStyle w:val="P68B1DB1-Normal34"/>
        <w:rPr>
          <w:noProof/>
        </w:rPr>
      </w:pPr>
    </w:p>
    <w:p w14:paraId="4A902C8B" w14:textId="7D24E0D3" w:rsidR="00702291" w:rsidRDefault="00712B31">
      <w:pPr>
        <w:pStyle w:val="P68B1DB1-Normal53"/>
        <w:spacing w:after="120" w:line="240" w:lineRule="auto"/>
        <w:jc w:val="both"/>
        <w:rPr>
          <w:noProof/>
        </w:rPr>
      </w:pPr>
      <w:r>
        <w:rPr>
          <w:noProof/>
        </w:rPr>
        <w:t xml:space="preserve">F.1. </w:t>
      </w:r>
      <w:r>
        <w:rPr>
          <w:noProof/>
        </w:rPr>
        <w:tab/>
        <w:t>Descrierea reformelor și a investițiilor pentru sprijinul financiar nerambursabil</w:t>
      </w:r>
    </w:p>
    <w:p w14:paraId="1809B308" w14:textId="77777777" w:rsidR="00702291" w:rsidRDefault="00712B31">
      <w:pPr>
        <w:pStyle w:val="P68B1DB1-Heading411"/>
        <w:spacing w:before="0" w:after="120" w:line="240" w:lineRule="auto"/>
        <w:rPr>
          <w:rFonts w:eastAsiaTheme="minorHAnsi"/>
          <w:noProof/>
        </w:rPr>
      </w:pPr>
      <w:r>
        <w:rPr>
          <w:noProof/>
        </w:rPr>
        <w:t xml:space="preserve">C6.R1: Transformarea reglementărilor privind energia electrică </w:t>
      </w:r>
    </w:p>
    <w:p w14:paraId="4725E7EA" w14:textId="57CD1BBE"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cs="Times New Roman"/>
          <w:noProof/>
          <w:szCs w:val="24"/>
        </w:rPr>
        <w:t xml:space="preserve">Obiectivul acestei </w:t>
      </w:r>
      <w:r>
        <w:rPr>
          <w:rFonts w:ascii="Times New Roman" w:hAnsi="Times New Roman"/>
          <w:noProof/>
        </w:rPr>
        <w:t xml:space="preserve">măsuri este de a îmbunătăți cadrul juridic al pieței maghiare a energiei electrice prin </w:t>
      </w:r>
      <w:r>
        <w:rPr>
          <w:rFonts w:ascii="Times New Roman" w:hAnsi="Times New Roman" w:cs="Times New Roman"/>
          <w:noProof/>
          <w:szCs w:val="24"/>
        </w:rPr>
        <w:t>modificarea legislației aplicabile.</w:t>
      </w:r>
      <w:r>
        <w:rPr>
          <w:rFonts w:ascii="Times New Roman" w:hAnsi="Times New Roman"/>
          <w:noProof/>
        </w:rPr>
        <w:t xml:space="preserve"> </w:t>
      </w:r>
    </w:p>
    <w:p w14:paraId="143EC3B8" w14:textId="77777777"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Măsura </w:t>
      </w:r>
      <w:r>
        <w:rPr>
          <w:rFonts w:ascii="Times New Roman" w:hAnsi="Times New Roman" w:cs="Times New Roman"/>
          <w:noProof/>
          <w:szCs w:val="24"/>
        </w:rPr>
        <w:t>constă</w:t>
      </w:r>
      <w:r>
        <w:rPr>
          <w:rFonts w:ascii="Times New Roman" w:hAnsi="Times New Roman"/>
          <w:noProof/>
        </w:rPr>
        <w:t xml:space="preserve"> în introducerea contabilizării separate a energiei electrice introduse în rețea și a energiei electrice consumate din rețea. </w:t>
      </w:r>
    </w:p>
    <w:p w14:paraId="46E716CD" w14:textId="4D88DF77" w:rsidR="00702291" w:rsidRDefault="00712B31">
      <w:pPr>
        <w:pStyle w:val="P68B1DB1-Heading411"/>
        <w:spacing w:before="0" w:after="120" w:line="240" w:lineRule="auto"/>
        <w:rPr>
          <w:rFonts w:eastAsiaTheme="minorHAnsi"/>
          <w:noProof/>
        </w:rPr>
      </w:pPr>
      <w:r>
        <w:rPr>
          <w:noProof/>
        </w:rPr>
        <w:t>C6.R2: Încurajarea dezvoltării energiei eoliene onshore</w:t>
      </w:r>
    </w:p>
    <w:p w14:paraId="2A628FB7" w14:textId="77777777" w:rsidR="00702291" w:rsidRDefault="00712B31">
      <w:pPr>
        <w:pStyle w:val="P68B1DB1-Normal12"/>
        <w:spacing w:after="120" w:line="240" w:lineRule="auto"/>
        <w:jc w:val="both"/>
        <w:rPr>
          <w:rFonts w:ascii="Times New Roman" w:hAnsi="Times New Roman"/>
          <w:noProof/>
        </w:rPr>
      </w:pPr>
      <w:r>
        <w:rPr>
          <w:rFonts w:ascii="Times New Roman" w:hAnsi="Times New Roman"/>
          <w:noProof/>
        </w:rPr>
        <w:t xml:space="preserve">Obiectivul măsurii este de a </w:t>
      </w:r>
      <w:r>
        <w:rPr>
          <w:rFonts w:ascii="Times New Roman" w:hAnsi="Times New Roman" w:cs="Times New Roman"/>
          <w:noProof/>
          <w:szCs w:val="24"/>
        </w:rPr>
        <w:t>încuraja</w:t>
      </w:r>
      <w:r>
        <w:rPr>
          <w:rFonts w:ascii="Times New Roman" w:hAnsi="Times New Roman"/>
          <w:noProof/>
        </w:rPr>
        <w:t xml:space="preserve"> </w:t>
      </w:r>
      <w:r>
        <w:rPr>
          <w:rFonts w:ascii="Times New Roman" w:hAnsi="Times New Roman" w:cs="Times New Roman"/>
          <w:noProof/>
          <w:szCs w:val="24"/>
        </w:rPr>
        <w:t>instalarea</w:t>
      </w:r>
      <w:r>
        <w:rPr>
          <w:rFonts w:ascii="Times New Roman" w:hAnsi="Times New Roman"/>
          <w:noProof/>
        </w:rPr>
        <w:t xml:space="preserve"> unei capacități suplimentare de producere a energiei eoliene onshore în Ungaria.</w:t>
      </w:r>
    </w:p>
    <w:p w14:paraId="22301FC5" w14:textId="77777777" w:rsidR="00702291" w:rsidRDefault="00712B31">
      <w:pPr>
        <w:pStyle w:val="P68B1DB1-Normal54"/>
        <w:spacing w:after="120" w:line="240" w:lineRule="auto"/>
        <w:jc w:val="both"/>
        <w:rPr>
          <w:noProof/>
        </w:rPr>
      </w:pPr>
      <w:r>
        <w:rPr>
          <w:noProof/>
        </w:rPr>
        <w:t>Măsura constă în simplificarea normelor privind instalarea capacității de producere a energiei eoliene onshore.</w:t>
      </w:r>
    </w:p>
    <w:p w14:paraId="2B3F9C90" w14:textId="77777777" w:rsidR="00702291" w:rsidRDefault="00712B31">
      <w:pPr>
        <w:pStyle w:val="P68B1DB1-Heading411"/>
        <w:spacing w:before="0" w:after="120" w:line="240" w:lineRule="auto"/>
        <w:rPr>
          <w:rFonts w:eastAsiaTheme="minorHAnsi"/>
          <w:noProof/>
        </w:rPr>
      </w:pPr>
      <w:r>
        <w:rPr>
          <w:noProof/>
        </w:rPr>
        <w:t xml:space="preserve">C6.R3: Accelerarea conectării proiectelor privind energia din surse regenerabile la rețea </w:t>
      </w:r>
    </w:p>
    <w:p w14:paraId="42660B8A" w14:textId="77777777" w:rsidR="00702291" w:rsidRDefault="00712B31">
      <w:pPr>
        <w:pStyle w:val="P68B1DB1-Normal34"/>
        <w:spacing w:after="120" w:line="240" w:lineRule="auto"/>
        <w:jc w:val="both"/>
        <w:rPr>
          <w:noProof/>
        </w:rPr>
      </w:pPr>
      <w:r>
        <w:rPr>
          <w:noProof/>
        </w:rPr>
        <w:t>Obiectivul acestei măsuri este de a accelera conectarea la rețea a proiectelor privind energia din surse regenerabile.</w:t>
      </w:r>
    </w:p>
    <w:p w14:paraId="5FD5950F" w14:textId="77777777" w:rsidR="00702291" w:rsidRDefault="00712B31">
      <w:pPr>
        <w:pStyle w:val="P68B1DB1-Normal12"/>
        <w:spacing w:after="120" w:line="240" w:lineRule="auto"/>
        <w:jc w:val="both"/>
        <w:rPr>
          <w:rFonts w:ascii="Times New Roman" w:hAnsi="Times New Roman" w:cs="Times New Roman"/>
          <w:noProof/>
          <w:szCs w:val="24"/>
        </w:rPr>
      </w:pPr>
      <w:r>
        <w:rPr>
          <w:rFonts w:ascii="Times New Roman" w:hAnsi="Times New Roman" w:cs="Times New Roman"/>
          <w:noProof/>
          <w:szCs w:val="24"/>
        </w:rPr>
        <w:t>Măsura constă într-o simplificare a procedurilor de racordare la rețea</w:t>
      </w:r>
      <w:r>
        <w:rPr>
          <w:rFonts w:ascii="Times New Roman" w:hAnsi="Times New Roman"/>
          <w:noProof/>
        </w:rPr>
        <w:t xml:space="preserve"> pentru </w:t>
      </w:r>
      <w:r>
        <w:rPr>
          <w:rFonts w:ascii="Times New Roman" w:hAnsi="Times New Roman" w:cs="Times New Roman"/>
          <w:noProof/>
          <w:szCs w:val="24"/>
        </w:rPr>
        <w:t>instalațiile de energie din surse regenerabile.</w:t>
      </w:r>
    </w:p>
    <w:p w14:paraId="1FC437D1" w14:textId="77777777" w:rsidR="00702291" w:rsidRDefault="00712B31">
      <w:pPr>
        <w:pStyle w:val="P68B1DB1-Heading411"/>
        <w:spacing w:before="0" w:after="120" w:line="240" w:lineRule="auto"/>
        <w:rPr>
          <w:noProof/>
        </w:rPr>
      </w:pPr>
      <w:r>
        <w:rPr>
          <w:noProof/>
        </w:rPr>
        <w:t>C6.R4: Stabilirea unor standarde minime de eficiență energetică</w:t>
      </w:r>
    </w:p>
    <w:p w14:paraId="459E1ED3" w14:textId="77777777" w:rsidR="00702291" w:rsidRDefault="00712B31">
      <w:pPr>
        <w:pStyle w:val="P68B1DB1-Normal6"/>
        <w:spacing w:after="120" w:line="240" w:lineRule="auto"/>
        <w:jc w:val="both"/>
        <w:rPr>
          <w:rFonts w:eastAsiaTheme="minorHAnsi"/>
          <w:noProof/>
        </w:rPr>
      </w:pPr>
      <w:r>
        <w:rPr>
          <w:noProof/>
        </w:rPr>
        <w:t xml:space="preserve">Obiectivul măsurii este de a îmbunătăți eficiența energetică a clădirilor din Ungaria. </w:t>
      </w:r>
    </w:p>
    <w:p w14:paraId="6173EBE5" w14:textId="2CE97238" w:rsidR="00702291" w:rsidRDefault="00712B31">
      <w:pPr>
        <w:pStyle w:val="P68B1DB1-Normal36"/>
        <w:spacing w:after="120" w:line="240" w:lineRule="auto"/>
        <w:jc w:val="both"/>
        <w:rPr>
          <w:noProof/>
        </w:rPr>
      </w:pPr>
      <w:r>
        <w:rPr>
          <w:noProof/>
        </w:rPr>
        <w:t>Măsura constă în introducerea unor standarde minime de eficiență energetică pentru schemele de sprijin pentru renovarea clădirilor (co) finanțate din fonduri UE.</w:t>
      </w:r>
    </w:p>
    <w:p w14:paraId="58B3D85A" w14:textId="16F1C33B" w:rsidR="00702291" w:rsidRDefault="00712B31">
      <w:pPr>
        <w:pStyle w:val="P68B1DB1-Heading411"/>
        <w:spacing w:before="0" w:after="120" w:line="240" w:lineRule="auto"/>
        <w:rPr>
          <w:noProof/>
        </w:rPr>
      </w:pPr>
      <w:r>
        <w:rPr>
          <w:noProof/>
        </w:rPr>
        <w:t xml:space="preserve">C6.I1: Dezvoltarea rețelelor clasice și inteligente pentru operatorii de sisteme de transport și operatorii de sisteme de distribuție </w:t>
      </w:r>
    </w:p>
    <w:p w14:paraId="067FE7F0" w14:textId="77777777" w:rsidR="00702291" w:rsidRDefault="00712B31">
      <w:pPr>
        <w:pStyle w:val="P68B1DB1-Normal36"/>
        <w:spacing w:after="120" w:line="240" w:lineRule="auto"/>
        <w:jc w:val="both"/>
        <w:rPr>
          <w:noProof/>
        </w:rPr>
      </w:pPr>
      <w:r>
        <w:rPr>
          <w:noProof/>
        </w:rPr>
        <w:t xml:space="preserve">Obiectivul măsurii este de a răspunde creșterii preconizate a cererii de integrare a capacității suplimentare în rețea. </w:t>
      </w:r>
    </w:p>
    <w:p w14:paraId="73F1A399" w14:textId="77777777" w:rsidR="00702291" w:rsidRDefault="00712B31">
      <w:pPr>
        <w:pStyle w:val="P68B1DB1-Normal6"/>
        <w:spacing w:after="120" w:line="240" w:lineRule="auto"/>
        <w:jc w:val="both"/>
        <w:rPr>
          <w:rFonts w:cs="Times New Roman"/>
          <w:b/>
          <w:noProof/>
          <w:szCs w:val="24"/>
        </w:rPr>
      </w:pPr>
      <w:r>
        <w:rPr>
          <w:noProof/>
        </w:rPr>
        <w:t>Măsura constă în construirea și modernizarea rețelelor de transport și distribuție.</w:t>
      </w:r>
    </w:p>
    <w:p w14:paraId="181E1461" w14:textId="77777777" w:rsidR="00702291" w:rsidRDefault="00712B31">
      <w:pPr>
        <w:pStyle w:val="P68B1DB1-Heading411"/>
        <w:spacing w:before="0" w:after="120" w:line="240" w:lineRule="auto"/>
        <w:rPr>
          <w:rFonts w:eastAsiaTheme="minorHAnsi"/>
          <w:noProof/>
        </w:rPr>
      </w:pPr>
      <w:r>
        <w:rPr>
          <w:noProof/>
        </w:rPr>
        <w:t>C6.I2: Sprijin pentru utilizarea panourilor solare rezidențiale și modernizarea sistemului de încălzire</w:t>
      </w:r>
    </w:p>
    <w:p w14:paraId="55008103" w14:textId="77777777"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măsurii este extinderea capacităților rezidențiale de producție de energie din surse regenerabile, creșterea eficienței energetice, </w:t>
      </w:r>
      <w:r>
        <w:rPr>
          <w:rFonts w:ascii="Times New Roman" w:hAnsi="Times New Roman" w:cs="Times New Roman"/>
          <w:noProof/>
          <w:szCs w:val="24"/>
        </w:rPr>
        <w:t xml:space="preserve">precum și reducerea poluării aerului care rezultă din soluțiile de încălzire învechite. </w:t>
      </w:r>
    </w:p>
    <w:p w14:paraId="0F623DA3" w14:textId="386C75B4"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Măsura </w:t>
      </w:r>
      <w:r>
        <w:rPr>
          <w:rFonts w:ascii="Times New Roman" w:hAnsi="Times New Roman" w:cs="Times New Roman"/>
          <w:noProof/>
          <w:szCs w:val="24"/>
        </w:rPr>
        <w:t>constă în: (I) instalarea</w:t>
      </w:r>
      <w:r>
        <w:rPr>
          <w:rFonts w:ascii="Times New Roman" w:hAnsi="Times New Roman"/>
          <w:noProof/>
        </w:rPr>
        <w:t xml:space="preserve"> de sisteme de panouri solare </w:t>
      </w:r>
      <w:r>
        <w:rPr>
          <w:rFonts w:ascii="Times New Roman" w:hAnsi="Times New Roman" w:cs="Times New Roman"/>
          <w:noProof/>
          <w:szCs w:val="24"/>
        </w:rPr>
        <w:t>rezidențiale; și (ii) instalarea</w:t>
      </w:r>
      <w:r>
        <w:rPr>
          <w:rFonts w:ascii="Times New Roman" w:hAnsi="Times New Roman"/>
          <w:noProof/>
        </w:rPr>
        <w:t xml:space="preserve"> de sisteme </w:t>
      </w:r>
      <w:r>
        <w:rPr>
          <w:rFonts w:ascii="Times New Roman" w:hAnsi="Times New Roman" w:cs="Times New Roman"/>
          <w:noProof/>
          <w:szCs w:val="24"/>
        </w:rPr>
        <w:t xml:space="preserve">rezidențiale </w:t>
      </w:r>
      <w:r>
        <w:rPr>
          <w:rFonts w:ascii="Times New Roman" w:hAnsi="Times New Roman"/>
          <w:noProof/>
        </w:rPr>
        <w:t xml:space="preserve">de panouri solare combinată cu </w:t>
      </w:r>
      <w:r>
        <w:rPr>
          <w:rFonts w:ascii="Times New Roman" w:hAnsi="Times New Roman" w:cs="Times New Roman"/>
          <w:noProof/>
          <w:szCs w:val="24"/>
        </w:rPr>
        <w:t>una sau mai multe dintre</w:t>
      </w:r>
      <w:r w:rsidR="00FA4EAF">
        <w:rPr>
          <w:rFonts w:ascii="Times New Roman" w:hAnsi="Times New Roman" w:cs="Times New Roman"/>
          <w:noProof/>
          <w:szCs w:val="24"/>
        </w:rPr>
        <w:t xml:space="preserve"> </w:t>
      </w:r>
      <w:r>
        <w:rPr>
          <w:rFonts w:ascii="Times New Roman" w:hAnsi="Times New Roman" w:cs="Times New Roman"/>
          <w:noProof/>
          <w:szCs w:val="24"/>
        </w:rPr>
        <w:t xml:space="preserve">următoarele măsuri: </w:t>
      </w:r>
      <w:r>
        <w:rPr>
          <w:rFonts w:ascii="Times New Roman" w:hAnsi="Times New Roman"/>
          <w:noProof/>
        </w:rPr>
        <w:t>înlocuirea ferestrelor</w:t>
      </w:r>
      <w:r>
        <w:rPr>
          <w:rFonts w:ascii="Times New Roman" w:hAnsi="Times New Roman" w:cs="Times New Roman"/>
          <w:noProof/>
          <w:szCs w:val="24"/>
        </w:rPr>
        <w:t xml:space="preserve"> și/sau a ușilor, instalarea</w:t>
      </w:r>
      <w:r>
        <w:rPr>
          <w:rFonts w:ascii="Times New Roman" w:hAnsi="Times New Roman"/>
          <w:noProof/>
        </w:rPr>
        <w:t xml:space="preserve"> capacității de stocare și instalarea încălzirii electrice</w:t>
      </w:r>
      <w:r>
        <w:rPr>
          <w:rFonts w:ascii="Times New Roman" w:hAnsi="Times New Roman" w:cs="Times New Roman"/>
          <w:noProof/>
          <w:szCs w:val="24"/>
        </w:rPr>
        <w:t>.</w:t>
      </w:r>
    </w:p>
    <w:p w14:paraId="46E35F1F" w14:textId="72AE3591" w:rsidR="00702291" w:rsidRDefault="00712B31">
      <w:pPr>
        <w:pStyle w:val="P68B1DB1-Heading411"/>
        <w:spacing w:before="0" w:after="120" w:line="240" w:lineRule="auto"/>
        <w:rPr>
          <w:noProof/>
        </w:rPr>
      </w:pPr>
      <w:r>
        <w:rPr>
          <w:noProof/>
        </w:rPr>
        <w:t xml:space="preserve">C6.I3: Instalarea de instalații de stocare a energiei în rețea pentru participanții la piață </w:t>
      </w:r>
    </w:p>
    <w:p w14:paraId="1BC4F7FD" w14:textId="0BC7345A" w:rsidR="00702291" w:rsidRDefault="00712B31">
      <w:pPr>
        <w:pStyle w:val="P68B1DB1-P68B1DB1-Norml555"/>
        <w:spacing w:after="120" w:line="240" w:lineRule="auto"/>
        <w:jc w:val="both"/>
        <w:rPr>
          <w:rFonts w:ascii="Times New Roman" w:hAnsi="Times New Roman"/>
          <w:noProof/>
        </w:rPr>
      </w:pPr>
      <w:r>
        <w:rPr>
          <w:rFonts w:ascii="Times New Roman" w:hAnsi="Times New Roman"/>
          <w:noProof/>
        </w:rPr>
        <w:t xml:space="preserve">Obiectivul acestei măsuri este de a oferi </w:t>
      </w:r>
      <w:r>
        <w:rPr>
          <w:rFonts w:ascii="Times New Roman" w:hAnsi="Times New Roman" w:cs="Times New Roman"/>
          <w:noProof/>
          <w:szCs w:val="24"/>
        </w:rPr>
        <w:t>actorilor de pe</w:t>
      </w:r>
      <w:r w:rsidR="00FA4EAF">
        <w:rPr>
          <w:rFonts w:ascii="Times New Roman" w:hAnsi="Times New Roman" w:cs="Times New Roman"/>
          <w:noProof/>
          <w:szCs w:val="24"/>
        </w:rPr>
        <w:t xml:space="preserve"> </w:t>
      </w:r>
      <w:r>
        <w:rPr>
          <w:rFonts w:ascii="Times New Roman" w:hAnsi="Times New Roman" w:cs="Times New Roman"/>
          <w:noProof/>
          <w:szCs w:val="24"/>
        </w:rPr>
        <w:t>piețele de echilibrare</w:t>
      </w:r>
      <w:r>
        <w:rPr>
          <w:rFonts w:ascii="Times New Roman" w:hAnsi="Times New Roman"/>
          <w:noProof/>
        </w:rPr>
        <w:t xml:space="preserve"> acces la </w:t>
      </w:r>
      <w:r>
        <w:rPr>
          <w:rFonts w:ascii="Times New Roman" w:hAnsi="Times New Roman" w:cs="Times New Roman"/>
          <w:noProof/>
          <w:szCs w:val="24"/>
        </w:rPr>
        <w:t>servicii</w:t>
      </w:r>
      <w:r>
        <w:rPr>
          <w:rFonts w:ascii="Times New Roman" w:hAnsi="Times New Roman"/>
          <w:noProof/>
        </w:rPr>
        <w:t xml:space="preserve"> de flexibilitate </w:t>
      </w:r>
      <w:r>
        <w:rPr>
          <w:rFonts w:ascii="Times New Roman" w:hAnsi="Times New Roman" w:cs="Times New Roman"/>
          <w:noProof/>
          <w:szCs w:val="24"/>
        </w:rPr>
        <w:t>cu emisii zero</w:t>
      </w:r>
      <w:r>
        <w:rPr>
          <w:rFonts w:ascii="Times New Roman" w:hAnsi="Times New Roman"/>
          <w:noProof/>
        </w:rPr>
        <w:t xml:space="preserve">. </w:t>
      </w:r>
    </w:p>
    <w:p w14:paraId="6E6A6293" w14:textId="12CF9E98" w:rsidR="00702291" w:rsidRDefault="00712B31">
      <w:pPr>
        <w:pStyle w:val="P68B1DB1-P68B1DB1-Norml556"/>
        <w:spacing w:after="120" w:line="240" w:lineRule="auto"/>
        <w:jc w:val="both"/>
        <w:rPr>
          <w:rFonts w:cs="Times New Roman"/>
          <w:noProof/>
        </w:rPr>
      </w:pPr>
      <w:r>
        <w:rPr>
          <w:noProof/>
        </w:rPr>
        <w:t xml:space="preserve">Această măsură constă în instalarea de instalații de stocare a energiei. </w:t>
      </w:r>
    </w:p>
    <w:p w14:paraId="02548E0D" w14:textId="4EC715B6" w:rsidR="00702291" w:rsidRDefault="00712B31">
      <w:pPr>
        <w:pStyle w:val="P68B1DB1-Heading411"/>
        <w:spacing w:before="0" w:after="120" w:line="240" w:lineRule="auto"/>
        <w:rPr>
          <w:rFonts w:eastAsiaTheme="minorHAnsi"/>
          <w:noProof/>
        </w:rPr>
      </w:pPr>
      <w:r>
        <w:rPr>
          <w:noProof/>
        </w:rPr>
        <w:t>C6.I4: Difuzarea contorizării inteligente</w:t>
      </w:r>
    </w:p>
    <w:p w14:paraId="00DA4AE3" w14:textId="77777777" w:rsidR="00702291" w:rsidRDefault="00712B31">
      <w:pPr>
        <w:pStyle w:val="P68B1DB1-Normal6"/>
        <w:spacing w:after="120" w:line="240" w:lineRule="auto"/>
        <w:jc w:val="both"/>
        <w:rPr>
          <w:rFonts w:eastAsiaTheme="minorHAnsi"/>
          <w:noProof/>
        </w:rPr>
      </w:pPr>
      <w:r>
        <w:rPr>
          <w:noProof/>
        </w:rPr>
        <w:t xml:space="preserve">Obiectivul măsurii este de a sprijini achiziționarea și instalarea de contoare inteligente. </w:t>
      </w:r>
    </w:p>
    <w:p w14:paraId="5177A8DA" w14:textId="5953A563" w:rsidR="00702291" w:rsidRDefault="00712B31">
      <w:pPr>
        <w:pStyle w:val="P68B1DB1-Normal34"/>
        <w:spacing w:after="120" w:line="240" w:lineRule="auto"/>
        <w:jc w:val="both"/>
        <w:rPr>
          <w:rFonts w:eastAsia="Calibri"/>
          <w:noProof/>
        </w:rPr>
      </w:pPr>
      <w:r>
        <w:rPr>
          <w:noProof/>
        </w:rPr>
        <w:t xml:space="preserve">Această măsură constă în subvenționarea operatorilor de sisteme de distribuție pentru instalarea de contoare inteligente. </w:t>
      </w:r>
    </w:p>
    <w:p w14:paraId="7695A17B" w14:textId="4698D21D" w:rsidR="00702291" w:rsidRDefault="00712B31">
      <w:pPr>
        <w:pStyle w:val="P68B1DB1-Heading411"/>
        <w:spacing w:before="0" w:after="120" w:line="240" w:lineRule="auto"/>
        <w:rPr>
          <w:rFonts w:eastAsia="Times New Roman"/>
          <w:noProof/>
        </w:rPr>
      </w:pPr>
      <w:r>
        <w:rPr>
          <w:noProof/>
        </w:rPr>
        <w:t>C6.I5: Investiții în eficiența energetică a clădirilor publice</w:t>
      </w:r>
    </w:p>
    <w:p w14:paraId="6560E72A" w14:textId="1A5CDBD2" w:rsidR="00702291" w:rsidRDefault="00712B31">
      <w:pPr>
        <w:pStyle w:val="P68B1DB1-Normal6"/>
        <w:spacing w:after="120" w:line="240" w:lineRule="auto"/>
        <w:jc w:val="both"/>
        <w:rPr>
          <w:noProof/>
        </w:rPr>
      </w:pPr>
      <w:r>
        <w:rPr>
          <w:noProof/>
        </w:rPr>
        <w:t xml:space="preserve">Obiectivul măsurii este de a îmbunătăți performanța energetică a clădirilor publice. </w:t>
      </w:r>
    </w:p>
    <w:p w14:paraId="04725475" w14:textId="36302D44" w:rsidR="00702291" w:rsidRDefault="00712B31">
      <w:pPr>
        <w:pStyle w:val="P68B1DB1-Normal12"/>
        <w:spacing w:after="120" w:line="240" w:lineRule="auto"/>
        <w:jc w:val="both"/>
        <w:rPr>
          <w:rFonts w:ascii="Times New Roman" w:eastAsia="Times New Roman" w:hAnsi="Times New Roman" w:cs="Times New Roman"/>
          <w:noProof/>
          <w:szCs w:val="24"/>
          <w:u w:val="single"/>
        </w:rPr>
      </w:pPr>
      <w:r>
        <w:rPr>
          <w:rFonts w:ascii="Times New Roman" w:hAnsi="Times New Roman"/>
          <w:noProof/>
        </w:rPr>
        <w:t>Această investiție constă în renovări vizând eficiența energetică a clădirilor publice</w:t>
      </w:r>
      <w:r>
        <w:rPr>
          <w:rFonts w:ascii="Times New Roman" w:eastAsia="Times New Roman" w:hAnsi="Times New Roman" w:cs="Times New Roman"/>
          <w:noProof/>
          <w:szCs w:val="24"/>
          <w:u w:val="single"/>
        </w:rPr>
        <w:t>.</w:t>
      </w:r>
    </w:p>
    <w:p w14:paraId="2CB0E226" w14:textId="4ED1752E" w:rsidR="00702291" w:rsidRDefault="00712B31">
      <w:pPr>
        <w:pStyle w:val="P68B1DB1-Heading411"/>
        <w:spacing w:before="0" w:after="120" w:line="240" w:lineRule="auto"/>
        <w:rPr>
          <w:noProof/>
        </w:rPr>
      </w:pPr>
      <w:r>
        <w:rPr>
          <w:noProof/>
        </w:rPr>
        <w:t xml:space="preserve">C6.I6. Schemă de granturi pentru dezvoltarea rețelei de energie electrică </w:t>
      </w:r>
    </w:p>
    <w:p w14:paraId="18E08893" w14:textId="77777777" w:rsidR="00702291" w:rsidRDefault="00712B31">
      <w:pPr>
        <w:pStyle w:val="P68B1DB1-Normal34"/>
        <w:spacing w:after="120" w:line="240" w:lineRule="auto"/>
        <w:jc w:val="both"/>
        <w:rPr>
          <w:noProof/>
        </w:rPr>
      </w:pPr>
      <w:r>
        <w:rPr>
          <w:noProof/>
        </w:rPr>
        <w:t xml:space="preserve">Această măsură constă într-o investiție publică într-un sistem de granturi, pentru a stimula investițiile private și a îmbunătăți accesul la finanțare în sectorul energetic al Ungariei. Sistemul funcționează prin acordarea de granturi direct sectorului privat, precum și entităților din sectorul public care desfășoară activități similare. </w:t>
      </w:r>
    </w:p>
    <w:p w14:paraId="78E42ECA" w14:textId="77777777" w:rsidR="00702291" w:rsidRDefault="00712B31">
      <w:pPr>
        <w:pStyle w:val="P68B1DB1-Normal34"/>
        <w:spacing w:after="120" w:line="240" w:lineRule="auto"/>
        <w:jc w:val="both"/>
        <w:rPr>
          <w:noProof/>
        </w:rPr>
      </w:pPr>
      <w:r>
        <w:rPr>
          <w:noProof/>
        </w:rPr>
        <w:t>Schema este gestionată de Banca Ungară de Dezvoltare (</w:t>
      </w:r>
      <w:r>
        <w:rPr>
          <w:i/>
          <w:noProof/>
        </w:rPr>
        <w:t>Magyar Fejlesztési Bank Zrt.</w:t>
      </w:r>
      <w:r>
        <w:rPr>
          <w:noProof/>
        </w:rPr>
        <w:t xml:space="preserve"> MFB) în calitate de partener de implementare. Sistemul include următoarea linie de produse: </w:t>
      </w:r>
    </w:p>
    <w:p w14:paraId="64E3EED8" w14:textId="77777777" w:rsidR="00702291" w:rsidRDefault="00712B31">
      <w:pPr>
        <w:pStyle w:val="P68B1DB1-ListParagraph35"/>
        <w:numPr>
          <w:ilvl w:val="0"/>
          <w:numId w:val="130"/>
        </w:numPr>
        <w:spacing w:after="120" w:line="240" w:lineRule="auto"/>
        <w:contextualSpacing w:val="0"/>
        <w:jc w:val="both"/>
        <w:rPr>
          <w:noProof/>
        </w:rPr>
      </w:pPr>
      <w:r>
        <w:rPr>
          <w:noProof/>
        </w:rPr>
        <w:t>Granturi pentru investiții în dezvoltarea rețelei de distribuție și transport, inclusiv – dar fără a se limita la – cabluri, contoare inteligente, transformatoare și alte infrastructuri de rețea.</w:t>
      </w:r>
    </w:p>
    <w:p w14:paraId="174ED13A" w14:textId="77777777" w:rsidR="00702291" w:rsidRDefault="00712B31">
      <w:pPr>
        <w:pStyle w:val="P68B1DB1-Normal34"/>
        <w:spacing w:after="120" w:line="240" w:lineRule="auto"/>
        <w:jc w:val="both"/>
        <w:rPr>
          <w:noProof/>
        </w:rPr>
      </w:pPr>
      <w:r>
        <w:rPr>
          <w:noProof/>
        </w:rPr>
        <w:t>Pentru a pune în aplicare investiția în schemă, Ungaria și Banca Ungară de Dezvoltare semnează un acord de punere în aplicare care include următorul conținut:</w:t>
      </w:r>
    </w:p>
    <w:p w14:paraId="45BD621B" w14:textId="77777777" w:rsidR="00702291" w:rsidRDefault="00712B31">
      <w:pPr>
        <w:pStyle w:val="P68B1DB1-LegalNumPar57"/>
        <w:numPr>
          <w:ilvl w:val="0"/>
          <w:numId w:val="111"/>
        </w:numPr>
        <w:spacing w:after="120" w:line="240" w:lineRule="auto"/>
        <w:jc w:val="both"/>
        <w:rPr>
          <w:rFonts w:eastAsia="Times New Roman"/>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0D697CF4" w14:textId="77777777" w:rsidR="00702291" w:rsidRDefault="00712B31">
      <w:pPr>
        <w:pStyle w:val="P68B1DB1-LegalNumPar57"/>
        <w:numPr>
          <w:ilvl w:val="0"/>
          <w:numId w:val="111"/>
        </w:numPr>
        <w:spacing w:after="120" w:line="240" w:lineRule="auto"/>
        <w:jc w:val="both"/>
        <w:rPr>
          <w:noProof/>
        </w:rPr>
      </w:pPr>
      <w:r>
        <w:rPr>
          <w:noProof/>
        </w:rPr>
        <w:t>Cerințele-cheie ale politicii de grant asociate,</w:t>
      </w:r>
      <w:r>
        <w:rPr>
          <w:b/>
          <w:noProof/>
        </w:rPr>
        <w:t xml:space="preserve"> </w:t>
      </w:r>
      <w:r>
        <w:rPr>
          <w:noProof/>
        </w:rPr>
        <w:t>care includ:</w:t>
      </w:r>
    </w:p>
    <w:p w14:paraId="22EB59A2" w14:textId="77777777" w:rsidR="00702291" w:rsidRDefault="00712B31">
      <w:pPr>
        <w:pStyle w:val="LegalNumPar2"/>
        <w:numPr>
          <w:ilvl w:val="1"/>
          <w:numId w:val="111"/>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Descrierea granturilor acordate și a beneficiarilor finali eligibili</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w:t>
      </w:r>
    </w:p>
    <w:p w14:paraId="39DA7026" w14:textId="77777777" w:rsidR="00702291" w:rsidRDefault="00712B31">
      <w:pPr>
        <w:pStyle w:val="P68B1DB1-LegalNumPar258"/>
        <w:numPr>
          <w:ilvl w:val="1"/>
          <w:numId w:val="111"/>
        </w:numPr>
        <w:spacing w:after="120" w:line="240" w:lineRule="auto"/>
        <w:jc w:val="both"/>
        <w:rPr>
          <w:noProof/>
        </w:rPr>
      </w:pPr>
      <w:r>
        <w:rPr>
          <w:noProof/>
        </w:rPr>
        <w:t>Cerința ca toate investițiile care beneficiază de sprijin să fie viabile din punct de vedere economic</w:t>
      </w:r>
      <w:r>
        <w:rPr>
          <w:b/>
          <w:noProof/>
        </w:rPr>
        <w:t>.</w:t>
      </w:r>
    </w:p>
    <w:p w14:paraId="0C0D228C" w14:textId="77777777" w:rsidR="00702291" w:rsidRDefault="00712B31">
      <w:pPr>
        <w:pStyle w:val="LegalNumPar2"/>
        <w:numPr>
          <w:ilvl w:val="1"/>
          <w:numId w:val="111"/>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(iii) activitățile și activele legate de depozitele de deșeuri, incineratoare</w:t>
      </w:r>
      <w:r>
        <w:rPr>
          <w:rStyle w:val="FootnoteReference"/>
          <w:rFonts w:ascii="Times New Roman" w:hAnsi="Times New Roman" w:cs="Times New Roman"/>
          <w:b w:val="0"/>
          <w:noProof/>
          <w:sz w:val="24"/>
          <w:szCs w:val="24"/>
        </w:rPr>
        <w:footnoteReference w:id="9"/>
      </w:r>
      <w:r>
        <w:rPr>
          <w:rFonts w:ascii="Times New Roman" w:hAnsi="Times New Roman" w:cs="Times New Roman"/>
          <w:b/>
          <w:noProof/>
          <w:sz w:val="24"/>
          <w:szCs w:val="24"/>
        </w:rPr>
        <w:t xml:space="preserve"> </w:t>
      </w:r>
      <w:r>
        <w:rPr>
          <w:rFonts w:ascii="Times New Roman" w:hAnsi="Times New Roman" w:cs="Times New Roman"/>
          <w:noProof/>
          <w:sz w:val="24"/>
          <w:szCs w:val="24"/>
        </w:rPr>
        <w:t>și stațiile de tratare mecano-biologică</w:t>
      </w:r>
      <w:r>
        <w:rPr>
          <w:rStyle w:val="FootnoteReference"/>
          <w:rFonts w:ascii="Times New Roman" w:hAnsi="Times New Roman" w:cs="Times New Roman"/>
          <w:b w:val="0"/>
          <w:noProof/>
          <w:sz w:val="24"/>
          <w:szCs w:val="24"/>
        </w:rPr>
        <w:footnoteReference w:id="10"/>
      </w:r>
      <w:r>
        <w:rPr>
          <w:rFonts w:ascii="Times New Roman" w:hAnsi="Times New Roman" w:cs="Times New Roman"/>
          <w:noProof/>
          <w:sz w:val="24"/>
          <w:szCs w:val="24"/>
        </w:rPr>
        <w:t xml:space="preserve">. </w:t>
      </w:r>
    </w:p>
    <w:p w14:paraId="6EF305EF" w14:textId="77777777" w:rsidR="00702291" w:rsidRDefault="00712B31">
      <w:pPr>
        <w:pStyle w:val="P68B1DB1-LegalNumPar258"/>
        <w:numPr>
          <w:ilvl w:val="1"/>
          <w:numId w:val="111"/>
        </w:numPr>
        <w:spacing w:after="120" w:line="240" w:lineRule="auto"/>
        <w:jc w:val="both"/>
        <w:rPr>
          <w:bCs/>
          <w:noProof/>
        </w:rPr>
      </w:pPr>
      <w:r>
        <w:rPr>
          <w:noProof/>
        </w:rPr>
        <w:t>Cerința ca beneficiarii finali ai schemei să nu primească sprijin din partea altor instrumente ale Uniunii pentru a acoperi aceleași costuri.</w:t>
      </w:r>
    </w:p>
    <w:p w14:paraId="7C37A10D" w14:textId="77777777" w:rsidR="00702291" w:rsidRDefault="00712B31">
      <w:pPr>
        <w:pStyle w:val="P68B1DB1-LegalNumPar57"/>
        <w:numPr>
          <w:ilvl w:val="0"/>
          <w:numId w:val="111"/>
        </w:numPr>
        <w:spacing w:after="120" w:line="240" w:lineRule="auto"/>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7D2A5A0B" w14:textId="77777777" w:rsidR="00702291" w:rsidRDefault="00712B31">
      <w:pPr>
        <w:pStyle w:val="P68B1DB1-LegalNumPar57"/>
        <w:numPr>
          <w:ilvl w:val="0"/>
          <w:numId w:val="111"/>
        </w:numPr>
        <w:spacing w:after="120" w:line="240" w:lineRule="auto"/>
        <w:jc w:val="both"/>
        <w:rPr>
          <w:noProof/>
        </w:rPr>
      </w:pPr>
      <w:r>
        <w:rPr>
          <w:noProof/>
        </w:rPr>
        <w:t>Cerințe de monitorizare, audit și control, inclusiv:</w:t>
      </w:r>
    </w:p>
    <w:p w14:paraId="5CCD4E9B" w14:textId="77777777" w:rsidR="00702291" w:rsidRDefault="00712B31">
      <w:pPr>
        <w:pStyle w:val="P68B1DB1-Normal34"/>
        <w:numPr>
          <w:ilvl w:val="0"/>
          <w:numId w:val="129"/>
        </w:numPr>
        <w:spacing w:after="120" w:line="240" w:lineRule="auto"/>
        <w:jc w:val="both"/>
        <w:rPr>
          <w:noProof/>
        </w:rPr>
      </w:pPr>
      <w:r>
        <w:rPr>
          <w:noProof/>
        </w:rPr>
        <w:t>Descrierea sistemului de monitorizare al partenerului de implementare pentru raportarea cu privire la granturile mobilizate.</w:t>
      </w:r>
    </w:p>
    <w:p w14:paraId="4B4D7ED4" w14:textId="77777777" w:rsidR="00702291" w:rsidRDefault="00712B31">
      <w:pPr>
        <w:pStyle w:val="P68B1DB1-Normal34"/>
        <w:numPr>
          <w:ilvl w:val="0"/>
          <w:numId w:val="129"/>
        </w:numPr>
        <w:spacing w:after="120" w:line="240" w:lineRule="auto"/>
        <w:jc w:val="both"/>
        <w:rPr>
          <w:noProof/>
        </w:rPr>
      </w:pPr>
      <w:r>
        <w:rPr>
          <w:noProof/>
        </w:rPr>
        <w:t xml:space="preserve">Descrierea procedurilor partenerului de implementare care vor asigura prevenirea, detectarea și corectarea fraudei, a corupției și a conflictelor de interese. </w:t>
      </w:r>
    </w:p>
    <w:p w14:paraId="770761C8" w14:textId="77777777" w:rsidR="00702291" w:rsidRDefault="00712B31">
      <w:pPr>
        <w:pStyle w:val="P68B1DB1-Normal34"/>
        <w:numPr>
          <w:ilvl w:val="0"/>
          <w:numId w:val="129"/>
        </w:numPr>
        <w:spacing w:after="120" w:line="240" w:lineRule="auto"/>
        <w:jc w:val="both"/>
        <w:rPr>
          <w:noProof/>
        </w:rPr>
      </w:pPr>
      <w:r>
        <w:rPr>
          <w:noProof/>
        </w:rPr>
        <w:t>Obligația de a verifica eligibilitatea fiecărei operațiuni în conformitate cu cerințele prevăzute în acordul de punere în aplicare înainte de a acorda o subvenție unei operațiuni.</w:t>
      </w:r>
    </w:p>
    <w:p w14:paraId="145FA8FF" w14:textId="6B619D95" w:rsidR="00702291" w:rsidRDefault="00712B31">
      <w:pPr>
        <w:pStyle w:val="P68B1DB1-Normal34"/>
        <w:numPr>
          <w:ilvl w:val="0"/>
          <w:numId w:val="129"/>
        </w:numPr>
        <w:spacing w:after="120" w:line="240" w:lineRule="auto"/>
        <w:jc w:val="both"/>
        <w:rPr>
          <w:noProof/>
        </w:rPr>
      </w:pPr>
      <w:r>
        <w:rPr>
          <w:noProof/>
        </w:rPr>
        <w:t xml:space="preserve">Obligația de a efectua audituri ex post bazate pe riscuri, în conformitate cu un plan de audit al Băncii Ungare de Dezvoltare. Aceste audituri verifică i) dacă sistemele de control sunt eficace, inclusiv detectarea fraudei, a corupției și a conflictelor de interese; respectarea principiului DNSH, a normelor privind ajutoarele de stat, a cerințelor privind țintele climatice și digitale;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grant aplicabile. </w:t>
      </w:r>
    </w:p>
    <w:p w14:paraId="5F2D37B2" w14:textId="3D7BD6D7" w:rsidR="00702291" w:rsidRDefault="00712B31">
      <w:pPr>
        <w:pStyle w:val="P68B1DB1-ListParagraph35"/>
        <w:numPr>
          <w:ilvl w:val="0"/>
          <w:numId w:val="129"/>
        </w:numPr>
        <w:spacing w:after="120" w:line="240" w:lineRule="auto"/>
        <w:ind w:left="567"/>
        <w:contextualSpacing w:val="0"/>
        <w:jc w:val="both"/>
        <w:rPr>
          <w:noProof/>
        </w:rPr>
      </w:pPr>
      <w:r>
        <w:rPr>
          <w:noProof/>
        </w:rPr>
        <w:t>Cerințe pentru investițiile climatice și digitale efectuate de partenerul de implementare: cel puțin 856 756 163,36 EUR din investițiile MRR în schemă contribuie la obiectivele legate de schimbările climatice în conformitate cu anexa VI la Regulamentul privind MRR și cel puțin 342 702 465,34 EUR contribuie la tranziția digitală în conformitate cu anexa VII la Regulamentul privind MRR.</w:t>
      </w:r>
    </w:p>
    <w:p w14:paraId="60BAABCF" w14:textId="77777777" w:rsidR="00702291" w:rsidRDefault="00702291">
      <w:pPr>
        <w:spacing w:after="120" w:line="240" w:lineRule="auto"/>
        <w:jc w:val="both"/>
        <w:rPr>
          <w:rFonts w:ascii="Times New Roman" w:hAnsi="Times New Roman" w:cs="Times New Roman"/>
          <w:noProof/>
          <w:sz w:val="24"/>
          <w:szCs w:val="24"/>
        </w:rPr>
      </w:pPr>
    </w:p>
    <w:p w14:paraId="03481D58" w14:textId="77777777" w:rsidR="00702291" w:rsidRDefault="00702291">
      <w:pPr>
        <w:spacing w:after="120" w:line="240" w:lineRule="auto"/>
        <w:jc w:val="both"/>
        <w:rPr>
          <w:rFonts w:ascii="Times New Roman" w:hAnsi="Times New Roman" w:cs="Times New Roman"/>
          <w:b/>
          <w:noProof/>
          <w:color w:val="000000" w:themeColor="text1"/>
          <w:sz w:val="24"/>
          <w:szCs w:val="24"/>
        </w:rPr>
      </w:pPr>
    </w:p>
    <w:p w14:paraId="4D272DBC" w14:textId="752B3081" w:rsidR="00702291" w:rsidRDefault="00702291">
      <w:pPr>
        <w:spacing w:after="120" w:line="240" w:lineRule="auto"/>
        <w:rPr>
          <w:rFonts w:ascii="Times New Roman" w:hAnsi="Times New Roman" w:cs="Times New Roman"/>
          <w:noProof/>
          <w:sz w:val="24"/>
          <w:szCs w:val="24"/>
        </w:rPr>
      </w:pPr>
    </w:p>
    <w:p w14:paraId="731267D3" w14:textId="77777777" w:rsidR="00702291" w:rsidRDefault="00702291">
      <w:pPr>
        <w:spacing w:after="120" w:line="240" w:lineRule="auto"/>
        <w:jc w:val="both"/>
        <w:rPr>
          <w:rFonts w:ascii="Times New Roman" w:hAnsi="Times New Roman" w:cs="Times New Roman"/>
          <w:b/>
          <w:noProof/>
          <w:sz w:val="24"/>
          <w:szCs w:val="24"/>
        </w:rPr>
        <w:sectPr w:rsidR="00702291" w:rsidSect="009030B8">
          <w:headerReference w:type="even" r:id="rId82"/>
          <w:headerReference w:type="default" r:id="rId83"/>
          <w:footerReference w:type="even" r:id="rId84"/>
          <w:footerReference w:type="default" r:id="rId85"/>
          <w:headerReference w:type="first" r:id="rId86"/>
          <w:footerReference w:type="first" r:id="rId87"/>
          <w:pgSz w:w="11907" w:h="16839"/>
          <w:pgMar w:top="1134" w:right="1134" w:bottom="1134" w:left="1134" w:header="567" w:footer="567" w:gutter="0"/>
          <w:cols w:space="708"/>
          <w:docGrid w:linePitch="360"/>
        </w:sectPr>
      </w:pPr>
    </w:p>
    <w:p w14:paraId="1149E66A" w14:textId="601B8DD9" w:rsidR="00702291" w:rsidRDefault="00712B31">
      <w:pPr>
        <w:pStyle w:val="P68B1DB1-Heading310"/>
        <w:spacing w:before="0" w:after="120"/>
        <w:rPr>
          <w:noProof/>
        </w:rPr>
      </w:pPr>
      <w:r>
        <w:rPr>
          <w:noProof/>
        </w:rPr>
        <w:t>F.2. Jaloane, ținte, indicatori și calendarul de monitorizare și implementare aplicabile sprijinului financiar nerambursabil</w:t>
      </w:r>
    </w:p>
    <w:tbl>
      <w:tblPr>
        <w:tblStyle w:val="GridTable1Light-Accent11"/>
        <w:tblW w:w="15451" w:type="dxa"/>
        <w:tblInd w:w="-572" w:type="dxa"/>
        <w:tblLayout w:type="fixed"/>
        <w:tblLook w:val="06A0" w:firstRow="1" w:lastRow="0" w:firstColumn="1" w:lastColumn="0" w:noHBand="1" w:noVBand="1"/>
      </w:tblPr>
      <w:tblGrid>
        <w:gridCol w:w="963"/>
        <w:gridCol w:w="1418"/>
        <w:gridCol w:w="993"/>
        <w:gridCol w:w="1532"/>
        <w:gridCol w:w="1310"/>
        <w:gridCol w:w="1155"/>
        <w:gridCol w:w="957"/>
        <w:gridCol w:w="886"/>
        <w:gridCol w:w="1105"/>
        <w:gridCol w:w="709"/>
        <w:gridCol w:w="4423"/>
      </w:tblGrid>
      <w:tr w:rsidR="00702291" w14:paraId="76563845" w14:textId="77777777" w:rsidTr="00FA4EAF">
        <w:trPr>
          <w:cnfStyle w:val="100000000000" w:firstRow="1" w:lastRow="0" w:firstColumn="0" w:lastColumn="0" w:oddVBand="0" w:evenVBand="0" w:oddHBand="0" w:evenHBand="0" w:firstRowFirstColumn="0" w:firstRowLastColumn="0" w:lastRowFirstColumn="0" w:lastRowLastColumn="0"/>
          <w:trHeight w:val="714"/>
          <w:tblHeader/>
        </w:trPr>
        <w:tc>
          <w:tcPr>
            <w:cnfStyle w:val="001000000000" w:firstRow="0" w:lastRow="0" w:firstColumn="1" w:lastColumn="0" w:oddVBand="0" w:evenVBand="0" w:oddHBand="0" w:evenHBand="0" w:firstRowFirstColumn="0" w:firstRowLastColumn="0" w:lastRowFirstColumn="0" w:lastRowLastColumn="0"/>
            <w:tcW w:w="96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B1920FC" w14:textId="77777777" w:rsidR="00702291" w:rsidRDefault="00712B31">
            <w:pPr>
              <w:pStyle w:val="P68B1DB1-Normal32"/>
              <w:spacing w:after="120"/>
              <w:jc w:val="center"/>
              <w:rPr>
                <w:noProof/>
              </w:rPr>
            </w:pPr>
            <w:r>
              <w:rPr>
                <w:noProof/>
              </w:rPr>
              <w:t>Număr Număr</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E135164"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Măsură conexă (reformă sau investiții)</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6264E1B" w14:textId="07FC6EBB"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Etapă/</w:t>
            </w:r>
            <w:r w:rsidR="00FA4EAF">
              <w:rPr>
                <w:noProof/>
              </w:rPr>
              <w:t xml:space="preserve"> </w:t>
            </w:r>
            <w:r>
              <w:rPr>
                <w:noProof/>
              </w:rPr>
              <w:t>Obiectiv</w:t>
            </w:r>
          </w:p>
        </w:tc>
        <w:tc>
          <w:tcPr>
            <w:tcW w:w="153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68F477D"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Nume</w:t>
            </w:r>
          </w:p>
        </w:tc>
        <w:tc>
          <w:tcPr>
            <w:tcW w:w="131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1B64C9F" w14:textId="1327142C"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Indicatori calitativi </w:t>
            </w:r>
            <w:r>
              <w:rPr>
                <w:noProof/>
              </w:rPr>
              <w:br/>
              <w:t>(pentru jaloane)</w:t>
            </w:r>
          </w:p>
        </w:tc>
        <w:tc>
          <w:tcPr>
            <w:tcW w:w="299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9A62ACE" w14:textId="1E566C4D"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Indicatori cantitativi </w:t>
            </w:r>
            <w:r>
              <w:rPr>
                <w:noProof/>
              </w:rPr>
              <w:br/>
              <w:t>(pentru obiective)</w:t>
            </w:r>
          </w:p>
        </w:tc>
        <w:tc>
          <w:tcPr>
            <w:tcW w:w="1814"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6C4FFC5"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Calendar orientativ pentru finalizare</w:t>
            </w:r>
          </w:p>
        </w:tc>
        <w:tc>
          <w:tcPr>
            <w:tcW w:w="442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E9507BA"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Descrierea fiecărui jalon și a fiecărei ținte</w:t>
            </w:r>
          </w:p>
        </w:tc>
      </w:tr>
      <w:tr w:rsidR="00702291" w14:paraId="78545893" w14:textId="77777777" w:rsidTr="00FA4EAF">
        <w:trPr>
          <w:cnfStyle w:val="100000000000" w:firstRow="1" w:lastRow="0" w:firstColumn="0" w:lastColumn="0" w:oddVBand="0" w:evenVBand="0" w:oddHBand="0" w:evenHBand="0" w:firstRowFirstColumn="0" w:firstRowLastColumn="0" w:lastRowFirstColumn="0" w:lastRowLastColumn="0"/>
          <w:trHeight w:val="412"/>
          <w:tblHeader/>
        </w:trPr>
        <w:tc>
          <w:tcPr>
            <w:cnfStyle w:val="001000000000" w:firstRow="0" w:lastRow="0" w:firstColumn="1" w:lastColumn="0" w:oddVBand="0" w:evenVBand="0" w:oddHBand="0" w:evenHBand="0" w:firstRowFirstColumn="0" w:firstRowLastColumn="0" w:lastRowFirstColumn="0" w:lastRowLastColumn="0"/>
            <w:tcW w:w="963" w:type="dxa"/>
            <w:vMerge/>
            <w:tcBorders>
              <w:top w:val="single" w:sz="4" w:space="0" w:color="auto"/>
              <w:left w:val="single" w:sz="4" w:space="0" w:color="auto"/>
              <w:bottom w:val="single" w:sz="4" w:space="0" w:color="auto"/>
              <w:right w:val="single" w:sz="4" w:space="0" w:color="auto"/>
            </w:tcBorders>
            <w:vAlign w:val="center"/>
          </w:tcPr>
          <w:p w14:paraId="64B996C4" w14:textId="77777777" w:rsidR="00702291" w:rsidRDefault="00702291">
            <w:pPr>
              <w:spacing w:after="120"/>
              <w:jc w:val="center"/>
              <w:rPr>
                <w:rFonts w:ascii="Times New Roman" w:hAnsi="Times New Roman" w:cs="Times New Roman"/>
                <w:b w:val="0"/>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ED9C607" w14:textId="77777777" w:rsidR="00702291" w:rsidRDefault="007022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14:paraId="438ED8CE" w14:textId="77777777" w:rsidR="00702291" w:rsidRDefault="007022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532" w:type="dxa"/>
            <w:vMerge/>
            <w:tcBorders>
              <w:top w:val="single" w:sz="4" w:space="0" w:color="auto"/>
              <w:left w:val="single" w:sz="4" w:space="0" w:color="auto"/>
              <w:bottom w:val="single" w:sz="4" w:space="0" w:color="auto"/>
              <w:right w:val="single" w:sz="4" w:space="0" w:color="auto"/>
            </w:tcBorders>
            <w:vAlign w:val="center"/>
          </w:tcPr>
          <w:p w14:paraId="5A201DA4" w14:textId="77777777" w:rsidR="00702291" w:rsidRDefault="007022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310" w:type="dxa"/>
            <w:vMerge/>
            <w:tcBorders>
              <w:top w:val="single" w:sz="4" w:space="0" w:color="auto"/>
              <w:left w:val="single" w:sz="4" w:space="0" w:color="auto"/>
              <w:bottom w:val="single" w:sz="4" w:space="0" w:color="auto"/>
              <w:right w:val="single" w:sz="4" w:space="0" w:color="auto"/>
            </w:tcBorders>
            <w:vAlign w:val="center"/>
          </w:tcPr>
          <w:p w14:paraId="1D1E0F5F" w14:textId="77777777" w:rsidR="00702291" w:rsidRDefault="007022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5406D7B"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Unitatea de măsură</w:t>
            </w:r>
          </w:p>
        </w:tc>
        <w:tc>
          <w:tcPr>
            <w:tcW w:w="95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3B4C37A"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Situația de referință</w:t>
            </w:r>
          </w:p>
        </w:tc>
        <w:tc>
          <w:tcPr>
            <w:tcW w:w="88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8BBF736"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Obiectiv</w:t>
            </w:r>
          </w:p>
        </w:tc>
        <w:tc>
          <w:tcPr>
            <w:tcW w:w="110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E07AEEE"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7CEB1E9" w14:textId="77777777" w:rsidR="00702291" w:rsidRDefault="00712B31">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Anul</w:t>
            </w:r>
          </w:p>
        </w:tc>
        <w:tc>
          <w:tcPr>
            <w:tcW w:w="4423" w:type="dxa"/>
            <w:vMerge/>
            <w:vAlign w:val="center"/>
          </w:tcPr>
          <w:p w14:paraId="3F8BFC21" w14:textId="77777777" w:rsidR="00702291" w:rsidRDefault="0070229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6A7608" w14:paraId="4F9DA1B5" w14:textId="77777777" w:rsidTr="00FA4EA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56D6F065" w14:textId="1C1DA2FD" w:rsidR="00702291" w:rsidRDefault="00712B31">
            <w:pPr>
              <w:pStyle w:val="P68B1DB1-Normal32"/>
              <w:spacing w:after="120"/>
              <w:jc w:val="center"/>
              <w:rPr>
                <w:b w:val="0"/>
                <w:noProof/>
              </w:rPr>
            </w:pPr>
            <w:r>
              <w:rPr>
                <w:noProof/>
              </w:rPr>
              <w:t>35</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0ED1293D"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C6.R1 Transformarea reglementării energiei electrice</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0927B4C6"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534EB877"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privind contorizarea brută</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0E079157" w14:textId="3F68C443"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Dispoziție care indică data de intrare în vigoare a actului (actelor) juridic (e) </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535F5D7E"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0C928F08"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6D85DABA"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432513F2" w14:textId="77217911"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07B06DB" w14:textId="52E71469"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0AC2AE2B" w14:textId="50E25ED6"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Intrarea în vigoare a actului (actelor) juridic (e) care introduce (introduc) contabilizarea separată a energiei electrice introduse în rețea și a energiei electrice consumate din rețea. </w:t>
            </w:r>
          </w:p>
          <w:p w14:paraId="69A05A59"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Pentru utilizatorii care au instalat un sistem de panouri solare pe baza unei cereri de racordare depuse după 1 ianuarie 2024, actul (actele) juridic (e) prevede (prevăd) intrarea automată în vigoare a sistemului de contabilitate separată.</w:t>
            </w:r>
          </w:p>
          <w:p w14:paraId="47B6EC8C" w14:textId="5FBBECD5"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Pentru utilizatorii care au instalat un sistem de panouri solare pe baza unei cereri de racordare depuse înainte de 31 decembrie 2023, actul (actele) juridic (e) prevede (prevăd) intrarea în vigoare a sistemului de contabilizare separată la 10 ani de la instalarea sistemului de panouri solare.</w:t>
            </w:r>
          </w:p>
        </w:tc>
      </w:tr>
      <w:tr w:rsidR="006A7608" w14:paraId="0C45F139" w14:textId="77777777" w:rsidTr="00FA4EA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6D517757" w14:textId="175D261D" w:rsidR="00702291" w:rsidRDefault="00712B31">
            <w:pPr>
              <w:pStyle w:val="P68B1DB1-Normal32"/>
              <w:spacing w:after="120"/>
              <w:jc w:val="center"/>
              <w:rPr>
                <w:b w:val="0"/>
                <w:noProof/>
              </w:rPr>
            </w:pPr>
            <w:r>
              <w:rPr>
                <w:noProof/>
              </w:rPr>
              <w:t>36</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695C3598"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C6.R2 Încurajarea implementării energiei eoliene onshore</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11810521"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1DAE6E99"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47D5B27B"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intrarea în vigoare a actului (actelor) juridic (e)</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6C2CFCC9"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14EA9EA3"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07D4912F"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00D273DF" w14:textId="46488AD9"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4B3E38B"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242D0173"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care:</w:t>
            </w:r>
          </w:p>
          <w:p w14:paraId="6D9D4F5C" w14:textId="12B6D94C" w:rsidR="00702291" w:rsidRDefault="00712B31">
            <w:pPr>
              <w:pStyle w:val="P68B1DB1-ListParagraph43"/>
              <w:numPr>
                <w:ilvl w:val="0"/>
                <w:numId w:val="127"/>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Creșterea limitei maxime a înălțimii turbinelor eoliene la 199 m și reducerea distanței minime dintre centralele eoliene și zonele rezidențiale la 700 m pe întreg teritoriul Ungariei.</w:t>
            </w:r>
          </w:p>
          <w:p w14:paraId="46FA75EB" w14:textId="77777777" w:rsidR="00702291" w:rsidRDefault="00712B31">
            <w:pPr>
              <w:pStyle w:val="P68B1DB1-ListParagraph43"/>
              <w:numPr>
                <w:ilvl w:val="0"/>
                <w:numId w:val="127"/>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 xml:space="preserve">Desemnează (desemnează) cel puțin 25 zone prioritare pentru energia eoliană onshore. </w:t>
            </w:r>
          </w:p>
          <w:p w14:paraId="118A936A" w14:textId="726AB1E7" w:rsidR="00702291" w:rsidRDefault="00712B31">
            <w:pPr>
              <w:pStyle w:val="P68B1DB1-ListParagraph43"/>
              <w:numPr>
                <w:ilvl w:val="0"/>
                <w:numId w:val="127"/>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Stabilește (stabilesc) că, în zonele prioritare: nu este obligatoriu să se desemneze zone verzi, terenuri agricole sau terenuri forestiere pentru a compensa zonele desemnate pentru proiecte de energie eoliană; iar autorizațiile de mediu și de construcție pentru energia eoliană onshore sunt emise în termen de maximum 50 de zile de la depunerea cererii.</w:t>
            </w:r>
          </w:p>
        </w:tc>
      </w:tr>
      <w:tr w:rsidR="006A7608" w14:paraId="59DEB3F3" w14:textId="77777777" w:rsidTr="00FA4EA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7243D585" w14:textId="0237D326" w:rsidR="00702291" w:rsidRDefault="00712B31">
            <w:pPr>
              <w:pStyle w:val="P68B1DB1-Normal32"/>
              <w:spacing w:after="120"/>
              <w:jc w:val="center"/>
              <w:rPr>
                <w:b w:val="0"/>
                <w:noProof/>
              </w:rPr>
            </w:pPr>
            <w:r>
              <w:rPr>
                <w:noProof/>
              </w:rPr>
              <w:t>37</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2F6349E7"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C6.R2 Încurajarea implementării energiei eoliene onshore</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0F16DCB1"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7B1D277F"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288131FE"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intrarea sa în vigoare</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7F67A4AD"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46258505"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286CFA8B"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77D46548" w14:textId="6A382EF9"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A3E839A"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3B4B7BF2" w14:textId="6941A3AC"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de stabilire a unui plan care să prevadă cel puțin licitații anuale de racordare la rețea pentru tehnologia eoliană. Licitațiile alocă un volum minim de 4 GW de capacitate de producție de energie eoliană pentru perioada 2026-2030. Publicarea unei licitații pentru o capacitate eoliană de cel puțin 700 MW până la 31 august 2026.</w:t>
            </w:r>
          </w:p>
        </w:tc>
      </w:tr>
      <w:tr w:rsidR="006A7608" w14:paraId="3B36569B" w14:textId="77777777" w:rsidTr="00FA4EA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4FAA6497" w14:textId="32ABFF65" w:rsidR="00702291" w:rsidRDefault="00712B31">
            <w:pPr>
              <w:pStyle w:val="P68B1DB1-Normal32"/>
              <w:spacing w:after="120"/>
              <w:jc w:val="center"/>
              <w:rPr>
                <w:b w:val="0"/>
                <w:noProof/>
              </w:rPr>
            </w:pPr>
            <w:r>
              <w:rPr>
                <w:noProof/>
              </w:rPr>
              <w:t>38</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56E1E399" w14:textId="0B718E14"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Accelerarea racordării proiectelor privind energia din surse regenerabile la rețea</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32E55041"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2244A821"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3EF2BDA6"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intrarea în vigoare a actului (actelor) juridic (e)</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016263F9"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36A1F2B1"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7DE842B8"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52549104" w14:textId="22B35D5C"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114C302E"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32E11381"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care:</w:t>
            </w:r>
          </w:p>
          <w:p w14:paraId="7FB5F794" w14:textId="7006B669" w:rsidR="00702291" w:rsidRDefault="00712B31">
            <w:pPr>
              <w:pStyle w:val="P68B1DB1-ListParagraph43"/>
              <w:numPr>
                <w:ilvl w:val="0"/>
                <w:numId w:val="104"/>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Să introducă o procedură unică integrată de autorizare pentru autorizațiile de mediu și de construcție pentru instalarea de centrale solare și eoliene terestre cu o capacitate mai mare de 0,5 MW;</w:t>
            </w:r>
          </w:p>
          <w:p w14:paraId="02E7E00E" w14:textId="52EDB87E" w:rsidR="00702291" w:rsidRDefault="00712B31">
            <w:pPr>
              <w:pStyle w:val="P68B1DB1-ListParagraph43"/>
              <w:numPr>
                <w:ilvl w:val="0"/>
                <w:numId w:val="104"/>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stabilește (stabilesc) sancțiunile financiare pentru autoritățile implicate în procedura integrată de autorizare a autorizațiilor de mediu și de construcție care nu acordă autorizații în termenele procedurii administrative stabilite prin lege.</w:t>
            </w:r>
          </w:p>
          <w:p w14:paraId="148B3329" w14:textId="7170D7BF" w:rsidR="00702291" w:rsidRDefault="00712B31">
            <w:pPr>
              <w:pStyle w:val="P68B1DB1-ListParagraph51"/>
              <w:numPr>
                <w:ilvl w:val="0"/>
                <w:numId w:val="104"/>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noProof/>
              </w:rPr>
            </w:pPr>
            <w:r>
              <w:rPr>
                <w:noProof/>
              </w:rPr>
              <w:t>Permite (permit) colocarea centralelor eoliene și solare.</w:t>
            </w:r>
          </w:p>
        </w:tc>
      </w:tr>
      <w:tr w:rsidR="006A7608" w14:paraId="04BEDE59" w14:textId="77777777" w:rsidTr="00FA4EAF">
        <w:trPr>
          <w:trHeight w:val="56"/>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2EA55752" w14:textId="6F1B9671" w:rsidR="00702291" w:rsidRDefault="00712B31">
            <w:pPr>
              <w:pStyle w:val="P68B1DB1-Normal32"/>
              <w:spacing w:after="120"/>
              <w:jc w:val="center"/>
              <w:rPr>
                <w:b w:val="0"/>
                <w:noProof/>
              </w:rPr>
            </w:pPr>
            <w:r>
              <w:rPr>
                <w:noProof/>
              </w:rPr>
              <w:t>39</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813A48E"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Accelerarea racordării proiectelor privind energia din surse regenerabile la rețea</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49CA52A"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48792455"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Autorizația de racordare la rețea pentru capacitatea centralelor electrice din surse regenerabile</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6A73B62E"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Capacitatea totală de energie din surse regenerabile autorizată</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7420F2BA"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MW</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2F0CB89E"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1613405F" w14:textId="2A596780"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6 200 </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7B992E1C" w14:textId="705CF298"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E8AF1D1" w14:textId="6AF3E711"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736BAC53" w14:textId="04CB9112"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strike/>
                <w:noProof/>
              </w:rPr>
            </w:pPr>
            <w:r>
              <w:rPr>
                <w:noProof/>
              </w:rPr>
              <w:t>Instalarea și racordarea totală a centralelor solare și eoliene onshore cu o capacitate de 6 200 MW.</w:t>
            </w:r>
          </w:p>
        </w:tc>
      </w:tr>
      <w:tr w:rsidR="006A7608" w14:paraId="590F8371" w14:textId="77777777" w:rsidTr="00FA4EA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2964A8EB" w14:textId="74AC480B" w:rsidR="00702291" w:rsidRDefault="00712B31">
            <w:pPr>
              <w:pStyle w:val="P68B1DB1-Normal32"/>
              <w:spacing w:after="120"/>
              <w:jc w:val="center"/>
              <w:rPr>
                <w:b w:val="0"/>
                <w:noProof/>
              </w:rPr>
            </w:pPr>
            <w:r>
              <w:rPr>
                <w:noProof/>
              </w:rPr>
              <w:t>39bis</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5B0F5C6"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Accelerarea racordării proiectelor privind energia din surse regenerabile la rețea</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0D15B76"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3AAE8FFD"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55D6B9BF"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intrarea sa în vigoare</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29A0B040"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14965541"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66515575"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59486835" w14:textId="2A47C50F"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9D29903"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2F44E72D" w14:textId="77777777" w:rsidR="00702291" w:rsidRDefault="00712B31">
            <w:pPr>
              <w:pStyle w:val="P68B1DB1-Normal49"/>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care:</w:t>
            </w:r>
          </w:p>
          <w:p w14:paraId="01657016" w14:textId="5B93A99F" w:rsidR="00702291" w:rsidRDefault="00712B31">
            <w:pPr>
              <w:pStyle w:val="P68B1DB1-ListParagraph51"/>
              <w:numPr>
                <w:ilvl w:val="0"/>
                <w:numId w:val="128"/>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Să stabilească faptul că sistemele fotovoltaice rezidențiale nou construite (până la 10.8 kVA) necesită doar o notificare către OD pentru a fi conectate la rețea;</w:t>
            </w:r>
          </w:p>
          <w:p w14:paraId="2B899B17" w14:textId="4A77A778" w:rsidR="00702291" w:rsidRDefault="00712B31">
            <w:pPr>
              <w:pStyle w:val="P68B1DB1-ListParagraph43"/>
              <w:numPr>
                <w:ilvl w:val="0"/>
                <w:numId w:val="128"/>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Prevede (prevăd) că OD conectează instalațiile fotovoltaice mici (cu o capacitate maximă de 10.8 kVA) la rețea în termen de maximum două luni de la notificarea instalării de către proprietar.</w:t>
            </w:r>
          </w:p>
        </w:tc>
      </w:tr>
      <w:tr w:rsidR="006A7608" w14:paraId="09830560" w14:textId="77777777" w:rsidTr="00FA4EA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43327355" w14:textId="1054B420" w:rsidR="00702291" w:rsidRDefault="00712B31">
            <w:pPr>
              <w:pStyle w:val="P68B1DB1-Normal32"/>
              <w:spacing w:after="120"/>
              <w:jc w:val="center"/>
              <w:rPr>
                <w:b w:val="0"/>
                <w:noProof/>
              </w:rPr>
            </w:pPr>
            <w:r>
              <w:rPr>
                <w:noProof/>
              </w:rPr>
              <w:t>40</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017F6DFB"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C6.R4 Stabilirea unor standarde minime de eficiență energetică</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10AAF175"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08FDBC9F" w14:textId="02F791B0"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Stabilirea unor cerințe minime de eficiență energetică pentru schemele de sprijin pentru renovarea clădirilor</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0939D7B3"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0B14A524"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32100D44"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2CD9A7DC"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35095CF4" w14:textId="5293FE6A"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33FDD69" w14:textId="33FE07D6"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041DE266"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Intrarea în vigoare a actului (actelor) juridic (e) care prevede (e) că, pentru schemele de sprijin pentru renovarea clădirilor (co) finanțate din fonduri UE, se realizează o reducere cu cel puțin 30 % a consumului de energie. </w:t>
            </w:r>
          </w:p>
        </w:tc>
      </w:tr>
      <w:tr w:rsidR="006A7608" w14:paraId="65CA9D32" w14:textId="77777777" w:rsidTr="00FA4EA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0271EEB3" w14:textId="337F7DED" w:rsidR="00702291" w:rsidRDefault="00712B31">
            <w:pPr>
              <w:pStyle w:val="P68B1DB1-Normal32"/>
              <w:spacing w:after="120"/>
              <w:jc w:val="center"/>
              <w:rPr>
                <w:b w:val="0"/>
                <w:noProof/>
              </w:rPr>
            </w:pPr>
            <w:r>
              <w:rPr>
                <w:noProof/>
              </w:rPr>
              <w:t>41</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67DEECB1"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C6.I1 Dezvoltarea rețelelor clasice și inteligente ale operatorilor de sisteme de transport și ale operatorilor de sisteme</w:t>
            </w:r>
            <w:r>
              <w:rPr>
                <w:b/>
                <w:noProof/>
              </w:rPr>
              <w:t xml:space="preserve"> </w:t>
            </w:r>
            <w:r>
              <w:rPr>
                <w:noProof/>
              </w:rPr>
              <w:t>de distribuție</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6E2B2DD3"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Țintă </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0989DB3C"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Capacitatea suplimentară cumulată adăugată la rețea</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08AC4FB6"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557AB476"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MW</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5F69E74F"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7CDBB6BC" w14:textId="667B76B6"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2 781</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13FE3FDD" w14:textId="5389BDBC"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1BE4B49D"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2FF1AEC6" w14:textId="18ED1DD2"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Rețelele de transport și distribuție sunt construite sau modernizate pentru a permite integrarea unei capacități suplimentare de găzduire de cel puțin 2 781 MW. Se furnizează un raport tehnic întocmit de autoritatea națională de reglementare (MEKH) care să dovedească creșterea capacității de găzduire.</w:t>
            </w:r>
          </w:p>
        </w:tc>
      </w:tr>
      <w:tr w:rsidR="006A7608" w14:paraId="397B72C6" w14:textId="77777777" w:rsidTr="00FA4EAF">
        <w:trPr>
          <w:trHeight w:val="543"/>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28FD7B01" w14:textId="41888537" w:rsidR="00702291" w:rsidRDefault="00712B31">
            <w:pPr>
              <w:pStyle w:val="P68B1DB1-Normal32"/>
              <w:spacing w:after="120"/>
              <w:jc w:val="center"/>
              <w:rPr>
                <w:b w:val="0"/>
                <w:noProof/>
              </w:rPr>
            </w:pPr>
            <w:r>
              <w:rPr>
                <w:noProof/>
              </w:rPr>
              <w:t>42</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F64A829"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C6.I2 Sprijin pentru utilizarea panourilor solare rezidențiale și modernizarea încălzirii</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7393FBB7"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Țintă </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0F2C9EFC"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Numărul de gospodării care beneficiază de sprijin</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3DDBD4A2"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35790F56"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Număr</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004E30D6"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52B42602" w14:textId="3BBC809B"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20 000 </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6422F145" w14:textId="5D182607"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B8EC46D"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1F1253B4" w14:textId="1009E31D"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Cel puțin 20 000 de gospodării trebuie să aibă instalate sisteme de panouri solare.</w:t>
            </w:r>
          </w:p>
          <w:p w14:paraId="1D21EC85" w14:textId="04F72866"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Din acest total, cel puțin 4 313 de gospodării trebuie să aibă instalate sisteme de panouri solare combinate cu cel puțin unul dintre următoarele elemente: instalarea de sisteme electrice de încălzire, instalarea unei unități de stocare sau înlocuirea ferestrelor și/sau a ușilor.</w:t>
            </w:r>
          </w:p>
        </w:tc>
      </w:tr>
      <w:tr w:rsidR="006A7608" w14:paraId="74A417CE" w14:textId="77777777" w:rsidTr="00FA4EAF">
        <w:trPr>
          <w:trHeight w:val="56"/>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4FEEE235" w14:textId="2D6B7170" w:rsidR="00702291" w:rsidRDefault="00712B31">
            <w:pPr>
              <w:pStyle w:val="P68B1DB1-Normal32"/>
              <w:spacing w:after="120"/>
              <w:jc w:val="center"/>
              <w:rPr>
                <w:b w:val="0"/>
                <w:noProof/>
              </w:rPr>
            </w:pPr>
            <w:r>
              <w:rPr>
                <w:noProof/>
              </w:rPr>
              <w:t>43</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A68E1A6" w14:textId="0DEBA318"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C6.I3 Instalarea instalațiilor de stocare a energiei în rețea pentru participanții la piața energiei</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4A56157"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17941DC0"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Capacitatea instalațiilor instalate de stocare a energiei</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28460BBE"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223D4C52"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MWh</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24A5A687"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01F2607D" w14:textId="45D94A12"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676</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4A6C4DE9" w14:textId="48C81D50"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7F5CDD2"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2026 </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6BE5CA87" w14:textId="77777777"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Lansarea cererii (cererilor) de propuneri care sprijină instalarea de spații de depozitare cu: (I) o trimitere la neutralitatea tehnologică față de instalațiile de înmagazinare și (ii) cerința ca beneficiarii să fie capabili să introducă capacitate pe piața de echilibrare, astfel cum a fost certificată de operatorul de transport și de sistem.</w:t>
            </w:r>
          </w:p>
          <w:p w14:paraId="699783B1" w14:textId="5B885F05"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Se instalează o capacitate de cel puțin 676 MWh a instalațiilor de stocare a energiei din rețea.</w:t>
            </w:r>
          </w:p>
        </w:tc>
      </w:tr>
      <w:tr w:rsidR="006A7608" w14:paraId="6CFBEAF3" w14:textId="77777777" w:rsidTr="00FA4EAF">
        <w:trPr>
          <w:trHeight w:val="118"/>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5632395D" w14:textId="19B21F95" w:rsidR="00702291" w:rsidRDefault="00712B31">
            <w:pPr>
              <w:pStyle w:val="P68B1DB1-Normal32"/>
              <w:spacing w:after="120"/>
              <w:jc w:val="center"/>
              <w:rPr>
                <w:b w:val="0"/>
                <w:noProof/>
              </w:rPr>
            </w:pPr>
            <w:r>
              <w:rPr>
                <w:noProof/>
              </w:rPr>
              <w:t>44</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5FCF849E" w14:textId="77E73683"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C6.I4 Diseminarea contorizării inteligente</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371F8774"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4F9C2FC0" w14:textId="33471002"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Instalarea contoarelor inteligente </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35E0C4F3"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0AF05CD9"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Număr</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422697A5"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5D94723A" w14:textId="56A74E4F"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290 680</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22EEFA62" w14:textId="2753372D"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50836E0"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672E0ED5" w14:textId="5F1CF76E"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Cel puțin 290 680 de contoare inteligente instalate de operatorii de sisteme de distribuție.</w:t>
            </w:r>
          </w:p>
        </w:tc>
      </w:tr>
      <w:tr w:rsidR="006A7608" w14:paraId="54BCC7FC" w14:textId="77777777" w:rsidTr="00FA4EAF">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177169DC" w14:textId="7C2342C9" w:rsidR="00702291" w:rsidRDefault="00712B31">
            <w:pPr>
              <w:pStyle w:val="P68B1DB1-Normal32"/>
              <w:spacing w:after="120"/>
              <w:jc w:val="center"/>
              <w:rPr>
                <w:b w:val="0"/>
                <w:noProof/>
              </w:rPr>
            </w:pPr>
            <w:r>
              <w:rPr>
                <w:noProof/>
              </w:rPr>
              <w:t>45</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74F6E0E1" w14:textId="6FC61B51"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C6.I5. Investiții în eficiența energetică a clădirilor publice</w:t>
            </w:r>
          </w:p>
          <w:p w14:paraId="3E1E0E46"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22167B0F"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537BA9F1"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Numărul de clădiri publice care au beneficiat de renovări vizând eficiența energetică</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4A3364EE"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30B3EB42"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Număr</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015512EE"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37C3E0AB" w14:textId="1E12EDD6"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180</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708EE067" w14:textId="2D21AA42"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443C462" w14:textId="77777777"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26D1ABE9" w14:textId="5BFF1DA8" w:rsidR="00702291" w:rsidRDefault="00712B31">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Renovări vizând eficiența energetică în cel puțin 180 de clădiri publice.</w:t>
            </w:r>
          </w:p>
        </w:tc>
      </w:tr>
      <w:tr w:rsidR="006A7608" w14:paraId="4FD7A860" w14:textId="77777777" w:rsidTr="00FA4EAF">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tcPr>
          <w:p w14:paraId="72A316B1" w14:textId="6521A3B9" w:rsidR="00702291" w:rsidRDefault="00712B31">
            <w:pPr>
              <w:pStyle w:val="P68B1DB1-Normal32"/>
              <w:spacing w:after="120"/>
              <w:jc w:val="center"/>
              <w:rPr>
                <w:b w:val="0"/>
                <w:noProof/>
              </w:rPr>
            </w:pPr>
            <w:r>
              <w:rPr>
                <w:noProof/>
              </w:rPr>
              <w:t>46</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75AA74D7" w14:textId="22CF5B9B"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C6.I6. Schemă de granturi pentru dezvoltarea rețelei de energie electrică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75155B7" w14:textId="3363BC64" w:rsidR="00702291" w:rsidRDefault="00712B31">
            <w:pPr>
              <w:pStyle w:val="P68B1DB1-Normal32"/>
              <w:spacing w:after="120"/>
              <w:jc w:val="center"/>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76521FD3" w14:textId="3B3273B6"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Acord de punere în aplicare</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479BD365" w14:textId="7E8E81F1"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acordului de punere în aplicare</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40099957" w14:textId="17A9A01B"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4B4C7BAB" w14:textId="616FDE62"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50311986" w14:textId="1BB346BF"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06AD11AF" w14:textId="6E3A36F7" w:rsidR="00702291" w:rsidRDefault="00F233DB">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88C1E8C" w14:textId="481C97B1" w:rsidR="00702291" w:rsidRDefault="00712B31">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727CAEA2" w14:textId="0BF4482E" w:rsidR="00702291" w:rsidRDefault="00712B31">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acordului de punere în aplicare.</w:t>
            </w:r>
          </w:p>
        </w:tc>
      </w:tr>
      <w:tr w:rsidR="006A7608" w14:paraId="19722DE1" w14:textId="77777777" w:rsidTr="00FA4EAF">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tcPr>
          <w:p w14:paraId="5889C5ED" w14:textId="5692ED69" w:rsidR="00702291" w:rsidRDefault="00712B31">
            <w:pPr>
              <w:pStyle w:val="P68B1DB1-Normal32"/>
              <w:spacing w:after="120"/>
              <w:jc w:val="center"/>
              <w:rPr>
                <w:b w:val="0"/>
                <w:noProof/>
              </w:rPr>
            </w:pPr>
            <w:r>
              <w:rPr>
                <w:noProof/>
              </w:rPr>
              <w:t>47</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387AF455" w14:textId="4F76C224"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C6.I6. Schemă de granturi pentru dezvoltarea rețelei de energie electrică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FFC358C" w14:textId="067C6284" w:rsidR="00702291" w:rsidRDefault="00712B31">
            <w:pPr>
              <w:pStyle w:val="P68B1DB1-Normal32"/>
              <w:spacing w:after="120"/>
              <w:jc w:val="center"/>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699F1F70" w14:textId="2A69A7A4"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Acorduri juridice semnate cu beneficiarii finali</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1885F4E4" w14:textId="77777777" w:rsidR="00702291" w:rsidRDefault="0070229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66108333" w14:textId="3581CF40" w:rsidR="00702291" w:rsidRDefault="00712B31">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Procentul (%)</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22863A75" w14:textId="4FF8891D" w:rsidR="00702291" w:rsidRDefault="00712B31">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86" w:type="dxa"/>
            <w:tcBorders>
              <w:top w:val="single" w:sz="4" w:space="0" w:color="auto"/>
              <w:left w:val="single" w:sz="4" w:space="0" w:color="auto"/>
              <w:bottom w:val="single" w:sz="4" w:space="0" w:color="auto"/>
              <w:right w:val="single" w:sz="4" w:space="0" w:color="auto"/>
            </w:tcBorders>
            <w:shd w:val="clear" w:color="auto" w:fill="C6EFCE"/>
            <w:vAlign w:val="center"/>
          </w:tcPr>
          <w:p w14:paraId="127D68CF" w14:textId="0CB10697" w:rsidR="00702291" w:rsidRDefault="00712B31">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100</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702A798E" w14:textId="3391D6EC" w:rsidR="00702291" w:rsidRDefault="00F233DB">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8862ACF" w14:textId="7B0748AF"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3E25022B" w14:textId="6BCCDF15" w:rsidR="00702291" w:rsidRDefault="00712B31">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MFB trebuie să fi încheiat acorduri legale de grant cu beneficiarii pentru o sumă necesară pentru a utiliza 100 % din investițiile MRR în schemă (ținând seama de comisioanele de gestionare). </w:t>
            </w:r>
          </w:p>
        </w:tc>
      </w:tr>
      <w:tr w:rsidR="006A7608" w14:paraId="0174032A" w14:textId="77777777" w:rsidTr="00FA4EAF">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tcPr>
          <w:p w14:paraId="26759671" w14:textId="7D832CA8" w:rsidR="00702291" w:rsidRDefault="00712B31">
            <w:pPr>
              <w:pStyle w:val="P68B1DB1-Normal32"/>
              <w:spacing w:after="120"/>
              <w:jc w:val="center"/>
              <w:rPr>
                <w:b w:val="0"/>
                <w:noProof/>
              </w:rPr>
            </w:pPr>
            <w:r>
              <w:rPr>
                <w:noProof/>
              </w:rPr>
              <w:t>48</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08194492" w14:textId="7A23400D" w:rsidR="00702291" w:rsidRDefault="00712B31">
            <w:pPr>
              <w:pStyle w:val="P68B1DB1-Normal32"/>
              <w:spacing w:after="120"/>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C6.I6. Schemă de granturi pentru dezvoltarea rețelei de energie electrică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684E82" w14:textId="0E7D3AB6" w:rsidR="00702291" w:rsidRDefault="00712B31">
            <w:pPr>
              <w:pStyle w:val="P68B1DB1-Normal27"/>
              <w:spacing w:after="120"/>
              <w:jc w:val="center"/>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tcBorders>
              <w:top w:val="single" w:sz="4" w:space="0" w:color="auto"/>
              <w:left w:val="single" w:sz="4" w:space="0" w:color="auto"/>
              <w:bottom w:val="single" w:sz="4" w:space="0" w:color="auto"/>
              <w:right w:val="single" w:sz="4" w:space="0" w:color="auto"/>
            </w:tcBorders>
            <w:shd w:val="clear" w:color="auto" w:fill="C6EFCE"/>
          </w:tcPr>
          <w:p w14:paraId="5898B747" w14:textId="680F572D" w:rsidR="00702291" w:rsidRDefault="00712B31">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Ministerul a finalizat investiția</w:t>
            </w:r>
          </w:p>
        </w:tc>
        <w:tc>
          <w:tcPr>
            <w:tcW w:w="1310" w:type="dxa"/>
            <w:tcBorders>
              <w:top w:val="single" w:sz="4" w:space="0" w:color="auto"/>
              <w:left w:val="single" w:sz="4" w:space="0" w:color="auto"/>
              <w:bottom w:val="single" w:sz="4" w:space="0" w:color="auto"/>
              <w:right w:val="single" w:sz="4" w:space="0" w:color="auto"/>
            </w:tcBorders>
            <w:shd w:val="clear" w:color="auto" w:fill="C6EFCE"/>
          </w:tcPr>
          <w:p w14:paraId="75BC07C4" w14:textId="77777777" w:rsidR="00702291" w:rsidRDefault="007022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tcPr>
          <w:p w14:paraId="4982D666" w14:textId="77777777" w:rsidR="00702291" w:rsidRDefault="007022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tcPr>
          <w:p w14:paraId="3B67EBFC" w14:textId="77777777" w:rsidR="00702291" w:rsidRDefault="007022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86" w:type="dxa"/>
            <w:tcBorders>
              <w:top w:val="single" w:sz="4" w:space="0" w:color="auto"/>
              <w:left w:val="single" w:sz="4" w:space="0" w:color="auto"/>
              <w:bottom w:val="single" w:sz="4" w:space="0" w:color="auto"/>
              <w:right w:val="single" w:sz="4" w:space="0" w:color="auto"/>
            </w:tcBorders>
            <w:shd w:val="clear" w:color="auto" w:fill="C6EFCE"/>
          </w:tcPr>
          <w:p w14:paraId="1CD4EFBA" w14:textId="77777777" w:rsidR="00702291" w:rsidRDefault="007022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2FFD697E" w14:textId="7727705F" w:rsidR="00702291" w:rsidRDefault="00F233DB">
            <w:pPr>
              <w:pStyle w:val="P68B1DB1-Normal32"/>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7C4E616" w14:textId="5AD0CC78" w:rsidR="00702291" w:rsidRDefault="00712B31">
            <w:pPr>
              <w:pStyle w:val="P68B1DB1-Normal32"/>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47BB8F44" w14:textId="1256CCD8" w:rsidR="00702291" w:rsidRDefault="00712B31">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Ungaria transferă 856 756 163,36 EUR către MFB pentru facilitate (luând în considerare comisioanele de gestionare).</w:t>
            </w:r>
          </w:p>
        </w:tc>
      </w:tr>
    </w:tbl>
    <w:p w14:paraId="7F73DDF1" w14:textId="77777777" w:rsidR="00702291" w:rsidRDefault="00702291">
      <w:pPr>
        <w:spacing w:after="120" w:line="240" w:lineRule="auto"/>
        <w:rPr>
          <w:rFonts w:ascii="Times New Roman" w:hAnsi="Times New Roman" w:cs="Times New Roman"/>
          <w:noProof/>
          <w:sz w:val="24"/>
          <w:szCs w:val="24"/>
        </w:rPr>
        <w:sectPr w:rsidR="00702291" w:rsidSect="009030B8">
          <w:headerReference w:type="even" r:id="rId88"/>
          <w:headerReference w:type="default" r:id="rId89"/>
          <w:footerReference w:type="even" r:id="rId90"/>
          <w:footerReference w:type="default" r:id="rId91"/>
          <w:headerReference w:type="first" r:id="rId92"/>
          <w:footerReference w:type="first" r:id="rId93"/>
          <w:pgSz w:w="16839" w:h="11907" w:orient="landscape"/>
          <w:pgMar w:top="1134" w:right="1134" w:bottom="1134" w:left="1134" w:header="567" w:footer="567" w:gutter="0"/>
          <w:cols w:space="708"/>
          <w:docGrid w:linePitch="360"/>
        </w:sectPr>
      </w:pPr>
    </w:p>
    <w:p w14:paraId="3B223A06" w14:textId="6FB9E496" w:rsidR="00702291" w:rsidRDefault="00712B31">
      <w:pPr>
        <w:pStyle w:val="P68B1DB1-Normal44"/>
        <w:keepNext/>
        <w:spacing w:after="120" w:line="240" w:lineRule="auto"/>
        <w:jc w:val="both"/>
        <w:outlineLvl w:val="1"/>
        <w:rPr>
          <w:rFonts w:cs="Times New Roman"/>
          <w:caps/>
          <w:noProof/>
          <w:szCs w:val="24"/>
        </w:rPr>
      </w:pPr>
      <w:r>
        <w:rPr>
          <w:noProof/>
        </w:rPr>
        <w:t xml:space="preserve">G. COMPONENTA 7: SĂNĂTATE </w:t>
      </w:r>
    </w:p>
    <w:p w14:paraId="6F219F4F" w14:textId="34D67A54" w:rsidR="00702291" w:rsidRDefault="00712B31">
      <w:pPr>
        <w:pStyle w:val="P68B1DB1-Normal6"/>
        <w:autoSpaceDE w:val="0"/>
        <w:autoSpaceDN w:val="0"/>
        <w:adjustRightInd w:val="0"/>
        <w:spacing w:after="120" w:line="240" w:lineRule="auto"/>
        <w:jc w:val="both"/>
        <w:rPr>
          <w:rFonts w:eastAsiaTheme="minorHAnsi"/>
          <w:noProof/>
        </w:rPr>
      </w:pPr>
      <w:r>
        <w:rPr>
          <w:noProof/>
        </w:rPr>
        <w:t>Această componentă a planului de redresare și reziliență al Ungariei abordează mai multe provocări cu care se confruntă în prezent sistemul de sănătate din Ungaria, cum ar fi accesul inegal la servicii și incidența ridicată a plăților informale (gratuite); dependența excesivă de spitale în furnizarea de servicii și deficitul regional de forță de muncă în cadrul sistemului de sănătate.</w:t>
      </w:r>
    </w:p>
    <w:p w14:paraId="77E99015" w14:textId="13AF5766" w:rsidR="00702291" w:rsidRDefault="00712B31">
      <w:pPr>
        <w:pStyle w:val="P68B1DB1-Normal6"/>
        <w:autoSpaceDE w:val="0"/>
        <w:autoSpaceDN w:val="0"/>
        <w:adjustRightInd w:val="0"/>
        <w:spacing w:after="120" w:line="240" w:lineRule="auto"/>
        <w:jc w:val="both"/>
        <w:rPr>
          <w:rFonts w:eastAsiaTheme="minorHAnsi"/>
          <w:noProof/>
        </w:rPr>
      </w:pPr>
      <w:r>
        <w:rPr>
          <w:noProof/>
        </w:rPr>
        <w:t>Principalul obiectiv al componentei este de a dezvolta un sistem de îngrijire modern și eficient, capabil să răspundă provocărilor secolului XXI și accesibil tuturor, în conformitate cu principiul 16 al Pilonului european al drepturilor sociale. În acest scop, componenta vizează (i) eradicarea plăților gratuite în sistemul de sănătate; (II) să consolideze rolul medicilor generaliști; (III) să raționalizeze asistența medicală în regim de spitalizare și să își modernizeze infrastructura și (iv) să sporească utilizarea tehnologiilor informației și comunicațiilor (TIC) pentru a îmbunătăți calitatea și eficiența serviciilor de asistență medicală.</w:t>
      </w:r>
    </w:p>
    <w:p w14:paraId="56497588" w14:textId="77777777" w:rsidR="00702291" w:rsidRDefault="00712B31">
      <w:pPr>
        <w:pStyle w:val="P68B1DB1-Normal6"/>
        <w:autoSpaceDE w:val="0"/>
        <w:autoSpaceDN w:val="0"/>
        <w:adjustRightInd w:val="0"/>
        <w:spacing w:after="120" w:line="240" w:lineRule="auto"/>
        <w:jc w:val="both"/>
        <w:rPr>
          <w:rFonts w:eastAsiaTheme="minorHAnsi"/>
          <w:noProof/>
        </w:rPr>
      </w:pPr>
      <w:r>
        <w:rPr>
          <w:noProof/>
        </w:rPr>
        <w:t xml:space="preserve">Componenta sprijină abordarea recomandărilor specifice fiecărei țări privind sprijinirea măsurilor sanitare preventive și consolidarea asistenței medicale primare (recomandările specifice fiecărei țări 2 din 2019 și 3 din 2022), privind abordarea deficitului de lucrători din domeniul sănătății și asigurarea unei aprovizionări adecvate cu produse și infrastructuri medicale critice (Recomandarea specifică fiecărei țări 1 din 2020) și privind asigurarea accesului la servicii esențiale pentru toți (Recomandarea specifică fiecărei țări 2 din 2020). Aceasta ar trebui să contribuie, de asemenea, la punerea în aplicare a Pilonului european al drepturilor sociale. </w:t>
      </w:r>
    </w:p>
    <w:p w14:paraId="2B548A6C" w14:textId="43ACCB41" w:rsidR="00702291" w:rsidRDefault="00712B31">
      <w:pPr>
        <w:pStyle w:val="P68B1DB1-Normal6"/>
        <w:autoSpaceDE w:val="0"/>
        <w:autoSpaceDN w:val="0"/>
        <w:adjustRightInd w:val="0"/>
        <w:spacing w:after="120" w:line="240" w:lineRule="auto"/>
        <w:jc w:val="both"/>
        <w:rPr>
          <w:rFonts w:eastAsiaTheme="minorHAnsi"/>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54F19D7" w14:textId="1089041B" w:rsidR="00702291" w:rsidRDefault="00712B31">
      <w:pPr>
        <w:pStyle w:val="P68B1DB1-Heading310"/>
        <w:spacing w:before="0" w:after="120"/>
        <w:rPr>
          <w:noProof/>
        </w:rPr>
      </w:pPr>
      <w:r>
        <w:rPr>
          <w:noProof/>
        </w:rPr>
        <w:t>G.1. Descrierea reformelor și a investițiilor pentru sprijinul financiar nerambursabil</w:t>
      </w:r>
    </w:p>
    <w:p w14:paraId="269F2752" w14:textId="53C74126" w:rsidR="00702291" w:rsidRDefault="00712B31">
      <w:pPr>
        <w:pStyle w:val="P68B1DB1-Heading411"/>
        <w:spacing w:before="0" w:after="120" w:line="240" w:lineRule="auto"/>
        <w:rPr>
          <w:rFonts w:eastAsiaTheme="minorHAnsi"/>
          <w:noProof/>
        </w:rPr>
      </w:pPr>
      <w:r>
        <w:rPr>
          <w:noProof/>
        </w:rPr>
        <w:t xml:space="preserve">C7.R1: Eradicarea plăților gratuite în sectorul asistenței medicale </w:t>
      </w:r>
    </w:p>
    <w:p w14:paraId="42B442F0" w14:textId="77777777" w:rsidR="00702291" w:rsidRDefault="00712B31">
      <w:pPr>
        <w:pStyle w:val="P68B1DB1-Normal6"/>
        <w:spacing w:after="120" w:line="240" w:lineRule="auto"/>
        <w:jc w:val="both"/>
        <w:rPr>
          <w:rFonts w:eastAsiaTheme="minorHAnsi"/>
          <w:noProof/>
        </w:rPr>
      </w:pPr>
      <w:r>
        <w:rPr>
          <w:noProof/>
        </w:rPr>
        <w:t xml:space="preserve">Obiectivul măsurii este de a eradica practica plăților informale gratuite în serviciile de asistență medicală, creând în același timp condiții financiare și de muncă mai bune pentru medici. </w:t>
      </w:r>
    </w:p>
    <w:p w14:paraId="53C80993" w14:textId="0BB02FC8" w:rsidR="00702291" w:rsidRDefault="00712B31">
      <w:pPr>
        <w:pStyle w:val="P68B1DB1-Normal12"/>
        <w:spacing w:after="120" w:line="240" w:lineRule="auto"/>
        <w:jc w:val="both"/>
        <w:rPr>
          <w:rFonts w:ascii="Times New Roman" w:hAnsi="Times New Roman"/>
          <w:noProof/>
        </w:rPr>
      </w:pPr>
      <w:r>
        <w:rPr>
          <w:rFonts w:ascii="Times New Roman" w:hAnsi="Times New Roman"/>
          <w:noProof/>
        </w:rPr>
        <w:t xml:space="preserve">Măsura constă în </w:t>
      </w:r>
      <w:r>
        <w:rPr>
          <w:rFonts w:ascii="Times New Roman" w:hAnsi="Times New Roman" w:cs="Times New Roman"/>
          <w:noProof/>
          <w:szCs w:val="24"/>
        </w:rPr>
        <w:t>intrarea în vigoare a unui (unor</w:t>
      </w:r>
      <w:r>
        <w:rPr>
          <w:rFonts w:ascii="Times New Roman" w:hAnsi="Times New Roman"/>
          <w:noProof/>
        </w:rPr>
        <w:t xml:space="preserve">) act (e) juridic (e) pentru: (I) introducerea unui nou contract de muncă pentru medici </w:t>
      </w:r>
      <w:r>
        <w:rPr>
          <w:rFonts w:ascii="Times New Roman" w:hAnsi="Times New Roman" w:cs="Times New Roman"/>
          <w:noProof/>
          <w:szCs w:val="24"/>
        </w:rPr>
        <w:t xml:space="preserve">în interesul creșterii </w:t>
      </w:r>
      <w:r>
        <w:rPr>
          <w:rFonts w:ascii="Times New Roman" w:hAnsi="Times New Roman"/>
          <w:noProof/>
        </w:rPr>
        <w:t xml:space="preserve">salariilor </w:t>
      </w:r>
      <w:r>
        <w:rPr>
          <w:rFonts w:ascii="Times New Roman" w:hAnsi="Times New Roman" w:cs="Times New Roman"/>
          <w:noProof/>
          <w:szCs w:val="24"/>
        </w:rPr>
        <w:t>acestora</w:t>
      </w:r>
      <w:r>
        <w:rPr>
          <w:rFonts w:ascii="Times New Roman" w:hAnsi="Times New Roman"/>
          <w:noProof/>
        </w:rPr>
        <w:t xml:space="preserve"> </w:t>
      </w:r>
      <w:r>
        <w:rPr>
          <w:rFonts w:ascii="Times New Roman" w:hAnsi="Times New Roman" w:cs="Times New Roman"/>
          <w:noProof/>
          <w:szCs w:val="24"/>
        </w:rPr>
        <w:t xml:space="preserve">și (ii) </w:t>
      </w:r>
      <w:r>
        <w:rPr>
          <w:rFonts w:ascii="Times New Roman" w:hAnsi="Times New Roman"/>
          <w:noProof/>
        </w:rPr>
        <w:t xml:space="preserve">incriminarea plăților de gratuitate. </w:t>
      </w:r>
    </w:p>
    <w:p w14:paraId="2792B720" w14:textId="0C4EFDC3" w:rsidR="00702291" w:rsidRDefault="00712B31">
      <w:pPr>
        <w:pStyle w:val="P68B1DB1-Heading411"/>
        <w:spacing w:before="0" w:after="120" w:line="240" w:lineRule="auto"/>
        <w:rPr>
          <w:noProof/>
        </w:rPr>
      </w:pPr>
      <w:r>
        <w:rPr>
          <w:noProof/>
        </w:rPr>
        <w:t>C7.I1: Modernizarea sistemului de sănătate în secolul 21</w:t>
      </w:r>
    </w:p>
    <w:p w14:paraId="16099DFA" w14:textId="6DAB21CA" w:rsidR="00702291" w:rsidRDefault="00712B31">
      <w:pPr>
        <w:pStyle w:val="P68B1DB1-Normal6"/>
        <w:spacing w:after="120" w:line="240" w:lineRule="auto"/>
        <w:jc w:val="both"/>
        <w:rPr>
          <w:noProof/>
        </w:rPr>
      </w:pPr>
      <w:r>
        <w:rPr>
          <w:noProof/>
        </w:rPr>
        <w:t xml:space="preserve">Obiectivul măsurii este de a spori calitatea asistenței medicale prin îmbunătățirea infrastructurii de asistență medicală și modernizarea echipamentelor medicale din unitățile medicale. </w:t>
      </w:r>
    </w:p>
    <w:p w14:paraId="3CEBF3F3" w14:textId="593C3A44" w:rsidR="00702291" w:rsidRDefault="00712B31">
      <w:pPr>
        <w:pStyle w:val="P68B1DB1-Normal6"/>
        <w:spacing w:after="120" w:line="240" w:lineRule="auto"/>
        <w:jc w:val="both"/>
        <w:rPr>
          <w:noProof/>
        </w:rPr>
      </w:pPr>
      <w:r>
        <w:rPr>
          <w:noProof/>
        </w:rPr>
        <w:t>Măsura constă în furnizarea de sprijin financiar pentru lucrările de renovare, precum și pentru achiziționarea de echipamente medicale.</w:t>
      </w:r>
    </w:p>
    <w:p w14:paraId="428820EA" w14:textId="1FFB8EBF" w:rsidR="00702291" w:rsidRDefault="00712B31">
      <w:pPr>
        <w:pStyle w:val="P68B1DB1-Heading411"/>
        <w:spacing w:before="0" w:after="120" w:line="240" w:lineRule="auto"/>
        <w:rPr>
          <w:rFonts w:eastAsiaTheme="minorHAnsi"/>
          <w:noProof/>
        </w:rPr>
      </w:pPr>
      <w:r>
        <w:rPr>
          <w:noProof/>
        </w:rPr>
        <w:t>C7.I2: Sprijinirea transformării digitale a sănătății</w:t>
      </w:r>
    </w:p>
    <w:p w14:paraId="712AB268" w14:textId="76943484" w:rsidR="00702291" w:rsidRDefault="00712B31">
      <w:pPr>
        <w:pStyle w:val="P68B1DB1-Normal12"/>
        <w:spacing w:after="120" w:line="240" w:lineRule="auto"/>
        <w:jc w:val="both"/>
        <w:rPr>
          <w:rFonts w:ascii="Times New Roman" w:hAnsi="Times New Roman" w:cs="Times New Roman"/>
          <w:noProof/>
          <w:szCs w:val="24"/>
        </w:rPr>
      </w:pPr>
      <w:r>
        <w:rPr>
          <w:rFonts w:ascii="Times New Roman" w:hAnsi="Times New Roman"/>
          <w:noProof/>
        </w:rPr>
        <w:t xml:space="preserve">Obiectivul </w:t>
      </w:r>
      <w:r>
        <w:rPr>
          <w:rFonts w:ascii="Times New Roman" w:hAnsi="Times New Roman" w:cs="Times New Roman"/>
          <w:noProof/>
          <w:szCs w:val="24"/>
        </w:rPr>
        <w:t xml:space="preserve">acestei măsuri </w:t>
      </w:r>
      <w:r>
        <w:rPr>
          <w:rFonts w:ascii="Times New Roman" w:hAnsi="Times New Roman"/>
          <w:noProof/>
        </w:rPr>
        <w:t xml:space="preserve">este de a </w:t>
      </w:r>
      <w:r>
        <w:rPr>
          <w:rFonts w:ascii="Times New Roman" w:hAnsi="Times New Roman" w:cs="Times New Roman"/>
          <w:noProof/>
          <w:szCs w:val="24"/>
        </w:rPr>
        <w:t>sprijini</w:t>
      </w:r>
      <w:r>
        <w:rPr>
          <w:rFonts w:ascii="Times New Roman" w:hAnsi="Times New Roman"/>
          <w:noProof/>
        </w:rPr>
        <w:t xml:space="preserve"> </w:t>
      </w:r>
      <w:r>
        <w:rPr>
          <w:rFonts w:ascii="Times New Roman" w:hAnsi="Times New Roman" w:cs="Times New Roman"/>
          <w:noProof/>
          <w:szCs w:val="24"/>
        </w:rPr>
        <w:t>transformarea digitală</w:t>
      </w:r>
      <w:r>
        <w:rPr>
          <w:rFonts w:ascii="Times New Roman" w:hAnsi="Times New Roman"/>
          <w:noProof/>
        </w:rPr>
        <w:t xml:space="preserve"> a </w:t>
      </w:r>
      <w:r>
        <w:rPr>
          <w:rFonts w:ascii="Times New Roman" w:hAnsi="Times New Roman" w:cs="Times New Roman"/>
          <w:noProof/>
          <w:szCs w:val="24"/>
        </w:rPr>
        <w:t xml:space="preserve">serviciilor de asistență medicală prin extinderea procesului digital </w:t>
      </w:r>
      <w:r>
        <w:rPr>
          <w:rFonts w:ascii="Times New Roman" w:hAnsi="Times New Roman"/>
          <w:noProof/>
        </w:rPr>
        <w:t xml:space="preserve">și </w:t>
      </w:r>
      <w:r>
        <w:rPr>
          <w:rFonts w:ascii="Times New Roman" w:hAnsi="Times New Roman" w:cs="Times New Roman"/>
          <w:noProof/>
          <w:szCs w:val="24"/>
        </w:rPr>
        <w:t xml:space="preserve">îmbunătățirea </w:t>
      </w:r>
      <w:r>
        <w:rPr>
          <w:rFonts w:ascii="Times New Roman" w:hAnsi="Times New Roman"/>
          <w:noProof/>
        </w:rPr>
        <w:t>eficienței</w:t>
      </w:r>
      <w:r>
        <w:rPr>
          <w:rFonts w:ascii="Times New Roman" w:hAnsi="Times New Roman" w:cs="Times New Roman"/>
          <w:noProof/>
          <w:szCs w:val="24"/>
        </w:rPr>
        <w:t xml:space="preserve">. </w:t>
      </w:r>
    </w:p>
    <w:p w14:paraId="49EAC3DE" w14:textId="6A0BE849" w:rsidR="00702291" w:rsidRDefault="00712B31">
      <w:pPr>
        <w:pStyle w:val="P68B1DB1-Normal36"/>
        <w:spacing w:after="120" w:line="240" w:lineRule="auto"/>
        <w:jc w:val="both"/>
        <w:rPr>
          <w:noProof/>
        </w:rPr>
      </w:pPr>
      <w:r>
        <w:rPr>
          <w:noProof/>
        </w:rPr>
        <w:t xml:space="preserve">Această măsură constă în digitalizarea funcțiilor și procedurilor noi sau modernizate ale sistemului de e-sănătate. </w:t>
      </w:r>
    </w:p>
    <w:p w14:paraId="500EAEF5" w14:textId="7361FDAD" w:rsidR="00702291" w:rsidRDefault="00712B31">
      <w:pPr>
        <w:pStyle w:val="P68B1DB1-Heading411"/>
        <w:spacing w:before="0" w:after="120" w:line="240" w:lineRule="auto"/>
        <w:rPr>
          <w:rFonts w:eastAsiaTheme="minorHAnsi"/>
          <w:noProof/>
        </w:rPr>
      </w:pPr>
      <w:r>
        <w:rPr>
          <w:noProof/>
        </w:rPr>
        <w:t xml:space="preserve">C7.I3: Dezvoltarea asistenței medicale primare </w:t>
      </w:r>
    </w:p>
    <w:p w14:paraId="250C32C6" w14:textId="1AD42FA8" w:rsidR="00702291" w:rsidRDefault="00712B31">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măsurii este de a </w:t>
      </w:r>
      <w:r>
        <w:rPr>
          <w:rFonts w:ascii="Times New Roman" w:hAnsi="Times New Roman" w:cs="Times New Roman"/>
          <w:noProof/>
          <w:szCs w:val="24"/>
        </w:rPr>
        <w:t>îmbunătăți</w:t>
      </w:r>
      <w:r>
        <w:rPr>
          <w:rFonts w:ascii="Times New Roman" w:hAnsi="Times New Roman"/>
          <w:noProof/>
        </w:rPr>
        <w:t xml:space="preserve"> serviciile de asistență medicală primară </w:t>
      </w:r>
      <w:r>
        <w:rPr>
          <w:rFonts w:ascii="Times New Roman" w:hAnsi="Times New Roman" w:cs="Times New Roman"/>
          <w:noProof/>
          <w:szCs w:val="24"/>
        </w:rPr>
        <w:t xml:space="preserve">prin intermediul </w:t>
      </w:r>
      <w:r>
        <w:rPr>
          <w:rFonts w:ascii="Times New Roman" w:hAnsi="Times New Roman"/>
          <w:noProof/>
        </w:rPr>
        <w:t xml:space="preserve">medicilor generaliști și al serviciilor </w:t>
      </w:r>
      <w:r>
        <w:rPr>
          <w:rFonts w:ascii="Times New Roman" w:hAnsi="Times New Roman" w:cs="Times New Roman"/>
          <w:noProof/>
          <w:szCs w:val="24"/>
        </w:rPr>
        <w:t>locale</w:t>
      </w:r>
      <w:r>
        <w:rPr>
          <w:rFonts w:ascii="Times New Roman" w:hAnsi="Times New Roman"/>
          <w:noProof/>
        </w:rPr>
        <w:t xml:space="preserve"> </w:t>
      </w:r>
      <w:r>
        <w:rPr>
          <w:rFonts w:ascii="Times New Roman" w:hAnsi="Times New Roman" w:cs="Times New Roman"/>
          <w:noProof/>
          <w:szCs w:val="24"/>
        </w:rPr>
        <w:t>și</w:t>
      </w:r>
      <w:r>
        <w:rPr>
          <w:rFonts w:ascii="Times New Roman" w:hAnsi="Times New Roman"/>
          <w:noProof/>
        </w:rPr>
        <w:t xml:space="preserve"> de </w:t>
      </w:r>
      <w:r>
        <w:rPr>
          <w:rFonts w:ascii="Times New Roman" w:hAnsi="Times New Roman" w:cs="Times New Roman"/>
          <w:noProof/>
          <w:szCs w:val="24"/>
        </w:rPr>
        <w:t>a atenua presiunea asupra asistenței medicale specializate</w:t>
      </w:r>
      <w:r>
        <w:rPr>
          <w:rFonts w:ascii="Times New Roman" w:hAnsi="Times New Roman"/>
          <w:noProof/>
        </w:rPr>
        <w:t>.</w:t>
      </w:r>
      <w:r>
        <w:rPr>
          <w:rFonts w:ascii="Times New Roman" w:hAnsi="Times New Roman" w:cs="Times New Roman"/>
          <w:noProof/>
          <w:szCs w:val="24"/>
        </w:rPr>
        <w:t xml:space="preserve"> </w:t>
      </w:r>
    </w:p>
    <w:p w14:paraId="638DC4BF" w14:textId="6DE386D4" w:rsidR="00702291" w:rsidRDefault="00712B31">
      <w:pPr>
        <w:pStyle w:val="P68B1DB1-Normal12"/>
        <w:spacing w:after="120" w:line="240" w:lineRule="auto"/>
        <w:jc w:val="both"/>
        <w:rPr>
          <w:rFonts w:ascii="Times New Roman" w:hAnsi="Times New Roman" w:cs="Times New Roman"/>
          <w:noProof/>
          <w:szCs w:val="24"/>
        </w:rPr>
      </w:pPr>
      <w:r>
        <w:rPr>
          <w:rFonts w:ascii="Times New Roman" w:hAnsi="Times New Roman"/>
          <w:noProof/>
        </w:rPr>
        <w:t xml:space="preserve">Măsura </w:t>
      </w:r>
      <w:r>
        <w:rPr>
          <w:rFonts w:ascii="Times New Roman" w:hAnsi="Times New Roman" w:cs="Times New Roman"/>
          <w:noProof/>
          <w:szCs w:val="24"/>
        </w:rPr>
        <w:t xml:space="preserve">constă în înființarea unor </w:t>
      </w:r>
      <w:r>
        <w:rPr>
          <w:rFonts w:ascii="Times New Roman" w:hAnsi="Times New Roman"/>
          <w:noProof/>
        </w:rPr>
        <w:t>comunități de medici generaliști</w:t>
      </w:r>
      <w:r>
        <w:rPr>
          <w:rFonts w:ascii="Times New Roman" w:hAnsi="Times New Roman" w:cs="Times New Roman"/>
          <w:noProof/>
          <w:szCs w:val="24"/>
        </w:rPr>
        <w:t>, creșterea</w:t>
      </w:r>
      <w:r>
        <w:rPr>
          <w:rFonts w:ascii="Times New Roman" w:hAnsi="Times New Roman"/>
          <w:noProof/>
        </w:rPr>
        <w:t xml:space="preserve"> numărului de medici din </w:t>
      </w:r>
      <w:r>
        <w:rPr>
          <w:rFonts w:ascii="Times New Roman" w:hAnsi="Times New Roman" w:cs="Times New Roman"/>
          <w:noProof/>
          <w:szCs w:val="24"/>
        </w:rPr>
        <w:t>aceste</w:t>
      </w:r>
      <w:r>
        <w:rPr>
          <w:rFonts w:ascii="Times New Roman" w:hAnsi="Times New Roman"/>
          <w:noProof/>
        </w:rPr>
        <w:t xml:space="preserve"> comunități</w:t>
      </w:r>
      <w:r>
        <w:rPr>
          <w:rFonts w:ascii="Times New Roman" w:hAnsi="Times New Roman" w:cs="Times New Roman"/>
          <w:noProof/>
          <w:szCs w:val="24"/>
        </w:rPr>
        <w:t xml:space="preserve"> și înscrierea</w:t>
      </w:r>
      <w:r>
        <w:rPr>
          <w:rFonts w:ascii="Times New Roman" w:hAnsi="Times New Roman"/>
          <w:noProof/>
        </w:rPr>
        <w:t xml:space="preserve"> pacienților în programul de gestionare a bolilor cronice și în programul de prevenire</w:t>
      </w:r>
      <w:r>
        <w:rPr>
          <w:rFonts w:ascii="Times New Roman" w:hAnsi="Times New Roman" w:cs="Times New Roman"/>
          <w:noProof/>
          <w:szCs w:val="24"/>
        </w:rPr>
        <w:t>.</w:t>
      </w:r>
    </w:p>
    <w:p w14:paraId="5625515D" w14:textId="340C5749" w:rsidR="00702291" w:rsidRDefault="00712B31">
      <w:pPr>
        <w:pStyle w:val="P68B1DB1-Heading411"/>
        <w:spacing w:before="0" w:after="120" w:line="240" w:lineRule="auto"/>
        <w:rPr>
          <w:rFonts w:eastAsiaTheme="minorHAnsi"/>
          <w:noProof/>
        </w:rPr>
      </w:pPr>
      <w:r>
        <w:rPr>
          <w:noProof/>
        </w:rPr>
        <w:t>C7.I4: Infrastructura locală de sănătate și socială</w:t>
      </w:r>
    </w:p>
    <w:p w14:paraId="3A34B4BC" w14:textId="3D76D283" w:rsidR="00702291" w:rsidRDefault="00712B31">
      <w:pPr>
        <w:pStyle w:val="P68B1DB1-Normal12"/>
        <w:spacing w:after="120" w:line="240" w:lineRule="auto"/>
        <w:jc w:val="both"/>
        <w:rPr>
          <w:rFonts w:ascii="Times New Roman" w:hAnsi="Times New Roman"/>
          <w:noProof/>
        </w:rPr>
      </w:pPr>
      <w:r>
        <w:rPr>
          <w:rFonts w:ascii="Times New Roman" w:hAnsi="Times New Roman"/>
          <w:noProof/>
        </w:rPr>
        <w:t xml:space="preserve">Obiectivul măsurii este de a </w:t>
      </w:r>
      <w:r>
        <w:rPr>
          <w:rFonts w:ascii="Times New Roman" w:hAnsi="Times New Roman" w:cs="Times New Roman"/>
          <w:noProof/>
          <w:szCs w:val="24"/>
        </w:rPr>
        <w:t>îmbunătăți calitatea, accesibilitatea și eficiența serviciilor sociale și de sănătate</w:t>
      </w:r>
      <w:r>
        <w:rPr>
          <w:rFonts w:ascii="Times New Roman" w:hAnsi="Times New Roman"/>
          <w:noProof/>
        </w:rPr>
        <w:t xml:space="preserve">. </w:t>
      </w:r>
    </w:p>
    <w:p w14:paraId="0420F6B0" w14:textId="4FD24D4C" w:rsidR="00702291" w:rsidRDefault="00712B31">
      <w:pPr>
        <w:pStyle w:val="P68B1DB1-Normal12"/>
        <w:spacing w:after="120" w:line="240" w:lineRule="auto"/>
        <w:jc w:val="both"/>
        <w:rPr>
          <w:rFonts w:ascii="Times New Roman" w:hAnsi="Times New Roman" w:cs="Times New Roman"/>
          <w:bCs/>
          <w:noProof/>
          <w:szCs w:val="24"/>
        </w:rPr>
      </w:pPr>
      <w:r>
        <w:rPr>
          <w:rFonts w:ascii="Times New Roman" w:hAnsi="Times New Roman" w:cs="Times New Roman"/>
          <w:noProof/>
          <w:szCs w:val="24"/>
        </w:rPr>
        <w:t>Măsura constă în renovarea unităților de asistență medicală și socială, precum și în furnizarea de echipamente conexe</w:t>
      </w:r>
      <w:r>
        <w:rPr>
          <w:rFonts w:ascii="Times New Roman" w:hAnsi="Times New Roman"/>
          <w:noProof/>
        </w:rPr>
        <w:t>.</w:t>
      </w:r>
      <w:r>
        <w:rPr>
          <w:rFonts w:ascii="Times New Roman" w:hAnsi="Times New Roman" w:cs="Times New Roman"/>
          <w:noProof/>
          <w:szCs w:val="24"/>
        </w:rPr>
        <w:t xml:space="preserve"> </w:t>
      </w:r>
    </w:p>
    <w:p w14:paraId="1DC8DD11" w14:textId="392AE54E" w:rsidR="00702291" w:rsidRDefault="00702291">
      <w:pPr>
        <w:spacing w:after="120" w:line="240" w:lineRule="auto"/>
        <w:jc w:val="both"/>
        <w:rPr>
          <w:rFonts w:ascii="Times New Roman" w:hAnsi="Times New Roman" w:cs="Times New Roman"/>
          <w:bCs/>
          <w:noProof/>
          <w:sz w:val="24"/>
          <w:szCs w:val="24"/>
        </w:rPr>
        <w:sectPr w:rsidR="00702291" w:rsidSect="009030B8">
          <w:headerReference w:type="even" r:id="rId94"/>
          <w:headerReference w:type="default" r:id="rId95"/>
          <w:footerReference w:type="even" r:id="rId96"/>
          <w:footerReference w:type="default" r:id="rId97"/>
          <w:headerReference w:type="first" r:id="rId98"/>
          <w:footerReference w:type="first" r:id="rId99"/>
          <w:pgSz w:w="11907" w:h="16839"/>
          <w:pgMar w:top="1134" w:right="1134" w:bottom="1134" w:left="1134" w:header="567" w:footer="567" w:gutter="0"/>
          <w:cols w:space="708"/>
          <w:docGrid w:linePitch="360"/>
        </w:sectPr>
      </w:pPr>
    </w:p>
    <w:p w14:paraId="3DD59205" w14:textId="736F4BDC" w:rsidR="00702291" w:rsidRDefault="00712B31">
      <w:pPr>
        <w:pStyle w:val="P68B1DB1-Heading310"/>
        <w:spacing w:before="0" w:after="120"/>
        <w:rPr>
          <w:noProof/>
        </w:rPr>
      </w:pPr>
      <w:r>
        <w:rPr>
          <w:noProof/>
        </w:rPr>
        <w:t xml:space="preserve">G.2. </w:t>
      </w:r>
      <w:r>
        <w:rPr>
          <w:noProof/>
        </w:rPr>
        <w:tab/>
        <w:t>Jaloane, ținte, indicatori și calendarul de monitorizare și implementare aplicabile sprijinului financiar nerambursabil</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1"/>
        <w:gridCol w:w="1248"/>
        <w:gridCol w:w="1212"/>
        <w:gridCol w:w="2502"/>
        <w:gridCol w:w="1552"/>
        <w:gridCol w:w="1044"/>
        <w:gridCol w:w="829"/>
        <w:gridCol w:w="870"/>
        <w:gridCol w:w="800"/>
        <w:gridCol w:w="896"/>
        <w:gridCol w:w="3623"/>
      </w:tblGrid>
      <w:tr w:rsidR="00702291" w14:paraId="36450DA5" w14:textId="77777777">
        <w:trPr>
          <w:trHeight w:val="300"/>
          <w:tblHeader/>
          <w:jc w:val="center"/>
        </w:trPr>
        <w:tc>
          <w:tcPr>
            <w:tcW w:w="73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4F902D" w14:textId="77777777" w:rsidR="00702291" w:rsidRDefault="00712B31">
            <w:pPr>
              <w:pStyle w:val="P68B1DB1-Normal37"/>
              <w:spacing w:after="120" w:line="240" w:lineRule="auto"/>
              <w:jc w:val="center"/>
              <w:textAlignment w:val="baseline"/>
              <w:rPr>
                <w:noProof/>
              </w:rPr>
            </w:pPr>
            <w:r>
              <w:rPr>
                <w:noProof/>
              </w:rPr>
              <w:t>Număr Număr</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5AD755" w14:textId="77777777" w:rsidR="00702291" w:rsidRDefault="00712B31">
            <w:pPr>
              <w:pStyle w:val="P68B1DB1-Normal37"/>
              <w:spacing w:after="120" w:line="240" w:lineRule="auto"/>
              <w:jc w:val="center"/>
              <w:textAlignment w:val="baseline"/>
              <w:rPr>
                <w:rFonts w:eastAsiaTheme="minorHAnsi"/>
                <w:noProof/>
              </w:rPr>
            </w:pPr>
            <w:r>
              <w:rPr>
                <w:noProof/>
              </w:rPr>
              <w:t>Măsură conexă (reformă sau investiții)</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038834" w14:textId="77777777" w:rsidR="00702291" w:rsidRDefault="00712B31">
            <w:pPr>
              <w:pStyle w:val="P68B1DB1-Normal37"/>
              <w:spacing w:after="120" w:line="240" w:lineRule="auto"/>
              <w:jc w:val="center"/>
              <w:textAlignment w:val="baseline"/>
              <w:rPr>
                <w:rFonts w:eastAsiaTheme="minorHAnsi"/>
                <w:noProof/>
              </w:rPr>
            </w:pPr>
            <w:r>
              <w:rPr>
                <w:noProof/>
              </w:rPr>
              <w:t>Etapă</w:t>
            </w:r>
            <w:r>
              <w:rPr>
                <w:noProof/>
              </w:rPr>
              <w:br/>
              <w:t>/Țintei</w:t>
            </w:r>
          </w:p>
        </w:tc>
        <w:tc>
          <w:tcPr>
            <w:tcW w:w="25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8D3929" w14:textId="77777777" w:rsidR="00702291" w:rsidRDefault="00712B31">
            <w:pPr>
              <w:pStyle w:val="P68B1DB1-Normal37"/>
              <w:spacing w:after="120" w:line="240" w:lineRule="auto"/>
              <w:jc w:val="center"/>
              <w:textAlignment w:val="baseline"/>
              <w:rPr>
                <w:rFonts w:eastAsiaTheme="minorHAnsi"/>
                <w:noProof/>
              </w:rPr>
            </w:pPr>
            <w:r>
              <w:rPr>
                <w:noProof/>
              </w:rPr>
              <w:t>Nume</w:t>
            </w:r>
          </w:p>
        </w:tc>
        <w:tc>
          <w:tcPr>
            <w:tcW w:w="15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D6C6EB" w14:textId="0A4B6596" w:rsidR="00702291" w:rsidRDefault="00712B31">
            <w:pPr>
              <w:pStyle w:val="P68B1DB1-Normal32"/>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74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099E3DC" w14:textId="4692C6AC" w:rsidR="00702291" w:rsidRDefault="00712B31">
            <w:pPr>
              <w:pStyle w:val="P68B1DB1-Normal32"/>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65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AC75B7F" w14:textId="364245C9" w:rsidR="00702291" w:rsidRDefault="00712B31">
            <w:pPr>
              <w:pStyle w:val="P68B1DB1-Normal37"/>
              <w:spacing w:after="120" w:line="240" w:lineRule="auto"/>
              <w:jc w:val="center"/>
              <w:textAlignment w:val="baseline"/>
              <w:rPr>
                <w:rFonts w:eastAsiaTheme="minorHAnsi"/>
                <w:noProof/>
              </w:rPr>
            </w:pPr>
            <w:r>
              <w:rPr>
                <w:noProof/>
              </w:rPr>
              <w:t xml:space="preserve">Calendar orientativ pentru finalizare </w:t>
            </w:r>
          </w:p>
        </w:tc>
        <w:tc>
          <w:tcPr>
            <w:tcW w:w="363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0DD22F" w14:textId="77777777" w:rsidR="00702291" w:rsidRDefault="00712B31">
            <w:pPr>
              <w:pStyle w:val="P68B1DB1-Normal37"/>
              <w:spacing w:after="120" w:line="240" w:lineRule="auto"/>
              <w:jc w:val="center"/>
              <w:textAlignment w:val="baseline"/>
              <w:rPr>
                <w:rFonts w:eastAsiaTheme="minorHAnsi"/>
                <w:noProof/>
              </w:rPr>
            </w:pPr>
            <w:r>
              <w:rPr>
                <w:noProof/>
              </w:rPr>
              <w:t>Descrierea fiecărui jalon și a fiecărei ținte</w:t>
            </w:r>
          </w:p>
        </w:tc>
      </w:tr>
      <w:tr w:rsidR="00702291" w14:paraId="6FDC91C8" w14:textId="77777777">
        <w:trPr>
          <w:trHeight w:val="975"/>
          <w:tblHeader/>
          <w:jc w:val="center"/>
        </w:trPr>
        <w:tc>
          <w:tcPr>
            <w:tcW w:w="731" w:type="dxa"/>
            <w:vMerge/>
            <w:tcBorders>
              <w:top w:val="single" w:sz="4" w:space="0" w:color="auto"/>
              <w:left w:val="single" w:sz="4" w:space="0" w:color="auto"/>
              <w:bottom w:val="single" w:sz="4" w:space="0" w:color="auto"/>
              <w:right w:val="single" w:sz="4" w:space="0" w:color="auto"/>
            </w:tcBorders>
            <w:vAlign w:val="center"/>
            <w:hideMark/>
          </w:tcPr>
          <w:p w14:paraId="1229521A" w14:textId="77777777" w:rsidR="00702291" w:rsidRDefault="00702291">
            <w:pPr>
              <w:spacing w:after="120" w:line="240" w:lineRule="auto"/>
              <w:jc w:val="center"/>
              <w:rPr>
                <w:rFonts w:ascii="Times New Roman" w:hAnsi="Times New Roman" w:cs="Times New Roman"/>
                <w:noProof/>
                <w:sz w:val="18"/>
                <w:szCs w:val="18"/>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563F7D25" w14:textId="77777777" w:rsidR="00702291" w:rsidRDefault="00702291">
            <w:pPr>
              <w:spacing w:after="120" w:line="240" w:lineRule="auto"/>
              <w:jc w:val="center"/>
              <w:rPr>
                <w:rFonts w:ascii="Times New Roman" w:hAnsi="Times New Roman" w:cs="Times New Roman"/>
                <w:noProof/>
                <w:sz w:val="18"/>
                <w:szCs w:val="18"/>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14:paraId="5CB0DC24" w14:textId="77777777" w:rsidR="00702291" w:rsidRDefault="00702291">
            <w:pPr>
              <w:spacing w:after="120" w:line="240" w:lineRule="auto"/>
              <w:jc w:val="center"/>
              <w:rPr>
                <w:rFonts w:ascii="Times New Roman" w:hAnsi="Times New Roman" w:cs="Times New Roman"/>
                <w:noProof/>
                <w:sz w:val="18"/>
                <w:szCs w:val="18"/>
              </w:rPr>
            </w:pPr>
          </w:p>
        </w:tc>
        <w:tc>
          <w:tcPr>
            <w:tcW w:w="2512" w:type="dxa"/>
            <w:vMerge/>
            <w:tcBorders>
              <w:top w:val="single" w:sz="4" w:space="0" w:color="auto"/>
              <w:left w:val="single" w:sz="4" w:space="0" w:color="auto"/>
              <w:bottom w:val="single" w:sz="4" w:space="0" w:color="auto"/>
              <w:right w:val="single" w:sz="4" w:space="0" w:color="auto"/>
            </w:tcBorders>
            <w:vAlign w:val="center"/>
            <w:hideMark/>
          </w:tcPr>
          <w:p w14:paraId="07FA39E8" w14:textId="77777777" w:rsidR="00702291" w:rsidRDefault="00702291">
            <w:pPr>
              <w:spacing w:after="120" w:line="240" w:lineRule="auto"/>
              <w:jc w:val="center"/>
              <w:rPr>
                <w:rFonts w:ascii="Times New Roman" w:hAnsi="Times New Roman" w:cs="Times New Roman"/>
                <w:noProof/>
                <w:sz w:val="18"/>
                <w:szCs w:val="18"/>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14:paraId="258C312E" w14:textId="77777777" w:rsidR="00702291" w:rsidRDefault="00702291">
            <w:pPr>
              <w:spacing w:after="120" w:line="240" w:lineRule="auto"/>
              <w:jc w:val="center"/>
              <w:rPr>
                <w:rFonts w:ascii="Times New Roman" w:hAnsi="Times New Roman" w:cs="Times New Roman"/>
                <w:noProof/>
                <w:sz w:val="18"/>
                <w:szCs w:val="18"/>
              </w:rPr>
            </w:pPr>
          </w:p>
        </w:tc>
        <w:tc>
          <w:tcPr>
            <w:tcW w:w="104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E477886" w14:textId="77777777" w:rsidR="00702291" w:rsidRDefault="00712B31">
            <w:pPr>
              <w:pStyle w:val="P68B1DB1-Normal37"/>
              <w:spacing w:after="120" w:line="240" w:lineRule="auto"/>
              <w:jc w:val="center"/>
              <w:textAlignment w:val="baseline"/>
              <w:rPr>
                <w:rFonts w:eastAsiaTheme="minorHAnsi"/>
                <w:noProof/>
              </w:rPr>
            </w:pPr>
            <w:r>
              <w:rPr>
                <w:noProof/>
              </w:rPr>
              <w:t>Unitatea de măsură</w:t>
            </w:r>
          </w:p>
        </w:tc>
        <w:tc>
          <w:tcPr>
            <w:tcW w:w="8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E752BE" w14:textId="77777777" w:rsidR="00702291" w:rsidRDefault="00712B31">
            <w:pPr>
              <w:pStyle w:val="P68B1DB1-Normal37"/>
              <w:spacing w:after="120" w:line="240" w:lineRule="auto"/>
              <w:jc w:val="center"/>
              <w:textAlignment w:val="baseline"/>
              <w:rPr>
                <w:rFonts w:eastAsiaTheme="minorHAnsi"/>
                <w:noProof/>
              </w:rPr>
            </w:pPr>
            <w:r>
              <w:rPr>
                <w:noProof/>
              </w:rPr>
              <w:t>Situația de referință</w:t>
            </w:r>
          </w:p>
        </w:tc>
        <w:tc>
          <w:tcPr>
            <w:tcW w:w="87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5E275A" w14:textId="77777777" w:rsidR="00702291" w:rsidRDefault="00712B31">
            <w:pPr>
              <w:pStyle w:val="P68B1DB1-Normal37"/>
              <w:spacing w:after="120" w:line="240" w:lineRule="auto"/>
              <w:jc w:val="center"/>
              <w:textAlignment w:val="baseline"/>
              <w:rPr>
                <w:rFonts w:eastAsiaTheme="minorHAnsi"/>
                <w:noProof/>
              </w:rPr>
            </w:pPr>
            <w:r>
              <w:rPr>
                <w:noProof/>
              </w:rPr>
              <w:t>Obiectiv</w:t>
            </w:r>
          </w:p>
        </w:tc>
        <w:tc>
          <w:tcPr>
            <w:tcW w:w="75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E1889DA" w14:textId="77777777" w:rsidR="00702291" w:rsidRDefault="00712B31">
            <w:pPr>
              <w:pStyle w:val="P68B1DB1-Normal37"/>
              <w:spacing w:after="120" w:line="240" w:lineRule="auto"/>
              <w:jc w:val="center"/>
              <w:textAlignment w:val="baseline"/>
              <w:rPr>
                <w:rFonts w:eastAsiaTheme="minorHAnsi"/>
                <w:noProof/>
              </w:rPr>
            </w:pPr>
            <w:r>
              <w:rPr>
                <w:noProof/>
              </w:rPr>
              <w:t>Trimestru</w:t>
            </w:r>
          </w:p>
        </w:tc>
        <w:tc>
          <w:tcPr>
            <w:tcW w:w="9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E6D4815" w14:textId="77777777" w:rsidR="00702291" w:rsidRDefault="00712B31">
            <w:pPr>
              <w:pStyle w:val="P68B1DB1-Normal37"/>
              <w:spacing w:after="120" w:line="240" w:lineRule="auto"/>
              <w:jc w:val="center"/>
              <w:textAlignment w:val="baseline"/>
              <w:rPr>
                <w:rFonts w:eastAsiaTheme="minorHAnsi"/>
                <w:noProof/>
              </w:rPr>
            </w:pPr>
            <w:r>
              <w:rPr>
                <w:noProof/>
              </w:rPr>
              <w:t>Anul</w:t>
            </w:r>
          </w:p>
        </w:tc>
        <w:tc>
          <w:tcPr>
            <w:tcW w:w="3639" w:type="dxa"/>
            <w:vMerge/>
            <w:vAlign w:val="center"/>
            <w:hideMark/>
          </w:tcPr>
          <w:p w14:paraId="7173504D" w14:textId="77777777" w:rsidR="00702291" w:rsidRDefault="00702291">
            <w:pPr>
              <w:spacing w:after="120" w:line="240" w:lineRule="auto"/>
              <w:rPr>
                <w:rFonts w:ascii="Times New Roman" w:hAnsi="Times New Roman" w:cs="Times New Roman"/>
                <w:noProof/>
                <w:sz w:val="18"/>
                <w:szCs w:val="18"/>
              </w:rPr>
            </w:pPr>
          </w:p>
        </w:tc>
      </w:tr>
      <w:tr w:rsidR="00702291" w14:paraId="263EAFC2" w14:textId="77777777">
        <w:trPr>
          <w:trHeight w:val="915"/>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tcPr>
          <w:p w14:paraId="7BD19093" w14:textId="63AFA3E9" w:rsidR="00702291" w:rsidRDefault="00712B31">
            <w:pPr>
              <w:pStyle w:val="P68B1DB1-Normal32"/>
              <w:spacing w:after="120" w:line="240" w:lineRule="auto"/>
              <w:rPr>
                <w:noProof/>
              </w:rPr>
            </w:pPr>
            <w:r>
              <w:rPr>
                <w:noProof/>
              </w:rPr>
              <w:t>49</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tcPr>
          <w:p w14:paraId="31A45F66" w14:textId="643006B9" w:rsidR="00702291" w:rsidRDefault="00712B31">
            <w:pPr>
              <w:pStyle w:val="P68B1DB1-Normal32"/>
              <w:spacing w:after="120" w:line="240" w:lineRule="auto"/>
              <w:rPr>
                <w:rFonts w:eastAsiaTheme="minorHAnsi"/>
                <w:noProof/>
              </w:rPr>
            </w:pPr>
            <w:r>
              <w:rPr>
                <w:noProof/>
              </w:rPr>
              <w:t>C7.R1 Eradicarea plăților gratuite în sectorul asistenței medicale</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tcPr>
          <w:p w14:paraId="09EC999C" w14:textId="360FD8B3" w:rsidR="00702291" w:rsidRDefault="00712B31">
            <w:pPr>
              <w:pStyle w:val="P68B1DB1-Normal32"/>
              <w:spacing w:after="120" w:line="240" w:lineRule="auto"/>
              <w:rPr>
                <w:rFonts w:eastAsiaTheme="minorHAnsi"/>
                <w:noProof/>
              </w:rPr>
            </w:pPr>
            <w:r>
              <w:rPr>
                <w:noProof/>
              </w:rPr>
              <w:t xml:space="preserve"> Etapă </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tcPr>
          <w:p w14:paraId="70DC089A" w14:textId="49D69B9A" w:rsidR="00702291" w:rsidRDefault="00712B31">
            <w:pPr>
              <w:pStyle w:val="P68B1DB1-Normal32"/>
              <w:spacing w:after="120" w:line="240" w:lineRule="auto"/>
              <w:rPr>
                <w:rFonts w:eastAsiaTheme="minorHAnsi"/>
                <w:noProof/>
              </w:rPr>
            </w:pPr>
            <w:r>
              <w:rPr>
                <w:noProof/>
              </w:rPr>
              <w:t>Intrarea în vigoare a actului (actelor) juridic (e) privind eradicarea practicii plății gratuite </w:t>
            </w: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tcPr>
          <w:p w14:paraId="4442FFD2" w14:textId="073A0F08" w:rsidR="00702291" w:rsidRDefault="00712B31">
            <w:pPr>
              <w:pStyle w:val="P68B1DB1-Normal32"/>
              <w:spacing w:after="120" w:line="240" w:lineRule="auto"/>
              <w:rPr>
                <w:rFonts w:eastAsiaTheme="minorHAnsi"/>
                <w:noProof/>
              </w:rPr>
            </w:pPr>
            <w:r>
              <w:rPr>
                <w:noProof/>
              </w:rPr>
              <w:t xml:space="preserve">Dispoziție din actul (actele) juridic (e) care indică intrarea sa în vigoare </w:t>
            </w: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tcPr>
          <w:p w14:paraId="595CE923" w14:textId="5B459D98" w:rsidR="00702291" w:rsidRDefault="00712B31">
            <w:pPr>
              <w:pStyle w:val="P68B1DB1-Normal32"/>
              <w:spacing w:after="120" w:line="240" w:lineRule="auto"/>
              <w:rPr>
                <w:rFonts w:eastAsiaTheme="minorHAnsi"/>
                <w:noProof/>
              </w:rPr>
            </w:pPr>
            <w:r>
              <w:rPr>
                <w:noProof/>
              </w:rPr>
              <w:t xml:space="preserve"> </w:t>
            </w: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tcPr>
          <w:p w14:paraId="5C68D95A" w14:textId="750CF560" w:rsidR="00702291" w:rsidRDefault="00712B31">
            <w:pPr>
              <w:pStyle w:val="P68B1DB1-Normal32"/>
              <w:spacing w:after="120" w:line="240" w:lineRule="auto"/>
              <w:rPr>
                <w:rFonts w:eastAsiaTheme="minorHAnsi"/>
                <w:noProof/>
              </w:rPr>
            </w:pPr>
            <w:r>
              <w:rPr>
                <w:noProof/>
              </w:rPr>
              <w:t xml:space="preserve"> </w:t>
            </w: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tcPr>
          <w:p w14:paraId="3D673247" w14:textId="43A0549B" w:rsidR="00702291" w:rsidRDefault="00712B31">
            <w:pPr>
              <w:pStyle w:val="P68B1DB1-Normal32"/>
              <w:spacing w:after="120" w:line="240" w:lineRule="auto"/>
              <w:rPr>
                <w:rFonts w:eastAsiaTheme="minorHAnsi"/>
                <w:noProof/>
              </w:rPr>
            </w:pPr>
            <w:r>
              <w:rPr>
                <w:noProof/>
              </w:rPr>
              <w:t xml:space="preserve"> </w:t>
            </w: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tcPr>
          <w:p w14:paraId="3B00ACCD" w14:textId="3A3A3EA0" w:rsidR="00702291" w:rsidRDefault="00F233DB">
            <w:pPr>
              <w:pStyle w:val="P68B1DB1-Normal32"/>
              <w:spacing w:after="120" w:line="240" w:lineRule="auto"/>
              <w:jc w:val="center"/>
              <w:rPr>
                <w:rFonts w:eastAsiaTheme="minorHAnsi"/>
                <w:noProof/>
              </w:rPr>
            </w:pPr>
            <w:r>
              <w:rPr>
                <w:noProof/>
              </w:rPr>
              <w:t>T2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tcPr>
          <w:p w14:paraId="23F21A9A" w14:textId="16F198D6" w:rsidR="00702291" w:rsidRDefault="00712B31">
            <w:pPr>
              <w:pStyle w:val="P68B1DB1-Normal32"/>
              <w:spacing w:after="120" w:line="240" w:lineRule="auto"/>
              <w:jc w:val="center"/>
              <w:rPr>
                <w:rFonts w:eastAsiaTheme="minorHAnsi"/>
                <w:noProof/>
              </w:rPr>
            </w:pPr>
            <w:r>
              <w:rPr>
                <w:noProof/>
              </w:rPr>
              <w:t>2026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tcPr>
          <w:p w14:paraId="19F34F87" w14:textId="590F3722" w:rsidR="00702291" w:rsidRDefault="00712B31">
            <w:pPr>
              <w:pStyle w:val="P68B1DB1-Normal32"/>
              <w:spacing w:after="120" w:line="240" w:lineRule="auto"/>
              <w:ind w:left="52"/>
              <w:rPr>
                <w:noProof/>
              </w:rPr>
            </w:pPr>
            <w:r>
              <w:rPr>
                <w:noProof/>
              </w:rPr>
              <w:t xml:space="preserve">Intrarea în vigoare a unui act juridic care reglementează contractul de muncă al furnizorilor de servicii medicale deținuți de stat, eliminarea și incriminarea plăților de gratuitate și salariul pentru medici în temeiul noului contract de muncă. </w:t>
            </w:r>
          </w:p>
        </w:tc>
      </w:tr>
      <w:tr w:rsidR="00702291" w14:paraId="7AD11018" w14:textId="77777777">
        <w:trPr>
          <w:trHeight w:val="553"/>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tcPr>
          <w:p w14:paraId="161F00B5" w14:textId="30AA0AC5" w:rsidR="00702291" w:rsidRDefault="00712B31">
            <w:pPr>
              <w:pStyle w:val="P68B1DB1-Normal32"/>
              <w:spacing w:after="120" w:line="240" w:lineRule="auto"/>
              <w:textAlignment w:val="baseline"/>
              <w:rPr>
                <w:noProof/>
              </w:rPr>
            </w:pPr>
            <w:r>
              <w:rPr>
                <w:noProof/>
              </w:rPr>
              <w:t>50</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tcPr>
          <w:p w14:paraId="3E6AEFDA" w14:textId="066BEE87" w:rsidR="00702291" w:rsidRDefault="00712B31">
            <w:pPr>
              <w:pStyle w:val="P68B1DB1-Normal41"/>
              <w:spacing w:after="120" w:line="240" w:lineRule="auto"/>
              <w:textAlignment w:val="baseline"/>
              <w:rPr>
                <w:noProof/>
              </w:rPr>
            </w:pPr>
            <w:r>
              <w:rPr>
                <w:noProof/>
              </w:rPr>
              <w:t xml:space="preserve">C7.I1 Modernizarea sistemului de sănătate pentru secolul 21 </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tcPr>
          <w:p w14:paraId="27805EB4" w14:textId="269FD607" w:rsidR="00702291" w:rsidRDefault="00712B31">
            <w:pPr>
              <w:pStyle w:val="P68B1DB1-Normal27"/>
              <w:spacing w:after="120" w:line="240" w:lineRule="auto"/>
              <w:textAlignment w:val="baseline"/>
              <w:rPr>
                <w:noProof/>
              </w:rPr>
            </w:pPr>
            <w:r>
              <w:rPr>
                <w:noProof/>
              </w:rPr>
              <w:t xml:space="preserve"> Etapă</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tcPr>
          <w:p w14:paraId="390A38A9" w14:textId="24F33316" w:rsidR="00702291" w:rsidRDefault="00712B31">
            <w:pPr>
              <w:pStyle w:val="P68B1DB1-Normal27"/>
              <w:spacing w:after="120" w:line="240" w:lineRule="auto"/>
              <w:textAlignment w:val="baseline"/>
              <w:rPr>
                <w:noProof/>
              </w:rPr>
            </w:pPr>
            <w:r>
              <w:rPr>
                <w:noProof/>
                <w:color w:val="000000" w:themeColor="text1"/>
              </w:rPr>
              <w:t>Renovarea unităților medicale și modernizarea echipamentelor medicale</w:t>
            </w:r>
            <w:r>
              <w:rPr>
                <w:noProof/>
              </w:rPr>
              <w:t xml:space="preserve"> </w:t>
            </w:r>
          </w:p>
          <w:p w14:paraId="02BDF76F" w14:textId="3C83BC65" w:rsidR="00702291" w:rsidRDefault="00702291">
            <w:pPr>
              <w:spacing w:after="120" w:line="240" w:lineRule="auto"/>
              <w:textAlignment w:val="baseline"/>
              <w:rPr>
                <w:rFonts w:ascii="Times New Roman" w:eastAsia="Times New Roman" w:hAnsi="Times New Roman" w:cs="Times New Roman"/>
                <w:noProof/>
                <w:sz w:val="18"/>
                <w:szCs w:val="18"/>
              </w:rPr>
            </w:pP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tcPr>
          <w:p w14:paraId="4CCA2135" w14:textId="20FB8F9D" w:rsidR="00702291" w:rsidRDefault="00712B31">
            <w:pPr>
              <w:pStyle w:val="P68B1DB1-Normal41"/>
              <w:spacing w:after="120" w:line="240" w:lineRule="auto"/>
              <w:textAlignment w:val="baseline"/>
              <w:rPr>
                <w:noProof/>
              </w:rPr>
            </w:pPr>
            <w:r>
              <w:rPr>
                <w:noProof/>
              </w:rPr>
              <w:t>Plata fondurilor</w:t>
            </w: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tcPr>
          <w:p w14:paraId="0168DDD4" w14:textId="43FFD7C8" w:rsidR="00702291" w:rsidRDefault="00702291">
            <w:pPr>
              <w:spacing w:after="120" w:line="240" w:lineRule="auto"/>
              <w:textAlignment w:val="baseline"/>
              <w:rPr>
                <w:rFonts w:ascii="Times New Roman" w:hAnsi="Times New Roman" w:cs="Times New Roman"/>
                <w:noProof/>
                <w:sz w:val="18"/>
                <w:szCs w:val="18"/>
              </w:rPr>
            </w:pP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tcPr>
          <w:p w14:paraId="2F12C3E4" w14:textId="4905EF98" w:rsidR="00702291" w:rsidRDefault="00702291">
            <w:pPr>
              <w:spacing w:after="120" w:line="240" w:lineRule="auto"/>
              <w:jc w:val="center"/>
              <w:textAlignment w:val="baseline"/>
              <w:rPr>
                <w:rFonts w:ascii="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tcPr>
          <w:p w14:paraId="7DF1CC4E" w14:textId="48475D87" w:rsidR="00702291" w:rsidRDefault="00702291">
            <w:pPr>
              <w:spacing w:after="120" w:line="240" w:lineRule="auto"/>
              <w:jc w:val="center"/>
              <w:textAlignment w:val="baseline"/>
              <w:rPr>
                <w:rFonts w:ascii="Times New Roman" w:hAnsi="Times New Roman" w:cs="Times New Roman"/>
                <w:noProof/>
                <w:sz w:val="18"/>
                <w:szCs w:val="18"/>
              </w:rPr>
            </w:pP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tcPr>
          <w:p w14:paraId="4037C6CE" w14:textId="675F962B" w:rsidR="00702291" w:rsidRDefault="00F233DB">
            <w:pPr>
              <w:pStyle w:val="P68B1DB1-Normal32"/>
              <w:spacing w:after="120" w:line="240" w:lineRule="auto"/>
              <w:jc w:val="center"/>
              <w:textAlignment w:val="baseline"/>
              <w:rPr>
                <w:rFonts w:eastAsiaTheme="minorHAnsi"/>
                <w:noProof/>
              </w:rPr>
            </w:pPr>
            <w:r>
              <w:rPr>
                <w:noProof/>
              </w:rPr>
              <w:t>T2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tcPr>
          <w:p w14:paraId="36D2B5D0" w14:textId="00CAE3BE" w:rsidR="00702291" w:rsidRDefault="00712B31">
            <w:pPr>
              <w:pStyle w:val="P68B1DB1-Normal32"/>
              <w:spacing w:after="120" w:line="240" w:lineRule="auto"/>
              <w:jc w:val="center"/>
              <w:textAlignment w:val="baseline"/>
              <w:rPr>
                <w:rFonts w:eastAsiaTheme="minorHAnsi"/>
                <w:noProof/>
              </w:rPr>
            </w:pPr>
            <w:r>
              <w:rPr>
                <w:noProof/>
              </w:rPr>
              <w:t>2026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tcPr>
          <w:p w14:paraId="4C95B265" w14:textId="0FBE1EC7" w:rsidR="00702291" w:rsidRDefault="00712B31">
            <w:pPr>
              <w:pStyle w:val="P68B1DB1-Normal41"/>
              <w:spacing w:after="120" w:line="240" w:lineRule="auto"/>
              <w:textAlignment w:val="baseline"/>
              <w:rPr>
                <w:rFonts w:eastAsiaTheme="minorHAnsi"/>
                <w:noProof/>
              </w:rPr>
            </w:pPr>
            <w:r>
              <w:rPr>
                <w:noProof/>
              </w:rPr>
              <w:t>Plata unor fonduri în valoare de 240 de milioane EUR pentru investiții în infrastructura de asistență medicală și în renovarea echipamentelor medicale.</w:t>
            </w:r>
          </w:p>
        </w:tc>
      </w:tr>
      <w:tr w:rsidR="00702291" w14:paraId="256652D9" w14:textId="77777777">
        <w:trPr>
          <w:trHeight w:val="915"/>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2C97C8" w14:textId="3C59A4FB" w:rsidR="00702291" w:rsidRDefault="00712B31">
            <w:pPr>
              <w:pStyle w:val="P68B1DB1-Normal32"/>
              <w:spacing w:after="120" w:line="240" w:lineRule="auto"/>
              <w:textAlignment w:val="baseline"/>
              <w:rPr>
                <w:noProof/>
              </w:rPr>
            </w:pPr>
            <w:r>
              <w:rPr>
                <w:noProof/>
              </w:rPr>
              <w:t>51</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C78376" w14:textId="3FCAFFF8" w:rsidR="00702291" w:rsidRDefault="00712B31">
            <w:pPr>
              <w:pStyle w:val="P68B1DB1-Normal32"/>
              <w:spacing w:after="120" w:line="240" w:lineRule="auto"/>
              <w:textAlignment w:val="baseline"/>
              <w:rPr>
                <w:rFonts w:eastAsiaTheme="minorHAnsi"/>
                <w:noProof/>
              </w:rPr>
            </w:pPr>
            <w:r>
              <w:rPr>
                <w:noProof/>
              </w:rPr>
              <w:t xml:space="preserve">C7.I2 Sprijinirea transformării digitale a sănătății </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40B1B5D" w14:textId="69CA958C" w:rsidR="00702291" w:rsidRDefault="00712B31">
            <w:pPr>
              <w:pStyle w:val="P68B1DB1-Normal32"/>
              <w:spacing w:after="120" w:line="240" w:lineRule="auto"/>
              <w:textAlignment w:val="baseline"/>
              <w:rPr>
                <w:noProof/>
              </w:rPr>
            </w:pPr>
            <w:r>
              <w:rPr>
                <w:noProof/>
              </w:rPr>
              <w:t xml:space="preserve"> Etapă</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257BEE" w14:textId="5357115D" w:rsidR="00702291" w:rsidRDefault="00712B31">
            <w:pPr>
              <w:pStyle w:val="P68B1DB1-Normal32"/>
              <w:spacing w:after="120" w:line="240" w:lineRule="auto"/>
              <w:textAlignment w:val="baseline"/>
              <w:rPr>
                <w:noProof/>
              </w:rPr>
            </w:pPr>
            <w:r>
              <w:rPr>
                <w:noProof/>
              </w:rPr>
              <w:t xml:space="preserve">Extinderea funcțiilor și procedurilor de sănătate online </w:t>
            </w: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101553" w14:textId="561B0999" w:rsidR="00702291" w:rsidRDefault="00712B31">
            <w:pPr>
              <w:pStyle w:val="P68B1DB1-Normal41"/>
              <w:spacing w:after="120" w:line="240" w:lineRule="auto"/>
              <w:textAlignment w:val="baseline"/>
              <w:rPr>
                <w:noProof/>
              </w:rPr>
            </w:pPr>
            <w:r>
              <w:rPr>
                <w:noProof/>
              </w:rPr>
              <w:t>Lista de registre ale aplicațiilor mobile</w:t>
            </w: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0F1660" w14:textId="593E27A3" w:rsidR="00702291" w:rsidRDefault="00702291">
            <w:pPr>
              <w:spacing w:after="120" w:line="240" w:lineRule="auto"/>
              <w:jc w:val="center"/>
              <w:textAlignment w:val="baseline"/>
              <w:rPr>
                <w:rFonts w:ascii="Times New Roman" w:hAnsi="Times New Roman" w:cs="Times New Roman"/>
                <w:noProof/>
                <w:sz w:val="18"/>
                <w:szCs w:val="18"/>
              </w:rPr>
            </w:pP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DA3937" w14:textId="40837115" w:rsidR="00702291" w:rsidRDefault="00702291">
            <w:pPr>
              <w:spacing w:after="120" w:line="240" w:lineRule="auto"/>
              <w:jc w:val="center"/>
              <w:textAlignment w:val="baseline"/>
              <w:rPr>
                <w:rFonts w:ascii="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D1D2BD" w14:textId="0D95F671" w:rsidR="00702291" w:rsidRDefault="00702291">
            <w:pPr>
              <w:spacing w:after="120" w:line="240" w:lineRule="auto"/>
              <w:jc w:val="center"/>
              <w:textAlignment w:val="baseline"/>
              <w:rPr>
                <w:rFonts w:ascii="Times New Roman" w:hAnsi="Times New Roman" w:cs="Times New Roman"/>
                <w:noProof/>
                <w:sz w:val="18"/>
                <w:szCs w:val="18"/>
              </w:rPr>
            </w:pP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8E7BBE" w14:textId="787172F8" w:rsidR="00702291" w:rsidRDefault="00F233DB">
            <w:pPr>
              <w:pStyle w:val="P68B1DB1-Normal32"/>
              <w:spacing w:after="120" w:line="240" w:lineRule="auto"/>
              <w:jc w:val="center"/>
              <w:textAlignment w:val="baseline"/>
              <w:rPr>
                <w:rFonts w:eastAsiaTheme="minorHAnsi"/>
                <w:noProof/>
              </w:rPr>
            </w:pPr>
            <w:r>
              <w:rPr>
                <w:noProof/>
              </w:rPr>
              <w:t>T2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2E151E" w14:textId="05216E30" w:rsidR="00702291" w:rsidRDefault="00712B31">
            <w:pPr>
              <w:pStyle w:val="P68B1DB1-Normal32"/>
              <w:spacing w:after="120" w:line="240" w:lineRule="auto"/>
              <w:jc w:val="center"/>
              <w:textAlignment w:val="baseline"/>
              <w:rPr>
                <w:rFonts w:eastAsiaTheme="minorHAnsi"/>
                <w:noProof/>
              </w:rPr>
            </w:pPr>
            <w:r>
              <w:rPr>
                <w:noProof/>
              </w:rPr>
              <w:t>2026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4ED0BB8" w14:textId="05D50889" w:rsidR="00702291" w:rsidRDefault="00712B31">
            <w:pPr>
              <w:pStyle w:val="P68B1DB1-Normal32"/>
              <w:spacing w:after="120" w:line="240" w:lineRule="auto"/>
              <w:textAlignment w:val="baseline"/>
              <w:rPr>
                <w:noProof/>
              </w:rPr>
            </w:pPr>
            <w:r>
              <w:rPr>
                <w:noProof/>
              </w:rPr>
              <w:t>Funcțiile și procedurile noi sau modernizate sunt digitalizate sau online și accesibile prin intermediul sistemului de e-sănătate. Cel puțin 100 000 de utilizatori sunt înregistrați pentru aplicația mobilă EESZT.</w:t>
            </w:r>
          </w:p>
        </w:tc>
      </w:tr>
      <w:tr w:rsidR="00702291" w14:paraId="544282C3" w14:textId="77777777">
        <w:trPr>
          <w:trHeight w:val="2133"/>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B5035D" w14:textId="61AD9F17" w:rsidR="00702291" w:rsidRDefault="00712B31">
            <w:pPr>
              <w:pStyle w:val="P68B1DB1-Normal32"/>
              <w:spacing w:after="120" w:line="240" w:lineRule="auto"/>
              <w:textAlignment w:val="baseline"/>
              <w:rPr>
                <w:noProof/>
              </w:rPr>
            </w:pPr>
            <w:r>
              <w:rPr>
                <w:noProof/>
              </w:rPr>
              <w:t>52</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4EE5DE" w14:textId="03A108EC" w:rsidR="00702291" w:rsidRDefault="00712B31">
            <w:pPr>
              <w:pStyle w:val="P68B1DB1-Normal32"/>
              <w:spacing w:after="120" w:line="240" w:lineRule="auto"/>
              <w:textAlignment w:val="baseline"/>
              <w:rPr>
                <w:rFonts w:eastAsiaTheme="minorHAnsi"/>
                <w:noProof/>
              </w:rPr>
            </w:pPr>
            <w:r>
              <w:rPr>
                <w:noProof/>
              </w:rPr>
              <w:t>C7.I3 Dezvoltarea asistenței medicale primare</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D562BF" w14:textId="5CBD1FAD" w:rsidR="00702291" w:rsidRDefault="00712B31">
            <w:pPr>
              <w:pStyle w:val="P68B1DB1-Normal32"/>
              <w:spacing w:after="120" w:line="240" w:lineRule="auto"/>
              <w:textAlignment w:val="baseline"/>
              <w:rPr>
                <w:rFonts w:eastAsiaTheme="minorHAnsi"/>
                <w:noProof/>
              </w:rPr>
            </w:pPr>
            <w:r>
              <w:rPr>
                <w:noProof/>
              </w:rPr>
              <w:t xml:space="preserve"> Etapă</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39FED9" w14:textId="53F22C92" w:rsidR="00702291" w:rsidRDefault="00712B31">
            <w:pPr>
              <w:pStyle w:val="P68B1DB1-Normal32"/>
              <w:spacing w:after="120" w:line="240" w:lineRule="auto"/>
              <w:textAlignment w:val="baseline"/>
              <w:rPr>
                <w:noProof/>
              </w:rPr>
            </w:pPr>
            <w:r>
              <w:rPr>
                <w:noProof/>
              </w:rPr>
              <w:t>Programe de asistență medicală primară</w:t>
            </w: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F28CEB" w14:textId="27983570" w:rsidR="00702291" w:rsidRDefault="00712B31">
            <w:pPr>
              <w:pStyle w:val="P68B1DB1-Normal32"/>
              <w:spacing w:after="120" w:line="240" w:lineRule="auto"/>
              <w:textAlignment w:val="baseline"/>
              <w:rPr>
                <w:noProof/>
              </w:rPr>
            </w:pPr>
            <w:r>
              <w:rPr>
                <w:noProof/>
              </w:rPr>
              <w:t>Participarea medicilor generaliști și a pacienților la programe specifice</w:t>
            </w: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14F526" w14:textId="1546BF57" w:rsidR="00702291" w:rsidRDefault="00702291">
            <w:pPr>
              <w:spacing w:after="120" w:line="240" w:lineRule="auto"/>
              <w:jc w:val="center"/>
              <w:textAlignment w:val="baseline"/>
              <w:rPr>
                <w:rFonts w:ascii="Times New Roman" w:hAnsi="Times New Roman" w:cs="Times New Roman"/>
                <w:noProof/>
                <w:sz w:val="18"/>
                <w:szCs w:val="18"/>
              </w:rPr>
            </w:pP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0DB495" w14:textId="5627222E" w:rsidR="00702291" w:rsidRDefault="00702291">
            <w:pPr>
              <w:spacing w:after="120" w:line="240" w:lineRule="auto"/>
              <w:jc w:val="center"/>
              <w:textAlignment w:val="baseline"/>
              <w:rPr>
                <w:rFonts w:ascii="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D582AE" w14:textId="5FA909B0" w:rsidR="00702291" w:rsidRDefault="00702291">
            <w:pPr>
              <w:spacing w:after="120" w:line="240" w:lineRule="auto"/>
              <w:jc w:val="center"/>
              <w:textAlignment w:val="baseline"/>
              <w:rPr>
                <w:rFonts w:ascii="Times New Roman" w:hAnsi="Times New Roman" w:cs="Times New Roman"/>
                <w:noProof/>
                <w:sz w:val="18"/>
                <w:szCs w:val="18"/>
              </w:rPr>
            </w:pP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034325" w14:textId="4EB5DA30" w:rsidR="00702291" w:rsidRDefault="00F233DB">
            <w:pPr>
              <w:pStyle w:val="P68B1DB1-Normal32"/>
              <w:spacing w:after="120" w:line="240" w:lineRule="auto"/>
              <w:jc w:val="center"/>
              <w:textAlignment w:val="baseline"/>
              <w:rPr>
                <w:noProof/>
              </w:rPr>
            </w:pPr>
            <w:r>
              <w:rPr>
                <w:noProof/>
              </w:rPr>
              <w:t>T2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33DEE6" w14:textId="1B48F3B8" w:rsidR="00702291" w:rsidRDefault="00712B31">
            <w:pPr>
              <w:pStyle w:val="P68B1DB1-Normal32"/>
              <w:spacing w:after="120" w:line="240" w:lineRule="auto"/>
              <w:jc w:val="center"/>
              <w:textAlignment w:val="baseline"/>
              <w:rPr>
                <w:noProof/>
              </w:rPr>
            </w:pPr>
            <w:r>
              <w:rPr>
                <w:noProof/>
              </w:rPr>
              <w:t>2026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DDE144" w14:textId="39830923" w:rsidR="00702291" w:rsidRDefault="00712B31">
            <w:pPr>
              <w:pStyle w:val="P68B1DB1-Normal32"/>
              <w:spacing w:after="120" w:line="240" w:lineRule="auto"/>
              <w:textAlignment w:val="baseline"/>
              <w:rPr>
                <w:noProof/>
              </w:rPr>
            </w:pPr>
            <w:r>
              <w:rPr>
                <w:noProof/>
              </w:rPr>
              <w:t xml:space="preserve">Participarea a 4 000 medici generaliști în comunitățile praxis. </w:t>
            </w:r>
          </w:p>
          <w:p w14:paraId="4730D8D7" w14:textId="3908ED95" w:rsidR="00702291" w:rsidRDefault="00712B31">
            <w:pPr>
              <w:pStyle w:val="P68B1DB1-Normal32"/>
              <w:spacing w:after="120" w:line="240" w:lineRule="auto"/>
              <w:textAlignment w:val="baseline"/>
              <w:rPr>
                <w:noProof/>
              </w:rPr>
            </w:pPr>
            <w:r>
              <w:rPr>
                <w:noProof/>
              </w:rPr>
              <w:t>43 000 de pacienți cu boli cronice netransmisibile, de exemplu hipertensiune, boli cardiovasculare, diabet de tip II și bronhopneumopatie cronică obstructivă (BPOC) sunt înscriși în Programul de gestionare a bolilor cronice.</w:t>
            </w:r>
          </w:p>
          <w:p w14:paraId="2BFAEC28" w14:textId="617FEB51" w:rsidR="00702291" w:rsidRDefault="00712B31">
            <w:pPr>
              <w:pStyle w:val="P68B1DB1-Normal32"/>
              <w:spacing w:after="120" w:line="240" w:lineRule="auto"/>
              <w:textAlignment w:val="baseline"/>
              <w:rPr>
                <w:noProof/>
              </w:rPr>
            </w:pPr>
            <w:r>
              <w:rPr>
                <w:noProof/>
              </w:rPr>
              <w:t>25 000 de pacienți înscriși în programul de prevenție.</w:t>
            </w:r>
          </w:p>
        </w:tc>
      </w:tr>
      <w:tr w:rsidR="00702291" w14:paraId="4950A1FC" w14:textId="77777777">
        <w:trPr>
          <w:trHeight w:val="79"/>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tcPr>
          <w:p w14:paraId="1AA01DB3" w14:textId="4943E9B2" w:rsidR="00702291" w:rsidRDefault="00712B31">
            <w:pPr>
              <w:pStyle w:val="P68B1DB1-Normal32"/>
              <w:spacing w:after="120" w:line="240" w:lineRule="auto"/>
              <w:textAlignment w:val="baseline"/>
              <w:rPr>
                <w:noProof/>
              </w:rPr>
            </w:pPr>
            <w:r>
              <w:rPr>
                <w:noProof/>
              </w:rPr>
              <w:t>53</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tcPr>
          <w:p w14:paraId="0BA01952" w14:textId="3E291B35" w:rsidR="00702291" w:rsidRDefault="00712B31">
            <w:pPr>
              <w:pStyle w:val="P68B1DB1-Normal32"/>
              <w:spacing w:after="120" w:line="240" w:lineRule="auto"/>
              <w:textAlignment w:val="baseline"/>
              <w:rPr>
                <w:noProof/>
              </w:rPr>
            </w:pPr>
            <w:r>
              <w:rPr>
                <w:noProof/>
              </w:rPr>
              <w:t>C7.I4 Infrastructura locală de sănătate și socială</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tcPr>
          <w:p w14:paraId="17F82899" w14:textId="361ECB71" w:rsidR="00702291" w:rsidRDefault="00712B31">
            <w:pPr>
              <w:pStyle w:val="P68B1DB1-Normal32"/>
              <w:spacing w:after="120" w:line="240" w:lineRule="auto"/>
              <w:textAlignment w:val="baseline"/>
              <w:rPr>
                <w:noProof/>
              </w:rPr>
            </w:pPr>
            <w:r>
              <w:rPr>
                <w:noProof/>
              </w:rPr>
              <w:t xml:space="preserve"> Etapă</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tcPr>
          <w:p w14:paraId="263A25D6" w14:textId="69F81A76" w:rsidR="00702291" w:rsidRDefault="00712B31">
            <w:pPr>
              <w:pStyle w:val="P68B1DB1-Normal32"/>
              <w:spacing w:after="120" w:line="240" w:lineRule="auto"/>
              <w:textAlignment w:val="baseline"/>
              <w:rPr>
                <w:noProof/>
              </w:rPr>
            </w:pPr>
            <w:r>
              <w:rPr>
                <w:noProof/>
              </w:rPr>
              <w:t>Infrastructura locală de sănătate și socială</w:t>
            </w: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tcPr>
          <w:p w14:paraId="1FCA5BAF" w14:textId="4D693DB6" w:rsidR="00702291" w:rsidRDefault="00702291">
            <w:pPr>
              <w:spacing w:after="120" w:line="240" w:lineRule="auto"/>
              <w:textAlignment w:val="baseline"/>
              <w:rPr>
                <w:rFonts w:ascii="Times New Roman" w:hAnsi="Times New Roman" w:cs="Times New Roman"/>
                <w:noProof/>
                <w:sz w:val="18"/>
                <w:szCs w:val="18"/>
              </w:rPr>
            </w:pP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tcPr>
          <w:p w14:paraId="312C135B" w14:textId="3D3A3F81" w:rsidR="00702291" w:rsidRDefault="00712B31">
            <w:pPr>
              <w:pStyle w:val="P68B1DB1-Normal32"/>
              <w:spacing w:after="120" w:line="240" w:lineRule="auto"/>
              <w:jc w:val="center"/>
              <w:textAlignment w:val="baseline"/>
              <w:rPr>
                <w:noProof/>
              </w:rPr>
            </w:pPr>
            <w:r>
              <w:rPr>
                <w:noProof/>
              </w:rPr>
              <w:t>Număr</w:t>
            </w: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tcPr>
          <w:p w14:paraId="02EF482E" w14:textId="77777777" w:rsidR="00702291" w:rsidRDefault="00702291">
            <w:pPr>
              <w:spacing w:after="120" w:line="240" w:lineRule="auto"/>
              <w:jc w:val="center"/>
              <w:textAlignment w:val="baseline"/>
              <w:rPr>
                <w:rFonts w:ascii="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tcPr>
          <w:p w14:paraId="30B0B014" w14:textId="699E10C1" w:rsidR="00702291" w:rsidRDefault="00712B31">
            <w:pPr>
              <w:pStyle w:val="P68B1DB1-Normal32"/>
              <w:spacing w:after="120" w:line="240" w:lineRule="auto"/>
              <w:jc w:val="center"/>
              <w:textAlignment w:val="baseline"/>
              <w:rPr>
                <w:noProof/>
              </w:rPr>
            </w:pPr>
            <w:r>
              <w:rPr>
                <w:noProof/>
              </w:rPr>
              <w:t>60</w:t>
            </w: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tcPr>
          <w:p w14:paraId="055FBEEC" w14:textId="1E3D4FAB" w:rsidR="00702291" w:rsidRDefault="00F233DB">
            <w:pPr>
              <w:pStyle w:val="P68B1DB1-Normal32"/>
              <w:spacing w:after="120" w:line="240" w:lineRule="auto"/>
              <w:jc w:val="center"/>
              <w:textAlignment w:val="baseline"/>
              <w:rPr>
                <w:noProof/>
              </w:rPr>
            </w:pPr>
            <w:r>
              <w:rPr>
                <w:noProof/>
              </w:rPr>
              <w:t>T2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tcPr>
          <w:p w14:paraId="452C0B12" w14:textId="43D19DDE" w:rsidR="00702291" w:rsidRDefault="00712B31">
            <w:pPr>
              <w:pStyle w:val="P68B1DB1-Normal32"/>
              <w:spacing w:after="120" w:line="240" w:lineRule="auto"/>
              <w:jc w:val="center"/>
              <w:textAlignment w:val="baseline"/>
              <w:rPr>
                <w:noProof/>
              </w:rPr>
            </w:pPr>
            <w:r>
              <w:rPr>
                <w:noProof/>
              </w:rPr>
              <w:t>2026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tcPr>
          <w:p w14:paraId="45B1993D" w14:textId="1FB71B37" w:rsidR="00702291" w:rsidRDefault="00712B31">
            <w:pPr>
              <w:pStyle w:val="P68B1DB1-Normal32"/>
              <w:spacing w:after="120" w:line="240" w:lineRule="auto"/>
              <w:textAlignment w:val="baseline"/>
              <w:rPr>
                <w:noProof/>
              </w:rPr>
            </w:pPr>
            <w:r>
              <w:rPr>
                <w:noProof/>
              </w:rPr>
              <w:t>Renovarea a 60 de clădiri destinate serviciilor de sănătate sau sociale sau livrarea de echipamente.</w:t>
            </w:r>
          </w:p>
        </w:tc>
      </w:tr>
    </w:tbl>
    <w:p w14:paraId="6111C48A" w14:textId="77777777" w:rsidR="00702291" w:rsidRDefault="00702291">
      <w:pPr>
        <w:spacing w:after="120" w:line="240" w:lineRule="auto"/>
        <w:rPr>
          <w:rFonts w:ascii="Times New Roman" w:hAnsi="Times New Roman" w:cs="Times New Roman"/>
          <w:noProof/>
          <w:sz w:val="24"/>
          <w:szCs w:val="24"/>
        </w:rPr>
        <w:sectPr w:rsidR="00702291" w:rsidSect="009030B8">
          <w:headerReference w:type="default" r:id="rId100"/>
          <w:footerReference w:type="default" r:id="rId101"/>
          <w:pgSz w:w="16839" w:h="11907" w:orient="landscape"/>
          <w:pgMar w:top="1134" w:right="1134" w:bottom="1134" w:left="1134" w:header="567" w:footer="567" w:gutter="0"/>
          <w:cols w:space="708"/>
          <w:docGrid w:linePitch="360"/>
        </w:sectPr>
      </w:pPr>
    </w:p>
    <w:p w14:paraId="4306B00D" w14:textId="3B73D7DE" w:rsidR="00702291" w:rsidRDefault="00712B31">
      <w:pPr>
        <w:pStyle w:val="P68B1DB1-Normal44"/>
        <w:keepNext/>
        <w:spacing w:after="120" w:line="240" w:lineRule="auto"/>
        <w:jc w:val="both"/>
        <w:outlineLvl w:val="1"/>
        <w:rPr>
          <w:noProof/>
        </w:rPr>
      </w:pPr>
      <w:r>
        <w:rPr>
          <w:noProof/>
        </w:rPr>
        <w:t xml:space="preserve">H. COMPONENTA 8: GUVERNANȚĂ ȘI ADMINISTRAȚIE PUBLICĂ </w:t>
      </w:r>
    </w:p>
    <w:p w14:paraId="4A091E56" w14:textId="60BF64F3" w:rsidR="00702291" w:rsidRDefault="00712B31">
      <w:pPr>
        <w:pStyle w:val="P68B1DB1-Normal34"/>
        <w:spacing w:after="120" w:line="240" w:lineRule="auto"/>
        <w:jc w:val="both"/>
        <w:rPr>
          <w:rFonts w:eastAsia="Times New Roman"/>
          <w:noProof/>
        </w:rPr>
      </w:pPr>
      <w:r>
        <w:rPr>
          <w:noProof/>
        </w:rPr>
        <w:t>Ungaria se confruntă cu o serie de provocări orizontale de lungă durată legate de soliditatea și funcționarea instituțiilor publice în general, ceea ce are implicații și asupra proceselor economice și sociale din țară. Aspecte specifice în acest sens se referă la cadrul anticorupție, la concurența în domeniul achizițiilor publice, la independența sistemului judiciar, precum și la previzibilitatea, calitatea și transparența procesului decizional. Ungaria se situează pe un loc inferior în ceea ce privește indicatorii de percepție a corupției, iar nivelul concurenței în domeniul achizițiilor publice este moderat. Răspunderea pentru deciziile de închidere a investigațiilor rămâne un motiv de îngrijorare, deoarece nu există căi de atac eficiente împotriva deciziilor parchetului de a nu urmări penal presupuse activități infracționale. Provocările recurente în ceea ce privește aplicarea normelor privind transparența și accesul la informațiile publice slăbesc și mai mult cadrul anticorupție. În ceea ce privește independența sistemului judiciar, preocupările se referă în special la provocările cu care se confruntă Consiliul Judiciar Național independent în contrabalansarea competențelor președintelui Oficiului Național al Magistraturii, la normele privind alegerea președintelui Curții Supreme, la posibilitatea unor decizii discreționare în ceea ce privește numirile și promovările judiciare, la alocarea cauzelor, precum și la primele acordate judecătorilor și cadrelor de conducere ale instanțelor, precum și la posibilitatea ca autoritățile publice să conteste în fața Curții Constituționale hotărârile judecătorești definitive. Calitatea, previzibilitatea și transparența procesului decizional și absența unei consultări eficace a partenerilor sociali și a părților interesate în procesele decizionale reprezintă provocări recurente. Complexitatea sistemului fiscal și riscurile de planificare fiscală agresivă au fost, de asemenea, identificate ca probleme care trebuie abordate; la fel este și necesitatea de a îmbunătăți sustenabilitatea finanțelor publice și cadrul bugetar.</w:t>
      </w:r>
    </w:p>
    <w:p w14:paraId="5ADD93DF" w14:textId="7353EF43" w:rsidR="00702291" w:rsidRDefault="00712B31">
      <w:pPr>
        <w:pStyle w:val="P68B1DB1-Normal34"/>
        <w:spacing w:after="120" w:line="240" w:lineRule="auto"/>
        <w:jc w:val="both"/>
        <w:rPr>
          <w:noProof/>
        </w:rPr>
      </w:pPr>
      <w:r>
        <w:rPr>
          <w:noProof/>
        </w:rPr>
        <w:t xml:space="preserve">Această componentă a planului de redresare și reziliență al Ungariei urmărește să abordeze aceste provocări. Acesta include măsuri care se preconizează că vor contribui la consolidarea cadrului anticorupție, inclusiv prin instituirea unei autorități de integritate și a unui grup operativ anticorupție, prin punerea în aplicare a unor măsuri anticorupție și prin consolidarea capacităților organismelor maghiare de audit și control, în special în ceea ce privește cheltuielile de la bugetul UE. Acesta include, de asemenea, măsuri de consolidare a eforturilor de urmărire penală. Sunt incluse, de asemenea, măsuri de creștere a concurenței în domeniul achizițiilor publice și de asigurare a transparenței achizițiilor publice și a supravegherii publice a acestora. </w:t>
      </w:r>
    </w:p>
    <w:p w14:paraId="017EA88F" w14:textId="77777777" w:rsidR="00702291" w:rsidRDefault="00712B31">
      <w:pPr>
        <w:pStyle w:val="P68B1DB1-Normal34"/>
        <w:spacing w:after="120" w:line="240" w:lineRule="auto"/>
        <w:jc w:val="both"/>
        <w:rPr>
          <w:rFonts w:eastAsia="Calibri"/>
          <w:noProof/>
        </w:rPr>
      </w:pPr>
      <w:r>
        <w:rPr>
          <w:noProof/>
        </w:rPr>
        <w:t xml:space="preserve">Măsurile incluse în componentă abordează, de asemenea, aspecte legate de independența sistemului judiciar, de ridicarea standardului de protecție judiciară și de îmbunătățirea climatului de investiții în Ungaria, prin consolidarea garanțiilor de independență și imparțialitate a instanțelor, și anume prin instituirea unor competențe mai puternice ale Consiliului Judiciar Național pentru a contrabalansa competențele președintelui Oficiului Național al Magistraturii, prin consolidarea independenței judiciare a Curții Supreme, prin eliminarea obstacolelor din calea trimiterilor preliminare la Curtea de Justiție a Uniunii Europene și prin eliminarea posibilității ca autoritățile publice să conteste în fața Curții Constituționale hotărârile judecătorești definitive. </w:t>
      </w:r>
    </w:p>
    <w:p w14:paraId="7315218E" w14:textId="77777777" w:rsidR="00702291" w:rsidRDefault="00712B31">
      <w:pPr>
        <w:pStyle w:val="P68B1DB1-Normal34"/>
        <w:spacing w:after="120" w:line="240" w:lineRule="auto"/>
        <w:jc w:val="both"/>
        <w:rPr>
          <w:noProof/>
        </w:rPr>
      </w:pPr>
      <w:r>
        <w:rPr>
          <w:noProof/>
        </w:rPr>
        <w:t>Se preconizează, de asemenea, că măsurile din cadrul acestei componente vor îmbunătăți calitatea și transparența procesului decizional, inclusiv printr-o implicare mai sistematică a partenerilor sociali și a părților interesate, și vor facilita accesul la informațiile publice, asigurând totodată o supraveghere eficace a modului în care fundațiile de gestionare a activelor de interes public utilizează sprijinul UE. Componenta cuprinde, de asemenea, măsuri de combatere a riscului de planificare fiscală agresivă și de simplificare a sistemului fiscal. În cele din urmă, componenta include măsuri care vizează îmbunătățirea calității și sustenabilității finanțelor publice.</w:t>
      </w:r>
    </w:p>
    <w:p w14:paraId="0CB539DA" w14:textId="77777777" w:rsidR="00702291" w:rsidRDefault="00712B31">
      <w:pPr>
        <w:pStyle w:val="P68B1DB1-Normal34"/>
        <w:spacing w:after="120" w:line="240" w:lineRule="auto"/>
        <w:jc w:val="both"/>
        <w:rPr>
          <w:noProof/>
        </w:rPr>
      </w:pPr>
      <w:r>
        <w:rPr>
          <w:noProof/>
        </w:rPr>
        <w:t xml:space="preserve">În mai multe cazuri, această componentă contribuie, de asemenea, la tranziția digitală a instituțiilor publice prin sprijinirea digitalizării administrației și a serviciilor publice. </w:t>
      </w:r>
    </w:p>
    <w:p w14:paraId="587F7E1B" w14:textId="77777777" w:rsidR="00702291" w:rsidRDefault="00712B31">
      <w:pPr>
        <w:pStyle w:val="P68B1DB1-Normal34"/>
        <w:rPr>
          <w:noProof/>
        </w:rPr>
      </w:pPr>
      <w:r>
        <w:rPr>
          <w:noProof/>
        </w:rPr>
        <w:br w:type="page"/>
      </w:r>
    </w:p>
    <w:p w14:paraId="1F79298D" w14:textId="26FD24F4" w:rsidR="00702291" w:rsidRDefault="00712B31">
      <w:pPr>
        <w:pStyle w:val="P68B1DB1-Normal34"/>
        <w:spacing w:after="120" w:line="240" w:lineRule="auto"/>
        <w:jc w:val="both"/>
        <w:rPr>
          <w:noProof/>
        </w:rPr>
      </w:pPr>
      <w:r>
        <w:rPr>
          <w:noProof/>
        </w:rPr>
        <w:t xml:space="preserve">Componenta contribuie la abordarea recomandărilor specifice fiecărei țări privind necesitatea de </w:t>
      </w:r>
      <w:r>
        <w:rPr>
          <w:i/>
          <w:noProof/>
        </w:rPr>
        <w:t>„a consolida cadrul anticorupție, inclusiv prin îmbunătățirea eforturilor de urmărire penală și a accesului la informațiile publice”</w:t>
      </w:r>
      <w:r>
        <w:rPr>
          <w:noProof/>
        </w:rPr>
        <w:t xml:space="preserve"> (Recomandarea specifică fiecărei țări 4 din 2019, Recomandarea specifică fiecărei țări 4 din 2022), </w:t>
      </w:r>
      <w:r>
        <w:rPr>
          <w:i/>
          <w:noProof/>
        </w:rPr>
        <w:t>„a îmbunătăți concurența în domeniul achizițiilor publice”</w:t>
      </w:r>
      <w:r>
        <w:rPr>
          <w:noProof/>
        </w:rPr>
        <w:t xml:space="preserve"> (Recomandarea specifică fiecărei țări 4 din 2020, Recomandarea specifică fiecărei țări 4 din 2022), </w:t>
      </w:r>
      <w:r>
        <w:rPr>
          <w:i/>
          <w:noProof/>
        </w:rPr>
        <w:t>„a consolida independența sistemului judiciar”</w:t>
      </w:r>
      <w:r>
        <w:rPr>
          <w:noProof/>
        </w:rPr>
        <w:t xml:space="preserve"> (Recomandarea specifică fiecărei țări 4 din 2019, Recomandarea specifică fiecărei țări 4 din 2022), </w:t>
      </w:r>
      <w:r>
        <w:rPr>
          <w:i/>
          <w:noProof/>
        </w:rPr>
        <w:t>„a îmbunătăți calitatea și transparența procesului decizional prin intermediul unui dialog social eficace, al colaborării cu alte părți interesate și al evaluărilor periodice ale impactului”</w:t>
      </w:r>
      <w:r>
        <w:rPr>
          <w:noProof/>
        </w:rPr>
        <w:t xml:space="preserve"> (Recomandarea specifică fiecărei țări 4 din 2019, Recomandarea specifică fiecărei țări 4 din 2022), </w:t>
      </w:r>
      <w:r>
        <w:rPr>
          <w:i/>
          <w:noProof/>
        </w:rPr>
        <w:t xml:space="preserve">„a continua simplificarea sistemului fiscal” </w:t>
      </w:r>
      <w:r>
        <w:rPr>
          <w:noProof/>
        </w:rPr>
        <w:t>(Recomandarea specifică fiecărei țări 4 din 2019, Recomandarea specifică fiecărei țări 4 din 2022), „a</w:t>
      </w:r>
      <w:r>
        <w:rPr>
          <w:i/>
          <w:noProof/>
        </w:rPr>
        <w:t xml:space="preserve"> consolida sistemul fiscal împotriva riscului de planificare fiscală agresivă</w:t>
      </w:r>
      <w:r>
        <w:rPr>
          <w:noProof/>
        </w:rPr>
        <w:t>” (Recomandarea specifică fiecărei țări 4 din 2019, Recomandarea specifică fiecărei țări 5 din 2020), „a</w:t>
      </w:r>
      <w:r>
        <w:rPr>
          <w:i/>
          <w:noProof/>
        </w:rPr>
        <w:t xml:space="preserve"> obține poziții bugetare prudente pe termen mediu” </w:t>
      </w:r>
      <w:r>
        <w:rPr>
          <w:noProof/>
        </w:rPr>
        <w:t>(Recomandarea specifică fiecărei țări 1 din 2022), „</w:t>
      </w:r>
      <w:r>
        <w:rPr>
          <w:i/>
          <w:noProof/>
        </w:rPr>
        <w:t>consolidarea cadrului bugetar pe termen mediu, alinierea pregătirii bugetelor anuale la exercițiul bugetar și limitarea marjei de apreciere în ceea ce privește execuția bugetelor anuale</w:t>
      </w:r>
      <w:r>
        <w:rPr>
          <w:noProof/>
        </w:rPr>
        <w:t xml:space="preserve">” (Recomandarea specifică fiecărei țări nr. 1 din 2024, Recomandarea specifică fiecărei țări nr. 1 din 2025) și „ </w:t>
      </w:r>
      <w:r>
        <w:rPr>
          <w:i/>
          <w:noProof/>
        </w:rPr>
        <w:t xml:space="preserve">Eliminarea treptată a plafoanelor rămase ale prețurilor și ale ratelor dobânzii pentru a reduce efectele de denaturare și a facilita transmiterea fără probleme a politicii monetare” </w:t>
      </w:r>
      <w:r>
        <w:rPr>
          <w:noProof/>
        </w:rPr>
        <w:t xml:space="preserve">(Recomandarea specifică fiecărei țări nr. 1 din 2024, Recomandarea specifică fiecărei țări nr. 1 din 2025). </w:t>
      </w:r>
    </w:p>
    <w:p w14:paraId="063BD966" w14:textId="6261C646" w:rsidR="00702291" w:rsidRDefault="00712B31">
      <w:pPr>
        <w:pStyle w:val="P68B1DB1-Normal34"/>
        <w:spacing w:after="120" w:line="240" w:lineRule="auto"/>
        <w:jc w:val="both"/>
        <w:rPr>
          <w:noProof/>
        </w:rPr>
      </w:pPr>
      <w:r>
        <w:rPr>
          <w:noProof/>
        </w:rPr>
        <w:t>O serie dintre aceste măsuri au fost prezentate de Ungaria și discutate cu Comisia Europeană în contextul procedurii prevăzute în Regulamentul privind condiționalitatea</w:t>
      </w:r>
      <w:r>
        <w:rPr>
          <w:noProof/>
        </w:rPr>
        <w:footnoteReference w:id="11"/>
      </w:r>
      <w:r>
        <w:rPr>
          <w:noProof/>
        </w:rPr>
        <w:t xml:space="preserve">. Conținutul jaloanelor și al țintelor aferente este aliniat la angajamentele asumate în acest context, iar unele dintre aceste jaloane sunt puse în aplicare înainte de depunerea unei cereri de plată în cadrul Mecanismului de redresare și reziliență. </w:t>
      </w:r>
    </w:p>
    <w:p w14:paraId="410FC2FF" w14:textId="77777777" w:rsidR="00702291" w:rsidRDefault="00712B31">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În conformitate cu articolul 20 alineatul (5) litera (e) din Regulamentul (UE) 2021/241, pentru a respecta articolul 22 din regulamentul respectiv, punerea în aplicare a jaloanelor din cadrul acestei componente care sunt legate de sistemul de control maghiar care vizează protecția intereselor financiare ale Uniunii este o condiție prealabilă pentru orice plată în temeiul articolului 24 din Regulamentul privind MRR</w:t>
      </w:r>
      <w:r>
        <w:rPr>
          <w:rStyle w:val="FootnoteReference"/>
          <w:rFonts w:ascii="Times New Roman" w:hAnsi="Times New Roman" w:cs="Times New Roman"/>
          <w:b w:val="0"/>
          <w:noProof/>
          <w:sz w:val="24"/>
          <w:szCs w:val="24"/>
        </w:rPr>
        <w:footnoteReference w:id="12"/>
      </w:r>
      <w:r>
        <w:rPr>
          <w:rFonts w:ascii="Times New Roman" w:hAnsi="Times New Roman" w:cs="Times New Roman"/>
          <w:noProof/>
          <w:sz w:val="24"/>
          <w:szCs w:val="24"/>
        </w:rPr>
        <w:t xml:space="preserve">. </w:t>
      </w:r>
    </w:p>
    <w:p w14:paraId="14B8792C" w14:textId="77777777" w:rsidR="00702291" w:rsidRDefault="00712B31">
      <w:pPr>
        <w:pStyle w:val="P68B1DB1-Normal34"/>
        <w:spacing w:after="120" w:line="240" w:lineRule="auto"/>
        <w:jc w:val="both"/>
        <w:rPr>
          <w:noProof/>
        </w:rPr>
      </w:pPr>
      <w:r>
        <w:rPr>
          <w:noProof/>
        </w:rPr>
        <w:t>În conformitate cu articolul 24 alineatul (3) din Regulamentul (UE) 2021/241, orice reformă a Ungariei se realizează fără a slăbi acest rezultat și fără a avea un impact negativ asupra elementelor de mai jos.</w:t>
      </w:r>
    </w:p>
    <w:p w14:paraId="040D39DF" w14:textId="77777777" w:rsidR="00702291" w:rsidRDefault="00712B31">
      <w:pPr>
        <w:pStyle w:val="P68B1DB1-Normal34"/>
        <w:spacing w:after="120"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AAE0FB8" w14:textId="584F3FDE" w:rsidR="00702291" w:rsidRDefault="00712B31">
      <w:pPr>
        <w:pStyle w:val="P68B1DB1-Heading310"/>
        <w:rPr>
          <w:noProof/>
        </w:rPr>
      </w:pPr>
      <w:r>
        <w:rPr>
          <w:noProof/>
        </w:rPr>
        <w:t>H.1. Descrierea reformelor și a investițiilor pentru sprijinul financiar nerambursabil</w:t>
      </w:r>
    </w:p>
    <w:p w14:paraId="105E3DE5" w14:textId="7AB626C3" w:rsidR="00702291" w:rsidRDefault="00712B31">
      <w:pPr>
        <w:pStyle w:val="P68B1DB1-Heading411"/>
        <w:spacing w:before="0" w:after="120" w:line="240" w:lineRule="auto"/>
        <w:rPr>
          <w:noProof/>
        </w:rPr>
      </w:pPr>
      <w:bookmarkStart w:id="4" w:name="_Hlk232142727"/>
      <w:r>
        <w:rPr>
          <w:noProof/>
        </w:rPr>
        <w:t>C8.R1: Intrarea în vigoare a actelor juridice privind o autoritate de integritate</w:t>
      </w:r>
    </w:p>
    <w:p w14:paraId="0A79213C" w14:textId="77777777" w:rsidR="00702291" w:rsidRDefault="00712B31">
      <w:pPr>
        <w:pStyle w:val="P68B1DB1-Normal59"/>
        <w:spacing w:after="120" w:line="240" w:lineRule="auto"/>
        <w:jc w:val="both"/>
        <w:rPr>
          <w:noProof/>
        </w:rPr>
      </w:pPr>
      <w:r>
        <w:rPr>
          <w:noProof/>
        </w:rPr>
        <w:t xml:space="preserve">Obiectivul acestei reforme este de a consolida prevenirea, detectarea și corectarea fraudei, a conflictelor de interese și a corupției, precum și a altor ilegalități și nereguli legate de punerea în aplicare a sprijinului acordat de Uniune în Ungaria, cu un accent deosebit pe achizițiile publice, prin instituirea legală a unei autorități de integritate. </w:t>
      </w:r>
    </w:p>
    <w:p w14:paraId="4B370024" w14:textId="77777777" w:rsidR="00702291" w:rsidRDefault="00712B31">
      <w:pPr>
        <w:pStyle w:val="P68B1DB1-Normal59"/>
        <w:rPr>
          <w:noProof/>
        </w:rPr>
      </w:pPr>
      <w:r>
        <w:rPr>
          <w:noProof/>
        </w:rPr>
        <w:br w:type="page"/>
      </w:r>
    </w:p>
    <w:p w14:paraId="0FB498FF" w14:textId="1334654F" w:rsidR="00702291" w:rsidRDefault="00712B31">
      <w:pPr>
        <w:pStyle w:val="P68B1DB1-Normal59"/>
        <w:spacing w:after="120" w:line="240" w:lineRule="auto"/>
        <w:jc w:val="both"/>
        <w:rPr>
          <w:noProof/>
        </w:rPr>
      </w:pPr>
      <w:r>
        <w:rPr>
          <w:noProof/>
        </w:rPr>
        <w:t xml:space="preserve">Reforma constă în intrarea în vigoare a unei legislații care prevede o autoritate independentă de integritate, cu competența de a interveni în toate cazurile în care, în opinia sa, autoritățile naționale competente nu au luat măsurile necesare pentru a preveni, a detecta și a corecta frauda, conflictele de interese, corupția și alte ilegalități sau nereguli care au afectat sau riscă în mod grav să afecteze buna gestiune financiară a bugetului Uniunii sau protecția intereselor financiare ale Uniunii Europene. </w:t>
      </w:r>
    </w:p>
    <w:p w14:paraId="63FCA042" w14:textId="315C8179" w:rsidR="00702291" w:rsidRDefault="00712B31">
      <w:pPr>
        <w:pStyle w:val="P68B1DB1-Normal59"/>
        <w:spacing w:after="120" w:line="240" w:lineRule="auto"/>
        <w:jc w:val="both"/>
        <w:rPr>
          <w:noProof/>
        </w:rPr>
      </w:pPr>
      <w:r>
        <w:rPr>
          <w:noProof/>
        </w:rPr>
        <w:t>Legislația prevede, de asemenea, competențele Autorității de Integritate, cum ar fi verificarea directă a declarațiilor de avere ale anumitor categorii de cadre politice superioare (precum și ale rudelor lor care locuiesc în aceeași gospodărie) și ale altor funcționari cu grad ridicat de risc.</w:t>
      </w:r>
    </w:p>
    <w:p w14:paraId="6D9CFD48" w14:textId="3128465D" w:rsidR="00702291" w:rsidRDefault="00712B31">
      <w:pPr>
        <w:pStyle w:val="P68B1DB1-Heading411"/>
        <w:spacing w:before="0" w:after="120" w:line="240" w:lineRule="auto"/>
        <w:rPr>
          <w:noProof/>
        </w:rPr>
      </w:pPr>
      <w:r>
        <w:rPr>
          <w:noProof/>
        </w:rPr>
        <w:t xml:space="preserve">C8.R2: Participarea la cooperarea consolidată în ceea ce privește instituirea Parchetului European </w:t>
      </w:r>
    </w:p>
    <w:p w14:paraId="3AADB648" w14:textId="3008D544" w:rsidR="00702291" w:rsidRDefault="00712B31">
      <w:pPr>
        <w:pStyle w:val="P68B1DB1-Normal60"/>
        <w:spacing w:after="120" w:line="240" w:lineRule="auto"/>
        <w:jc w:val="both"/>
        <w:rPr>
          <w:noProof/>
        </w:rPr>
      </w:pPr>
      <w:r>
        <w:rPr>
          <w:noProof/>
        </w:rPr>
        <w:t xml:space="preserve">Obiectivul acestei reforme este de a consolida protecția eficace a intereselor financiare ale Uniunii și combaterea infracțiunilor care aduc atingere intereselor financiare ale Uniunii în Ungaria, prin participarea sa la cooperarea consolidată în ceea ce privește instituirea Parchetului European (EPPO). EPPO este un organism indivizibil al Uniunii care funcționează ca un oficiu unic în interesul Uniunii în ansamblul său, având competența de a investiga, de a urmări penal și de a trimite în judecată autorii infracțiunilor comise împotriva intereselor financiare ale Uniunii. </w:t>
      </w:r>
    </w:p>
    <w:p w14:paraId="10052D97" w14:textId="03C25578" w:rsidR="00702291" w:rsidRDefault="00712B31">
      <w:pPr>
        <w:pStyle w:val="P68B1DB1-Normal60"/>
        <w:spacing w:after="120" w:line="240" w:lineRule="auto"/>
        <w:jc w:val="both"/>
        <w:rPr>
          <w:noProof/>
        </w:rPr>
      </w:pPr>
      <w:r>
        <w:rPr>
          <w:noProof/>
        </w:rPr>
        <w:t xml:space="preserve">Reforma constă în transmiterea de către Ungaria a notificării Comisiei Europene cu privire la intenția sa de a participa la cooperarea consolidată privind instituirea EPPO. </w:t>
      </w:r>
    </w:p>
    <w:p w14:paraId="31B2A816" w14:textId="7A425AF8" w:rsidR="00702291" w:rsidRDefault="00712B31">
      <w:pPr>
        <w:pStyle w:val="P68B1DB1-Heading411"/>
        <w:spacing w:before="0" w:after="120" w:line="240" w:lineRule="auto"/>
        <w:rPr>
          <w:noProof/>
        </w:rPr>
      </w:pPr>
      <w:r>
        <w:rPr>
          <w:noProof/>
        </w:rPr>
        <w:t xml:space="preserve">C8.R3: Intrarea în vigoare a actelor juridice privind un grup operativ anticorupție </w:t>
      </w:r>
    </w:p>
    <w:p w14:paraId="2DE7309B" w14:textId="77777777" w:rsidR="00702291" w:rsidRDefault="00712B31">
      <w:pPr>
        <w:pStyle w:val="P68B1DB1-Normal59"/>
        <w:spacing w:after="120" w:line="240" w:lineRule="auto"/>
        <w:jc w:val="both"/>
        <w:rPr>
          <w:noProof/>
          <w:szCs w:val="24"/>
        </w:rPr>
      </w:pPr>
      <w:r>
        <w:rPr>
          <w:noProof/>
        </w:rPr>
        <w:t xml:space="preserve">Obiectivul acestei reforme este de a monitoriza și de a revizui măsurile luate în Ungaria pentru prevenirea, depistarea, urmărirea penală și sancționarea corupției de către un grup operativ anticorupție. </w:t>
      </w:r>
    </w:p>
    <w:p w14:paraId="58461811" w14:textId="5EA8D2B4" w:rsidR="00702291" w:rsidRDefault="00712B31">
      <w:pPr>
        <w:pStyle w:val="P68B1DB1-Normal54"/>
        <w:spacing w:after="120" w:line="240" w:lineRule="auto"/>
        <w:jc w:val="both"/>
        <w:textAlignment w:val="baseline"/>
        <w:rPr>
          <w:noProof/>
        </w:rPr>
      </w:pPr>
      <w:r>
        <w:rPr>
          <w:noProof/>
        </w:rPr>
        <w:t xml:space="preserve">Această reformă constă în intrarea în vigoare a legislației privind instituirea legală a unui grup operativ anticorupție, inclusiv specificarea principalelor sale sarcini. Legislația prevede că, </w:t>
      </w:r>
      <w:r>
        <w:rPr>
          <w:i/>
          <w:noProof/>
        </w:rPr>
        <w:t>printre altele</w:t>
      </w:r>
      <w:r>
        <w:rPr>
          <w:noProof/>
        </w:rPr>
        <w:t>, (i) actorii neguvernamentali activi în domeniul combaterii corupției reprezintă cel puțin 50 % din membrii Grupului operativ anticorupție (cu excepția președintelui); (II) Grupul operativ anticorupție se reunește cel puțin de două ori pe an, (iii) Grupul operativ anticorupție pregătește un raport anual accesibil publicului și (iv) Grupul operativ anticorupție prezintă propuneri menite să îmbunătățească prevenirea și depistarea corupției și să stimuleze fluxul de informații între autoritățile administrative și de control ale statului și autoritățile de anchetă penală.</w:t>
      </w:r>
    </w:p>
    <w:p w14:paraId="14162044" w14:textId="5B335DB7" w:rsidR="00702291" w:rsidRDefault="00712B31">
      <w:pPr>
        <w:pStyle w:val="P68B1DB1-Heading411"/>
        <w:spacing w:before="0" w:after="120" w:line="240" w:lineRule="auto"/>
        <w:rPr>
          <w:noProof/>
        </w:rPr>
      </w:pPr>
      <w:r>
        <w:rPr>
          <w:noProof/>
        </w:rPr>
        <w:t xml:space="preserve">C8.R4: Introducerea unei proceduri specifice în cazul infracțiunilor speciale legate de exercitarea autorității publice sau de gestionarea bunurilor publice („control jurisdicțional”) </w:t>
      </w:r>
    </w:p>
    <w:p w14:paraId="54977ABC" w14:textId="437CDEFE" w:rsidR="00702291" w:rsidRDefault="00712B31">
      <w:pPr>
        <w:pStyle w:val="P68B1DB1-Normal59"/>
        <w:spacing w:after="120" w:line="240" w:lineRule="auto"/>
        <w:jc w:val="both"/>
        <w:rPr>
          <w:noProof/>
          <w:szCs w:val="24"/>
        </w:rPr>
      </w:pPr>
      <w:r>
        <w:rPr>
          <w:noProof/>
        </w:rPr>
        <w:t xml:space="preserve">Obiectivul acestei reforme este de a stabili o procedură specifică care să asigure controlul jurisdicțional al deciziilor autorităților de anchetă sau ale parchetelor de a respinge o plângere penală sau de a înceta procedurile în cazul unor infracțiuni speciale legate de exercitarea autorității publice sau de gestionarea bunurilor publice, pentru a se asigura că se iau măsuri ferme pentru urmărirea penală a corupției și a altor infracțiuni similare. Reforma constă în intrarea în vigoare a unei (unor) modificări legislative privind controlul jurisdicțional și dreptul de a depune un rechizitoriu privind anumite practici de corupție și legate de corupție. </w:t>
      </w:r>
    </w:p>
    <w:p w14:paraId="524C57C3" w14:textId="7019AEBA" w:rsidR="00702291" w:rsidRDefault="00712B31">
      <w:pPr>
        <w:pStyle w:val="P68B1DB1-Heading411"/>
        <w:spacing w:before="0" w:after="120" w:line="240" w:lineRule="auto"/>
        <w:rPr>
          <w:noProof/>
        </w:rPr>
      </w:pPr>
      <w:r>
        <w:rPr>
          <w:noProof/>
        </w:rPr>
        <w:t>C8.R5: Modificarea normelor referitoare la declarațiile de avere</w:t>
      </w:r>
    </w:p>
    <w:p w14:paraId="55CFA908" w14:textId="57C773C4" w:rsidR="00702291" w:rsidRDefault="00712B31">
      <w:pPr>
        <w:pStyle w:val="P68B1DB1-Normal59"/>
        <w:spacing w:after="120" w:line="240" w:lineRule="auto"/>
        <w:jc w:val="both"/>
        <w:rPr>
          <w:noProof/>
          <w:szCs w:val="24"/>
        </w:rPr>
      </w:pPr>
      <w:r>
        <w:rPr>
          <w:noProof/>
        </w:rPr>
        <w:t xml:space="preserve">Scopul acestei reforme este de a modifica cadrul anticorupție prin introducerea unor norme mai stricte referitoare la declarațiile de avere, precum și a unui regim de sancțiuni pentru încălcarea acestor norme și obligații. </w:t>
      </w:r>
    </w:p>
    <w:p w14:paraId="4EE1BB45" w14:textId="245115B3" w:rsidR="00702291" w:rsidRDefault="00712B31">
      <w:pPr>
        <w:pStyle w:val="P68B1DB1-Normal59"/>
        <w:spacing w:after="120" w:line="240" w:lineRule="auto"/>
        <w:jc w:val="both"/>
        <w:rPr>
          <w:noProof/>
          <w:szCs w:val="24"/>
        </w:rPr>
      </w:pPr>
      <w:r>
        <w:rPr>
          <w:noProof/>
        </w:rPr>
        <w:t>Reforma constă în intrarea în vigoare a modificărilor legislative care prevăd obligația ca cadrele de conducere politice superioare și rudele acestora care locuiesc în aceeași gospodărie, precum și membrii Adunării Naționale și rudele acestora care locuiesc în aceeași gospodărie să depună declarații de avere</w:t>
      </w:r>
      <w:r>
        <w:rPr>
          <w:noProof/>
          <w:szCs w:val="24"/>
        </w:rPr>
        <w:t xml:space="preserve"> la preluarea funcției, ulterior anual și în momentul încetării funcției</w:t>
      </w:r>
      <w:r>
        <w:rPr>
          <w:noProof/>
        </w:rPr>
        <w:t>, iar declarațiile de avere menționate anterior se depun în format electronic.</w:t>
      </w:r>
    </w:p>
    <w:p w14:paraId="44DA236D" w14:textId="12018863" w:rsidR="00702291" w:rsidRDefault="00712B31">
      <w:pPr>
        <w:pStyle w:val="P68B1DB1-Heading411"/>
        <w:spacing w:before="0" w:after="120" w:line="240" w:lineRule="auto"/>
        <w:rPr>
          <w:rFonts w:eastAsia="Times New Roman"/>
          <w:noProof/>
        </w:rPr>
      </w:pPr>
      <w:r>
        <w:rPr>
          <w:noProof/>
        </w:rPr>
        <w:t>C8.R6: Intrarea în vigoare a actelor juridice privind transparența utilizării resurselor publice de către fundațiile de gestionare a activelor de interes public</w:t>
      </w:r>
    </w:p>
    <w:p w14:paraId="7F8DF2DF" w14:textId="77777777" w:rsidR="00702291" w:rsidRDefault="00712B31">
      <w:pPr>
        <w:pStyle w:val="P68B1DB1-Normal59"/>
        <w:spacing w:after="120" w:line="240" w:lineRule="auto"/>
        <w:jc w:val="both"/>
        <w:rPr>
          <w:rFonts w:eastAsia="Times New Roman"/>
          <w:noProof/>
          <w:szCs w:val="24"/>
        </w:rPr>
      </w:pPr>
      <w:r>
        <w:rPr>
          <w:noProof/>
        </w:rPr>
        <w:t>Obiectivul acestei reforme este de a asigura supravegherea modului în care fundațiile de gestionare a activelor de interes public utilizează sprijinul Uniunii și de a preveni riscul structural de situații de conflict de interese în funcționarea lor.</w:t>
      </w:r>
    </w:p>
    <w:p w14:paraId="5E97D4A9" w14:textId="5C1F3BC6" w:rsidR="00702291" w:rsidRDefault="00712B31">
      <w:pPr>
        <w:pStyle w:val="P68B1DB1-Normal12"/>
        <w:spacing w:after="120" w:line="240" w:lineRule="auto"/>
        <w:jc w:val="both"/>
        <w:rPr>
          <w:rFonts w:ascii="Times New Roman" w:eastAsia="Times New Roman" w:hAnsi="Times New Roman" w:cs="Times New Roman"/>
          <w:noProof/>
        </w:rPr>
      </w:pPr>
      <w:r>
        <w:rPr>
          <w:rFonts w:ascii="Times New Roman" w:eastAsiaTheme="minorHAnsi" w:hAnsi="Times New Roman" w:cs="Times New Roman"/>
          <w:noProof/>
        </w:rPr>
        <w:t xml:space="preserve">Reforma constă în intrarea în vigoare a unor modificări legislative pentru a stabili desemnarea fundațiilor de gestionare a activelor de interes public care îndeplinesc sarcini publice și a </w:t>
      </w:r>
      <w:r>
        <w:rPr>
          <w:rFonts w:ascii="Times New Roman" w:hAnsi="Times New Roman" w:cs="Times New Roman"/>
          <w:noProof/>
          <w:szCs w:val="24"/>
        </w:rPr>
        <w:t>persoanelor juridice înființate</w:t>
      </w:r>
      <w:r>
        <w:rPr>
          <w:rFonts w:ascii="Times New Roman" w:eastAsiaTheme="minorHAnsi" w:hAnsi="Times New Roman" w:cs="Times New Roman"/>
          <w:noProof/>
        </w:rPr>
        <w:t xml:space="preserve"> sau menținute de acestea ca autorități contractante în sensul normei privind achizițiile publice, precum și în adoptarea de norme pentru prevenirea și abordarea riscurilor de conflict de interese.</w:t>
      </w:r>
    </w:p>
    <w:p w14:paraId="38DD7A40" w14:textId="134891B9" w:rsidR="00702291" w:rsidRDefault="00712B31">
      <w:pPr>
        <w:pStyle w:val="P68B1DB1-Heading411"/>
        <w:spacing w:before="0" w:after="120" w:line="240" w:lineRule="auto"/>
        <w:rPr>
          <w:rFonts w:eastAsia="Times New Roman"/>
          <w:noProof/>
        </w:rPr>
      </w:pPr>
      <w:r>
        <w:rPr>
          <w:noProof/>
        </w:rPr>
        <w:t>C8.R7: Creșterea transparenței cheltuielilor publice</w:t>
      </w:r>
    </w:p>
    <w:p w14:paraId="23A7CDF5" w14:textId="3544FDFC" w:rsidR="00702291" w:rsidRDefault="00712B31">
      <w:pPr>
        <w:pStyle w:val="P68B1DB1-Normal59"/>
        <w:spacing w:after="120" w:line="240" w:lineRule="auto"/>
        <w:jc w:val="both"/>
        <w:rPr>
          <w:noProof/>
        </w:rPr>
      </w:pPr>
      <w:r>
        <w:rPr>
          <w:noProof/>
        </w:rPr>
        <w:t>Obiectivul acestei reforme este de a spori transparența cheltuielilor publice prin asigurarea faptului că organismele care îndeplinesc sarcini publice publică în mod proactiv o gamă largă de informații.</w:t>
      </w:r>
    </w:p>
    <w:p w14:paraId="0E0A369A" w14:textId="3780AA7A" w:rsidR="00702291" w:rsidRDefault="00712B31">
      <w:pPr>
        <w:pStyle w:val="P68B1DB1-Normal59"/>
        <w:spacing w:after="120" w:line="240" w:lineRule="auto"/>
        <w:jc w:val="both"/>
        <w:rPr>
          <w:rFonts w:eastAsia="Times New Roman"/>
          <w:noProof/>
          <w:szCs w:val="24"/>
        </w:rPr>
      </w:pPr>
      <w:r>
        <w:rPr>
          <w:noProof/>
        </w:rPr>
        <w:t xml:space="preserve">Reforma constă în intrarea în vigoare a unei legislații care prevede obligația organismelor care îndeplinesc sarcini publice de a publica în mod proactiv un set predefinit de informații privind utilizarea fondurilor publice într-un registru central. </w:t>
      </w:r>
    </w:p>
    <w:p w14:paraId="01C63D73" w14:textId="62043C4B" w:rsidR="00702291" w:rsidRDefault="00712B31">
      <w:pPr>
        <w:pStyle w:val="P68B1DB1-Heading411"/>
        <w:spacing w:before="0" w:after="120" w:line="240" w:lineRule="auto"/>
        <w:rPr>
          <w:noProof/>
        </w:rPr>
      </w:pPr>
      <w:r>
        <w:rPr>
          <w:noProof/>
        </w:rPr>
        <w:t>C8.R8: Norme care să asigure transparența beneficiarilor reali ai entităților și să clarifice utilizarea subvențiilor publice</w:t>
      </w:r>
    </w:p>
    <w:p w14:paraId="2D302764" w14:textId="32D08B55" w:rsidR="00702291" w:rsidRDefault="00712B31">
      <w:pPr>
        <w:pStyle w:val="P68B1DB1-Normal54"/>
        <w:spacing w:after="120" w:line="240" w:lineRule="auto"/>
        <w:jc w:val="both"/>
        <w:rPr>
          <w:noProof/>
        </w:rPr>
      </w:pPr>
      <w:r>
        <w:rPr>
          <w:noProof/>
        </w:rPr>
        <w:t>Obiectivul acestei reforme este de a spori claritatea și securitatea juridică a normelor aplicabile beneficiarilor reali finali ai anumitor entități, inclusiv ai fondurilor de investiții private/entităților fiduciare de gestionare a activelor, și de a se asigura că organismele responsabile cu auditul și controlul sprijinului acordat de Uniune în Ungaria pot accesa retroactiv datele respective pentru a-și îndeplini sarcinile, sporind astfel nivelul de protecție a intereselor financiare ale Uniunii.</w:t>
      </w:r>
    </w:p>
    <w:p w14:paraId="2B63ED2A" w14:textId="77777777" w:rsidR="00702291" w:rsidRDefault="00712B31">
      <w:pPr>
        <w:pStyle w:val="P68B1DB1-Normal54"/>
        <w:spacing w:after="120" w:line="240" w:lineRule="auto"/>
        <w:jc w:val="both"/>
        <w:rPr>
          <w:noProof/>
        </w:rPr>
      </w:pPr>
      <w:r>
        <w:rPr>
          <w:noProof/>
        </w:rPr>
        <w:t xml:space="preserve">Reforma constă în intrarea în vigoare a </w:t>
      </w:r>
    </w:p>
    <w:p w14:paraId="338E39D4" w14:textId="77777777" w:rsidR="00702291" w:rsidRDefault="00712B31">
      <w:pPr>
        <w:pStyle w:val="P68B1DB1-Normal36"/>
        <w:numPr>
          <w:ilvl w:val="0"/>
          <w:numId w:val="153"/>
        </w:numPr>
        <w:spacing w:after="120" w:line="240" w:lineRule="auto"/>
        <w:jc w:val="both"/>
        <w:rPr>
          <w:noProof/>
        </w:rPr>
      </w:pPr>
      <w:r>
        <w:rPr>
          <w:noProof/>
        </w:rPr>
        <w:t>modificări legislative care să prevadă revizuirea definiției beneficiarului real final pentru a include dispoziții speciale privind fondurile de investiții private, pentru a se asigura că organismele responsabile cu gestionarea și controlul sprijinului acordat de Uniune în Ungaria au posibilitatea de a colecta informații cu privire la beneficiarii reali finali ai fondurilor de investiții în societăți necotate și de a le verifica cel puțin începând cu 1 februarie 2020 și</w:t>
      </w:r>
    </w:p>
    <w:p w14:paraId="18552FBD" w14:textId="2CBAB522" w:rsidR="00702291" w:rsidRDefault="00712B31">
      <w:pPr>
        <w:pStyle w:val="P68B1DB1-Normal6"/>
        <w:numPr>
          <w:ilvl w:val="0"/>
          <w:numId w:val="153"/>
        </w:numPr>
        <w:spacing w:after="120" w:line="240" w:lineRule="auto"/>
        <w:jc w:val="both"/>
        <w:rPr>
          <w:noProof/>
          <w:szCs w:val="24"/>
        </w:rPr>
      </w:pPr>
      <w:r>
        <w:rPr>
          <w:noProof/>
          <w:szCs w:val="20"/>
        </w:rPr>
        <w:t>legislație care prevede clarificarea și extinderea domeniului de aplicare al funcționarilor publici excluși și a domeniului de aplicare al entităților care nu pot solicita sau primi subvenții din fonduri publice</w:t>
      </w:r>
      <w:r>
        <w:rPr>
          <w:noProof/>
          <w:szCs w:val="24"/>
        </w:rPr>
        <w:t>.</w:t>
      </w:r>
    </w:p>
    <w:p w14:paraId="5D3231FB" w14:textId="5C5F1608" w:rsidR="00702291" w:rsidRDefault="00712B31">
      <w:pPr>
        <w:pStyle w:val="P68B1DB1-Heading411"/>
        <w:spacing w:before="0" w:after="120" w:line="240" w:lineRule="auto"/>
        <w:rPr>
          <w:rFonts w:eastAsia="Times New Roman"/>
          <w:noProof/>
          <w:highlight w:val="yellow"/>
        </w:rPr>
      </w:pPr>
      <w:r>
        <w:rPr>
          <w:noProof/>
        </w:rPr>
        <w:t>C8.R9: Reducerea ponderii procedurilor de achiziții publice cu ofertă unică</w:t>
      </w:r>
    </w:p>
    <w:p w14:paraId="69B452DB" w14:textId="77777777" w:rsidR="00702291" w:rsidRDefault="00712B31">
      <w:pPr>
        <w:pStyle w:val="P68B1DB1-Normal59"/>
        <w:spacing w:after="120" w:line="240" w:lineRule="auto"/>
        <w:jc w:val="both"/>
        <w:rPr>
          <w:rFonts w:eastAsia="Times New Roman"/>
          <w:noProof/>
          <w:szCs w:val="24"/>
        </w:rPr>
      </w:pPr>
      <w:r>
        <w:rPr>
          <w:noProof/>
        </w:rPr>
        <w:t>Obiectivul reformei este de a îmbunătăți concurența în domeniul achizițiilor publice și de a spori transparența și robustețea proceselor conexe prin reducerea ponderii procedurilor de achiziții publice cu o singură ofertă finanțate din fonduri ale Uniunii.</w:t>
      </w:r>
    </w:p>
    <w:p w14:paraId="59C45D0A" w14:textId="4FC97463" w:rsidR="00702291" w:rsidRDefault="00712B31">
      <w:pPr>
        <w:pStyle w:val="P68B1DB1-Normal59"/>
        <w:spacing w:after="120" w:line="240" w:lineRule="auto"/>
        <w:jc w:val="both"/>
        <w:rPr>
          <w:noProof/>
        </w:rPr>
      </w:pPr>
      <w:r>
        <w:rPr>
          <w:noProof/>
        </w:rPr>
        <w:t xml:space="preserve">Această reformă constă în obligația de a menține </w:t>
      </w:r>
      <w:r>
        <w:rPr>
          <w:noProof/>
          <w:szCs w:val="24"/>
        </w:rPr>
        <w:t>sub 15 % ponderea procedurilor de achiziții publice cu oferte unice pentru achizițiile finanțate cel puțin parțial din sprijinul Uniunii, astfel cum s-a raportat într-un instrument dezvoltat pentru monitorizarea și raportarea ofertelor unice în conformitate cu metodologia tabloului de bord al pieței unice</w:t>
      </w:r>
      <w:r>
        <w:rPr>
          <w:noProof/>
        </w:rPr>
        <w:t xml:space="preserve">. </w:t>
      </w:r>
    </w:p>
    <w:p w14:paraId="50C77BD7" w14:textId="536BBA83" w:rsidR="00702291" w:rsidRDefault="00712B31">
      <w:pPr>
        <w:pStyle w:val="P68B1DB1-Heading411"/>
        <w:spacing w:before="0" w:after="120" w:line="240" w:lineRule="auto"/>
        <w:rPr>
          <w:noProof/>
        </w:rPr>
      </w:pPr>
      <w:r>
        <w:rPr>
          <w:noProof/>
        </w:rPr>
        <w:t>C8.R10: Consolidarea integrității, a transparenței și a competitivității pe piața achizițiilor publice</w:t>
      </w:r>
    </w:p>
    <w:p w14:paraId="0FE6BFAD" w14:textId="77777777" w:rsidR="00702291" w:rsidRDefault="00712B31">
      <w:pPr>
        <w:pStyle w:val="P68B1DB1-Normal12"/>
        <w:spacing w:after="120" w:line="240" w:lineRule="auto"/>
        <w:ind w:left="52"/>
        <w:rPr>
          <w:rFonts w:ascii="Times New Roman" w:eastAsia="Calibri" w:hAnsi="Times New Roman" w:cs="Times New Roman"/>
          <w:noProof/>
          <w:szCs w:val="24"/>
        </w:rPr>
      </w:pPr>
      <w:r>
        <w:rPr>
          <w:rFonts w:ascii="Times New Roman" w:eastAsiaTheme="minorHAnsi" w:hAnsi="Times New Roman" w:cs="Times New Roman"/>
          <w:noProof/>
        </w:rPr>
        <w:t>Obiectivul reformei este de a</w:t>
      </w:r>
      <w:r>
        <w:rPr>
          <w:rFonts w:ascii="Times New Roman" w:eastAsia="Calibri" w:hAnsi="Times New Roman" w:cs="Times New Roman"/>
          <w:noProof/>
          <w:szCs w:val="24"/>
        </w:rPr>
        <w:t xml:space="preserve"> consolida transparența procedurilor de achiziții publice, de a introduce norme de prevenire a corupției și a conflictelor de interese, obligații de raportare și publicare pentru autoritățile contractante și de a stimula concurența pe piața achizițiilor publice.</w:t>
      </w:r>
    </w:p>
    <w:p w14:paraId="2253F7C9" w14:textId="77777777" w:rsidR="00702291" w:rsidRDefault="00712B31">
      <w:pPr>
        <w:pStyle w:val="P68B1DB1-Normal59"/>
        <w:spacing w:after="120" w:line="240" w:lineRule="auto"/>
        <w:ind w:left="52"/>
        <w:rPr>
          <w:noProof/>
        </w:rPr>
      </w:pPr>
      <w:r>
        <w:rPr>
          <w:noProof/>
        </w:rPr>
        <w:t>Reforma constă în intrarea în vigoare a actului (actelor) juridic (e) privind achizițiile publice.</w:t>
      </w:r>
    </w:p>
    <w:p w14:paraId="1C5E3391" w14:textId="086A1F48" w:rsidR="00702291" w:rsidRDefault="00712B31">
      <w:pPr>
        <w:pStyle w:val="P68B1DB1-Heading411"/>
        <w:spacing w:before="0" w:after="120" w:line="240" w:lineRule="auto"/>
        <w:rPr>
          <w:noProof/>
        </w:rPr>
      </w:pPr>
      <w:r>
        <w:rPr>
          <w:noProof/>
        </w:rPr>
        <w:t xml:space="preserve">C8.R11: Dezvoltarea sistemului electronic de achiziții publice pentru a spori transparența </w:t>
      </w:r>
    </w:p>
    <w:p w14:paraId="09C6E2D3" w14:textId="77777777" w:rsidR="00702291" w:rsidRDefault="00712B31">
      <w:pPr>
        <w:pStyle w:val="P68B1DB1-Normal59"/>
        <w:spacing w:after="120" w:line="240" w:lineRule="auto"/>
        <w:jc w:val="both"/>
        <w:rPr>
          <w:noProof/>
        </w:rPr>
      </w:pPr>
      <w:r>
        <w:rPr>
          <w:noProof/>
        </w:rPr>
        <w:t>Obiectivul acestei reforme este de</w:t>
      </w:r>
      <w:r>
        <w:rPr>
          <w:b/>
          <w:noProof/>
        </w:rPr>
        <w:t xml:space="preserve"> </w:t>
      </w:r>
      <w:r>
        <w:rPr>
          <w:noProof/>
        </w:rPr>
        <w:t xml:space="preserve">a spori transparența achizițiilor publice și de a facilita supravegherea și analiza independentă a concurenței în domeniul achizițiilor publice. </w:t>
      </w:r>
    </w:p>
    <w:p w14:paraId="74A7A6C1" w14:textId="0BF1BEB3" w:rsidR="00702291" w:rsidRDefault="00712B31">
      <w:pPr>
        <w:pStyle w:val="P68B1DB1-Normal59"/>
        <w:spacing w:after="120" w:line="240" w:lineRule="auto"/>
        <w:jc w:val="both"/>
        <w:rPr>
          <w:rFonts w:eastAsia="Times New Roman"/>
          <w:noProof/>
          <w:szCs w:val="24"/>
        </w:rPr>
      </w:pPr>
      <w:r>
        <w:rPr>
          <w:noProof/>
        </w:rPr>
        <w:t xml:space="preserve">Această reformă constă în a permite </w:t>
      </w:r>
      <w:r>
        <w:rPr>
          <w:noProof/>
          <w:szCs w:val="24"/>
        </w:rPr>
        <w:t xml:space="preserve">căutarea structurată și exportul în masă al </w:t>
      </w:r>
      <w:r>
        <w:rPr>
          <w:noProof/>
        </w:rPr>
        <w:t xml:space="preserve">datelor privind anunțurile de atribuire a contractelor într-un format prelucrabil automat, prin intermediul sistemului electronic de achiziții publice (EPS). </w:t>
      </w:r>
    </w:p>
    <w:p w14:paraId="5EB53AFD" w14:textId="073C9853" w:rsidR="00702291" w:rsidRDefault="00712B31">
      <w:pPr>
        <w:pStyle w:val="P68B1DB1-Heading411"/>
        <w:spacing w:before="0" w:after="120" w:line="240" w:lineRule="auto"/>
        <w:rPr>
          <w:rFonts w:eastAsia="Times New Roman"/>
          <w:noProof/>
        </w:rPr>
      </w:pPr>
      <w:r>
        <w:rPr>
          <w:noProof/>
        </w:rPr>
        <w:t>C8.R12: Cadrul de măsurare a performanței pentru achizițiile publice</w:t>
      </w:r>
    </w:p>
    <w:p w14:paraId="69A4E5EE" w14:textId="77777777" w:rsidR="00702291" w:rsidRDefault="00712B31">
      <w:pPr>
        <w:pStyle w:val="P68B1DB1-Normal59"/>
        <w:spacing w:after="120" w:line="240" w:lineRule="auto"/>
        <w:jc w:val="both"/>
        <w:rPr>
          <w:noProof/>
        </w:rPr>
      </w:pPr>
      <w:r>
        <w:rPr>
          <w:noProof/>
        </w:rPr>
        <w:t>Obiectivul acestei reforme este de a facilita evaluarea eficienței și a eficacității din punctul de vedere al costurilor a achizițiilor publice, precum și a motivelor pentru care concurența este limitată.</w:t>
      </w:r>
    </w:p>
    <w:p w14:paraId="3FB87902" w14:textId="5821D690" w:rsidR="00702291" w:rsidRDefault="00712B31">
      <w:pPr>
        <w:pStyle w:val="P68B1DB1-Normal59"/>
        <w:spacing w:after="120" w:line="240" w:lineRule="auto"/>
        <w:jc w:val="both"/>
        <w:rPr>
          <w:rFonts w:eastAsia="Times New Roman"/>
          <w:noProof/>
          <w:szCs w:val="24"/>
        </w:rPr>
      </w:pPr>
      <w:r>
        <w:rPr>
          <w:noProof/>
        </w:rPr>
        <w:t xml:space="preserve">Această reformă constă în publicarea unui cadru de măsurare a performanței achizițiilor publice pe site-ul EPS </w:t>
      </w:r>
      <w:r>
        <w:rPr>
          <w:noProof/>
          <w:szCs w:val="24"/>
        </w:rPr>
        <w:t>pentru a evalua eficiența și raportul cost-eficacitate al achizițiilor publice și posibilele motive și efecte ale concurenței limitate în procedurile de achiziții publice, precum și sectoarele cele mai afectate de procedurile de achiziții publice care au ca rezultat oferte unice</w:t>
      </w:r>
      <w:r>
        <w:rPr>
          <w:noProof/>
        </w:rPr>
        <w:t xml:space="preserve">. </w:t>
      </w:r>
    </w:p>
    <w:p w14:paraId="2307143A" w14:textId="02A59142" w:rsidR="00702291" w:rsidRDefault="00712B31">
      <w:pPr>
        <w:pStyle w:val="P68B1DB1-Heading411"/>
        <w:spacing w:before="0" w:after="120" w:line="240" w:lineRule="auto"/>
        <w:rPr>
          <w:rFonts w:eastAsia="Calibri"/>
          <w:noProof/>
        </w:rPr>
      </w:pPr>
      <w:r>
        <w:rPr>
          <w:noProof/>
        </w:rPr>
        <w:t>C8.R13: Plan de acțiune pentru creșterea nivelului de concurență în domeniul achizițiilor publice</w:t>
      </w:r>
    </w:p>
    <w:p w14:paraId="619FA805" w14:textId="77777777" w:rsidR="00702291" w:rsidRDefault="00712B31">
      <w:pPr>
        <w:pStyle w:val="P68B1DB1-Normal59"/>
        <w:spacing w:after="120" w:line="240" w:lineRule="auto"/>
        <w:jc w:val="both"/>
        <w:rPr>
          <w:noProof/>
        </w:rPr>
      </w:pPr>
      <w:r>
        <w:rPr>
          <w:noProof/>
        </w:rPr>
        <w:t>Obiectivul acestei reforme este de a crește nivelul concurenței în domeniul achizițiilor publice în Ungaria.</w:t>
      </w:r>
    </w:p>
    <w:p w14:paraId="5426598F" w14:textId="12A87088" w:rsidR="00702291" w:rsidRDefault="00712B31">
      <w:pPr>
        <w:pStyle w:val="P68B1DB1-Normal59"/>
        <w:spacing w:after="120" w:line="240" w:lineRule="auto"/>
        <w:jc w:val="both"/>
        <w:rPr>
          <w:rFonts w:eastAsia="Times New Roman"/>
          <w:noProof/>
        </w:rPr>
      </w:pPr>
      <w:r>
        <w:rPr>
          <w:noProof/>
        </w:rPr>
        <w:t>Această reformă constă în adoptarea, publicarea și revizuirea anuală a unui plan de acțiune care vizează creșterea nivelului de concurență în domeniul achizițiilor publice. Planul de acțiune stabilește obiectivele care trebuie atinse, definește măsurile pentru atingerea obiectivelor, stabilește termene precise pentru punerea în aplicare a măsurilor, identifică organismul (organismele) responsabil (e) cu punerea în aplicare a măsurilor și stabilește un mecanism de monitorizare pentru evaluarea progreselor.</w:t>
      </w:r>
    </w:p>
    <w:p w14:paraId="5E46B4EA" w14:textId="64C6A92B" w:rsidR="00702291" w:rsidRDefault="00712B31">
      <w:pPr>
        <w:pStyle w:val="P68B1DB1-Heading411"/>
        <w:spacing w:before="0" w:after="120" w:line="240" w:lineRule="auto"/>
        <w:rPr>
          <w:rFonts w:eastAsia="Calibri"/>
          <w:noProof/>
        </w:rPr>
      </w:pPr>
      <w:r>
        <w:rPr>
          <w:noProof/>
        </w:rPr>
        <w:t>C8.R14: Consolidarea rolului și a competențelor Consiliului Judiciar Național, cu scopul de a contrabalansa competențele președintelui Oficiului Național al Magistraturii</w:t>
      </w:r>
    </w:p>
    <w:p w14:paraId="59975969" w14:textId="2FBBAF9D" w:rsidR="00702291" w:rsidRDefault="00712B31">
      <w:pPr>
        <w:pStyle w:val="P68B1DB1-Normal59"/>
        <w:spacing w:after="120" w:line="240" w:lineRule="auto"/>
        <w:jc w:val="both"/>
        <w:rPr>
          <w:noProof/>
        </w:rPr>
      </w:pPr>
      <w:r>
        <w:rPr>
          <w:noProof/>
        </w:rPr>
        <w:t xml:space="preserve">Obiectivul reformei este de a </w:t>
      </w:r>
      <w:r>
        <w:rPr>
          <w:noProof/>
          <w:u w:val="single"/>
        </w:rPr>
        <w:t xml:space="preserve">consolida independența și imparțialitatea instanțelor și a judecătorilor stabiliți prin lege prin </w:t>
      </w:r>
      <w:r>
        <w:rPr>
          <w:noProof/>
        </w:rPr>
        <w:t>stabilirea unor competențe mai puternice pentru Consiliul Judiciar Național (CJN), astfel încât acesta să își poată exercita în mod eficace rolul constituțional în supravegherea administrației centrale a instanțelor, menținând în același timp independența Consiliului pe baza alegerii membrilor săi de către judecători.</w:t>
      </w:r>
    </w:p>
    <w:p w14:paraId="3086FCD6" w14:textId="2FC0528F" w:rsidR="00702291" w:rsidRDefault="00712B31">
      <w:pPr>
        <w:pStyle w:val="P68B1DB1-Normal59"/>
        <w:spacing w:after="120" w:line="240" w:lineRule="auto"/>
        <w:jc w:val="both"/>
        <w:rPr>
          <w:noProof/>
        </w:rPr>
      </w:pPr>
      <w:r>
        <w:rPr>
          <w:noProof/>
        </w:rPr>
        <w:t xml:space="preserve">Această reformă constă în modificări legislative care stabilesc competențe mai puternice pentru CJN prin adoptarea de dispoziții privind un aviz obligatoriu motivat al CJN pentru o serie de aspecte referitoare atât la decizii individuale, cât și la regulamente. </w:t>
      </w:r>
    </w:p>
    <w:p w14:paraId="459E7A6E" w14:textId="3739A2D8" w:rsidR="00702291" w:rsidRDefault="00712B31">
      <w:pPr>
        <w:pStyle w:val="P68B1DB1-Heading411"/>
        <w:spacing w:before="0" w:after="120" w:line="240" w:lineRule="auto"/>
        <w:rPr>
          <w:rFonts w:eastAsia="Calibri"/>
          <w:noProof/>
        </w:rPr>
      </w:pPr>
      <w:r>
        <w:rPr>
          <w:noProof/>
        </w:rPr>
        <w:t>C8.R15: Independența judiciară a Curții Supreme (</w:t>
      </w:r>
      <w:r>
        <w:rPr>
          <w:i/>
          <w:noProof/>
        </w:rPr>
        <w:t>Kúria</w:t>
      </w:r>
      <w:r>
        <w:rPr>
          <w:noProof/>
        </w:rPr>
        <w:t>)</w:t>
      </w:r>
    </w:p>
    <w:p w14:paraId="6BCB9BE2" w14:textId="77777777" w:rsidR="00702291" w:rsidRDefault="00712B31">
      <w:pPr>
        <w:pStyle w:val="P68B1DB1-Normal59"/>
        <w:spacing w:after="120" w:line="240" w:lineRule="auto"/>
        <w:jc w:val="both"/>
        <w:rPr>
          <w:noProof/>
        </w:rPr>
      </w:pPr>
      <w:r>
        <w:rPr>
          <w:noProof/>
        </w:rPr>
        <w:t>Obiectivul reformei este de a consolida independența judiciară a Curții Supreme (</w:t>
      </w:r>
      <w:r>
        <w:rPr>
          <w:i/>
          <w:noProof/>
        </w:rPr>
        <w:t>Kúria</w:t>
      </w:r>
      <w:r>
        <w:rPr>
          <w:noProof/>
        </w:rPr>
        <w:t xml:space="preserve">). </w:t>
      </w:r>
    </w:p>
    <w:p w14:paraId="08D4E14B" w14:textId="36C3C067" w:rsidR="00702291" w:rsidRDefault="00712B31">
      <w:pPr>
        <w:pStyle w:val="P68B1DB1-Normal59"/>
        <w:spacing w:after="120" w:line="240" w:lineRule="auto"/>
        <w:jc w:val="both"/>
        <w:rPr>
          <w:rFonts w:eastAsia="Calibri"/>
          <w:noProof/>
          <w:szCs w:val="24"/>
        </w:rPr>
      </w:pPr>
      <w:r>
        <w:rPr>
          <w:noProof/>
        </w:rPr>
        <w:t xml:space="preserve">Această reformă constă în modificări legislative legate de normele privind alegerea președintelui </w:t>
      </w:r>
      <w:r>
        <w:rPr>
          <w:i/>
          <w:noProof/>
        </w:rPr>
        <w:t>Kúria</w:t>
      </w:r>
      <w:r>
        <w:rPr>
          <w:noProof/>
        </w:rPr>
        <w:t xml:space="preserve">, de normele privind sistemul de repartizare a </w:t>
      </w:r>
      <w:r>
        <w:rPr>
          <w:i/>
          <w:noProof/>
        </w:rPr>
        <w:t>cauzelor al Kúria</w:t>
      </w:r>
      <w:r>
        <w:rPr>
          <w:noProof/>
        </w:rPr>
        <w:t xml:space="preserve"> și de normele privind funcționarea </w:t>
      </w:r>
      <w:r>
        <w:rPr>
          <w:i/>
          <w:noProof/>
        </w:rPr>
        <w:t>Kúria.</w:t>
      </w:r>
      <w:r>
        <w:rPr>
          <w:noProof/>
        </w:rPr>
        <w:t xml:space="preserve"> </w:t>
      </w:r>
    </w:p>
    <w:p w14:paraId="69D3BA4F" w14:textId="78E6A467" w:rsidR="00702291" w:rsidRDefault="00712B31">
      <w:pPr>
        <w:pStyle w:val="P68B1DB1-Heading411"/>
        <w:spacing w:before="0" w:after="120" w:line="240" w:lineRule="auto"/>
        <w:rPr>
          <w:rFonts w:eastAsia="Calibri"/>
          <w:noProof/>
        </w:rPr>
      </w:pPr>
      <w:r>
        <w:rPr>
          <w:noProof/>
        </w:rPr>
        <w:t>C8.R16: Eliminarea obstacolelor din calea trimiterilor preliminare la Curtea de Justiție a Uniunii Europene</w:t>
      </w:r>
    </w:p>
    <w:p w14:paraId="7A9F4E26" w14:textId="77777777" w:rsidR="00702291" w:rsidRDefault="00712B31">
      <w:pPr>
        <w:pStyle w:val="P68B1DB1-Normal59"/>
        <w:spacing w:after="120" w:line="240" w:lineRule="auto"/>
        <w:jc w:val="both"/>
        <w:rPr>
          <w:noProof/>
        </w:rPr>
      </w:pPr>
      <w:r>
        <w:rPr>
          <w:noProof/>
        </w:rPr>
        <w:t>Obiectivul reformei este de a elimina obstacolele care împiedică instanțele să sesizeze în mod independent Curtea de Justiție a Uniunii Europene (CJUE) cu cereri de pronunțare a unor hotărâri preliminare.</w:t>
      </w:r>
    </w:p>
    <w:p w14:paraId="4C97CA5A" w14:textId="7C23C87E" w:rsidR="00702291" w:rsidRDefault="00712B31">
      <w:pPr>
        <w:pStyle w:val="P68B1DB1-Normal59"/>
        <w:spacing w:after="120" w:line="240" w:lineRule="auto"/>
        <w:jc w:val="both"/>
        <w:rPr>
          <w:noProof/>
        </w:rPr>
      </w:pPr>
      <w:r>
        <w:rPr>
          <w:noProof/>
        </w:rPr>
        <w:t xml:space="preserve">Această reformă constă în intrarea în vigoare a modificării (modificărilor) legislative referitoare la trimiterile preliminare la Curtea de Justiție a Uniunii Europene. </w:t>
      </w:r>
    </w:p>
    <w:p w14:paraId="763AC798" w14:textId="3997251E" w:rsidR="00702291" w:rsidRDefault="00712B31">
      <w:pPr>
        <w:pStyle w:val="P68B1DB1-Heading411"/>
        <w:spacing w:before="0" w:after="120" w:line="240" w:lineRule="auto"/>
        <w:rPr>
          <w:rFonts w:eastAsia="Calibri"/>
          <w:noProof/>
        </w:rPr>
      </w:pPr>
      <w:r>
        <w:rPr>
          <w:noProof/>
        </w:rPr>
        <w:t>C8.R17: Reforma privind revizuirea hotărârilor definitive de către Curtea Constituțională</w:t>
      </w:r>
    </w:p>
    <w:p w14:paraId="4807F772" w14:textId="002C020F" w:rsidR="00702291" w:rsidRDefault="00712B31">
      <w:pPr>
        <w:pStyle w:val="P68B1DB1-Normal59"/>
        <w:spacing w:after="120" w:line="240" w:lineRule="auto"/>
        <w:jc w:val="both"/>
        <w:rPr>
          <w:rFonts w:eastAsia="Calibri"/>
          <w:noProof/>
          <w:szCs w:val="24"/>
        </w:rPr>
      </w:pPr>
      <w:r>
        <w:rPr>
          <w:noProof/>
        </w:rPr>
        <w:t xml:space="preserve">Obiectivul acestei reforme este de a consolida independența și imparțialitatea instanțelor și a judecătorilor. </w:t>
      </w:r>
    </w:p>
    <w:p w14:paraId="2156B6E8" w14:textId="0B02E564" w:rsidR="00702291" w:rsidRDefault="00712B31">
      <w:pPr>
        <w:pStyle w:val="P68B1DB1-Normal59"/>
        <w:spacing w:after="120" w:line="240" w:lineRule="auto"/>
        <w:jc w:val="both"/>
        <w:rPr>
          <w:noProof/>
        </w:rPr>
      </w:pPr>
      <w:r>
        <w:rPr>
          <w:noProof/>
        </w:rPr>
        <w:t>Această reformă constă în modificări legislative privind eliminarea posibilității ca autoritățile publice să conteste în fața Curții Constituționale hotărârile judecătorești definitive.</w:t>
      </w:r>
    </w:p>
    <w:p w14:paraId="16B398C2" w14:textId="6BF08FED" w:rsidR="00702291" w:rsidRDefault="00712B31">
      <w:pPr>
        <w:pStyle w:val="P68B1DB1-Heading411"/>
        <w:spacing w:before="0" w:after="120" w:line="240" w:lineRule="auto"/>
        <w:rPr>
          <w:rFonts w:eastAsia="Times New Roman"/>
          <w:noProof/>
        </w:rPr>
      </w:pPr>
      <w:r>
        <w:rPr>
          <w:noProof/>
        </w:rPr>
        <w:t>C8.R18: Modificări legislative care consolidează mecanismele de gestionare, monitorizare, audit și control pentru a garanta utilizarea judicioasă a sprijinului acordat de Uniune</w:t>
      </w:r>
    </w:p>
    <w:p w14:paraId="02F7FFFB" w14:textId="77777777" w:rsidR="00702291" w:rsidRDefault="00712B31">
      <w:pPr>
        <w:pStyle w:val="P68B1DB1-Normal61"/>
        <w:spacing w:after="120" w:line="240" w:lineRule="auto"/>
        <w:jc w:val="both"/>
        <w:rPr>
          <w:noProof/>
        </w:rPr>
      </w:pPr>
      <w:r>
        <w:rPr>
          <w:noProof/>
        </w:rPr>
        <w:t xml:space="preserve">Obiectivul acestei reforme este de a proteja interesele financiare ale Uniunii în ceea ce privește utilizarea sprijinului acordat de Uniune. </w:t>
      </w:r>
    </w:p>
    <w:p w14:paraId="1F814081" w14:textId="732E62DD" w:rsidR="00702291" w:rsidRDefault="00712B31">
      <w:pPr>
        <w:pStyle w:val="P68B1DB1-Normal34"/>
        <w:spacing w:after="120" w:line="240" w:lineRule="auto"/>
        <w:jc w:val="both"/>
        <w:rPr>
          <w:rFonts w:eastAsia="Times New Roman"/>
          <w:noProof/>
        </w:rPr>
      </w:pPr>
      <w:r>
        <w:rPr>
          <w:noProof/>
        </w:rPr>
        <w:t xml:space="preserve">Această reformă constă în intrarea în vigoare a unor acte juridice care definesc rolurile și responsabilitățile organismelor implicate în gestionarea, monitorizarea, controlul și auditul sprijinului acordat de Uniune prin instrumente specifice ale UE și în gestionarea, monitorizarea, controlul și auditul fondurilor în temeiul Regulamentului (UE) 2021/1060, inclusiv prin stabilirea unor norme specifice pentru prevenirea, depistarea și corectarea conflictelor de interese. </w:t>
      </w:r>
    </w:p>
    <w:p w14:paraId="3C945DEB" w14:textId="2311EAD8" w:rsidR="00702291" w:rsidRDefault="00712B31">
      <w:pPr>
        <w:pStyle w:val="P68B1DB1-Heading411"/>
        <w:spacing w:before="0" w:after="120" w:line="240" w:lineRule="auto"/>
        <w:rPr>
          <w:rFonts w:eastAsia="Times New Roman"/>
          <w:noProof/>
        </w:rPr>
      </w:pPr>
      <w:r>
        <w:rPr>
          <w:noProof/>
        </w:rPr>
        <w:t>C8.R19: Strategia antifraudă și anticorupție pentru punerea în aplicare, auditul și controlul sprijinului acordat de Uniune</w:t>
      </w:r>
    </w:p>
    <w:p w14:paraId="22E3DE09" w14:textId="33579F37" w:rsidR="00702291" w:rsidRDefault="00712B31">
      <w:pPr>
        <w:pStyle w:val="P68B1DB1-Normal59"/>
        <w:spacing w:after="120" w:line="240" w:lineRule="auto"/>
        <w:jc w:val="both"/>
        <w:rPr>
          <w:rFonts w:eastAsia="Times New Roman"/>
          <w:noProof/>
          <w:szCs w:val="24"/>
        </w:rPr>
      </w:pPr>
      <w:r>
        <w:rPr>
          <w:noProof/>
        </w:rPr>
        <w:t xml:space="preserve">Obiectivul reformei este de a asigura prevenirea, detectarea și corectarea fraudei și a corupției legate de orice sprijin din partea Uniunii în Ungaria, prin instituirea unei strategii anticorupție și antifraudă cuprinzătoare, care să includă un calendar clar pentru punerea sa în aplicare. </w:t>
      </w:r>
    </w:p>
    <w:p w14:paraId="4725D7B2" w14:textId="35797A44" w:rsidR="00702291" w:rsidRDefault="00712B31">
      <w:pPr>
        <w:pStyle w:val="P68B1DB1-Normal59"/>
        <w:spacing w:after="120" w:line="240" w:lineRule="auto"/>
        <w:jc w:val="both"/>
        <w:rPr>
          <w:rFonts w:eastAsia="Times New Roman"/>
          <w:noProof/>
          <w:szCs w:val="24"/>
        </w:rPr>
      </w:pPr>
      <w:r>
        <w:rPr>
          <w:noProof/>
        </w:rPr>
        <w:t>Această reformă constă într-o strategie antifraudă și anticorupție, completată de un plan de acțiune care stabilește acțiuni cu termene clare de punere în aplicare, organisme responsabile, indicatori pentru măsurarea progreselor înregistrate pentru fiecare dintre acțiuni și modalități de revizuire periodică a acțiunilor.</w:t>
      </w:r>
    </w:p>
    <w:p w14:paraId="11D0A900" w14:textId="076F93FB" w:rsidR="00702291" w:rsidRDefault="00712B31">
      <w:pPr>
        <w:pStyle w:val="P68B1DB1-Heading411"/>
        <w:spacing w:before="0" w:after="120" w:line="240" w:lineRule="auto"/>
        <w:rPr>
          <w:rFonts w:eastAsia="Times New Roman"/>
          <w:noProof/>
        </w:rPr>
      </w:pPr>
      <w:r>
        <w:rPr>
          <w:noProof/>
        </w:rPr>
        <w:t xml:space="preserve">C8.R20: Sistemul Arachne pentru sprijinul din partea Uniunii </w:t>
      </w:r>
    </w:p>
    <w:p w14:paraId="0CF0169B" w14:textId="77777777" w:rsidR="00702291" w:rsidRDefault="00712B31">
      <w:pPr>
        <w:pStyle w:val="P68B1DB1-Normal59"/>
        <w:spacing w:after="120" w:line="240" w:lineRule="auto"/>
        <w:jc w:val="both"/>
        <w:rPr>
          <w:rFonts w:eastAsia="Times New Roman"/>
          <w:noProof/>
        </w:rPr>
      </w:pPr>
      <w:r>
        <w:rPr>
          <w:noProof/>
        </w:rPr>
        <w:t>Obiectivul reformei este de a consolida prevenirea, detectarea și corectarea fraudei, a corupției, a conflictelor de interese, a dublei finanțări și a altor nereguli legate de sprijinul acordat de Uniune în Ungaria.</w:t>
      </w:r>
    </w:p>
    <w:p w14:paraId="719FF539" w14:textId="77777777" w:rsidR="00702291" w:rsidRDefault="00712B31">
      <w:pPr>
        <w:pStyle w:val="P68B1DB1-Normal59"/>
        <w:spacing w:after="120" w:line="240" w:lineRule="auto"/>
        <w:jc w:val="both"/>
        <w:rPr>
          <w:rFonts w:eastAsia="Times New Roman"/>
          <w:noProof/>
          <w:szCs w:val="24"/>
        </w:rPr>
      </w:pPr>
      <w:r>
        <w:rPr>
          <w:noProof/>
        </w:rPr>
        <w:t>Această reformă constă în adoptarea unor norme care impun autorităților să încarce date în sistemul Arachne o dată la două luni, să monitorizeze în mod sistematic evaluarea riscurilor semnalată de sistemul Arachne și să se bazeze pe sistemul Arachne în evaluarea riscurilor.</w:t>
      </w:r>
    </w:p>
    <w:p w14:paraId="3C1730EA" w14:textId="58EA1A7F" w:rsidR="00702291" w:rsidRDefault="00712B31">
      <w:pPr>
        <w:pStyle w:val="P68B1DB1-Heading411"/>
        <w:spacing w:before="0" w:after="120" w:line="240" w:lineRule="auto"/>
        <w:rPr>
          <w:rFonts w:eastAsia="Times New Roman"/>
          <w:noProof/>
        </w:rPr>
      </w:pPr>
      <w:r>
        <w:rPr>
          <w:noProof/>
        </w:rPr>
        <w:t>C8.R21: Înființarea unei Direcții de Audit Intern și Integritate pentru a consolida controlul conflictelor de interese atunci când se pune în aplicare sprijinul acordat de Uniune</w:t>
      </w:r>
    </w:p>
    <w:p w14:paraId="60BC5813" w14:textId="77777777" w:rsidR="00702291" w:rsidRDefault="00712B31">
      <w:pPr>
        <w:pStyle w:val="P68B1DB1-Normal61"/>
        <w:spacing w:after="120" w:line="240" w:lineRule="auto"/>
        <w:jc w:val="both"/>
        <w:rPr>
          <w:noProof/>
        </w:rPr>
      </w:pPr>
      <w:r>
        <w:rPr>
          <w:noProof/>
        </w:rPr>
        <w:t xml:space="preserve">Obiectivul acestei reforme este de a preveni, detecta și corecta conflictele de interese în punerea în aplicare a sprijinului acordat de Uniune. </w:t>
      </w:r>
    </w:p>
    <w:p w14:paraId="348BAD4A" w14:textId="77777777" w:rsidR="00702291" w:rsidRDefault="00712B31">
      <w:pPr>
        <w:pStyle w:val="P68B1DB1-Normal60"/>
        <w:spacing w:after="120" w:line="240" w:lineRule="auto"/>
        <w:jc w:val="both"/>
        <w:rPr>
          <w:noProof/>
        </w:rPr>
      </w:pPr>
      <w:r>
        <w:rPr>
          <w:noProof/>
        </w:rPr>
        <w:t xml:space="preserve">Această reformă constă în intrarea în vigoare a actului (actelor) juridic (e) care prevede (prevăd): </w:t>
      </w:r>
    </w:p>
    <w:p w14:paraId="6D83C84C" w14:textId="77777777" w:rsidR="00702291" w:rsidRDefault="00712B31">
      <w:pPr>
        <w:pStyle w:val="P68B1DB1-Normal62"/>
        <w:numPr>
          <w:ilvl w:val="0"/>
          <w:numId w:val="152"/>
        </w:numPr>
        <w:spacing w:after="120" w:line="240" w:lineRule="auto"/>
        <w:jc w:val="both"/>
        <w:rPr>
          <w:noProof/>
        </w:rPr>
      </w:pPr>
      <w:r>
        <w:rPr>
          <w:noProof/>
        </w:rPr>
        <w:t>înființarea unei direcții de audit intern și integritate (DIAI), inclusiv dispoziții privind independența DIAI;</w:t>
      </w:r>
    </w:p>
    <w:p w14:paraId="73A7F255" w14:textId="77777777" w:rsidR="00702291" w:rsidRDefault="00712B31">
      <w:pPr>
        <w:pStyle w:val="P68B1DB1-Normal63"/>
        <w:numPr>
          <w:ilvl w:val="0"/>
          <w:numId w:val="152"/>
        </w:numPr>
        <w:spacing w:after="120" w:line="240" w:lineRule="auto"/>
        <w:jc w:val="both"/>
        <w:rPr>
          <w:noProof/>
        </w:rPr>
      </w:pPr>
      <w:r>
        <w:rPr>
          <w:noProof/>
        </w:rPr>
        <w:t>selecția personalului său;</w:t>
      </w:r>
    </w:p>
    <w:p w14:paraId="0D08A849" w14:textId="77777777" w:rsidR="00702291" w:rsidRDefault="00712B31">
      <w:pPr>
        <w:pStyle w:val="P68B1DB1-Normal63"/>
        <w:numPr>
          <w:ilvl w:val="0"/>
          <w:numId w:val="152"/>
        </w:numPr>
        <w:spacing w:after="120" w:line="240" w:lineRule="auto"/>
        <w:jc w:val="both"/>
        <w:rPr>
          <w:noProof/>
        </w:rPr>
      </w:pPr>
      <w:r>
        <w:rPr>
          <w:noProof/>
        </w:rPr>
        <w:t>competența sa de a acționa în legătură cu organismele implicate în punerea în aplicare a sprijinului acordat de Uniune în Ungaria;</w:t>
      </w:r>
    </w:p>
    <w:p w14:paraId="202CA04F" w14:textId="77777777" w:rsidR="00702291" w:rsidRDefault="00712B31">
      <w:pPr>
        <w:pStyle w:val="P68B1DB1-Normal63"/>
        <w:numPr>
          <w:ilvl w:val="0"/>
          <w:numId w:val="152"/>
        </w:numPr>
        <w:spacing w:after="120" w:line="240" w:lineRule="auto"/>
        <w:jc w:val="both"/>
        <w:rPr>
          <w:noProof/>
        </w:rPr>
      </w:pPr>
      <w:r>
        <w:rPr>
          <w:noProof/>
        </w:rPr>
        <w:t xml:space="preserve">cerințele legate de acordarea accesului la declarațiile privind conflictele de interese și la dosarele Autorității de Integritate; </w:t>
      </w:r>
    </w:p>
    <w:p w14:paraId="6B0EBB7B" w14:textId="77777777" w:rsidR="00702291" w:rsidRDefault="00712B31">
      <w:pPr>
        <w:pStyle w:val="P68B1DB1-Normal63"/>
        <w:numPr>
          <w:ilvl w:val="0"/>
          <w:numId w:val="152"/>
        </w:numPr>
        <w:spacing w:after="120" w:line="240" w:lineRule="auto"/>
        <w:jc w:val="both"/>
        <w:rPr>
          <w:noProof/>
        </w:rPr>
      </w:pPr>
      <w:r>
        <w:rPr>
          <w:noProof/>
        </w:rPr>
        <w:t>Regulamentul său de procedură;</w:t>
      </w:r>
    </w:p>
    <w:p w14:paraId="2F3B5426" w14:textId="77777777" w:rsidR="00702291" w:rsidRDefault="00712B31">
      <w:pPr>
        <w:pStyle w:val="P68B1DB1-Normal62"/>
        <w:numPr>
          <w:ilvl w:val="0"/>
          <w:numId w:val="152"/>
        </w:numPr>
        <w:spacing w:after="120" w:line="240" w:lineRule="auto"/>
        <w:jc w:val="both"/>
        <w:rPr>
          <w:noProof/>
        </w:rPr>
      </w:pPr>
      <w:r>
        <w:rPr>
          <w:noProof/>
        </w:rPr>
        <w:t>resursele sale financiare și umane;</w:t>
      </w:r>
    </w:p>
    <w:p w14:paraId="1217F007" w14:textId="77777777" w:rsidR="00702291" w:rsidRDefault="00712B31">
      <w:pPr>
        <w:pStyle w:val="P68B1DB1-Normal36"/>
        <w:numPr>
          <w:ilvl w:val="0"/>
          <w:numId w:val="152"/>
        </w:numPr>
        <w:spacing w:after="120" w:line="240" w:lineRule="auto"/>
        <w:jc w:val="both"/>
        <w:rPr>
          <w:rFonts w:eastAsia="Times New Roman"/>
          <w:noProof/>
        </w:rPr>
      </w:pPr>
      <w:r>
        <w:rPr>
          <w:noProof/>
        </w:rPr>
        <w:t>obligațiile legate de controalele periodice ale declarațiilor privind conflictele de interese depuse în legătură cu punerea în aplicare a sprijinului acordat de Uniune în Ungaria;</w:t>
      </w:r>
    </w:p>
    <w:p w14:paraId="3B5FF530" w14:textId="77777777" w:rsidR="00702291" w:rsidRDefault="00712B31">
      <w:pPr>
        <w:pStyle w:val="P68B1DB1-Normal63"/>
        <w:numPr>
          <w:ilvl w:val="0"/>
          <w:numId w:val="152"/>
        </w:numPr>
        <w:spacing w:after="120" w:line="240" w:lineRule="auto"/>
        <w:jc w:val="both"/>
        <w:rPr>
          <w:noProof/>
        </w:rPr>
      </w:pPr>
      <w:r>
        <w:rPr>
          <w:noProof/>
        </w:rPr>
        <w:t>obligațiile legate de raportarea anonimă;</w:t>
      </w:r>
    </w:p>
    <w:p w14:paraId="6B4E1890" w14:textId="77777777" w:rsidR="00702291" w:rsidRDefault="00712B31">
      <w:pPr>
        <w:pStyle w:val="P68B1DB1-Normal63"/>
        <w:numPr>
          <w:ilvl w:val="0"/>
          <w:numId w:val="152"/>
        </w:numPr>
        <w:spacing w:after="120" w:line="240" w:lineRule="auto"/>
        <w:jc w:val="both"/>
        <w:rPr>
          <w:noProof/>
        </w:rPr>
      </w:pPr>
      <w:r>
        <w:rPr>
          <w:noProof/>
        </w:rPr>
        <w:t>obligațiile sale de investigare;</w:t>
      </w:r>
    </w:p>
    <w:p w14:paraId="664171D6" w14:textId="48C1B651" w:rsidR="00702291" w:rsidRDefault="00712B31">
      <w:pPr>
        <w:pStyle w:val="P68B1DB1-Normal63"/>
        <w:numPr>
          <w:ilvl w:val="0"/>
          <w:numId w:val="152"/>
        </w:numPr>
        <w:spacing w:after="120" w:line="240" w:lineRule="auto"/>
        <w:jc w:val="both"/>
        <w:rPr>
          <w:noProof/>
        </w:rPr>
      </w:pPr>
      <w:r>
        <w:rPr>
          <w:noProof/>
        </w:rPr>
        <w:t>obligațiile sale de raportare către Autoritatea de Integritate.</w:t>
      </w:r>
    </w:p>
    <w:p w14:paraId="77B911FB" w14:textId="3D4442F3" w:rsidR="00702291" w:rsidRDefault="00712B31">
      <w:pPr>
        <w:pStyle w:val="P68B1DB1-Heading411"/>
        <w:spacing w:before="0" w:after="120" w:line="240" w:lineRule="auto"/>
        <w:rPr>
          <w:rFonts w:eastAsia="Times New Roman"/>
          <w:noProof/>
        </w:rPr>
      </w:pPr>
      <w:r>
        <w:rPr>
          <w:noProof/>
        </w:rPr>
        <w:t>C8.R22: Asigurarea capacității EUTAF de a-și îndeplini sarcinile</w:t>
      </w:r>
    </w:p>
    <w:p w14:paraId="11F3B1F6" w14:textId="77777777" w:rsidR="00702291" w:rsidRDefault="00712B31">
      <w:pPr>
        <w:pStyle w:val="P68B1DB1-Normal61"/>
        <w:spacing w:after="120" w:line="240" w:lineRule="auto"/>
        <w:jc w:val="both"/>
        <w:rPr>
          <w:noProof/>
        </w:rPr>
      </w:pPr>
      <w:r>
        <w:rPr>
          <w:noProof/>
        </w:rPr>
        <w:t xml:space="preserve">Obiectivul acestei reforme este de a preveni și de a detecta frauda, corupția și alte nereguli în punerea în aplicare a sprijinului acordat de Uniune. </w:t>
      </w:r>
    </w:p>
    <w:p w14:paraId="6BDE931E" w14:textId="4D79BBB8" w:rsidR="00702291" w:rsidRDefault="00712B31">
      <w:pPr>
        <w:pStyle w:val="P68B1DB1-Normal12"/>
        <w:spacing w:after="120" w:line="240" w:lineRule="auto"/>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Această reformă constă în intrarea în vigoare a actului (actelor) juridic (e) care prevede (prevăd) alocarea de resurse financiare și umane autorității de audit (</w:t>
      </w:r>
      <w:r>
        <w:rPr>
          <w:rFonts w:ascii="Times New Roman" w:eastAsia="Times New Roman" w:hAnsi="Times New Roman" w:cs="Times New Roman"/>
          <w:noProof/>
        </w:rPr>
        <w:t xml:space="preserve">Direcția Generală de Audit al Fondurilor Europene, </w:t>
      </w:r>
      <w:r>
        <w:rPr>
          <w:rFonts w:ascii="Times New Roman" w:hAnsi="Times New Roman" w:cs="Times New Roman"/>
          <w:noProof/>
          <w:szCs w:val="24"/>
        </w:rPr>
        <w:t>EUTAF) pentru a-i proteja independența și a-i permite să își îndeplinească sarcinile în mod independent. Actul juridic precizează că bugetul anual al EUTAF este stabilit pe baza propunerii sale inițiale, a renumerației șefului EUTAF și că independența funcțională și profesională a EUTAF este menținută și că personalul său continuă să nu solicite sau să accepte instrucțiuni cu privire la activitatea sa de audit.</w:t>
      </w:r>
    </w:p>
    <w:p w14:paraId="54BECF52" w14:textId="06E59328" w:rsidR="00702291" w:rsidRDefault="00712B31">
      <w:pPr>
        <w:pStyle w:val="P68B1DB1-Heading411"/>
        <w:spacing w:before="0" w:after="120" w:line="240" w:lineRule="auto"/>
        <w:rPr>
          <w:rFonts w:eastAsia="Times New Roman"/>
          <w:noProof/>
        </w:rPr>
      </w:pPr>
      <w:r>
        <w:rPr>
          <w:noProof/>
        </w:rPr>
        <w:t>C8.R23: Cooperarea cu OLAF pentru a consolida detectarea fraudelor legate de utilizarea sprijinului din partea Uniunii</w:t>
      </w:r>
    </w:p>
    <w:p w14:paraId="37246C82" w14:textId="77777777" w:rsidR="00702291" w:rsidRDefault="00712B31">
      <w:pPr>
        <w:pStyle w:val="P68B1DB1-Normal61"/>
        <w:spacing w:after="120" w:line="240" w:lineRule="auto"/>
        <w:jc w:val="both"/>
        <w:rPr>
          <w:noProof/>
        </w:rPr>
      </w:pPr>
      <w:r>
        <w:rPr>
          <w:noProof/>
        </w:rPr>
        <w:t xml:space="preserve">Obiectivul acestei reforme este de a stabili un cadru juridic pentru cooperarea cu OLAF în ceea ce privește punerea în aplicare a sprijinului acordat de Uniune. </w:t>
      </w:r>
    </w:p>
    <w:p w14:paraId="0B638A67" w14:textId="54222ACA" w:rsidR="00702291" w:rsidRDefault="00712B31">
      <w:pPr>
        <w:pStyle w:val="P68B1DB1-Normal34"/>
        <w:spacing w:after="120" w:line="240" w:lineRule="auto"/>
        <w:jc w:val="both"/>
        <w:rPr>
          <w:rFonts w:eastAsia="Times New Roman"/>
          <w:noProof/>
        </w:rPr>
      </w:pPr>
      <w:r>
        <w:rPr>
          <w:noProof/>
        </w:rPr>
        <w:t>Această reformă constă în intrarea în vigoare a actelor juridice care desemnează Administrația Națională Fiscală și Vamală (Nemzeti Adó- és Vámhivatal, NAV) pentru a asista OLAF atunci când efectuează controale la fața locului în Ungaria și atunci când un operator economic care face obiectul acestor controale refuză să coopereze. Actele juridice prevăd, de asemenea, tipul de sancțiuni financiare care trebuie impuse în cazul în care un operator economic refuză să coopereze cu OLAF în scopul controalelor și inspecțiilor la fața locului.</w:t>
      </w:r>
    </w:p>
    <w:p w14:paraId="034F2FF5" w14:textId="4A7E853F" w:rsidR="00702291" w:rsidRDefault="00712B31">
      <w:pPr>
        <w:pStyle w:val="P68B1DB1-Heading411"/>
        <w:spacing w:before="0" w:after="120" w:line="240" w:lineRule="auto"/>
        <w:rPr>
          <w:rFonts w:eastAsia="Times New Roman"/>
          <w:noProof/>
        </w:rPr>
      </w:pPr>
      <w:r>
        <w:rPr>
          <w:noProof/>
        </w:rPr>
        <w:t>C8.R24: Auditul și controlul planului de redresare și reziliență și protecția intereselor financiare ale Uniunii</w:t>
      </w:r>
    </w:p>
    <w:p w14:paraId="0FEF76E4" w14:textId="77777777" w:rsidR="00702291" w:rsidRDefault="00712B31">
      <w:pPr>
        <w:pStyle w:val="P68B1DB1-Normal61"/>
        <w:spacing w:after="120" w:line="240" w:lineRule="auto"/>
        <w:jc w:val="both"/>
        <w:rPr>
          <w:noProof/>
        </w:rPr>
      </w:pPr>
      <w:r>
        <w:rPr>
          <w:noProof/>
        </w:rPr>
        <w:t xml:space="preserve">Obiectivul acestei reforme este de a proteja interesele financiare ale Uniunii în ceea ce privește planul de redresare și reziliență al Ungariei. </w:t>
      </w:r>
    </w:p>
    <w:p w14:paraId="71321513" w14:textId="49638F36" w:rsidR="00702291" w:rsidRDefault="00712B31">
      <w:pPr>
        <w:pStyle w:val="P68B1DB1-Normal12"/>
        <w:spacing w:after="120" w:line="240" w:lineRule="auto"/>
        <w:jc w:val="both"/>
        <w:rPr>
          <w:rFonts w:ascii="Times New Roman" w:eastAsia="Times New Roman" w:hAnsi="Times New Roman" w:cs="Times New Roman"/>
          <w:noProof/>
        </w:rPr>
      </w:pPr>
      <w:r>
        <w:rPr>
          <w:rFonts w:ascii="Times New Roman" w:hAnsi="Times New Roman" w:cs="Times New Roman"/>
          <w:noProof/>
        </w:rPr>
        <w:t>Această reformă constă în instituirea unui sistem de repertorii pentru colectarea, stocarea și furnizarea accesului în legătură cu datele privind punerea în aplicare, astfel cum se prevede la articolul 22 alineatul (2) litera (d) punctele (i)-(iii) din Regulamentul privind MRR, precum și în adoptarea și intrarea în vigoare a unei strategii de audit pentru EUTAF”, care</w:t>
      </w:r>
      <w:r>
        <w:rPr>
          <w:rFonts w:ascii="Times New Roman" w:eastAsiaTheme="minorHAnsi" w:hAnsi="Times New Roman" w:cs="Times New Roman"/>
          <w:noProof/>
          <w:szCs w:val="24"/>
        </w:rPr>
        <w:t xml:space="preserve"> prevede auditul punerii </w:t>
      </w:r>
      <w:r>
        <w:rPr>
          <w:rFonts w:ascii="Times New Roman" w:hAnsi="Times New Roman" w:cs="Times New Roman"/>
          <w:noProof/>
        </w:rPr>
        <w:t>în aplicare a planului de redresare și reziliență al Ungariei realizat în conformitate cu standardele de audit acceptate la nivel internațional.</w:t>
      </w:r>
    </w:p>
    <w:p w14:paraId="2F7F9407" w14:textId="60B10CA8" w:rsidR="00702291" w:rsidRDefault="00712B31">
      <w:pPr>
        <w:pStyle w:val="P68B1DB1-Heading411"/>
        <w:spacing w:before="0" w:after="120" w:line="240" w:lineRule="auto"/>
        <w:rPr>
          <w:rFonts w:eastAsia="Times New Roman"/>
          <w:noProof/>
        </w:rPr>
      </w:pPr>
      <w:r>
        <w:rPr>
          <w:noProof/>
        </w:rPr>
        <w:t>C8.R25: Consolidarea transparenței și a accesului la informațiile publice </w:t>
      </w:r>
    </w:p>
    <w:p w14:paraId="4C5E970D" w14:textId="77777777" w:rsidR="00702291" w:rsidRDefault="00712B31">
      <w:pPr>
        <w:pStyle w:val="P68B1DB1-Normal59"/>
        <w:spacing w:after="120" w:line="240" w:lineRule="auto"/>
        <w:jc w:val="both"/>
        <w:rPr>
          <w:rFonts w:eastAsia="Times New Roman"/>
          <w:noProof/>
          <w:szCs w:val="24"/>
        </w:rPr>
      </w:pPr>
      <w:r>
        <w:rPr>
          <w:noProof/>
        </w:rPr>
        <w:t>Obiectivul reformei este de a consolida transparența și de a îmbunătăți accesul la informațiile publice.</w:t>
      </w:r>
    </w:p>
    <w:p w14:paraId="7D004B32" w14:textId="24E35187" w:rsidR="00702291" w:rsidRDefault="00712B31">
      <w:pPr>
        <w:pStyle w:val="P68B1DB1-Normal12"/>
        <w:spacing w:after="120" w:line="240" w:lineRule="auto"/>
        <w:jc w:val="both"/>
        <w:rPr>
          <w:rFonts w:ascii="Times New Roman" w:eastAsia="Times New Roman" w:hAnsi="Times New Roman"/>
          <w:noProof/>
          <w:szCs w:val="24"/>
        </w:rPr>
      </w:pPr>
      <w:r>
        <w:rPr>
          <w:rFonts w:ascii="Times New Roman" w:eastAsiaTheme="minorHAnsi" w:hAnsi="Times New Roman" w:cs="Times New Roman"/>
          <w:noProof/>
        </w:rPr>
        <w:t xml:space="preserve">Această reformă constă </w:t>
      </w:r>
      <w:r>
        <w:rPr>
          <w:rFonts w:ascii="Times New Roman" w:hAnsi="Times New Roman"/>
          <w:noProof/>
          <w:szCs w:val="20"/>
        </w:rPr>
        <w:t>în intrarea în vigoare a modificărilor legislative (i) care facilitează accesul la informațiile publice prin asigurarea faptului că datele publice sunt, în principiu, furnizate gratuit și abrogă anumite motive de refuz al accesului la cererile de informații publice;</w:t>
      </w:r>
      <w:r>
        <w:rPr>
          <w:rFonts w:ascii="Times New Roman" w:hAnsi="Times New Roman"/>
          <w:noProof/>
          <w:szCs w:val="24"/>
        </w:rPr>
        <w:t xml:space="preserve"> (II) o revizuire periodică a organismelor care îndeplinesc sarcini publice în ceea ce privește respectarea normelor privind accesul la informațiile publice, efectuată de NAIH; și (iii) </w:t>
      </w:r>
      <w:r>
        <w:rPr>
          <w:rFonts w:ascii="Times New Roman" w:hAnsi="Times New Roman"/>
          <w:noProof/>
          <w:szCs w:val="20"/>
        </w:rPr>
        <w:t xml:space="preserve">să introducă o procedură excepțională pentru cauzele în instanță legate de accesul la informațiile publice pentru a facilita accesul la informațiile publice și pentru a limita durata procedurilor judiciare. </w:t>
      </w:r>
    </w:p>
    <w:p w14:paraId="1F90033D" w14:textId="33814283" w:rsidR="00702291" w:rsidRDefault="00712B31">
      <w:pPr>
        <w:pStyle w:val="P68B1DB1-Heading411"/>
        <w:spacing w:before="0" w:after="120" w:line="240" w:lineRule="auto"/>
        <w:rPr>
          <w:noProof/>
        </w:rPr>
      </w:pPr>
      <w:r>
        <w:rPr>
          <w:noProof/>
        </w:rPr>
        <w:t xml:space="preserve">C8.R26: Îmbunătățirea calității procesului legislativ și implicarea efectivă a părților interesate și a partenerilor sociali în procesul decizional </w:t>
      </w:r>
    </w:p>
    <w:p w14:paraId="0F51C982" w14:textId="42004626" w:rsidR="00702291" w:rsidRDefault="00712B31">
      <w:pPr>
        <w:pStyle w:val="P68B1DB1-Normal59"/>
        <w:spacing w:after="120" w:line="240" w:lineRule="auto"/>
        <w:jc w:val="both"/>
        <w:rPr>
          <w:rFonts w:eastAsia="Times New Roman"/>
          <w:noProof/>
          <w:szCs w:val="24"/>
        </w:rPr>
      </w:pPr>
      <w:r>
        <w:rPr>
          <w:noProof/>
        </w:rPr>
        <w:t xml:space="preserve">Obiectivul acestei reforme este de a spori calitatea și implicarea partenerilor sociali, a părților interesate și a experților neguvernamentali în procesul legislativ și de a stabili un cadru pentru consultarea sistematică a partenerilor sociali și a părților interesate cu privire la punerea în aplicare a planului de redresare și reziliență. </w:t>
      </w:r>
    </w:p>
    <w:p w14:paraId="1D8483D7" w14:textId="7DDE1CFF" w:rsidR="00702291" w:rsidRDefault="00712B31">
      <w:pPr>
        <w:pStyle w:val="P68B1DB1-Normal12"/>
        <w:spacing w:after="120" w:line="240" w:lineRule="auto"/>
        <w:jc w:val="both"/>
        <w:rPr>
          <w:rFonts w:ascii="Times New Roman" w:eastAsia="Times New Roman" w:hAnsi="Times New Roman" w:cs="Times New Roman"/>
          <w:noProof/>
          <w:szCs w:val="24"/>
        </w:rPr>
      </w:pPr>
      <w:r>
        <w:rPr>
          <w:rFonts w:ascii="Times New Roman" w:eastAsiaTheme="minorHAnsi" w:hAnsi="Times New Roman" w:cs="Times New Roman"/>
          <w:noProof/>
        </w:rPr>
        <w:t xml:space="preserve">Această reformă constă în intrarea </w:t>
      </w:r>
      <w:r>
        <w:rPr>
          <w:rFonts w:ascii="Times New Roman" w:hAnsi="Times New Roman"/>
          <w:noProof/>
          <w:szCs w:val="20"/>
        </w:rPr>
        <w:t>în vigoare a actului (actelor) juridic (e) (i) pentru a stabili cerințe de consultare publică cu privire la proiectele de acte juridice și cerința de a publica în mod sistematic sinteze ale evaluărilor impactului și expuneri de motive; și (ii) să prevadă obligația de a elabora o strategie privind implicarea părților interesate și instituirea unui comitet de monitorizare pentru planul de redresare și reziliență.</w:t>
      </w:r>
    </w:p>
    <w:p w14:paraId="213009A6" w14:textId="5FF65897" w:rsidR="00702291" w:rsidRDefault="00712B31">
      <w:pPr>
        <w:pStyle w:val="P68B1DB1-Heading411"/>
        <w:spacing w:before="0" w:after="120" w:line="240" w:lineRule="auto"/>
        <w:rPr>
          <w:rFonts w:eastAsia="Times New Roman"/>
          <w:noProof/>
        </w:rPr>
      </w:pPr>
      <w:r>
        <w:rPr>
          <w:noProof/>
        </w:rPr>
        <w:t>C8.R27: Revizuirea cerințelor minime privind substanța în scopul impozitului pe profit</w:t>
      </w:r>
    </w:p>
    <w:p w14:paraId="4AEEED63" w14:textId="6D087614" w:rsidR="00702291" w:rsidRDefault="00712B31">
      <w:pPr>
        <w:pStyle w:val="P68B1DB1-Normal59"/>
        <w:spacing w:after="120" w:line="240" w:lineRule="auto"/>
        <w:jc w:val="both"/>
        <w:rPr>
          <w:rFonts w:eastAsia="Times New Roman"/>
          <w:noProof/>
          <w:szCs w:val="24"/>
        </w:rPr>
      </w:pPr>
      <w:r>
        <w:rPr>
          <w:noProof/>
        </w:rPr>
        <w:t xml:space="preserve">Obiectivul acestei reforme este de a se asigura că societățile nu sunt stabilite în Ungaria exclusiv în scopuri de planificare fiscală și de a contribui la combaterea utilizării societăților de tip „cutie poștală” și a societăților de tip „cutie poștală”. </w:t>
      </w:r>
    </w:p>
    <w:p w14:paraId="4B15BEC3" w14:textId="77777777" w:rsidR="00702291" w:rsidRDefault="00712B31">
      <w:pPr>
        <w:pStyle w:val="P68B1DB1-Normal59"/>
        <w:spacing w:after="120" w:line="240" w:lineRule="auto"/>
        <w:jc w:val="both"/>
        <w:rPr>
          <w:rFonts w:eastAsia="Times New Roman"/>
          <w:noProof/>
          <w:szCs w:val="24"/>
        </w:rPr>
      </w:pPr>
      <w:r>
        <w:rPr>
          <w:noProof/>
        </w:rPr>
        <w:t>Această reformă constă într-o expertiză internațională independentă privind normele naționale de combatere a evitării obligațiilor fiscale.</w:t>
      </w:r>
    </w:p>
    <w:p w14:paraId="1C4429D7" w14:textId="4383C970" w:rsidR="00702291" w:rsidRDefault="00712B31">
      <w:pPr>
        <w:pStyle w:val="P68B1DB1-Heading411"/>
        <w:spacing w:before="0" w:after="120" w:line="240" w:lineRule="auto"/>
        <w:rPr>
          <w:rFonts w:eastAsia="Times New Roman"/>
          <w:noProof/>
        </w:rPr>
      </w:pPr>
      <w:r>
        <w:rPr>
          <w:noProof/>
        </w:rPr>
        <w:t>C8.R28: Consolidarea reglementărilor privind prețurile de transfer</w:t>
      </w:r>
    </w:p>
    <w:p w14:paraId="7E05DF44" w14:textId="77777777" w:rsidR="00702291" w:rsidRDefault="00712B31">
      <w:pPr>
        <w:pStyle w:val="P68B1DB1-Normal59"/>
        <w:spacing w:after="120" w:line="240" w:lineRule="auto"/>
        <w:jc w:val="both"/>
        <w:rPr>
          <w:rFonts w:eastAsia="Times New Roman"/>
          <w:noProof/>
          <w:szCs w:val="24"/>
        </w:rPr>
      </w:pPr>
      <w:r>
        <w:rPr>
          <w:noProof/>
        </w:rPr>
        <w:t>Obiectivul acestei reforme este de a combate evaziunea fiscală și de a îmbunătăți transparența sistemului fiscal maghiar prin transformarea obligațiilor de raportare a datelor privind tranzacțiile cu părți afiliate în scopul stabilirii prețurilor de transfer.</w:t>
      </w:r>
    </w:p>
    <w:p w14:paraId="42531C74" w14:textId="77777777" w:rsidR="00702291" w:rsidRDefault="00712B31">
      <w:pPr>
        <w:pStyle w:val="P68B1DB1-Normal59"/>
        <w:spacing w:after="120" w:line="240" w:lineRule="auto"/>
        <w:jc w:val="both"/>
        <w:rPr>
          <w:rFonts w:eastAsia="Times New Roman"/>
          <w:noProof/>
          <w:szCs w:val="24"/>
        </w:rPr>
      </w:pPr>
      <w:r>
        <w:rPr>
          <w:noProof/>
        </w:rPr>
        <w:t>Reforma constă în intrarea în vigoare a unui (unor) act (e) juridic (e) care stabilește (stabilesc) cerințe pentru o nouă raportare a datelor privind prețurile de transfer.</w:t>
      </w:r>
    </w:p>
    <w:p w14:paraId="09776596" w14:textId="5E8EC4AD" w:rsidR="00702291" w:rsidRDefault="00712B31">
      <w:pPr>
        <w:pStyle w:val="P68B1DB1-Heading411"/>
        <w:spacing w:before="0" w:after="120" w:line="240" w:lineRule="auto"/>
        <w:rPr>
          <w:rFonts w:eastAsia="Times New Roman"/>
          <w:noProof/>
        </w:rPr>
      </w:pPr>
      <w:r>
        <w:rPr>
          <w:noProof/>
        </w:rPr>
        <w:t>C8.R29: Extinderea domeniului de aplicare al normelor privind nedeductibilitatea pentru plățile către exterior</w:t>
      </w:r>
    </w:p>
    <w:p w14:paraId="4480DDFE" w14:textId="77777777" w:rsidR="00702291" w:rsidRDefault="00712B31">
      <w:pPr>
        <w:pStyle w:val="P68B1DB1-Normal59"/>
        <w:spacing w:after="120" w:line="240" w:lineRule="auto"/>
        <w:jc w:val="both"/>
        <w:rPr>
          <w:rFonts w:eastAsia="Times New Roman"/>
          <w:noProof/>
          <w:szCs w:val="24"/>
        </w:rPr>
      </w:pPr>
      <w:r>
        <w:rPr>
          <w:noProof/>
        </w:rPr>
        <w:t xml:space="preserve">Obiectivul acestei reforme este de a combate riscul dublei neimpozitări a plăților în străinătate care provin din Ungaria către jurisdicții cu un nivel zero sau scăzut de impozitare, limitând astfel oportunitățile de planificare fiscală agresivă. </w:t>
      </w:r>
    </w:p>
    <w:p w14:paraId="1ED14373" w14:textId="77777777" w:rsidR="00702291" w:rsidRDefault="00712B31">
      <w:pPr>
        <w:pStyle w:val="P68B1DB1-Normal12"/>
        <w:spacing w:after="120" w:line="240" w:lineRule="auto"/>
        <w:jc w:val="both"/>
        <w:rPr>
          <w:rFonts w:ascii="Times New Roman" w:eastAsia="Times New Roman" w:hAnsi="Times New Roman" w:cs="Times New Roman"/>
          <w:noProof/>
        </w:rPr>
      </w:pPr>
      <w:r>
        <w:rPr>
          <w:rFonts w:ascii="Times New Roman" w:eastAsiaTheme="minorHAnsi" w:hAnsi="Times New Roman" w:cs="Times New Roman"/>
          <w:noProof/>
        </w:rPr>
        <w:t xml:space="preserve">Această reformă constă </w:t>
      </w:r>
      <w:r>
        <w:rPr>
          <w:rFonts w:ascii="Times New Roman" w:hAnsi="Times New Roman"/>
          <w:noProof/>
          <w:szCs w:val="20"/>
        </w:rPr>
        <w:t>în intrarea în vigoare a unor modificări legislative privind</w:t>
      </w:r>
      <w:r>
        <w:rPr>
          <w:rFonts w:ascii="Times New Roman" w:eastAsiaTheme="minorHAnsi" w:hAnsi="Times New Roman" w:cs="Times New Roman"/>
          <w:noProof/>
        </w:rPr>
        <w:t xml:space="preserve"> </w:t>
      </w:r>
      <w:r>
        <w:rPr>
          <w:rFonts w:ascii="Times New Roman" w:hAnsi="Times New Roman"/>
          <w:noProof/>
          <w:szCs w:val="24"/>
        </w:rPr>
        <w:t xml:space="preserve">extinderea normelor de nedeductibilitate pentru plățile </w:t>
      </w:r>
      <w:r>
        <w:rPr>
          <w:rFonts w:ascii="Times New Roman" w:hAnsi="Times New Roman" w:cs="Times New Roman"/>
          <w:noProof/>
        </w:rPr>
        <w:t>în străinătate și</w:t>
      </w:r>
      <w:r>
        <w:rPr>
          <w:rFonts w:ascii="Times New Roman" w:hAnsi="Times New Roman"/>
          <w:noProof/>
          <w:szCs w:val="24"/>
        </w:rPr>
        <w:t xml:space="preserve"> comandarea unei evaluări independente a normelor legate de planificarea fiscală agresivă.</w:t>
      </w:r>
    </w:p>
    <w:p w14:paraId="5D155503" w14:textId="1AF6FD67" w:rsidR="00702291" w:rsidRDefault="00712B31">
      <w:pPr>
        <w:pStyle w:val="P68B1DB1-Heading411"/>
        <w:spacing w:before="0" w:after="120" w:line="240" w:lineRule="auto"/>
        <w:rPr>
          <w:rFonts w:eastAsia="Times New Roman"/>
          <w:noProof/>
        </w:rPr>
      </w:pPr>
      <w:r>
        <w:rPr>
          <w:noProof/>
        </w:rPr>
        <w:t>C8.R30: Transformarea digitală a procedurilor de conformare fiscală</w:t>
      </w:r>
    </w:p>
    <w:p w14:paraId="166B43D0" w14:textId="77777777" w:rsidR="00702291" w:rsidRDefault="00712B31">
      <w:pPr>
        <w:pStyle w:val="P68B1DB1-Normal64"/>
        <w:keepNext/>
        <w:spacing w:after="120" w:line="240" w:lineRule="auto"/>
        <w:jc w:val="both"/>
        <w:rPr>
          <w:noProof/>
        </w:rPr>
      </w:pPr>
      <w:r>
        <w:rPr>
          <w:noProof/>
        </w:rPr>
        <w:t>Obiectivul acestei reforme este de a raționaliza procedurile de asigurare a conformității fiscale și de a reduce costurile de asigurare a conformității prin crearea de servicii digitale noi și ușor de utilizat pentru contribuabili și intermediarii financiari.</w:t>
      </w:r>
    </w:p>
    <w:p w14:paraId="2C152F5F" w14:textId="77777777" w:rsidR="00702291" w:rsidRDefault="00712B31">
      <w:pPr>
        <w:pStyle w:val="P68B1DB1-Normal64"/>
        <w:keepNext/>
        <w:spacing w:after="120" w:line="240" w:lineRule="auto"/>
        <w:jc w:val="both"/>
        <w:rPr>
          <w:noProof/>
        </w:rPr>
      </w:pPr>
      <w:r>
        <w:rPr>
          <w:noProof/>
        </w:rPr>
        <w:t>Această reformă constă în crearea de servicii digitale legate de încasări și TVA și în lansarea unui proiect-pilot legat de serviciile digitale de salarizare.</w:t>
      </w:r>
    </w:p>
    <w:p w14:paraId="43C71AD1" w14:textId="6DF1AAC5" w:rsidR="00702291" w:rsidRDefault="00712B31">
      <w:pPr>
        <w:pStyle w:val="P68B1DB1-Heading411"/>
        <w:spacing w:before="0" w:after="120" w:line="240" w:lineRule="auto"/>
        <w:rPr>
          <w:rFonts w:eastAsia="Times New Roman"/>
          <w:noProof/>
        </w:rPr>
      </w:pPr>
      <w:r>
        <w:rPr>
          <w:noProof/>
        </w:rPr>
        <w:t>C8.R31: Simplificarea sistemului fiscal prin reducerea numărului de impozite</w:t>
      </w:r>
    </w:p>
    <w:p w14:paraId="485C8C75" w14:textId="77777777" w:rsidR="00702291" w:rsidRDefault="00712B31">
      <w:pPr>
        <w:pStyle w:val="P68B1DB1-Normal59"/>
        <w:spacing w:after="120" w:line="240" w:lineRule="auto"/>
        <w:jc w:val="both"/>
        <w:rPr>
          <w:noProof/>
          <w:szCs w:val="24"/>
        </w:rPr>
      </w:pPr>
      <w:r>
        <w:rPr>
          <w:noProof/>
        </w:rPr>
        <w:t>Obiectivul acestei reforme este de a simplifica sistemul fiscal prin reducerea numărului de impozite și a cheltuielilor cu impozitul pe profit.</w:t>
      </w:r>
    </w:p>
    <w:p w14:paraId="218537C0" w14:textId="77777777" w:rsidR="00702291" w:rsidRDefault="00712B31">
      <w:pPr>
        <w:pStyle w:val="P68B1DB1-Normal59"/>
        <w:spacing w:after="120" w:line="240" w:lineRule="auto"/>
        <w:jc w:val="both"/>
        <w:rPr>
          <w:noProof/>
          <w:szCs w:val="24"/>
        </w:rPr>
      </w:pPr>
      <w:r>
        <w:rPr>
          <w:noProof/>
        </w:rPr>
        <w:t xml:space="preserve">Reforma constă în modificarea codului fiscal pentru a reduce numărul de beneficii fiscale și impozitele și în efectuarea de revizuiri ale impozitului pe profit și pe venitul persoanelor fizice. </w:t>
      </w:r>
    </w:p>
    <w:p w14:paraId="0EB89306" w14:textId="5828D586" w:rsidR="00702291" w:rsidRDefault="00712B31">
      <w:pPr>
        <w:pStyle w:val="P68B1DB1-Heading411"/>
        <w:spacing w:before="0" w:after="120" w:line="240" w:lineRule="auto"/>
        <w:rPr>
          <w:rFonts w:eastAsia="Times New Roman"/>
          <w:noProof/>
        </w:rPr>
      </w:pPr>
      <w:r>
        <w:rPr>
          <w:noProof/>
        </w:rPr>
        <w:t>C8.R32: Reformarea taxei pe conductele de utilități publice</w:t>
      </w:r>
    </w:p>
    <w:p w14:paraId="59ED1197" w14:textId="337DE35B" w:rsidR="00702291" w:rsidRDefault="00712B31">
      <w:pPr>
        <w:pStyle w:val="P68B1DB1-Normal64"/>
        <w:spacing w:after="120" w:line="240" w:lineRule="auto"/>
        <w:jc w:val="both"/>
        <w:rPr>
          <w:noProof/>
        </w:rPr>
      </w:pPr>
      <w:r>
        <w:rPr>
          <w:noProof/>
        </w:rPr>
        <w:t xml:space="preserve">Obiectivul acestei reforme este de a simplifica sistemul fiscal, promovând în același timp un mediu fiscal care să stimuleze investițiile în proiecte mari de infrastructură de utilități. </w:t>
      </w:r>
    </w:p>
    <w:p w14:paraId="76C8A179" w14:textId="77777777" w:rsidR="00702291" w:rsidRDefault="00712B31">
      <w:pPr>
        <w:pStyle w:val="P68B1DB1-Normal64"/>
        <w:spacing w:after="120" w:line="240" w:lineRule="auto"/>
        <w:jc w:val="both"/>
        <w:rPr>
          <w:noProof/>
        </w:rPr>
      </w:pPr>
      <w:r>
        <w:rPr>
          <w:noProof/>
        </w:rPr>
        <w:t>Această reformă constă fie în abrogarea actului (actelor) juridic (e) privind taxa pe conductele de utilități, fie în modificarea acestuia pentru a introduce o normă fiscală care să permită proprietarilor de utilități să achite sau să crediteze taxa detaliată datorată pentru liniile lor pentru suma pe care o investesc în întreținerea sau modernizarea liniilor respective.</w:t>
      </w:r>
    </w:p>
    <w:p w14:paraId="09E79413" w14:textId="25D1C3EA" w:rsidR="00702291" w:rsidRDefault="00712B31">
      <w:pPr>
        <w:pStyle w:val="P68B1DB1-Heading411"/>
        <w:spacing w:before="0" w:after="120" w:line="240" w:lineRule="auto"/>
        <w:rPr>
          <w:rFonts w:eastAsia="Times New Roman"/>
          <w:noProof/>
        </w:rPr>
      </w:pPr>
      <w:r>
        <w:rPr>
          <w:noProof/>
        </w:rPr>
        <w:t xml:space="preserve">C8.R33: Creșterea eficienței cheltuielilor publice prin efectuarea de analize ale cheltuielilor </w:t>
      </w:r>
    </w:p>
    <w:p w14:paraId="14284CC9" w14:textId="1D7F31E9" w:rsidR="00702291" w:rsidRDefault="00712B31">
      <w:pPr>
        <w:pStyle w:val="P68B1DB1-Normal64"/>
        <w:keepNext/>
        <w:spacing w:after="120" w:line="240" w:lineRule="auto"/>
        <w:jc w:val="both"/>
        <w:rPr>
          <w:noProof/>
        </w:rPr>
      </w:pPr>
      <w:r>
        <w:rPr>
          <w:noProof/>
        </w:rPr>
        <w:t xml:space="preserve">Obiectivul acestei reforme este de a evalua și de a îmbunătăți eficiența cheltuielilor publice, în vederea consolidării sustenabilității pe termen mediu a finanțelor publice și a datoriei publice și a stimulării creșterii economice. </w:t>
      </w:r>
    </w:p>
    <w:p w14:paraId="6916711E" w14:textId="77777777" w:rsidR="00702291" w:rsidRDefault="00712B31">
      <w:pPr>
        <w:pStyle w:val="P68B1DB1-Normal64"/>
        <w:keepNext/>
        <w:spacing w:after="120" w:line="240" w:lineRule="auto"/>
        <w:jc w:val="both"/>
        <w:rPr>
          <w:noProof/>
        </w:rPr>
      </w:pPr>
      <w:r>
        <w:rPr>
          <w:noProof/>
        </w:rPr>
        <w:t xml:space="preserve">Această reformă constă în introducerea unor analize ale cheltuielilor în anumite domenii prioritare ale cheltuielilor publice, utilizând cele mai bune practici internaționale, și în elaborarea a două analize ale cheltuielilor. </w:t>
      </w:r>
    </w:p>
    <w:p w14:paraId="78507188" w14:textId="2353BB02" w:rsidR="00702291" w:rsidRDefault="00712B31">
      <w:pPr>
        <w:pStyle w:val="P68B1DB1-Heading411"/>
        <w:spacing w:before="0" w:after="120" w:line="240" w:lineRule="auto"/>
        <w:rPr>
          <w:rFonts w:eastAsia="Times New Roman"/>
          <w:noProof/>
        </w:rPr>
      </w:pPr>
      <w:r>
        <w:rPr>
          <w:noProof/>
        </w:rPr>
        <w:t>C8.R34: Îmbunătățirea cadrului bugetar intern</w:t>
      </w:r>
    </w:p>
    <w:p w14:paraId="67668BC3" w14:textId="265A7BE9" w:rsidR="00702291" w:rsidRDefault="00712B31">
      <w:pPr>
        <w:pStyle w:val="P68B1DB1-Normal64"/>
        <w:spacing w:after="120" w:line="240" w:lineRule="auto"/>
        <w:jc w:val="both"/>
        <w:rPr>
          <w:rFonts w:eastAsia="Times New Roman"/>
          <w:b/>
          <w:noProof/>
          <w:szCs w:val="24"/>
        </w:rPr>
      </w:pPr>
      <w:r>
        <w:rPr>
          <w:noProof/>
        </w:rPr>
        <w:t xml:space="preserve">Obiectivul acestei reforme este de a îmbunătăți guvernanța fiscală prin consolidarea transparenței, a responsabilității și a eficienței în gestionarea finanțelor publice. </w:t>
      </w:r>
    </w:p>
    <w:p w14:paraId="640C932D" w14:textId="77777777" w:rsidR="00702291" w:rsidRDefault="00712B31">
      <w:pPr>
        <w:pStyle w:val="P68B1DB1-Normal12"/>
        <w:keepNext/>
        <w:spacing w:after="120" w:line="240" w:lineRule="auto"/>
        <w:jc w:val="both"/>
        <w:rPr>
          <w:rFonts w:ascii="Times New Roman" w:hAnsi="Times New Roman" w:cs="Times New Roman"/>
          <w:noProof/>
          <w:szCs w:val="24"/>
        </w:rPr>
      </w:pPr>
      <w:r>
        <w:rPr>
          <w:rFonts w:ascii="Times New Roman" w:hAnsi="Times New Roman" w:cs="Times New Roman"/>
          <w:noProof/>
          <w:szCs w:val="24"/>
        </w:rPr>
        <w:t>Reforma constă în îmbunătățiri ale cadrului bugetar intern</w:t>
      </w:r>
      <w:r>
        <w:rPr>
          <w:rFonts w:ascii="Times New Roman" w:eastAsiaTheme="minorHAnsi" w:hAnsi="Times New Roman" w:cs="Times New Roman"/>
          <w:noProof/>
        </w:rPr>
        <w:t>.</w:t>
      </w:r>
    </w:p>
    <w:p w14:paraId="51770F4C" w14:textId="70DC6113" w:rsidR="00702291" w:rsidRDefault="00712B31">
      <w:pPr>
        <w:pStyle w:val="P68B1DB1-Heading411"/>
        <w:spacing w:before="0" w:after="120" w:line="240" w:lineRule="auto"/>
        <w:rPr>
          <w:noProof/>
        </w:rPr>
      </w:pPr>
      <w:r>
        <w:rPr>
          <w:noProof/>
        </w:rPr>
        <w:t>C8.R35: Reforma creditării subvenționate</w:t>
      </w:r>
      <w:r>
        <w:rPr>
          <w:noProof/>
        </w:rPr>
        <w:tab/>
      </w:r>
    </w:p>
    <w:p w14:paraId="5F92AA4D" w14:textId="77777777" w:rsidR="00702291" w:rsidRDefault="00712B31">
      <w:pPr>
        <w:pStyle w:val="P68B1DB1-Normal12"/>
        <w:keepNext/>
        <w:spacing w:after="120" w:line="240" w:lineRule="auto"/>
        <w:jc w:val="both"/>
        <w:rPr>
          <w:rFonts w:ascii="Times New Roman" w:hAnsi="Times New Roman" w:cs="Times New Roman"/>
          <w:noProof/>
          <w:szCs w:val="20"/>
        </w:rPr>
      </w:pPr>
      <w:r>
        <w:rPr>
          <w:rFonts w:ascii="Times New Roman" w:hAnsi="Times New Roman" w:cs="Times New Roman"/>
          <w:noProof/>
          <w:szCs w:val="20"/>
        </w:rPr>
        <w:t>Obiectivul acestei reforme este de a consolida mecanismele de finanțare bazate pe piață și de a se asigura că sprijinul financiar public vizează remedierea disfuncționalităților reale ale pieței.</w:t>
      </w:r>
    </w:p>
    <w:p w14:paraId="189C480E" w14:textId="10E1AF89" w:rsidR="00702291" w:rsidRDefault="00712B31">
      <w:pPr>
        <w:pStyle w:val="P68B1DB1-Normal34"/>
        <w:keepNext/>
        <w:spacing w:after="120" w:line="240" w:lineRule="auto"/>
        <w:jc w:val="both"/>
        <w:rPr>
          <w:noProof/>
        </w:rPr>
      </w:pPr>
      <w:r>
        <w:rPr>
          <w:noProof/>
        </w:rPr>
        <w:t xml:space="preserve">Reforma constă în reformarea programului privind cardul Széchenyi, reducerea contragaranțiilor guvernamentale și revizuirea garanțiilor guvernamentale pentru împrumuturile din sectorul privat. </w:t>
      </w:r>
    </w:p>
    <w:bookmarkEnd w:id="4"/>
    <w:p w14:paraId="66C4D1E6" w14:textId="77777777" w:rsidR="00702291" w:rsidRDefault="00702291">
      <w:pPr>
        <w:keepNext/>
        <w:spacing w:line="240" w:lineRule="auto"/>
        <w:jc w:val="both"/>
        <w:outlineLvl w:val="1"/>
        <w:rPr>
          <w:rFonts w:ascii="Times New Roman" w:hAnsi="Times New Roman"/>
          <w:b/>
          <w:noProof/>
          <w:sz w:val="24"/>
          <w:u w:val="single"/>
        </w:rPr>
        <w:sectPr w:rsidR="00702291" w:rsidSect="0091450C">
          <w:headerReference w:type="default" r:id="rId102"/>
          <w:footerReference w:type="default" r:id="rId103"/>
          <w:pgSz w:w="11907" w:h="16839"/>
          <w:pgMar w:top="1134" w:right="1134" w:bottom="1134" w:left="1134" w:header="567" w:footer="567" w:gutter="0"/>
          <w:cols w:space="708"/>
          <w:docGrid w:linePitch="326"/>
        </w:sectPr>
      </w:pPr>
    </w:p>
    <w:p w14:paraId="280E483D" w14:textId="64079B65" w:rsidR="00702291" w:rsidRDefault="00712B31">
      <w:pPr>
        <w:pStyle w:val="P68B1DB1-Heading310"/>
        <w:spacing w:before="0" w:after="120"/>
        <w:rPr>
          <w:noProof/>
        </w:rPr>
      </w:pPr>
      <w:r>
        <w:rPr>
          <w:noProof/>
        </w:rPr>
        <w:t xml:space="preserve">H.2. </w:t>
      </w:r>
      <w:r>
        <w:rPr>
          <w:noProof/>
        </w:rPr>
        <w:tab/>
        <w:t>Jaloane, ținte, indicatori și calendarul de monitorizare și implementare aplicabile sprijinului financiar nerambursabil</w:t>
      </w:r>
    </w:p>
    <w:tbl>
      <w:tblPr>
        <w:tblW w:w="15615" w:type="dxa"/>
        <w:jc w:val="center"/>
        <w:tblLayout w:type="fixed"/>
        <w:tblLook w:val="04A0" w:firstRow="1" w:lastRow="0" w:firstColumn="1" w:lastColumn="0" w:noHBand="0" w:noVBand="1"/>
      </w:tblPr>
      <w:tblGrid>
        <w:gridCol w:w="948"/>
        <w:gridCol w:w="1712"/>
        <w:gridCol w:w="1021"/>
        <w:gridCol w:w="1843"/>
        <w:gridCol w:w="1275"/>
        <w:gridCol w:w="1134"/>
        <w:gridCol w:w="1134"/>
        <w:gridCol w:w="993"/>
        <w:gridCol w:w="1134"/>
        <w:gridCol w:w="708"/>
        <w:gridCol w:w="3713"/>
      </w:tblGrid>
      <w:tr w:rsidR="00702291" w14:paraId="5CA3AF01" w14:textId="77777777" w:rsidTr="00494F0E">
        <w:trPr>
          <w:trHeight w:val="587"/>
          <w:tblHeader/>
          <w:jc w:val="center"/>
        </w:trPr>
        <w:tc>
          <w:tcPr>
            <w:tcW w:w="9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030B65" w14:textId="77777777" w:rsidR="00702291" w:rsidRDefault="00712B31">
            <w:pPr>
              <w:pStyle w:val="P68B1DB1-Normal37"/>
              <w:spacing w:after="120" w:line="240" w:lineRule="auto"/>
              <w:jc w:val="both"/>
              <w:rPr>
                <w:rFonts w:eastAsia="MS Mincho"/>
                <w:bCs/>
                <w:noProof/>
              </w:rPr>
            </w:pPr>
            <w:r>
              <w:rPr>
                <w:noProof/>
              </w:rPr>
              <w:t>Număr Număr</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D8CD61" w14:textId="77777777" w:rsidR="00702291" w:rsidRDefault="00712B31">
            <w:pPr>
              <w:pStyle w:val="P68B1DB1-Normal37"/>
              <w:spacing w:after="120" w:line="240" w:lineRule="auto"/>
              <w:jc w:val="center"/>
              <w:rPr>
                <w:rFonts w:eastAsia="Calibri"/>
                <w:noProof/>
              </w:rPr>
            </w:pPr>
            <w:r>
              <w:rPr>
                <w:noProof/>
              </w:rPr>
              <w:t>Măsură conexă (reformă sau investiții)</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4BB1BF" w14:textId="50EC965E" w:rsidR="00702291" w:rsidRDefault="00712B31">
            <w:pPr>
              <w:pStyle w:val="P68B1DB1-Normal37"/>
              <w:spacing w:after="120" w:line="240" w:lineRule="auto"/>
              <w:rPr>
                <w:rFonts w:eastAsia="Calibri"/>
                <w:bCs/>
                <w:noProof/>
              </w:rPr>
            </w:pPr>
            <w:r>
              <w:rPr>
                <w:noProof/>
              </w:rPr>
              <w:t>Etapă/</w:t>
            </w:r>
            <w:r w:rsidR="00494F0E">
              <w:rPr>
                <w:noProof/>
              </w:rPr>
              <w:t xml:space="preserve"> </w:t>
            </w:r>
            <w:r>
              <w:rPr>
                <w:noProof/>
              </w:rPr>
              <w:t>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EEA602" w14:textId="77777777" w:rsidR="00702291" w:rsidRDefault="00712B31">
            <w:pPr>
              <w:pStyle w:val="P68B1DB1-Normal37"/>
              <w:spacing w:after="120" w:line="240" w:lineRule="auto"/>
              <w:jc w:val="center"/>
              <w:rPr>
                <w:rFonts w:eastAsia="Calibri"/>
                <w:bCs/>
                <w:noProof/>
              </w:rPr>
            </w:pPr>
            <w:r>
              <w:rPr>
                <w:noProof/>
              </w:rPr>
              <w:t>Nume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63685B" w14:textId="57E573E4" w:rsidR="00702291" w:rsidRDefault="00712B31">
            <w:pPr>
              <w:pStyle w:val="P68B1DB1-Normal37"/>
              <w:spacing w:after="120" w:line="240" w:lineRule="auto"/>
              <w:jc w:val="center"/>
              <w:rPr>
                <w:rFonts w:eastAsia="Calibri"/>
                <w:bCs/>
                <w:noProof/>
              </w:rPr>
            </w:pPr>
            <w:r>
              <w:rPr>
                <w:noProof/>
              </w:rPr>
              <w:t xml:space="preserve">Indicatori calitativi </w:t>
            </w:r>
            <w:r>
              <w:rPr>
                <w:noProof/>
              </w:rPr>
              <w:br/>
              <w:t>(pentru jaloane)</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A7256E" w14:textId="2F6AA80E" w:rsidR="00702291" w:rsidRDefault="00712B31">
            <w:pPr>
              <w:pStyle w:val="P68B1DB1-Normal37"/>
              <w:spacing w:after="120" w:line="240" w:lineRule="auto"/>
              <w:jc w:val="center"/>
              <w:rPr>
                <w:rFonts w:eastAsia="Calibri"/>
                <w:bCs/>
                <w:noProof/>
              </w:rPr>
            </w:pPr>
            <w:r>
              <w:rPr>
                <w:noProof/>
              </w:rPr>
              <w:t xml:space="preserve">Indicatori cantitativi </w:t>
            </w:r>
            <w:r>
              <w:rPr>
                <w:noProof/>
              </w:rPr>
              <w:br/>
              <w:t>(pentru obiective)</w:t>
            </w:r>
          </w:p>
        </w:tc>
        <w:tc>
          <w:tcPr>
            <w:tcW w:w="1842" w:type="dxa"/>
            <w:gridSpan w:val="2"/>
            <w:tcBorders>
              <w:top w:val="single" w:sz="4" w:space="0" w:color="auto"/>
              <w:left w:val="nil"/>
              <w:bottom w:val="single" w:sz="4" w:space="0" w:color="auto"/>
              <w:right w:val="single" w:sz="4" w:space="0" w:color="auto"/>
            </w:tcBorders>
            <w:shd w:val="clear" w:color="auto" w:fill="BDD7EE"/>
            <w:vAlign w:val="center"/>
            <w:hideMark/>
          </w:tcPr>
          <w:p w14:paraId="6C53B38A" w14:textId="77777777" w:rsidR="00702291" w:rsidRDefault="00712B31">
            <w:pPr>
              <w:pStyle w:val="P68B1DB1-Normal37"/>
              <w:spacing w:after="120" w:line="240" w:lineRule="auto"/>
              <w:jc w:val="center"/>
              <w:rPr>
                <w:rFonts w:eastAsia="Calibri"/>
                <w:bCs/>
                <w:noProof/>
              </w:rPr>
            </w:pPr>
            <w:r>
              <w:rPr>
                <w:noProof/>
              </w:rPr>
              <w:t xml:space="preserve">Calendar orientativ pentru finalizare </w:t>
            </w:r>
          </w:p>
        </w:tc>
        <w:tc>
          <w:tcPr>
            <w:tcW w:w="37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1BB961" w14:textId="77777777" w:rsidR="00702291" w:rsidRDefault="00712B31">
            <w:pPr>
              <w:pStyle w:val="P68B1DB1-Normal37"/>
              <w:spacing w:after="120" w:line="240" w:lineRule="auto"/>
              <w:jc w:val="center"/>
              <w:rPr>
                <w:rFonts w:eastAsia="Calibri"/>
                <w:noProof/>
              </w:rPr>
            </w:pPr>
            <w:r>
              <w:rPr>
                <w:noProof/>
              </w:rPr>
              <w:t>Descrierea fiecărui jalon și a fiecărei ținte</w:t>
            </w:r>
          </w:p>
        </w:tc>
      </w:tr>
      <w:tr w:rsidR="00702291" w14:paraId="3219DEB4" w14:textId="77777777" w:rsidTr="00494F0E">
        <w:trPr>
          <w:trHeight w:val="516"/>
          <w:tblHeader/>
          <w:jc w:val="center"/>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0E7DA15E"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04A44B20"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2DE2B20A"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CD4F1F0"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05268E4"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48ED177" w14:textId="77777777" w:rsidR="00702291" w:rsidRDefault="00712B31">
            <w:pPr>
              <w:pStyle w:val="P68B1DB1-Normal37"/>
              <w:spacing w:after="120" w:line="240" w:lineRule="auto"/>
              <w:jc w:val="center"/>
              <w:rPr>
                <w:rFonts w:eastAsia="Calibri"/>
                <w:bCs/>
                <w:noProof/>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068584" w14:textId="77777777" w:rsidR="00702291" w:rsidRDefault="00712B31">
            <w:pPr>
              <w:pStyle w:val="P68B1DB1-Normal37"/>
              <w:spacing w:after="120" w:line="240" w:lineRule="auto"/>
              <w:jc w:val="center"/>
              <w:rPr>
                <w:rFonts w:eastAsia="Calibri"/>
                <w:bCs/>
                <w:noProof/>
              </w:rPr>
            </w:pPr>
            <w:r>
              <w:rPr>
                <w:noProof/>
              </w:rPr>
              <w:t xml:space="preserve">Situația de referință </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33CF724" w14:textId="77777777" w:rsidR="00702291" w:rsidRDefault="00712B31">
            <w:pPr>
              <w:pStyle w:val="P68B1DB1-Normal37"/>
              <w:spacing w:after="120" w:line="240" w:lineRule="auto"/>
              <w:jc w:val="center"/>
              <w:rPr>
                <w:rFonts w:eastAsia="Calibri"/>
                <w:bCs/>
                <w:noProof/>
              </w:rPr>
            </w:pPr>
            <w:r>
              <w:rPr>
                <w:noProof/>
              </w:rPr>
              <w:t xml:space="preserve">Obiectiv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4E1DFEA" w14:textId="77777777" w:rsidR="00702291" w:rsidRDefault="00712B31">
            <w:pPr>
              <w:pStyle w:val="P68B1DB1-Normal37"/>
              <w:spacing w:after="120" w:line="240" w:lineRule="auto"/>
              <w:jc w:val="center"/>
              <w:rPr>
                <w:rFonts w:eastAsia="Calibri"/>
                <w:bCs/>
                <w:noProof/>
              </w:rPr>
            </w:pPr>
            <w:r>
              <w:rPr>
                <w:noProof/>
              </w:rPr>
              <w:t>Trimestru</w:t>
            </w:r>
          </w:p>
        </w:tc>
        <w:tc>
          <w:tcPr>
            <w:tcW w:w="708" w:type="dxa"/>
            <w:tcBorders>
              <w:top w:val="nil"/>
              <w:left w:val="nil"/>
              <w:bottom w:val="single" w:sz="4" w:space="0" w:color="auto"/>
              <w:right w:val="single" w:sz="4" w:space="0" w:color="auto"/>
            </w:tcBorders>
            <w:shd w:val="clear" w:color="auto" w:fill="BDD7EE"/>
            <w:vAlign w:val="center"/>
            <w:hideMark/>
          </w:tcPr>
          <w:p w14:paraId="18580AEC" w14:textId="77777777" w:rsidR="00702291" w:rsidRDefault="00712B31">
            <w:pPr>
              <w:pStyle w:val="P68B1DB1-Normal37"/>
              <w:spacing w:after="120" w:line="240" w:lineRule="auto"/>
              <w:jc w:val="center"/>
              <w:rPr>
                <w:rFonts w:eastAsia="Calibri"/>
                <w:bCs/>
                <w:noProof/>
              </w:rPr>
            </w:pPr>
            <w:r>
              <w:rPr>
                <w:noProof/>
              </w:rPr>
              <w:t>Anul</w:t>
            </w:r>
          </w:p>
        </w:tc>
        <w:tc>
          <w:tcPr>
            <w:tcW w:w="3713" w:type="dxa"/>
            <w:vMerge/>
            <w:tcBorders>
              <w:top w:val="single" w:sz="4" w:space="0" w:color="auto"/>
              <w:bottom w:val="single" w:sz="4" w:space="0" w:color="auto"/>
              <w:right w:val="single" w:sz="4" w:space="0" w:color="auto"/>
            </w:tcBorders>
            <w:vAlign w:val="center"/>
            <w:hideMark/>
          </w:tcPr>
          <w:p w14:paraId="04A7BD68" w14:textId="77777777" w:rsidR="00702291" w:rsidRDefault="00702291">
            <w:pPr>
              <w:spacing w:after="120" w:line="240" w:lineRule="auto"/>
              <w:jc w:val="both"/>
              <w:rPr>
                <w:rFonts w:ascii="Times New Roman" w:eastAsia="Times New Roman" w:hAnsi="Times New Roman" w:cs="Times New Roman"/>
                <w:b/>
                <w:bCs/>
                <w:noProof/>
                <w:sz w:val="18"/>
                <w:szCs w:val="18"/>
              </w:rPr>
            </w:pPr>
          </w:p>
        </w:tc>
      </w:tr>
      <w:tr w:rsidR="00702291" w14:paraId="4A4C2AB1" w14:textId="77777777" w:rsidTr="00494F0E">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8C2CCA" w14:textId="4B2620D4" w:rsidR="00702291" w:rsidRDefault="00712B31">
            <w:pPr>
              <w:pStyle w:val="P68B1DB1-Normal32"/>
              <w:spacing w:after="120" w:line="240" w:lineRule="auto"/>
              <w:rPr>
                <w:rFonts w:eastAsiaTheme="minorHAnsi"/>
                <w:noProof/>
              </w:rPr>
            </w:pPr>
            <w:r>
              <w:rPr>
                <w:noProof/>
              </w:rPr>
              <w:t>54</w:t>
            </w:r>
          </w:p>
        </w:tc>
        <w:tc>
          <w:tcPr>
            <w:tcW w:w="1712" w:type="dxa"/>
            <w:tcBorders>
              <w:top w:val="single" w:sz="4" w:space="0" w:color="auto"/>
              <w:left w:val="nil"/>
              <w:bottom w:val="single" w:sz="4" w:space="0" w:color="auto"/>
              <w:right w:val="single" w:sz="4" w:space="0" w:color="auto"/>
            </w:tcBorders>
            <w:shd w:val="clear" w:color="auto" w:fill="C6EFCE"/>
            <w:noWrap/>
            <w:vAlign w:val="center"/>
          </w:tcPr>
          <w:p w14:paraId="74DA03B8" w14:textId="6A67B910" w:rsidR="00702291" w:rsidRDefault="00712B31">
            <w:pPr>
              <w:pStyle w:val="P68B1DB1-Normal32"/>
              <w:spacing w:after="120" w:line="240" w:lineRule="auto"/>
              <w:ind w:left="52"/>
              <w:rPr>
                <w:noProof/>
                <w:highlight w:val="yellow"/>
              </w:rPr>
            </w:pPr>
            <w:r>
              <w:rPr>
                <w:noProof/>
              </w:rPr>
              <w:t>C8.R1 Intrarea în vigoare a legislației privind o autoritate de integritate</w:t>
            </w:r>
          </w:p>
          <w:p w14:paraId="199F1109" w14:textId="77777777" w:rsidR="00702291" w:rsidRDefault="00702291">
            <w:pPr>
              <w:spacing w:after="120" w:line="240" w:lineRule="auto"/>
              <w:rPr>
                <w:rFonts w:ascii="Times New Roman" w:eastAsiaTheme="minorHAnsi" w:hAnsi="Times New Roman" w:cs="Times New Roman"/>
                <w:noProof/>
                <w:sz w:val="18"/>
                <w:szCs w:val="18"/>
              </w:rPr>
            </w:pPr>
          </w:p>
        </w:tc>
        <w:tc>
          <w:tcPr>
            <w:tcW w:w="1021" w:type="dxa"/>
            <w:tcBorders>
              <w:top w:val="single" w:sz="4" w:space="0" w:color="auto"/>
              <w:left w:val="nil"/>
              <w:bottom w:val="single" w:sz="4" w:space="0" w:color="auto"/>
              <w:right w:val="single" w:sz="4" w:space="0" w:color="auto"/>
            </w:tcBorders>
            <w:shd w:val="clear" w:color="auto" w:fill="C6EFCE"/>
            <w:noWrap/>
            <w:vAlign w:val="center"/>
          </w:tcPr>
          <w:p w14:paraId="065D3CF9" w14:textId="6ACDA8D8" w:rsidR="00702291" w:rsidRDefault="00712B31">
            <w:pPr>
              <w:pStyle w:val="P68B1DB1-Normal32"/>
              <w:spacing w:after="120" w:line="240" w:lineRule="auto"/>
              <w:rPr>
                <w:rFonts w:eastAsiaTheme="minorHAnsi"/>
                <w:noProof/>
              </w:rPr>
            </w:pPr>
            <w:r>
              <w:rPr>
                <w:noProof/>
              </w:rPr>
              <w:t>Etapă</w:t>
            </w:r>
          </w:p>
        </w:tc>
        <w:tc>
          <w:tcPr>
            <w:tcW w:w="1843" w:type="dxa"/>
            <w:tcBorders>
              <w:top w:val="single" w:sz="4" w:space="0" w:color="auto"/>
              <w:left w:val="nil"/>
              <w:bottom w:val="single" w:sz="4" w:space="0" w:color="auto"/>
              <w:right w:val="single" w:sz="4" w:space="0" w:color="auto"/>
            </w:tcBorders>
            <w:shd w:val="clear" w:color="auto" w:fill="C6EFCE"/>
            <w:noWrap/>
            <w:vAlign w:val="center"/>
          </w:tcPr>
          <w:p w14:paraId="41F8C07F" w14:textId="330CC79E" w:rsidR="00702291" w:rsidRDefault="00712B31">
            <w:pPr>
              <w:pStyle w:val="P68B1DB1-Normal32"/>
              <w:spacing w:after="120" w:line="240" w:lineRule="auto"/>
              <w:rPr>
                <w:rFonts w:eastAsiaTheme="minorHAnsi"/>
                <w:noProof/>
              </w:rPr>
            </w:pPr>
            <w:r>
              <w:rPr>
                <w:noProof/>
              </w:rPr>
              <w:t>Intrarea în vigoare a legislației privind o autoritate de integritate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7EFDB022" w14:textId="3E6A2DFE" w:rsidR="00702291" w:rsidRDefault="00712B31">
            <w:pPr>
              <w:pStyle w:val="P68B1DB1-Normal32"/>
              <w:spacing w:after="120" w:line="240" w:lineRule="auto"/>
              <w:rPr>
                <w:rFonts w:eastAsiaTheme="minorHAnsi"/>
                <w:noProof/>
              </w:rPr>
            </w:pPr>
            <w:r>
              <w:rPr>
                <w:noProof/>
              </w:rPr>
              <w:t>Dispoziție legală care indică intrarea în vigoare</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655B0D0C"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71107992"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vAlign w:val="center"/>
          </w:tcPr>
          <w:p w14:paraId="2014CBA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58D68C94" w14:textId="1C6D3B05"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9DBF6B6" w14:textId="00AF1A8F" w:rsidR="00702291" w:rsidRDefault="00712B31">
            <w:pPr>
              <w:pStyle w:val="P68B1DB1-Normal32"/>
              <w:spacing w:after="120" w:line="240" w:lineRule="auto"/>
              <w:rPr>
                <w:rFonts w:eastAsiaTheme="minorHAnsi"/>
                <w:noProof/>
              </w:rPr>
            </w:pPr>
            <w:r>
              <w:rPr>
                <w:noProof/>
              </w:rPr>
              <w:t>2026</w:t>
            </w:r>
          </w:p>
        </w:tc>
        <w:tc>
          <w:tcPr>
            <w:tcW w:w="3713" w:type="dxa"/>
            <w:tcBorders>
              <w:top w:val="single" w:sz="4" w:space="0" w:color="auto"/>
              <w:left w:val="nil"/>
              <w:bottom w:val="single" w:sz="4" w:space="0" w:color="auto"/>
              <w:right w:val="single" w:sz="4" w:space="0" w:color="auto"/>
            </w:tcBorders>
            <w:shd w:val="clear" w:color="auto" w:fill="C6EFCE"/>
            <w:noWrap/>
            <w:vAlign w:val="center"/>
          </w:tcPr>
          <w:p w14:paraId="589A9512" w14:textId="77777777" w:rsidR="00702291" w:rsidRDefault="00712B31">
            <w:pPr>
              <w:pStyle w:val="P68B1DB1-Normal32"/>
              <w:spacing w:after="120" w:line="240" w:lineRule="auto"/>
              <w:rPr>
                <w:noProof/>
              </w:rPr>
            </w:pPr>
            <w:r>
              <w:rPr>
                <w:noProof/>
              </w:rPr>
              <w:t>Intrarea în vigoare a unei legislații care prevede specificarea normelor privind o autoritate de integritate cu scopul de a consolida prevenirea, detectarea și corectarea fraudei, a conflictelor de interese și a corupției, precum și a altor ilegalități și nereguli în ceea ce privește punerea în aplicare a sprijinului acordat de Uniune în Ungaria, cu următoarele elemente:</w:t>
            </w:r>
          </w:p>
          <w:p w14:paraId="3D55CB6D" w14:textId="77777777" w:rsidR="00702291" w:rsidRDefault="00712B31">
            <w:pPr>
              <w:pStyle w:val="P68B1DB1-Normal32"/>
              <w:spacing w:after="120" w:line="240" w:lineRule="auto"/>
              <w:textAlignment w:val="baseline"/>
              <w:rPr>
                <w:noProof/>
              </w:rPr>
            </w:pPr>
            <w:r>
              <w:rPr>
                <w:noProof/>
              </w:rPr>
              <w:t xml:space="preserve">Legislația prevede că Autoritatea de Integritate are competența de a interveni în toate cazurile în care, în opinia sa, autoritățile naționale competente nu au luat măsurile necesare pentru a preveni, a detecta și a corecta frauda, conflictele de interese, corupția și alte ilegalități sau nereguli care pot afecta sau riscă să afecteze grav buna gestiune financiară a bugetului Uniunii Europene sau protecția intereselor financiare ale Uniunii Europene. </w:t>
            </w:r>
          </w:p>
          <w:p w14:paraId="1F69EB84" w14:textId="77777777" w:rsidR="00702291" w:rsidRDefault="00712B31">
            <w:pPr>
              <w:pStyle w:val="P68B1DB1-Normal32"/>
              <w:spacing w:after="120" w:line="240" w:lineRule="auto"/>
              <w:textAlignment w:val="baseline"/>
              <w:rPr>
                <w:noProof/>
              </w:rPr>
            </w:pPr>
            <w:r>
              <w:rPr>
                <w:noProof/>
              </w:rPr>
              <w:t>Legislația prevede independența Autorității de Integritate, stipulând că:</w:t>
            </w:r>
          </w:p>
          <w:p w14:paraId="3D7CF567" w14:textId="77777777" w:rsidR="00702291" w:rsidRDefault="00712B31">
            <w:pPr>
              <w:pStyle w:val="P68B1DB1-ListParagraph43"/>
              <w:numPr>
                <w:ilvl w:val="0"/>
                <w:numId w:val="154"/>
              </w:numPr>
              <w:spacing w:after="120" w:line="240" w:lineRule="auto"/>
              <w:ind w:left="414" w:hanging="357"/>
              <w:contextualSpacing w:val="0"/>
              <w:textAlignment w:val="baseline"/>
              <w:rPr>
                <w:noProof/>
              </w:rPr>
            </w:pPr>
            <w:r>
              <w:rPr>
                <w:noProof/>
              </w:rPr>
              <w:t xml:space="preserve">autoritatea de Integritate, inclusiv personalul acesteia, nu solicită și nici nu acceptă instrucțiuni de la nicio altă persoană sau instituție. </w:t>
            </w:r>
          </w:p>
          <w:p w14:paraId="7DDF5112" w14:textId="77777777" w:rsidR="00702291" w:rsidRDefault="00712B31">
            <w:pPr>
              <w:pStyle w:val="P68B1DB1-ListParagraph43"/>
              <w:numPr>
                <w:ilvl w:val="0"/>
                <w:numId w:val="154"/>
              </w:numPr>
              <w:spacing w:after="120" w:line="240" w:lineRule="auto"/>
              <w:ind w:left="414" w:hanging="357"/>
              <w:contextualSpacing w:val="0"/>
              <w:textAlignment w:val="baseline"/>
              <w:rPr>
                <w:noProof/>
              </w:rPr>
            </w:pPr>
            <w:r>
              <w:rPr>
                <w:noProof/>
              </w:rPr>
              <w:t>autoritatea de Integritate este responsabilă de gestionarea propriului buget și că bugetul său nu poate fi redus fără acordul Autorității de Integritate. Autoritatea este în măsură să stabilească volumul de resurse de care are nevoie pentru a-și îndeplini sarcinile, precum și numărul de angajați.</w:t>
            </w:r>
          </w:p>
          <w:p w14:paraId="7B362BE0" w14:textId="4F94166B" w:rsidR="00702291" w:rsidRDefault="00712B31">
            <w:pPr>
              <w:pStyle w:val="P68B1DB1-ListParagraph43"/>
              <w:numPr>
                <w:ilvl w:val="0"/>
                <w:numId w:val="154"/>
              </w:numPr>
              <w:spacing w:after="120" w:line="240" w:lineRule="auto"/>
              <w:ind w:left="414" w:hanging="357"/>
              <w:contextualSpacing w:val="0"/>
              <w:textAlignment w:val="baseline"/>
              <w:rPr>
                <w:noProof/>
              </w:rPr>
            </w:pPr>
            <w:r>
              <w:rPr>
                <w:noProof/>
              </w:rPr>
              <w:t>autoritatea de Integritate este gestionată de un consiliu compus dintr-un președinte și vicepreședinți numiți de președintele Ungariei în urma unei cereri deschise de propuneri și a unui proces de selecție, pentru un mandat de șase ani care nu poate fi reînnoit.</w:t>
            </w:r>
          </w:p>
          <w:p w14:paraId="683E38D1" w14:textId="77777777" w:rsidR="00702291" w:rsidRDefault="00712B31">
            <w:pPr>
              <w:pStyle w:val="P68B1DB1-ListParagraph43"/>
              <w:numPr>
                <w:ilvl w:val="0"/>
                <w:numId w:val="154"/>
              </w:numPr>
              <w:spacing w:after="120" w:line="240" w:lineRule="auto"/>
              <w:ind w:left="414" w:hanging="357"/>
              <w:contextualSpacing w:val="0"/>
              <w:textAlignment w:val="baseline"/>
              <w:rPr>
                <w:noProof/>
              </w:rPr>
            </w:pPr>
            <w:r>
              <w:rPr>
                <w:noProof/>
              </w:rPr>
              <w:t xml:space="preserve">criteriile de selecție a membrilor consiliului de administrație se bazează pe calitățile și calificările lor profesionale. Legislația trebuie să includă criterii de incompatibilitate cu mandatele politice sau calitatea de membru și cu participația la capitalul unei societăți. </w:t>
            </w:r>
          </w:p>
          <w:p w14:paraId="3616A14A" w14:textId="77777777" w:rsidR="00702291" w:rsidRDefault="00712B31">
            <w:pPr>
              <w:pStyle w:val="P68B1DB1-ListParagraph43"/>
              <w:numPr>
                <w:ilvl w:val="0"/>
                <w:numId w:val="154"/>
              </w:numPr>
              <w:spacing w:after="120" w:line="240" w:lineRule="auto"/>
              <w:ind w:left="414" w:hanging="357"/>
              <w:contextualSpacing w:val="0"/>
              <w:textAlignment w:val="baseline"/>
              <w:rPr>
                <w:rFonts w:eastAsia="Times New Roman"/>
                <w:noProof/>
              </w:rPr>
            </w:pPr>
            <w:r>
              <w:rPr>
                <w:noProof/>
              </w:rPr>
              <w:t>membrii consiliului de administrație sunt selectați în urma unui apel deschis, pe baza avizului obligatoriu privind îndeplinirea condițiilor de eligibilitate a candidaților de către un comitet de eligibilitate instituit în acest scop. Comitetul de eligibilitate este convocat de directorul general al EUTAF în urma unei cereri deschise de propuneri. Acesta este compus din trei persoane independente cu experiență în instituții internaționale recunoscute, care au o experiență suficient de lungă, verificabilă și relevantă în domeniul achizițiilor publice și/sau al activității anticorupție. În ultimii cinci ani, membrii Comitetului de eligibilitate nu trebuie să aibă: a deținut o funcție politică aleasă sau o funcție politică în guvern, a fost angajat de un partid politic sau de o fundație politică sau a desfășurat activități voluntare sau remunerate pentru astfel de entități. Normele privind conflictele de interese în conformitate cu principiile prevăzute la articolul 61 din Regulamentul (UE, Euratom) 2024/2509 se aplică membrilor comitetului de eligibilitate timp de cinci ani de la emiterea avizului obligatoriu. Membrii Comitetului de eligibilitate își publică declarațiile de avere și declară absența conflictelor de interese înainte de a-și începe activitatea în cadrul Comitetului de eligibilitate.</w:t>
            </w:r>
          </w:p>
          <w:p w14:paraId="4864AEAF" w14:textId="31EC096E" w:rsidR="00702291" w:rsidRDefault="00712B31">
            <w:pPr>
              <w:pStyle w:val="P68B1DB1-ListParagraph43"/>
              <w:numPr>
                <w:ilvl w:val="0"/>
                <w:numId w:val="154"/>
              </w:numPr>
              <w:spacing w:after="120" w:line="240" w:lineRule="auto"/>
              <w:ind w:left="414" w:hanging="357"/>
              <w:contextualSpacing w:val="0"/>
              <w:textAlignment w:val="baseline"/>
              <w:rPr>
                <w:noProof/>
              </w:rPr>
            </w:pPr>
            <w:r>
              <w:rPr>
                <w:noProof/>
              </w:rPr>
              <w:t>un membru al consiliului de administrație este demis numai în cazul unui conflict de interese în urma numirii sale sau în cazul în care împotriva sa se pronunță o hotărâre penală definitivă pentru aspecte legate de activitatea Autorității de Integritate sau care afectează independența și imparțialitatea membrului în cauză.</w:t>
            </w:r>
          </w:p>
          <w:p w14:paraId="598E5E51" w14:textId="77777777" w:rsidR="00702291" w:rsidRDefault="00712B31">
            <w:pPr>
              <w:pStyle w:val="P68B1DB1-ListParagraph43"/>
              <w:spacing w:after="120" w:line="240" w:lineRule="auto"/>
              <w:ind w:left="57"/>
              <w:contextualSpacing w:val="0"/>
              <w:textAlignment w:val="baseline"/>
              <w:rPr>
                <w:noProof/>
              </w:rPr>
            </w:pPr>
            <w:r>
              <w:rPr>
                <w:noProof/>
              </w:rPr>
              <w:t xml:space="preserve">Legislația prevede că Autoritatea de Integritate are competența: </w:t>
            </w:r>
          </w:p>
          <w:p w14:paraId="45C53519" w14:textId="77777777" w:rsidR="00702291" w:rsidRDefault="00712B31">
            <w:pPr>
              <w:pStyle w:val="P68B1DB1-ListParagraph43"/>
              <w:spacing w:after="120" w:line="240" w:lineRule="auto"/>
              <w:ind w:left="57"/>
              <w:contextualSpacing w:val="0"/>
              <w:textAlignment w:val="baseline"/>
              <w:rPr>
                <w:noProof/>
              </w:rPr>
            </w:pPr>
            <w:r>
              <w:rPr>
                <w:noProof/>
              </w:rPr>
              <w:t>(I) să solicite autorităților contractante să suspende o procedură de achiziții publice;</w:t>
            </w:r>
          </w:p>
          <w:p w14:paraId="3992DA99" w14:textId="77777777" w:rsidR="00702291" w:rsidRDefault="00712B31">
            <w:pPr>
              <w:pStyle w:val="P68B1DB1-ListParagraph43"/>
              <w:spacing w:after="120" w:line="240" w:lineRule="auto"/>
              <w:ind w:left="57"/>
              <w:contextualSpacing w:val="0"/>
              <w:textAlignment w:val="baseline"/>
              <w:rPr>
                <w:noProof/>
              </w:rPr>
            </w:pPr>
            <w:r>
              <w:rPr>
                <w:noProof/>
              </w:rPr>
              <w:t>(II) să solicite organelor administrative de anchetă să efectueze investigații în numele său;</w:t>
            </w:r>
          </w:p>
          <w:p w14:paraId="51D8E33E" w14:textId="77777777" w:rsidR="00702291" w:rsidRDefault="00712B31">
            <w:pPr>
              <w:pStyle w:val="P68B1DB1-ListParagraph43"/>
              <w:spacing w:after="120" w:line="240" w:lineRule="auto"/>
              <w:ind w:left="57"/>
              <w:contextualSpacing w:val="0"/>
              <w:textAlignment w:val="baseline"/>
              <w:rPr>
                <w:noProof/>
              </w:rPr>
            </w:pPr>
            <w:r>
              <w:rPr>
                <w:noProof/>
              </w:rPr>
              <w:t>(III) să recomande excluderea anumitor operatori economici de la finanțarea din partea Uniunii pentru o anumită perioadă de timp;</w:t>
            </w:r>
          </w:p>
          <w:p w14:paraId="08929C31" w14:textId="77777777" w:rsidR="00702291" w:rsidRDefault="00712B31">
            <w:pPr>
              <w:pStyle w:val="P68B1DB1-ListParagraph43"/>
              <w:spacing w:after="120" w:line="240" w:lineRule="auto"/>
              <w:ind w:left="57"/>
              <w:contextualSpacing w:val="0"/>
              <w:textAlignment w:val="baseline"/>
              <w:rPr>
                <w:noProof/>
              </w:rPr>
            </w:pPr>
            <w:r>
              <w:rPr>
                <w:noProof/>
              </w:rPr>
              <w:t>(IV) să solicite autorităților sau organismelor naționale să inițieze proceduri de verificare a declarațiilor privind conflictele de interese și a suspiciunilor în legătură cu gestionarea fondurilor Uniunii;</w:t>
            </w:r>
          </w:p>
          <w:p w14:paraId="7B7EAF08" w14:textId="77777777" w:rsidR="00702291" w:rsidRDefault="00712B31">
            <w:pPr>
              <w:pStyle w:val="P68B1DB1-ListParagraph43"/>
              <w:spacing w:after="120" w:line="240" w:lineRule="auto"/>
              <w:ind w:left="57"/>
              <w:contextualSpacing w:val="0"/>
              <w:textAlignment w:val="baseline"/>
              <w:rPr>
                <w:noProof/>
              </w:rPr>
            </w:pPr>
            <w:r>
              <w:rPr>
                <w:noProof/>
              </w:rPr>
              <w:t xml:space="preserve">(V) să solicite acces la toate dosarele de achiziții publice; </w:t>
            </w:r>
          </w:p>
          <w:p w14:paraId="460DBEB1" w14:textId="77777777" w:rsidR="00702291" w:rsidRDefault="00712B31">
            <w:pPr>
              <w:pStyle w:val="P68B1DB1-ListParagraph43"/>
              <w:spacing w:after="120" w:line="240" w:lineRule="auto"/>
              <w:ind w:left="57"/>
              <w:contextualSpacing w:val="0"/>
              <w:textAlignment w:val="baseline"/>
              <w:rPr>
                <w:noProof/>
              </w:rPr>
            </w:pPr>
            <w:r>
              <w:rPr>
                <w:noProof/>
              </w:rPr>
              <w:t xml:space="preserve">(VI) să recomande autorităților contractante să utilizeze o procedură specifică în cadrul unei anumite proceduri de achiziții publice sau al unei categorii de proceduri de achiziții publice; </w:t>
            </w:r>
          </w:p>
          <w:p w14:paraId="18595EA6" w14:textId="77777777" w:rsidR="00702291" w:rsidRDefault="00712B31">
            <w:pPr>
              <w:pStyle w:val="P68B1DB1-ListParagraph43"/>
              <w:spacing w:after="120" w:line="240" w:lineRule="auto"/>
              <w:ind w:left="57"/>
              <w:contextualSpacing w:val="0"/>
              <w:textAlignment w:val="baseline"/>
              <w:rPr>
                <w:noProof/>
              </w:rPr>
            </w:pPr>
            <w:r>
              <w:rPr>
                <w:noProof/>
              </w:rPr>
              <w:t xml:space="preserve">(VII) să inițieze proceduri în fața autorităților sau organismelor naționale cu scopul de a stabili suspiciunile de nereguli; </w:t>
            </w:r>
          </w:p>
          <w:p w14:paraId="3790D1AF" w14:textId="77777777" w:rsidR="00702291" w:rsidRDefault="00712B31">
            <w:pPr>
              <w:pStyle w:val="P68B1DB1-ListParagraph43"/>
              <w:spacing w:after="120" w:line="240" w:lineRule="auto"/>
              <w:ind w:left="57"/>
              <w:contextualSpacing w:val="0"/>
              <w:textAlignment w:val="baseline"/>
              <w:rPr>
                <w:noProof/>
              </w:rPr>
            </w:pPr>
            <w:r>
              <w:rPr>
                <w:noProof/>
              </w:rPr>
              <w:t xml:space="preserve">(VIII) să solicite controlul jurisdicțional al tuturor deciziilor autorităților privind procedurile de achiziții publice care implică sprijin din partea Uniunii; </w:t>
            </w:r>
          </w:p>
          <w:p w14:paraId="49C8F613" w14:textId="77777777" w:rsidR="00702291" w:rsidRDefault="00712B31">
            <w:pPr>
              <w:pStyle w:val="P68B1DB1-ListParagraph43"/>
              <w:spacing w:after="120" w:line="240" w:lineRule="auto"/>
              <w:ind w:left="57"/>
              <w:contextualSpacing w:val="0"/>
              <w:textAlignment w:val="baseline"/>
              <w:rPr>
                <w:noProof/>
              </w:rPr>
            </w:pPr>
            <w:r>
              <w:rPr>
                <w:noProof/>
              </w:rPr>
              <w:t xml:space="preserve">(IX) să inițieze procedurile Comisiei de arbitraj în domeniul achizițiilor publice și, în cazul în care Autoritatea propune suspendarea procedurii de achiziții publice, Comisia de arbitraj în domeniul achizițiilor publice dispune această suspendare; </w:t>
            </w:r>
          </w:p>
          <w:p w14:paraId="3D950607" w14:textId="77777777" w:rsidR="00702291" w:rsidRDefault="00712B31">
            <w:pPr>
              <w:pStyle w:val="P68B1DB1-ListParagraph43"/>
              <w:spacing w:after="120" w:line="240" w:lineRule="auto"/>
              <w:ind w:left="57"/>
              <w:contextualSpacing w:val="0"/>
              <w:textAlignment w:val="baseline"/>
              <w:rPr>
                <w:noProof/>
              </w:rPr>
            </w:pPr>
            <w:r>
              <w:rPr>
                <w:noProof/>
              </w:rPr>
              <w:t xml:space="preserve">(X) de a contesta în instanță lipsa de acțiune a unei autorități vizate. </w:t>
            </w:r>
          </w:p>
          <w:p w14:paraId="19150D31" w14:textId="77777777" w:rsidR="00702291" w:rsidRDefault="00712B31">
            <w:pPr>
              <w:pStyle w:val="P68B1DB1-Normal32"/>
              <w:spacing w:after="120" w:line="240" w:lineRule="auto"/>
              <w:textAlignment w:val="baseline"/>
              <w:rPr>
                <w:noProof/>
              </w:rPr>
            </w:pPr>
            <w:r>
              <w:rPr>
                <w:noProof/>
              </w:rPr>
              <w:t xml:space="preserve">Legislația prevede: </w:t>
            </w:r>
          </w:p>
          <w:p w14:paraId="57A7D1B0" w14:textId="0D1F88FA" w:rsidR="00702291" w:rsidRDefault="00712B31">
            <w:pPr>
              <w:pStyle w:val="P68B1DB1-ListParagraph43"/>
              <w:numPr>
                <w:ilvl w:val="0"/>
                <w:numId w:val="154"/>
              </w:numPr>
              <w:spacing w:after="120" w:line="240" w:lineRule="auto"/>
              <w:contextualSpacing w:val="0"/>
              <w:textAlignment w:val="baseline"/>
              <w:rPr>
                <w:noProof/>
              </w:rPr>
            </w:pPr>
            <w:r>
              <w:rPr>
                <w:noProof/>
              </w:rPr>
              <w:t>că Autoritatea de Integritate are dreptul de a accesa datele relevante referitoare la procedurile sale și că autoritățile vizate de o cerere de date a Autorității de Integritate sunt obligate să ofere acces la date sau să furnizeze datele într-un termen care să nu depășească 30 de zile calendaristice și că Autoritatea de Integritate poate iniția o acțiune administrativă în neconformitate în cazul în care cererea sa nu a fost respectată.</w:t>
            </w:r>
          </w:p>
          <w:p w14:paraId="5C243250" w14:textId="77777777" w:rsidR="00702291" w:rsidRDefault="00712B31">
            <w:pPr>
              <w:pStyle w:val="P68B1DB1-ListParagraph43"/>
              <w:numPr>
                <w:ilvl w:val="0"/>
                <w:numId w:val="154"/>
              </w:numPr>
              <w:spacing w:after="120" w:line="240" w:lineRule="auto"/>
              <w:ind w:left="414" w:hanging="357"/>
              <w:contextualSpacing w:val="0"/>
              <w:textAlignment w:val="baseline"/>
              <w:rPr>
                <w:noProof/>
              </w:rPr>
            </w:pPr>
            <w:r>
              <w:rPr>
                <w:noProof/>
              </w:rPr>
              <w:t xml:space="preserve">autoritatea de Integritate acționează fie din proprie inițiativă, fie pe baza plângerilor sau a rapoartelor pe care le primește. </w:t>
            </w:r>
          </w:p>
          <w:p w14:paraId="73AB1E0C" w14:textId="77777777" w:rsidR="00702291" w:rsidRDefault="00712B31">
            <w:pPr>
              <w:pStyle w:val="P68B1DB1-ListParagraph43"/>
              <w:numPr>
                <w:ilvl w:val="0"/>
                <w:numId w:val="154"/>
              </w:numPr>
              <w:spacing w:after="120" w:line="240" w:lineRule="auto"/>
              <w:ind w:left="414" w:hanging="357"/>
              <w:contextualSpacing w:val="0"/>
              <w:textAlignment w:val="baseline"/>
              <w:rPr>
                <w:noProof/>
              </w:rPr>
            </w:pPr>
            <w:r>
              <w:rPr>
                <w:noProof/>
              </w:rPr>
              <w:t>temeiul juridic și obligația autorității de integritate de a crea o interfață pentru avertizori în care să se poată desfășura comunicarea anonimă și confidențială.</w:t>
            </w:r>
          </w:p>
          <w:p w14:paraId="39827737" w14:textId="67506A28" w:rsidR="00702291" w:rsidRDefault="00712B31">
            <w:pPr>
              <w:pStyle w:val="P68B1DB1-ListParagraph43"/>
              <w:numPr>
                <w:ilvl w:val="0"/>
                <w:numId w:val="154"/>
              </w:numPr>
              <w:spacing w:after="120" w:line="240" w:lineRule="auto"/>
              <w:ind w:left="414" w:hanging="357"/>
              <w:contextualSpacing w:val="0"/>
              <w:textAlignment w:val="baseline"/>
              <w:rPr>
                <w:noProof/>
              </w:rPr>
            </w:pPr>
            <w:r>
              <w:rPr>
                <w:noProof/>
              </w:rPr>
              <w:t>temeiul juridic și obligația Autorității de Integritate de a institui, actualiza și gestiona un registru al operatorilor economici vizați de o hotărâre judecătorească definitivă sau de o decizie administrativă definitivă de excludere a operatorilor economici respectivi de la procedurile de achiziții publice, în care Autoritatea de Integritate raportează autorităților naționale și, după caz, OLAF cazurile suspectate de eventuale nereguli.</w:t>
            </w:r>
          </w:p>
          <w:p w14:paraId="46948201" w14:textId="53345478" w:rsidR="00702291" w:rsidRDefault="00712B31">
            <w:pPr>
              <w:pStyle w:val="P68B1DB1-ListParagraph43"/>
              <w:numPr>
                <w:ilvl w:val="0"/>
                <w:numId w:val="154"/>
              </w:numPr>
              <w:spacing w:after="120" w:line="240" w:lineRule="auto"/>
              <w:ind w:left="414" w:hanging="357"/>
              <w:contextualSpacing w:val="0"/>
              <w:textAlignment w:val="baseline"/>
              <w:rPr>
                <w:noProof/>
              </w:rPr>
            </w:pPr>
            <w:r>
              <w:rPr>
                <w:noProof/>
              </w:rPr>
              <w:t>autoritatea de Integritate are competența de a-și exercita în continuare competența chiar și în cazurile în care o măsură, o procedură sau un proiect planificat să primească, parțial sau integral, sprijin financiar din partea Uniunii Europene a fost ulterior eliminat de la finanțarea din partea Uniunii Europene.</w:t>
            </w:r>
          </w:p>
        </w:tc>
      </w:tr>
      <w:tr w:rsidR="00702291" w14:paraId="18B5112E"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52BDA0D" w14:textId="7482FD5F" w:rsidR="00702291" w:rsidRDefault="00712B31">
            <w:pPr>
              <w:pStyle w:val="P68B1DB1-Normal32"/>
              <w:spacing w:after="120" w:line="240" w:lineRule="auto"/>
              <w:rPr>
                <w:rFonts w:eastAsiaTheme="minorHAnsi"/>
                <w:noProof/>
              </w:rPr>
            </w:pPr>
            <w:r>
              <w:rPr>
                <w:noProof/>
              </w:rPr>
              <w:t>55</w:t>
            </w:r>
          </w:p>
        </w:tc>
        <w:tc>
          <w:tcPr>
            <w:tcW w:w="1712" w:type="dxa"/>
            <w:tcBorders>
              <w:top w:val="nil"/>
              <w:left w:val="nil"/>
              <w:bottom w:val="single" w:sz="4" w:space="0" w:color="auto"/>
              <w:right w:val="single" w:sz="4" w:space="0" w:color="auto"/>
            </w:tcBorders>
            <w:shd w:val="clear" w:color="auto" w:fill="C6EFCE"/>
            <w:noWrap/>
            <w:vAlign w:val="center"/>
          </w:tcPr>
          <w:p w14:paraId="7E58D3A0" w14:textId="792D7DCF" w:rsidR="00702291" w:rsidRDefault="00712B31">
            <w:pPr>
              <w:pStyle w:val="P68B1DB1-Normal32"/>
              <w:spacing w:after="120" w:line="240" w:lineRule="auto"/>
              <w:rPr>
                <w:noProof/>
              </w:rPr>
            </w:pPr>
            <w:r>
              <w:rPr>
                <w:noProof/>
              </w:rPr>
              <w:t>C8.R1 Intrarea în vigoare a legislației privind o autoritate de integritate</w:t>
            </w:r>
          </w:p>
        </w:tc>
        <w:tc>
          <w:tcPr>
            <w:tcW w:w="1021" w:type="dxa"/>
            <w:tcBorders>
              <w:top w:val="nil"/>
              <w:left w:val="nil"/>
              <w:bottom w:val="single" w:sz="4" w:space="0" w:color="auto"/>
              <w:right w:val="single" w:sz="4" w:space="0" w:color="auto"/>
            </w:tcBorders>
            <w:shd w:val="clear" w:color="auto" w:fill="C6EFCE"/>
            <w:noWrap/>
            <w:vAlign w:val="center"/>
          </w:tcPr>
          <w:p w14:paraId="30BB9617" w14:textId="520769AB"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2779B8AA" w14:textId="016DA243" w:rsidR="00702291" w:rsidRDefault="00712B31">
            <w:pPr>
              <w:pStyle w:val="P68B1DB1-Normal32"/>
              <w:spacing w:after="120" w:line="240" w:lineRule="auto"/>
              <w:rPr>
                <w:rFonts w:eastAsiaTheme="minorHAnsi"/>
                <w:noProof/>
              </w:rPr>
            </w:pPr>
            <w:r>
              <w:rPr>
                <w:noProof/>
              </w:rPr>
              <w:t>Modificări legislative privind atribuțiile și competențele Autorității de Integritate în ceea ce privește verificarea declarațiilor de avere</w:t>
            </w:r>
          </w:p>
        </w:tc>
        <w:tc>
          <w:tcPr>
            <w:tcW w:w="1275" w:type="dxa"/>
            <w:tcBorders>
              <w:top w:val="nil"/>
              <w:left w:val="nil"/>
              <w:bottom w:val="single" w:sz="4" w:space="0" w:color="auto"/>
              <w:right w:val="single" w:sz="4" w:space="0" w:color="auto"/>
            </w:tcBorders>
            <w:shd w:val="clear" w:color="auto" w:fill="C6EFCE"/>
            <w:noWrap/>
            <w:vAlign w:val="center"/>
          </w:tcPr>
          <w:p w14:paraId="03AE101A" w14:textId="2EF11BFE" w:rsidR="00702291" w:rsidRDefault="00712B31">
            <w:pPr>
              <w:pStyle w:val="P68B1DB1-Normal32"/>
              <w:spacing w:after="120" w:line="240" w:lineRule="auto"/>
              <w:rPr>
                <w:rFonts w:eastAsiaTheme="minorHAnsi"/>
                <w:noProof/>
              </w:rPr>
            </w:pPr>
            <w:r>
              <w:rPr>
                <w:noProof/>
              </w:rPr>
              <w:t>Dispoziție din modificările legislative care indică intrarea lor în vigoare</w:t>
            </w:r>
          </w:p>
        </w:tc>
        <w:tc>
          <w:tcPr>
            <w:tcW w:w="1134" w:type="dxa"/>
            <w:tcBorders>
              <w:top w:val="nil"/>
              <w:left w:val="nil"/>
              <w:bottom w:val="single" w:sz="4" w:space="0" w:color="auto"/>
              <w:right w:val="single" w:sz="4" w:space="0" w:color="auto"/>
            </w:tcBorders>
            <w:shd w:val="clear" w:color="auto" w:fill="C6EFCE"/>
            <w:noWrap/>
            <w:vAlign w:val="center"/>
          </w:tcPr>
          <w:p w14:paraId="47AC6DB7"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CF9EF21"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B57A32C"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C1BB530" w14:textId="6E36112D"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E02C2FC" w14:textId="1F615ACB"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74E4DFFB" w14:textId="77777777" w:rsidR="00702291" w:rsidRDefault="00712B31">
            <w:pPr>
              <w:pStyle w:val="P68B1DB1-Normal32"/>
              <w:spacing w:after="120" w:line="240" w:lineRule="auto"/>
              <w:ind w:left="52"/>
              <w:textAlignment w:val="baseline"/>
              <w:rPr>
                <w:noProof/>
              </w:rPr>
            </w:pPr>
            <w:r>
              <w:rPr>
                <w:noProof/>
              </w:rPr>
              <w:t>Intrarea în vigoare a unei legislații care să confere Autorității de Integritate:</w:t>
            </w:r>
          </w:p>
          <w:p w14:paraId="0B718FE8" w14:textId="77777777" w:rsidR="00702291" w:rsidRDefault="00712B31">
            <w:pPr>
              <w:pStyle w:val="P68B1DB1-ListParagraph43"/>
              <w:numPr>
                <w:ilvl w:val="0"/>
                <w:numId w:val="19"/>
              </w:numPr>
              <w:spacing w:after="120" w:line="240" w:lineRule="auto"/>
              <w:ind w:left="412"/>
              <w:contextualSpacing w:val="0"/>
              <w:textAlignment w:val="baseline"/>
              <w:rPr>
                <w:rFonts w:eastAsia="Times New Roman"/>
                <w:noProof/>
              </w:rPr>
            </w:pPr>
            <w:r>
              <w:rPr>
                <w:noProof/>
              </w:rPr>
              <w:t xml:space="preserve">responsabilitatea juridică exclusivă și competența de a verifica în mod direct veridicitatea declarațiilor de avere ale cadrelor politice superioare care nu sunt membre ale Adunării Naționale (persoane care intră sub incidența secțiunii 183 din Legea CXXV din 2018), precum și declarațiile de avere ale rudelor lor care locuiesc în aceeași gospodărie. </w:t>
            </w:r>
          </w:p>
          <w:p w14:paraId="1EAA642A" w14:textId="77777777" w:rsidR="00702291" w:rsidRDefault="00712B31">
            <w:pPr>
              <w:pStyle w:val="P68B1DB1-ListParagraph43"/>
              <w:numPr>
                <w:ilvl w:val="0"/>
                <w:numId w:val="19"/>
              </w:numPr>
              <w:spacing w:after="120" w:line="240" w:lineRule="auto"/>
              <w:ind w:left="412"/>
              <w:contextualSpacing w:val="0"/>
              <w:textAlignment w:val="baseline"/>
              <w:rPr>
                <w:rFonts w:eastAsia="Times New Roman"/>
                <w:noProof/>
              </w:rPr>
            </w:pPr>
            <w:r>
              <w:rPr>
                <w:noProof/>
              </w:rPr>
              <w:t xml:space="preserve">competența de a verifica în mod direct declarațiile publice de avere ale altor funcționari cu grad ridicat de risc, ale căror declarații de avere trebuie, conform legii, să fie puse la dispoziția publicului; </w:t>
            </w:r>
          </w:p>
          <w:p w14:paraId="09D17188" w14:textId="77777777" w:rsidR="00702291" w:rsidRDefault="00712B31">
            <w:pPr>
              <w:pStyle w:val="P68B1DB1-ListParagraph43"/>
              <w:numPr>
                <w:ilvl w:val="0"/>
                <w:numId w:val="19"/>
              </w:numPr>
              <w:spacing w:after="120" w:line="240" w:lineRule="auto"/>
              <w:ind w:left="412"/>
              <w:contextualSpacing w:val="0"/>
              <w:textAlignment w:val="baseline"/>
              <w:rPr>
                <w:rFonts w:eastAsia="Times New Roman"/>
                <w:noProof/>
              </w:rPr>
            </w:pPr>
            <w:r>
              <w:rPr>
                <w:noProof/>
              </w:rPr>
              <w:t>competența de a solicita organismelor competente să efectueze verificarea veridicității declarațiilor de avere ale funcționarilor cu grad ridicat de risc, ale căror declarații de avere nu sunt obligate prin lege să fie puse la dispoziția publicului, și de a obține rezultatul acestei verificări;</w:t>
            </w:r>
          </w:p>
          <w:p w14:paraId="42FD32D1" w14:textId="75FFF66B" w:rsidR="00702291" w:rsidRDefault="00712B31">
            <w:pPr>
              <w:pStyle w:val="P68B1DB1-ListParagraph43"/>
              <w:numPr>
                <w:ilvl w:val="0"/>
                <w:numId w:val="19"/>
              </w:numPr>
              <w:spacing w:after="120" w:line="240" w:lineRule="auto"/>
              <w:ind w:left="412"/>
              <w:contextualSpacing w:val="0"/>
              <w:textAlignment w:val="baseline"/>
              <w:rPr>
                <w:rFonts w:eastAsia="Times New Roman"/>
                <w:noProof/>
              </w:rPr>
            </w:pPr>
            <w:r>
              <w:rPr>
                <w:noProof/>
              </w:rPr>
              <w:t xml:space="preserve">conectarea directă la bazele de date și registrele pe care le consideră necesare pentru a verifica veridicitatea informațiilor conținute în declarațiile de avere sau posibilitatea de a accesa datele relevante în mod direct sau prin intermediul unei cereri de date adresate autorităților în cauză, care sunt obligate să ofere acces la date sau să furnizeze datele și că, în cazul în care cererea sa nu a fost respectată în termenul stabilit, Autoritatea de Integritate poate iniția o acțiune administrativă de neconformitate. </w:t>
            </w:r>
          </w:p>
          <w:p w14:paraId="06934F8D" w14:textId="77777777" w:rsidR="00702291" w:rsidRDefault="00712B31">
            <w:pPr>
              <w:pStyle w:val="P68B1DB1-Normal32"/>
              <w:spacing w:after="120" w:line="240" w:lineRule="auto"/>
              <w:ind w:left="52"/>
              <w:textAlignment w:val="baseline"/>
              <w:rPr>
                <w:rFonts w:eastAsia="Times New Roman"/>
                <w:noProof/>
              </w:rPr>
            </w:pPr>
            <w:r>
              <w:rPr>
                <w:noProof/>
              </w:rPr>
              <w:t>Legislația prevede că o astfel de procedură de verificare poate fi inițiată de Autoritatea de Integritate din proprie inițiativă, în urma unei suspiciuni sau în urma unei plângeri din partea oricărei persoane care depune o cerere oficială indicând un presupus element incorect într-o declarație de avere.</w:t>
            </w:r>
          </w:p>
          <w:p w14:paraId="5C5F7C9C" w14:textId="613AC2A7" w:rsidR="00702291" w:rsidRDefault="00712B31">
            <w:pPr>
              <w:pStyle w:val="P68B1DB1-Normal32"/>
              <w:spacing w:after="120" w:line="240" w:lineRule="auto"/>
              <w:ind w:left="52"/>
              <w:textAlignment w:val="baseline"/>
              <w:rPr>
                <w:rFonts w:eastAsia="Times New Roman"/>
                <w:noProof/>
              </w:rPr>
            </w:pPr>
            <w:r>
              <w:rPr>
                <w:noProof/>
              </w:rPr>
              <w:t>În ceea ce îl privește pe președintele republicii; membrii Adunării Naționale, avocații minorității naționale și – în cazul în care persoana respectivă nu este membru al Adunării Naționale – directorul Adunării Naționale; primarii și primarul orașului Budapesta, reprezentanții administrației locale și reprezentanții autoguvernării ai minorităților naționale; membrii Curții Constituționale; comisarul pentru drepturile fundamentale și adjuncții acestuia; președintele și vicepreședinții Oficiului Național de Audit; președintele și vicepreședinții Curia; președintele și vicepreședinții Oficiului Național al Magistraturii; judecătorii; procurorul general și adjunctul acestuia; guvernatorul și guvernatorii adjuncți ai Băncii Naționale a Ungariei, membrii Consiliului Monetar și membrii Consiliului de supraveghere al Băncii Naționale a Ungariei; președintele Consiliului Fiscal; președintele și membrii Comitetului Național pentru Memorie; membrii Consiliului pentru mass-media; prim-ministrul, miniștrii, secretarii de stat, directorul politic al prim-ministrului, consilierul principal pe probleme de securitate națională al prim-ministrului, în cazul în care aceștia nu au un mandat de membru al Adunării Naționale; comisar al guvernului județean, comisar al guvernului, comisar al prim-ministrului, comisar ministerial; șeful sau șeful adjunct al unui organ de reglementare independent sau al unui organ autonom al administrației de stat sau un membru al oricăruia dintre organele sale colegiale decizionale, în cazul în care Autoritatea de Integritate constată nereguli, inclusiv faptul că persoanele investigate au comunicat intenționat, în mod fals sau neveridic, date semnificative în declarația lor de avere, în special prin disimularea situației lor financiare sau a situației veniturilor reale, Autoritatea de Integritate inițiază o procedură în fața organismului național competent, care își justifică în mod corespunzător poziția în mod public în cazul în care nu este de acord cu constatările Autorității de Integritate.</w:t>
            </w:r>
          </w:p>
          <w:p w14:paraId="563C42D7" w14:textId="77777777" w:rsidR="00702291" w:rsidRDefault="00712B31">
            <w:pPr>
              <w:pStyle w:val="P68B1DB1-Normal32"/>
              <w:spacing w:after="120" w:line="240" w:lineRule="auto"/>
              <w:ind w:left="81"/>
              <w:textAlignment w:val="baseline"/>
              <w:rPr>
                <w:noProof/>
              </w:rPr>
            </w:pPr>
            <w:r>
              <w:rPr>
                <w:noProof/>
              </w:rPr>
              <w:t>În sensul competențelor exclusive sau neexclusive de verificare ale Autorității de Integritate, funcționarii cu grad ridicat de risc includ următoarele: președintele, membrii parlamentului, responsabilii politici de rang înalt, responsabilii politici, persoanele cu statut de comisar, consilierii politici, consilierii politici de rang înalt, șefii de personal, șefii organismelor de reglementare independente și ai organismelor administrative autonome, guvernatorii regionali, primarii din Budapesta și orașele cu statut județean, judecătorii, procurorii, membrii organismelor de guvernanță judiciară și de urmărire penală, șefii de departament din cadrul agențiilor de aplicare a legii sau al serviciului civil de securitate națională și directorii de rang înalt ai întreprinderilor de stat.</w:t>
            </w:r>
          </w:p>
          <w:p w14:paraId="2AFF2181" w14:textId="60DD0799" w:rsidR="00702291" w:rsidRDefault="00712B31">
            <w:pPr>
              <w:pStyle w:val="P68B1DB1-Normal32"/>
              <w:spacing w:after="120" w:line="240" w:lineRule="auto"/>
              <w:ind w:left="52"/>
              <w:textAlignment w:val="baseline"/>
              <w:rPr>
                <w:rFonts w:eastAsiaTheme="minorHAnsi"/>
                <w:noProof/>
              </w:rPr>
            </w:pPr>
            <w:r>
              <w:rPr>
                <w:noProof/>
              </w:rPr>
              <w:t>Pentru persoanele care intră sub incidența secțiunii 183 din Legea CXXV din 2018, competențele de mai sus includ, de asemenea, următoarele: (I) că Autoritatea de Integritate are posibilitatea de a instrui persoana a cărei declarație de avere se află în curs de verificare de către Autoritatea de Integritate să prezinte date și documente justificative privind conținutul declarației sale de avere; și (ii) că Autoritatea de Integritate poate instrui o persoană al cărei conținut al declarației de avere a fost constatat de Autoritatea de Integritate ca fiind incorect să își corecteze declarația de avere.</w:t>
            </w:r>
          </w:p>
        </w:tc>
      </w:tr>
      <w:tr w:rsidR="00702291" w14:paraId="594F95B3"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A795C17" w14:textId="1AB9B409" w:rsidR="00702291" w:rsidRDefault="00712B31">
            <w:pPr>
              <w:pStyle w:val="P68B1DB1-Normal32"/>
              <w:spacing w:after="120" w:line="240" w:lineRule="auto"/>
              <w:ind w:left="52"/>
              <w:textAlignment w:val="baseline"/>
              <w:rPr>
                <w:noProof/>
              </w:rPr>
            </w:pPr>
            <w:r>
              <w:rPr>
                <w:noProof/>
              </w:rPr>
              <w:t>56</w:t>
            </w:r>
          </w:p>
          <w:p w14:paraId="1C360A3C" w14:textId="77777777" w:rsidR="00702291" w:rsidRDefault="00702291">
            <w:pPr>
              <w:spacing w:after="120" w:line="240" w:lineRule="auto"/>
              <w:rPr>
                <w:rFonts w:ascii="Times New Roman" w:eastAsiaTheme="minorHAnsi" w:hAnsi="Times New Roman" w:cs="Times New Roman"/>
                <w:noProof/>
                <w:sz w:val="18"/>
                <w:szCs w:val="18"/>
              </w:rPr>
            </w:pPr>
          </w:p>
        </w:tc>
        <w:tc>
          <w:tcPr>
            <w:tcW w:w="1712" w:type="dxa"/>
            <w:tcBorders>
              <w:top w:val="nil"/>
              <w:left w:val="nil"/>
              <w:bottom w:val="single" w:sz="4" w:space="0" w:color="auto"/>
              <w:right w:val="single" w:sz="4" w:space="0" w:color="auto"/>
            </w:tcBorders>
            <w:shd w:val="clear" w:color="auto" w:fill="C6EFCE"/>
            <w:noWrap/>
            <w:vAlign w:val="center"/>
          </w:tcPr>
          <w:p w14:paraId="60335525" w14:textId="7E3769FD" w:rsidR="00702291" w:rsidRDefault="00712B31">
            <w:pPr>
              <w:pStyle w:val="P68B1DB1-Normal32"/>
              <w:spacing w:after="120" w:line="240" w:lineRule="auto"/>
              <w:rPr>
                <w:noProof/>
              </w:rPr>
            </w:pPr>
            <w:r>
              <w:rPr>
                <w:noProof/>
              </w:rPr>
              <w:t>C8.R2 Participarea la cooperarea consolidată în ceea ce privește instituirea Parchetului European</w:t>
            </w:r>
          </w:p>
        </w:tc>
        <w:tc>
          <w:tcPr>
            <w:tcW w:w="1021" w:type="dxa"/>
            <w:tcBorders>
              <w:top w:val="nil"/>
              <w:left w:val="nil"/>
              <w:bottom w:val="single" w:sz="4" w:space="0" w:color="auto"/>
              <w:right w:val="single" w:sz="4" w:space="0" w:color="auto"/>
            </w:tcBorders>
            <w:shd w:val="clear" w:color="auto" w:fill="C6EFCE"/>
            <w:noWrap/>
            <w:vAlign w:val="center"/>
          </w:tcPr>
          <w:p w14:paraId="2C5652DF" w14:textId="5CFF5B91"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06B5F41B" w14:textId="4B68A1DE" w:rsidR="00702291" w:rsidRDefault="00712B31">
            <w:pPr>
              <w:pStyle w:val="P68B1DB1-Normal32"/>
              <w:spacing w:after="120" w:line="240" w:lineRule="auto"/>
              <w:rPr>
                <w:rFonts w:eastAsiaTheme="minorHAnsi"/>
                <w:noProof/>
              </w:rPr>
            </w:pPr>
            <w:r>
              <w:rPr>
                <w:noProof/>
              </w:rPr>
              <w:t>Participarea la cooperarea consolidată în legătură cu Parchetul European</w:t>
            </w:r>
          </w:p>
        </w:tc>
        <w:tc>
          <w:tcPr>
            <w:tcW w:w="1275" w:type="dxa"/>
            <w:tcBorders>
              <w:top w:val="nil"/>
              <w:left w:val="nil"/>
              <w:bottom w:val="single" w:sz="4" w:space="0" w:color="auto"/>
              <w:right w:val="single" w:sz="4" w:space="0" w:color="auto"/>
            </w:tcBorders>
            <w:shd w:val="clear" w:color="auto" w:fill="C6EFCE"/>
            <w:noWrap/>
            <w:vAlign w:val="center"/>
          </w:tcPr>
          <w:p w14:paraId="0D62610A" w14:textId="0F9E4676" w:rsidR="00702291" w:rsidRDefault="00712B31">
            <w:pPr>
              <w:pStyle w:val="P68B1DB1-Normal32"/>
              <w:spacing w:after="120" w:line="240" w:lineRule="auto"/>
              <w:rPr>
                <w:rFonts w:eastAsiaTheme="minorHAnsi"/>
                <w:noProof/>
              </w:rPr>
            </w:pPr>
            <w:r>
              <w:rPr>
                <w:noProof/>
              </w:rPr>
              <w:t>Primirea notificării privind intenția de participare din partea Comisiei Europene</w:t>
            </w:r>
          </w:p>
        </w:tc>
        <w:tc>
          <w:tcPr>
            <w:tcW w:w="1134" w:type="dxa"/>
            <w:tcBorders>
              <w:top w:val="nil"/>
              <w:left w:val="nil"/>
              <w:bottom w:val="single" w:sz="4" w:space="0" w:color="auto"/>
              <w:right w:val="single" w:sz="4" w:space="0" w:color="auto"/>
            </w:tcBorders>
            <w:shd w:val="clear" w:color="auto" w:fill="C6EFCE"/>
            <w:noWrap/>
            <w:vAlign w:val="center"/>
          </w:tcPr>
          <w:p w14:paraId="12317D13"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F97FD79"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4E3CDF1"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2607F3A" w14:textId="7FB94674"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AFDA466" w14:textId="3C34A8B8"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3F9885BE" w14:textId="4B396758" w:rsidR="00702291" w:rsidRDefault="00712B31">
            <w:pPr>
              <w:pStyle w:val="P68B1DB1-Normal32"/>
              <w:spacing w:after="120" w:line="240" w:lineRule="auto"/>
              <w:ind w:left="52"/>
              <w:textAlignment w:val="baseline"/>
              <w:rPr>
                <w:rFonts w:eastAsiaTheme="minorHAnsi"/>
                <w:noProof/>
              </w:rPr>
            </w:pPr>
            <w:r>
              <w:rPr>
                <w:noProof/>
              </w:rPr>
              <w:t>Notificarea intenției de a participa la cooperarea consolidată privind instituirea Parchetului European (EPPO) se transmite Comisiei Europene. Notificarea include solicitarea ca Regulamentul (UE) 2017/1939 să se aplice în Ungaria în ceea ce privește infracțiunile care intră în sfera de competență a EPPO comise înainte ca Ungaria să fie autorizată să se alăture cooperării consolidate la 1 iunie 2021 sau după această dată.</w:t>
            </w:r>
          </w:p>
        </w:tc>
      </w:tr>
      <w:tr w:rsidR="00702291" w14:paraId="210B6CBF"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BF07484" w14:textId="66622532" w:rsidR="00702291" w:rsidRDefault="00712B31">
            <w:pPr>
              <w:pStyle w:val="P68B1DB1-Normal32"/>
              <w:spacing w:after="120" w:line="240" w:lineRule="auto"/>
              <w:rPr>
                <w:rFonts w:eastAsiaTheme="minorHAnsi"/>
                <w:noProof/>
              </w:rPr>
            </w:pPr>
            <w:r>
              <w:rPr>
                <w:noProof/>
              </w:rPr>
              <w:t>57</w:t>
            </w:r>
          </w:p>
        </w:tc>
        <w:tc>
          <w:tcPr>
            <w:tcW w:w="1712" w:type="dxa"/>
            <w:tcBorders>
              <w:top w:val="nil"/>
              <w:left w:val="nil"/>
              <w:bottom w:val="single" w:sz="4" w:space="0" w:color="auto"/>
              <w:right w:val="single" w:sz="4" w:space="0" w:color="auto"/>
            </w:tcBorders>
            <w:shd w:val="clear" w:color="auto" w:fill="C6EFCE"/>
            <w:noWrap/>
            <w:vAlign w:val="center"/>
          </w:tcPr>
          <w:p w14:paraId="52B2D36E" w14:textId="4601C448" w:rsidR="00702291" w:rsidRDefault="00712B31">
            <w:pPr>
              <w:pStyle w:val="P68B1DB1-Normal32"/>
              <w:spacing w:after="120" w:line="240" w:lineRule="auto"/>
              <w:rPr>
                <w:noProof/>
              </w:rPr>
            </w:pPr>
            <w:r>
              <w:rPr>
                <w:noProof/>
              </w:rPr>
              <w:t xml:space="preserve">C8.R3 Intrarea în vigoare a actelor juridice privind un grup operativ anticorupție </w:t>
            </w:r>
          </w:p>
        </w:tc>
        <w:tc>
          <w:tcPr>
            <w:tcW w:w="1021" w:type="dxa"/>
            <w:tcBorders>
              <w:top w:val="nil"/>
              <w:left w:val="nil"/>
              <w:bottom w:val="single" w:sz="4" w:space="0" w:color="auto"/>
              <w:right w:val="single" w:sz="4" w:space="0" w:color="auto"/>
            </w:tcBorders>
            <w:shd w:val="clear" w:color="auto" w:fill="C6EFCE"/>
            <w:noWrap/>
            <w:vAlign w:val="center"/>
          </w:tcPr>
          <w:p w14:paraId="3165F6F5" w14:textId="46A27700" w:rsidR="00702291" w:rsidRDefault="00712B31">
            <w:pPr>
              <w:pStyle w:val="P68B1DB1-Normal32"/>
              <w:spacing w:after="120" w:line="240" w:lineRule="auto"/>
              <w:rPr>
                <w:rFonts w:eastAsiaTheme="minorHAnsi"/>
                <w:noProof/>
              </w:rPr>
            </w:pPr>
            <w:r>
              <w:rPr>
                <w:noProof/>
              </w:rPr>
              <w:t>Etapă </w:t>
            </w:r>
          </w:p>
        </w:tc>
        <w:tc>
          <w:tcPr>
            <w:tcW w:w="1843" w:type="dxa"/>
            <w:tcBorders>
              <w:top w:val="nil"/>
              <w:left w:val="nil"/>
              <w:bottom w:val="single" w:sz="4" w:space="0" w:color="auto"/>
              <w:right w:val="single" w:sz="4" w:space="0" w:color="auto"/>
            </w:tcBorders>
            <w:shd w:val="clear" w:color="auto" w:fill="C6EFCE"/>
            <w:noWrap/>
            <w:vAlign w:val="center"/>
          </w:tcPr>
          <w:p w14:paraId="2FBFE03C" w14:textId="61BC1AC2" w:rsidR="00702291" w:rsidRDefault="00712B31">
            <w:pPr>
              <w:pStyle w:val="P68B1DB1-Normal32"/>
              <w:spacing w:after="120" w:line="240" w:lineRule="auto"/>
              <w:rPr>
                <w:rFonts w:eastAsiaTheme="minorHAnsi"/>
                <w:noProof/>
              </w:rPr>
            </w:pPr>
            <w:r>
              <w:rPr>
                <w:noProof/>
              </w:rPr>
              <w:t xml:space="preserve">Intrarea în vigoare a actelor juridice privind un grup operativ anticorupție </w:t>
            </w:r>
          </w:p>
        </w:tc>
        <w:tc>
          <w:tcPr>
            <w:tcW w:w="1275" w:type="dxa"/>
            <w:tcBorders>
              <w:top w:val="nil"/>
              <w:left w:val="nil"/>
              <w:bottom w:val="single" w:sz="4" w:space="0" w:color="auto"/>
              <w:right w:val="single" w:sz="4" w:space="0" w:color="auto"/>
            </w:tcBorders>
            <w:shd w:val="clear" w:color="auto" w:fill="C6EFCE"/>
            <w:noWrap/>
            <w:vAlign w:val="center"/>
          </w:tcPr>
          <w:p w14:paraId="6F0A1F5B" w14:textId="085B6390" w:rsidR="00702291" w:rsidRDefault="00712B31">
            <w:pPr>
              <w:pStyle w:val="P68B1DB1-Normal32"/>
              <w:spacing w:after="120" w:line="240" w:lineRule="auto"/>
              <w:rPr>
                <w:rFonts w:eastAsiaTheme="minorHAnsi"/>
                <w:noProof/>
              </w:rPr>
            </w:pPr>
            <w:r>
              <w:rPr>
                <w:noProof/>
              </w:rPr>
              <w:t>Dispoziție legală care indică intrarea în vigoare</w:t>
            </w:r>
          </w:p>
        </w:tc>
        <w:tc>
          <w:tcPr>
            <w:tcW w:w="1134" w:type="dxa"/>
            <w:tcBorders>
              <w:top w:val="nil"/>
              <w:left w:val="nil"/>
              <w:bottom w:val="single" w:sz="4" w:space="0" w:color="auto"/>
              <w:right w:val="single" w:sz="4" w:space="0" w:color="auto"/>
            </w:tcBorders>
            <w:shd w:val="clear" w:color="auto" w:fill="C6EFCE"/>
            <w:noWrap/>
            <w:vAlign w:val="center"/>
          </w:tcPr>
          <w:p w14:paraId="7261E3C9" w14:textId="3507520C" w:rsidR="00702291" w:rsidRDefault="00712B31">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306C8E6E" w14:textId="74E35BD1" w:rsidR="00702291" w:rsidRDefault="00712B31">
            <w:pPr>
              <w:pStyle w:val="P68B1DB1-Normal32"/>
              <w:spacing w:after="120" w:line="240" w:lineRule="auto"/>
              <w:rPr>
                <w:rFonts w:eastAsia="Calibri"/>
                <w:noProof/>
              </w:rPr>
            </w:pPr>
            <w:r>
              <w:rPr>
                <w:noProof/>
              </w:rPr>
              <w:t xml:space="preserve"> </w:t>
            </w:r>
          </w:p>
        </w:tc>
        <w:tc>
          <w:tcPr>
            <w:tcW w:w="993" w:type="dxa"/>
            <w:tcBorders>
              <w:top w:val="nil"/>
              <w:left w:val="nil"/>
              <w:bottom w:val="single" w:sz="4" w:space="0" w:color="auto"/>
              <w:right w:val="single" w:sz="4" w:space="0" w:color="auto"/>
            </w:tcBorders>
            <w:shd w:val="clear" w:color="auto" w:fill="C6EFCE"/>
            <w:noWrap/>
            <w:vAlign w:val="center"/>
          </w:tcPr>
          <w:p w14:paraId="4FA0E7E7" w14:textId="51464960" w:rsidR="00702291" w:rsidRDefault="00712B31">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6AED6FDE" w14:textId="433A2D44"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1E98784" w14:textId="49BAB20C"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9AF6CC0" w14:textId="77777777" w:rsidR="00702291" w:rsidRDefault="00712B31">
            <w:pPr>
              <w:pStyle w:val="P68B1DB1-Normal32"/>
              <w:spacing w:after="120" w:line="240" w:lineRule="auto"/>
              <w:ind w:left="52"/>
              <w:textAlignment w:val="baseline"/>
              <w:rPr>
                <w:rFonts w:eastAsia="Times New Roman"/>
                <w:noProof/>
              </w:rPr>
            </w:pPr>
            <w:r>
              <w:rPr>
                <w:noProof/>
              </w:rPr>
              <w:t xml:space="preserve">Intrarea în vigoare a legislației care prevede instituirea legală a Grupului operativ anticorupție. </w:t>
            </w:r>
          </w:p>
          <w:p w14:paraId="69EBD212" w14:textId="77777777" w:rsidR="00702291" w:rsidRDefault="00712B31">
            <w:pPr>
              <w:pStyle w:val="P68B1DB1-Normal32"/>
              <w:spacing w:after="120" w:line="240" w:lineRule="auto"/>
              <w:ind w:left="52"/>
              <w:textAlignment w:val="baseline"/>
              <w:rPr>
                <w:noProof/>
              </w:rPr>
            </w:pPr>
            <w:r>
              <w:rPr>
                <w:noProof/>
              </w:rPr>
              <w:t xml:space="preserve">Legislația prevede că: </w:t>
            </w:r>
          </w:p>
          <w:p w14:paraId="16E6F1F4" w14:textId="77777777" w:rsidR="00702291" w:rsidRDefault="00712B31">
            <w:pPr>
              <w:pStyle w:val="P68B1DB1-Normal32"/>
              <w:spacing w:after="120" w:line="240" w:lineRule="auto"/>
              <w:ind w:left="52"/>
              <w:textAlignment w:val="baseline"/>
              <w:rPr>
                <w:noProof/>
              </w:rPr>
            </w:pPr>
            <w:r>
              <w:rPr>
                <w:noProof/>
              </w:rPr>
              <w:t xml:space="preserve">1. grupul operativ anticorupție are următoarele sarcini: </w:t>
            </w:r>
          </w:p>
          <w:p w14:paraId="34DCE952" w14:textId="0A44B956" w:rsidR="00702291" w:rsidRDefault="00712B31">
            <w:pPr>
              <w:pStyle w:val="P68B1DB1-Normal32"/>
              <w:spacing w:after="120" w:line="240" w:lineRule="auto"/>
              <w:ind w:left="52"/>
              <w:textAlignment w:val="baseline"/>
              <w:rPr>
                <w:noProof/>
              </w:rPr>
            </w:pPr>
            <w:r>
              <w:rPr>
                <w:noProof/>
              </w:rPr>
              <w:t xml:space="preserve">(a) să examineze măsurile anticorupție existente și să elaboreze propuneri de îmbunătățire a acestora; </w:t>
            </w:r>
          </w:p>
          <w:p w14:paraId="19EFB3CD" w14:textId="77777777" w:rsidR="00702291" w:rsidRDefault="00712B31">
            <w:pPr>
              <w:pStyle w:val="P68B1DB1-Normal32"/>
              <w:spacing w:after="120" w:line="240" w:lineRule="auto"/>
              <w:ind w:left="52"/>
              <w:textAlignment w:val="baseline"/>
              <w:rPr>
                <w:noProof/>
              </w:rPr>
            </w:pPr>
            <w:r>
              <w:rPr>
                <w:noProof/>
              </w:rPr>
              <w:t xml:space="preserve">(b) să prezinte propuneri pentru </w:t>
            </w:r>
          </w:p>
          <w:p w14:paraId="1BD17E1E" w14:textId="77777777" w:rsidR="00702291" w:rsidRDefault="00712B31">
            <w:pPr>
              <w:pStyle w:val="P68B1DB1-Normal32"/>
              <w:spacing w:after="120" w:line="240" w:lineRule="auto"/>
              <w:ind w:left="720"/>
              <w:textAlignment w:val="baseline"/>
              <w:rPr>
                <w:noProof/>
              </w:rPr>
            </w:pPr>
            <w:r>
              <w:rPr>
                <w:noProof/>
              </w:rPr>
              <w:t xml:space="preserve">(I) îmbunătățirea prevenirii și detectării corupției; </w:t>
            </w:r>
          </w:p>
          <w:p w14:paraId="4EDFF2AE" w14:textId="77777777" w:rsidR="00702291" w:rsidRDefault="00712B31">
            <w:pPr>
              <w:pStyle w:val="P68B1DB1-Normal32"/>
              <w:spacing w:after="120" w:line="240" w:lineRule="auto"/>
              <w:ind w:left="720"/>
              <w:textAlignment w:val="baseline"/>
              <w:rPr>
                <w:noProof/>
              </w:rPr>
            </w:pPr>
            <w:r>
              <w:rPr>
                <w:noProof/>
              </w:rPr>
              <w:t xml:space="preserve">(II) să stimuleze fluxul de informații între autoritățile administrative și de control ale statului și autoritățile responsabile de anchetele penale; </w:t>
            </w:r>
          </w:p>
          <w:p w14:paraId="006DD661" w14:textId="77777777" w:rsidR="00702291" w:rsidRDefault="00712B31">
            <w:pPr>
              <w:pStyle w:val="P68B1DB1-Normal32"/>
              <w:spacing w:after="120" w:line="240" w:lineRule="auto"/>
              <w:ind w:left="52"/>
              <w:textAlignment w:val="baseline"/>
              <w:rPr>
                <w:noProof/>
              </w:rPr>
            </w:pPr>
            <w:r>
              <w:rPr>
                <w:noProof/>
              </w:rPr>
              <w:t xml:space="preserve">(c) să evalueze modul în care propunerile sale anterioare au fost monitorizate și puse în aplicare; </w:t>
            </w:r>
          </w:p>
          <w:p w14:paraId="10C60090" w14:textId="77777777" w:rsidR="00702291" w:rsidRDefault="00712B31">
            <w:pPr>
              <w:pStyle w:val="P68B1DB1-Normal32"/>
              <w:spacing w:after="120" w:line="240" w:lineRule="auto"/>
              <w:ind w:left="52"/>
              <w:textAlignment w:val="baseline"/>
              <w:rPr>
                <w:noProof/>
              </w:rPr>
            </w:pPr>
            <w:r>
              <w:rPr>
                <w:noProof/>
              </w:rPr>
              <w:t>(d) pregătește un raport anual accesibil publicului.</w:t>
            </w:r>
          </w:p>
          <w:p w14:paraId="17104612" w14:textId="77777777" w:rsidR="00702291" w:rsidRDefault="00712B31">
            <w:pPr>
              <w:pStyle w:val="P68B1DB1-Normal32"/>
              <w:spacing w:after="120" w:line="240" w:lineRule="auto"/>
              <w:ind w:left="52"/>
              <w:textAlignment w:val="baseline"/>
              <w:rPr>
                <w:noProof/>
              </w:rPr>
            </w:pPr>
            <w:r>
              <w:rPr>
                <w:noProof/>
              </w:rPr>
              <w:t>Legislația impune ca raportul respectiv (i) să analizeze riscurile și tendințele în materie de corupție și practici de corupție, (ii) să propună contramăsuri și bune practici pentru prevenirea, depistarea și sancționarea riscurilor de corupție și a tipurilor de corupție, evaluând aplicabilitatea acestora, și (iii) să evalueze modul în care propunerile sale anterioare au fost monitorizate și puse în aplicare.</w:t>
            </w:r>
          </w:p>
          <w:p w14:paraId="665CD087" w14:textId="63E84224" w:rsidR="00702291" w:rsidRDefault="00712B31">
            <w:pPr>
              <w:pStyle w:val="P68B1DB1-Normal32"/>
              <w:spacing w:after="120" w:line="240" w:lineRule="auto"/>
              <w:ind w:left="52"/>
              <w:textAlignment w:val="baseline"/>
              <w:rPr>
                <w:rFonts w:eastAsia="Times New Roman"/>
                <w:noProof/>
              </w:rPr>
            </w:pPr>
            <w:r>
              <w:rPr>
                <w:noProof/>
              </w:rPr>
              <w:t xml:space="preserve">2. guvernul discută sistematic rapoartele și propunerile Grupului operativ anticorupție în termen de două luni de la publicarea acestora și își motivează decizia cu privire la fiecare dintre propunerile pe care a decis să nu le pună în aplicare. </w:t>
            </w:r>
          </w:p>
          <w:p w14:paraId="11B8C524" w14:textId="77777777" w:rsidR="00702291" w:rsidRDefault="00712B31">
            <w:pPr>
              <w:pStyle w:val="P68B1DB1-Normal32"/>
              <w:spacing w:after="120" w:line="240" w:lineRule="auto"/>
              <w:ind w:left="52"/>
              <w:textAlignment w:val="baseline"/>
              <w:rPr>
                <w:noProof/>
              </w:rPr>
            </w:pPr>
            <w:r>
              <w:rPr>
                <w:noProof/>
              </w:rPr>
              <w:t xml:space="preserve">3. actorii neguvernamentali activi în domeniul combaterii corupției reprezintă cel puțin 50 % din membrii Grupului operativ anticorupție (cu excepția președintelui). Legislația impune ca (i) acești membri să fie în mod demonstrabil independenți de guvern, de autoritățile publice, de partidele politice și de interesele de afaceri; (II) sunt selectați pe baza unui proces de selecție deschis, transparent și nediscriminatoriu și a unor criterii obiective legate de expertiza și meritele candidaților; și (iii) în cazul în care numărul membrilor din partea actorilor neguvernamentali scade sub 50 %, ponderea voturilor acestora se ajustează astfel încât să atingă 50 % din totalul voturilor (cu excepția președintelui). </w:t>
            </w:r>
          </w:p>
          <w:p w14:paraId="786FBC0F" w14:textId="4FFA6B72" w:rsidR="00702291" w:rsidRDefault="00712B31">
            <w:pPr>
              <w:pStyle w:val="P68B1DB1-Normal32"/>
              <w:spacing w:after="120" w:line="240" w:lineRule="auto"/>
              <w:ind w:left="52"/>
              <w:textAlignment w:val="baseline"/>
              <w:rPr>
                <w:rFonts w:eastAsia="Times New Roman"/>
                <w:noProof/>
              </w:rPr>
            </w:pPr>
            <w:r>
              <w:rPr>
                <w:noProof/>
              </w:rPr>
              <w:t xml:space="preserve">4. președintele Autorității de Integritate acționează în calitate de președinte al Grupului operativ anticorupție și își desfășoară activitatea independent de Autoritatea de Integritate. </w:t>
            </w:r>
          </w:p>
          <w:p w14:paraId="6700B422" w14:textId="718E7E50" w:rsidR="00702291" w:rsidRDefault="00712B31">
            <w:pPr>
              <w:pStyle w:val="P68B1DB1-Normal32"/>
              <w:spacing w:after="120" w:line="240" w:lineRule="auto"/>
              <w:ind w:left="52"/>
              <w:textAlignment w:val="baseline"/>
              <w:rPr>
                <w:rFonts w:eastAsiaTheme="minorHAnsi"/>
                <w:noProof/>
              </w:rPr>
            </w:pPr>
            <w:r>
              <w:rPr>
                <w:noProof/>
              </w:rPr>
              <w:t xml:space="preserve">5. grupul operativ anticorupție se reunește cel puțin de două ori pe an și ia decizii cu majoritatea simplă a voturilor exprimate. Legislația impune ca procesele-verbale ale reuniunilor sale să fie puse la dispoziția publicului pe site-ul web al Grupului operativ anticorupție. </w:t>
            </w:r>
          </w:p>
        </w:tc>
      </w:tr>
      <w:tr w:rsidR="00702291" w14:paraId="036D3492"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1B8DE62" w14:textId="6C53A0D7" w:rsidR="00702291" w:rsidRDefault="00712B31">
            <w:pPr>
              <w:pStyle w:val="P68B1DB1-Normal32"/>
              <w:spacing w:after="120" w:line="240" w:lineRule="auto"/>
              <w:rPr>
                <w:rFonts w:eastAsiaTheme="minorHAnsi"/>
                <w:noProof/>
              </w:rPr>
            </w:pPr>
            <w:r>
              <w:rPr>
                <w:noProof/>
              </w:rPr>
              <w:t>58</w:t>
            </w:r>
          </w:p>
        </w:tc>
        <w:tc>
          <w:tcPr>
            <w:tcW w:w="1712" w:type="dxa"/>
            <w:tcBorders>
              <w:top w:val="nil"/>
              <w:left w:val="nil"/>
              <w:bottom w:val="single" w:sz="4" w:space="0" w:color="auto"/>
              <w:right w:val="single" w:sz="4" w:space="0" w:color="auto"/>
            </w:tcBorders>
            <w:shd w:val="clear" w:color="auto" w:fill="C6EFCE"/>
            <w:noWrap/>
            <w:vAlign w:val="center"/>
          </w:tcPr>
          <w:p w14:paraId="7C380FE4" w14:textId="38209432" w:rsidR="00702291" w:rsidRDefault="00712B31">
            <w:pPr>
              <w:pStyle w:val="P68B1DB1-Normal32"/>
              <w:spacing w:after="120" w:line="240" w:lineRule="auto"/>
              <w:rPr>
                <w:noProof/>
              </w:rPr>
            </w:pPr>
            <w:r>
              <w:rPr>
                <w:noProof/>
              </w:rPr>
              <w:t>C8.R4 Introducerea unei proceduri specifice în cazul infracțiunilor speciale legate de exercitarea autorității publice sau de gestionarea bunurilor publice („control jurisdicțional”)</w:t>
            </w:r>
          </w:p>
        </w:tc>
        <w:tc>
          <w:tcPr>
            <w:tcW w:w="1021" w:type="dxa"/>
            <w:tcBorders>
              <w:top w:val="nil"/>
              <w:left w:val="nil"/>
              <w:bottom w:val="single" w:sz="4" w:space="0" w:color="auto"/>
              <w:right w:val="single" w:sz="4" w:space="0" w:color="auto"/>
            </w:tcBorders>
            <w:shd w:val="clear" w:color="auto" w:fill="C6EFCE"/>
            <w:noWrap/>
            <w:vAlign w:val="center"/>
          </w:tcPr>
          <w:p w14:paraId="0DC6AA2C" w14:textId="7CEEF388" w:rsidR="00702291" w:rsidRDefault="00712B31">
            <w:pPr>
              <w:pStyle w:val="P68B1DB1-Normal32"/>
              <w:spacing w:after="120" w:line="240" w:lineRule="auto"/>
              <w:rPr>
                <w:rFonts w:eastAsiaTheme="minorHAnsi"/>
                <w:noProof/>
              </w:rPr>
            </w:pPr>
            <w:r>
              <w:rPr>
                <w:noProof/>
              </w:rPr>
              <w:t>Etapă </w:t>
            </w:r>
          </w:p>
        </w:tc>
        <w:tc>
          <w:tcPr>
            <w:tcW w:w="1843" w:type="dxa"/>
            <w:tcBorders>
              <w:top w:val="nil"/>
              <w:left w:val="nil"/>
              <w:bottom w:val="single" w:sz="4" w:space="0" w:color="auto"/>
              <w:right w:val="single" w:sz="4" w:space="0" w:color="auto"/>
            </w:tcBorders>
            <w:shd w:val="clear" w:color="auto" w:fill="C6EFCE"/>
            <w:noWrap/>
            <w:vAlign w:val="center"/>
          </w:tcPr>
          <w:p w14:paraId="197B15B4" w14:textId="73718191" w:rsidR="00702291" w:rsidRDefault="00712B31">
            <w:pPr>
              <w:pStyle w:val="P68B1DB1-Normal32"/>
              <w:spacing w:after="120" w:line="240" w:lineRule="auto"/>
              <w:rPr>
                <w:noProof/>
              </w:rPr>
            </w:pPr>
            <w:r>
              <w:rPr>
                <w:noProof/>
              </w:rPr>
              <w:t>Modificare (modificări) legislativă (legislative) privind o procedură în cazul anumitor practici de corupție și legate de corupție</w:t>
            </w:r>
          </w:p>
        </w:tc>
        <w:tc>
          <w:tcPr>
            <w:tcW w:w="1275" w:type="dxa"/>
            <w:tcBorders>
              <w:top w:val="nil"/>
              <w:left w:val="nil"/>
              <w:bottom w:val="single" w:sz="4" w:space="0" w:color="auto"/>
              <w:right w:val="single" w:sz="4" w:space="0" w:color="auto"/>
            </w:tcBorders>
            <w:shd w:val="clear" w:color="auto" w:fill="C6EFCE"/>
            <w:noWrap/>
            <w:vAlign w:val="center"/>
          </w:tcPr>
          <w:p w14:paraId="21FC6B51" w14:textId="133C4C7A" w:rsidR="00702291" w:rsidRDefault="00712B31">
            <w:pPr>
              <w:pStyle w:val="P68B1DB1-Normal32"/>
              <w:spacing w:after="120" w:line="240" w:lineRule="auto"/>
              <w:rPr>
                <w:noProof/>
              </w:rPr>
            </w:pPr>
            <w:r>
              <w:rPr>
                <w:noProof/>
              </w:rPr>
              <w:t>Adoptarea și publicarea actului (actelor) juridic (e) în Jurnalul Oficial</w:t>
            </w:r>
          </w:p>
        </w:tc>
        <w:tc>
          <w:tcPr>
            <w:tcW w:w="1134" w:type="dxa"/>
            <w:tcBorders>
              <w:top w:val="nil"/>
              <w:left w:val="nil"/>
              <w:bottom w:val="single" w:sz="4" w:space="0" w:color="auto"/>
              <w:right w:val="single" w:sz="4" w:space="0" w:color="auto"/>
            </w:tcBorders>
            <w:shd w:val="clear" w:color="auto" w:fill="C6EFCE"/>
            <w:noWrap/>
            <w:vAlign w:val="center"/>
          </w:tcPr>
          <w:p w14:paraId="6BADBC7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3252537"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431150C6"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A5492B4" w14:textId="2A89EF34"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98CB48B" w14:textId="11B13283"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FD1BD19" w14:textId="45EEA521" w:rsidR="00702291" w:rsidRDefault="00712B31">
            <w:pPr>
              <w:pStyle w:val="P68B1DB1-Normal32"/>
              <w:spacing w:after="120" w:line="240" w:lineRule="auto"/>
              <w:ind w:left="51"/>
              <w:rPr>
                <w:rFonts w:eastAsia="Times New Roman"/>
                <w:noProof/>
              </w:rPr>
            </w:pPr>
            <w:r>
              <w:rPr>
                <w:noProof/>
              </w:rPr>
              <w:t>Modificare (modificări) legislativă (legislative) aplicabilă (aplicabile) și infracțiunilor (care nu s-au prescris) săvârșite înainte de 1 ianuarie 2023, care:</w:t>
            </w:r>
          </w:p>
          <w:p w14:paraId="3C503569" w14:textId="77777777" w:rsidR="00702291" w:rsidRDefault="00712B31">
            <w:pPr>
              <w:pStyle w:val="P68B1DB1-Normal32"/>
              <w:spacing w:after="120" w:line="240" w:lineRule="auto"/>
              <w:ind w:left="51"/>
              <w:rPr>
                <w:rFonts w:eastAsia="Times New Roman"/>
                <w:noProof/>
              </w:rPr>
            </w:pPr>
            <w:r>
              <w:rPr>
                <w:noProof/>
              </w:rPr>
              <w:t>— să prevadă instituirea unei proceduri privind anumite acte de corupție și practici legate de corupție;</w:t>
            </w:r>
          </w:p>
          <w:p w14:paraId="6C1DC200" w14:textId="77777777" w:rsidR="00702291" w:rsidRDefault="00712B31">
            <w:pPr>
              <w:pStyle w:val="P68B1DB1-Normal32"/>
              <w:spacing w:after="120" w:line="240" w:lineRule="auto"/>
              <w:ind w:left="51"/>
              <w:rPr>
                <w:noProof/>
              </w:rPr>
            </w:pPr>
            <w:r>
              <w:rPr>
                <w:noProof/>
              </w:rPr>
              <w:t>— să prevadă instituirea unui control jurisdicțional al deciziei parchetului sau a autorității de anchetă de a respinge un denunț privind săvârșirea unei infracțiuni sau de a pune capăt procedurii penale de către judecătorul de instrucție al Tribunalului Central Districtual din Buda, care are autoritatea de a dispune începerea sau continuarea procedurii penale. În cazul în care se deschide o anchetă sau se continuă procedura, parchetul sau autoritatea de anchetă continuă procedura pe baza motivării hotărârii judecătorești și, în cazul nedetectării, prin remedierea deficiențelor identificate în aceasta. </w:t>
            </w:r>
          </w:p>
          <w:p w14:paraId="4CA8776E" w14:textId="6855420D" w:rsidR="00702291" w:rsidRDefault="00712B31">
            <w:pPr>
              <w:pStyle w:val="P68B1DB1-Normal32"/>
              <w:spacing w:after="120" w:line="240" w:lineRule="auto"/>
              <w:ind w:left="51"/>
              <w:rPr>
                <w:rFonts w:eastAsia="Calibri"/>
                <w:noProof/>
              </w:rPr>
            </w:pPr>
            <w:r>
              <w:rPr>
                <w:noProof/>
              </w:rPr>
              <w:t xml:space="preserve">— să prevadă că, în urma cererii de revizuire, în cazul în care decizia de respingere a unui denunț privind săvârșirea unei infracțiuni sau de încetare a procedurii penale a fost anulată de judecătorul de instrucție, în cazul unei încetări repetate a procedurii, va fi posibil să se depună un rechizitoriu la instanța de judecată. În condițiile prevăzute de actul normativ, procedura dă dreptul de a formula rechizitoriu instanței competente, care se pronunță asupra fondului cauzei după ascultarea probelor. Examinarea motivelor unei cereri de urmărire penală este limitată (de exemplu, dacă persoana menționată ca fiind acuzată poate fi suspectată în mod rezonabil de săvârșirea infracțiunii care face obiectul cererii de urmărire penală și/sau dacă persoana menționată beneficiază de imunitate), cu scopul de a evita o filtrare pe fond care ar risca să anticipeze sau să împiedice pronunțarea unei hotărâri pe fond fără posibilitatea de a căuta și de a audia probe în cauză. Persoanele fizice și persoanele juridice pot depune (sub rezerva anumitor dispoziții) cereri în cadrul acestei proceduri, cu excepția autorităților publice; cu toate acestea, Autoritatea de Integritate are dreptul de a depune o cerere de revizuire și o cerere de revizuire repetată. </w:t>
            </w:r>
          </w:p>
          <w:p w14:paraId="55F71854" w14:textId="7D7FE9AE" w:rsidR="00702291" w:rsidRDefault="00712B31">
            <w:pPr>
              <w:pStyle w:val="P68B1DB1-Normal32"/>
              <w:spacing w:after="120" w:line="240" w:lineRule="auto"/>
              <w:ind w:left="52"/>
              <w:textAlignment w:val="baseline"/>
              <w:rPr>
                <w:rFonts w:eastAsiaTheme="minorHAnsi"/>
                <w:noProof/>
              </w:rPr>
            </w:pPr>
            <w:r>
              <w:rPr>
                <w:noProof/>
              </w:rPr>
              <w:t>Se aplică dispozițiile prevăzute în capitolul CV/A din Legea XC din 2017 privind procedura penală, iar autoritatea de anchetă sau parchetul adoptă o nouă decizie cu privire la raportul privind infracțiunea în temeiul articolului 379 și în cazul în care a) raportul privind infracțiunea depus după 31 decembrie 2022 se referă la aceeași faptă ca fapta care face obiectul unui raport anterior privind infracțiunea care a fost depus și respins înainte de 1 ianuarie 2023 sau în cazul în care ancheta a fost încheiată înainte de 1 ianuarie 2023, b) capitolul CV/A s-ar aplica raportului privind infracțiunea depus după 31 decembrie 2022.</w:t>
            </w:r>
          </w:p>
        </w:tc>
      </w:tr>
      <w:tr w:rsidR="00702291" w14:paraId="477731EB"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EB5016B" w14:textId="7D812A6C" w:rsidR="00702291" w:rsidRDefault="00712B31">
            <w:pPr>
              <w:pStyle w:val="P68B1DB1-Normal32"/>
              <w:spacing w:after="120" w:line="240" w:lineRule="auto"/>
              <w:rPr>
                <w:rFonts w:eastAsiaTheme="minorHAnsi"/>
                <w:noProof/>
              </w:rPr>
            </w:pPr>
            <w:r>
              <w:rPr>
                <w:noProof/>
              </w:rPr>
              <w:t>59</w:t>
            </w:r>
          </w:p>
        </w:tc>
        <w:tc>
          <w:tcPr>
            <w:tcW w:w="1712" w:type="dxa"/>
            <w:tcBorders>
              <w:top w:val="nil"/>
              <w:left w:val="nil"/>
              <w:bottom w:val="single" w:sz="4" w:space="0" w:color="auto"/>
              <w:right w:val="single" w:sz="4" w:space="0" w:color="auto"/>
            </w:tcBorders>
            <w:shd w:val="clear" w:color="auto" w:fill="C6EFCE"/>
            <w:noWrap/>
            <w:vAlign w:val="center"/>
          </w:tcPr>
          <w:p w14:paraId="00517B0C" w14:textId="7E008A92" w:rsidR="00702291" w:rsidRDefault="00712B31">
            <w:pPr>
              <w:pStyle w:val="P68B1DB1-Normal32"/>
              <w:spacing w:after="120" w:line="240" w:lineRule="auto"/>
              <w:ind w:left="52"/>
              <w:textAlignment w:val="baseline"/>
              <w:rPr>
                <w:noProof/>
              </w:rPr>
            </w:pPr>
            <w:r>
              <w:rPr>
                <w:noProof/>
              </w:rPr>
              <w:t>C8.R5 Modificarea normelor referitoare la declarațiile de avere</w:t>
            </w:r>
          </w:p>
          <w:p w14:paraId="210438D2" w14:textId="77777777" w:rsidR="00702291" w:rsidRDefault="00702291">
            <w:pPr>
              <w:spacing w:after="120" w:line="240" w:lineRule="auto"/>
              <w:rPr>
                <w:rFonts w:ascii="Times New Roman" w:eastAsiaTheme="minorHAns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3A0486B0" w14:textId="50EA3EA5"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5AAFE2D4" w14:textId="59263CE5" w:rsidR="00702291" w:rsidRDefault="00712B31">
            <w:pPr>
              <w:pStyle w:val="P68B1DB1-Normal32"/>
              <w:spacing w:after="120" w:line="240" w:lineRule="auto"/>
              <w:rPr>
                <w:noProof/>
              </w:rPr>
            </w:pPr>
            <w:r>
              <w:rPr>
                <w:noProof/>
              </w:rPr>
              <w:t xml:space="preserve">Intrarea în vigoare a modificărilor legislative care extind domeniul de aplicare personal și material al declarațiilor de avere, asigurând în același timp divulgarea frecventă </w:t>
            </w:r>
          </w:p>
        </w:tc>
        <w:tc>
          <w:tcPr>
            <w:tcW w:w="1275" w:type="dxa"/>
            <w:tcBorders>
              <w:top w:val="nil"/>
              <w:left w:val="nil"/>
              <w:bottom w:val="single" w:sz="4" w:space="0" w:color="auto"/>
              <w:right w:val="single" w:sz="4" w:space="0" w:color="auto"/>
            </w:tcBorders>
            <w:shd w:val="clear" w:color="auto" w:fill="C6EFCE"/>
            <w:noWrap/>
            <w:vAlign w:val="center"/>
          </w:tcPr>
          <w:p w14:paraId="289DD781" w14:textId="45FAA637" w:rsidR="00702291" w:rsidRDefault="00712B31">
            <w:pPr>
              <w:pStyle w:val="P68B1DB1-Normal32"/>
              <w:spacing w:after="120" w:line="240" w:lineRule="auto"/>
              <w:rPr>
                <w:rFonts w:eastAsiaTheme="minorHAnsi"/>
                <w:noProof/>
              </w:rPr>
            </w:pPr>
            <w:r>
              <w:rPr>
                <w:noProof/>
              </w:rPr>
              <w:t xml:space="preserve">Dispoziție din modificările legislative care indică intrarea în vigoare </w:t>
            </w:r>
          </w:p>
        </w:tc>
        <w:tc>
          <w:tcPr>
            <w:tcW w:w="1134" w:type="dxa"/>
            <w:tcBorders>
              <w:top w:val="nil"/>
              <w:left w:val="nil"/>
              <w:bottom w:val="single" w:sz="4" w:space="0" w:color="auto"/>
              <w:right w:val="single" w:sz="4" w:space="0" w:color="auto"/>
            </w:tcBorders>
            <w:shd w:val="clear" w:color="auto" w:fill="C6EFCE"/>
            <w:noWrap/>
            <w:vAlign w:val="center"/>
          </w:tcPr>
          <w:p w14:paraId="4A612656"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C088D1C"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F1A12CF"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6506C68" w14:textId="0A2B4760"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65BD07C" w14:textId="48722FAD"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187C551" w14:textId="77777777" w:rsidR="00702291" w:rsidRDefault="00712B31">
            <w:pPr>
              <w:pStyle w:val="P68B1DB1-Normal32"/>
              <w:spacing w:after="120" w:line="240" w:lineRule="auto"/>
              <w:ind w:left="52"/>
              <w:textAlignment w:val="baseline"/>
              <w:rPr>
                <w:noProof/>
              </w:rPr>
            </w:pPr>
            <w:r>
              <w:rPr>
                <w:noProof/>
              </w:rPr>
              <w:t>Intră în vigoare modificări legislative care prevăd:</w:t>
            </w:r>
          </w:p>
          <w:p w14:paraId="20A96295" w14:textId="77777777" w:rsidR="00702291" w:rsidRDefault="00712B31">
            <w:pPr>
              <w:pStyle w:val="P68B1DB1-Normal32"/>
              <w:spacing w:after="120" w:line="240" w:lineRule="auto"/>
              <w:ind w:left="52"/>
              <w:textAlignment w:val="baseline"/>
              <w:rPr>
                <w:noProof/>
              </w:rPr>
            </w:pPr>
            <w:r>
              <w:rPr>
                <w:noProof/>
              </w:rPr>
              <w:t xml:space="preserve">(I) cadrele de conducere politice superioare (în temeiul secțiunilor 183 și 184 din Legea CXXV din 2018 privind administrația guvernamentală) și rudele acestora care locuiesc în aceeași gospodărie cu persoanele în cauză, precum și membrii Adunării Naționale și rudele acestora care locuiesc în aceeași gospodărie cu membrii în cauză trebuie să depună declarații de avere la preluarea funcției, ulterior în fiecare an și în momentul încetării funcției; </w:t>
            </w:r>
          </w:p>
          <w:p w14:paraId="7B5A04CD" w14:textId="1D37C3C6" w:rsidR="00702291" w:rsidRDefault="00712B31">
            <w:pPr>
              <w:pStyle w:val="P68B1DB1-Normal32"/>
              <w:spacing w:after="120" w:line="240" w:lineRule="auto"/>
              <w:ind w:left="52"/>
              <w:textAlignment w:val="baseline"/>
              <w:rPr>
                <w:rFonts w:eastAsiaTheme="minorHAnsi"/>
                <w:noProof/>
              </w:rPr>
            </w:pPr>
            <w:r>
              <w:rPr>
                <w:noProof/>
              </w:rPr>
              <w:t>(II) toate persoanele care intră în domeniul de aplicare personal de la punctul (i) sunt obligate să declare cel puțin: venituri, proprietăți imobiliare, alte proprietăți valoroase (care includ, dar nu se limitează la vehicule, nave, antichități valoroase, opere de artă), economii în depozite bancare și numerar, active în stocuri, titluri de valoare și fonduri de investiții în societăți necotate, polițe de asigurare de viață, fiducii și beneficiarii reali ai întreprinderilor.</w:t>
            </w:r>
          </w:p>
        </w:tc>
      </w:tr>
      <w:tr w:rsidR="00702291" w14:paraId="64168DB7"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D29B084" w14:textId="20B9F1F6" w:rsidR="00702291" w:rsidRDefault="00712B31">
            <w:pPr>
              <w:pStyle w:val="P68B1DB1-Normal32"/>
              <w:spacing w:after="120" w:line="240" w:lineRule="auto"/>
              <w:rPr>
                <w:rFonts w:eastAsiaTheme="minorHAnsi"/>
                <w:noProof/>
              </w:rPr>
            </w:pPr>
            <w:r>
              <w:rPr>
                <w:noProof/>
              </w:rPr>
              <w:t>60</w:t>
            </w:r>
          </w:p>
        </w:tc>
        <w:tc>
          <w:tcPr>
            <w:tcW w:w="1712" w:type="dxa"/>
            <w:tcBorders>
              <w:top w:val="nil"/>
              <w:left w:val="nil"/>
              <w:bottom w:val="single" w:sz="4" w:space="0" w:color="auto"/>
              <w:right w:val="single" w:sz="4" w:space="0" w:color="auto"/>
            </w:tcBorders>
            <w:shd w:val="clear" w:color="auto" w:fill="C6EFCE"/>
            <w:noWrap/>
            <w:vAlign w:val="center"/>
          </w:tcPr>
          <w:p w14:paraId="5FE37CB7" w14:textId="6E763345" w:rsidR="00702291" w:rsidRDefault="00712B31">
            <w:pPr>
              <w:pStyle w:val="P68B1DB1-Normal32"/>
              <w:spacing w:after="120" w:line="240" w:lineRule="auto"/>
              <w:ind w:left="52"/>
              <w:textAlignment w:val="baseline"/>
              <w:rPr>
                <w:noProof/>
              </w:rPr>
            </w:pPr>
            <w:r>
              <w:rPr>
                <w:noProof/>
              </w:rPr>
              <w:t>C8.R5 Modificarea normelor referitoare la declarațiile de avere</w:t>
            </w:r>
          </w:p>
          <w:p w14:paraId="036580F0" w14:textId="77777777" w:rsidR="00702291" w:rsidRDefault="00702291">
            <w:pPr>
              <w:spacing w:after="120" w:line="240" w:lineRule="auto"/>
              <w:rPr>
                <w:rFonts w:ascii="Times New Roman" w:eastAsiaTheme="minorHAns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68102784" w14:textId="3534582A"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EC8D2DC" w14:textId="6E8AFB2F" w:rsidR="00702291" w:rsidRDefault="00712B31">
            <w:pPr>
              <w:pStyle w:val="P68B1DB1-Normal32"/>
              <w:spacing w:after="120" w:line="240" w:lineRule="auto"/>
              <w:rPr>
                <w:rFonts w:eastAsiaTheme="minorHAnsi"/>
                <w:noProof/>
              </w:rPr>
            </w:pPr>
            <w:r>
              <w:rPr>
                <w:noProof/>
              </w:rPr>
              <w:t>Intrarea în vigoare a modificărilor legislative privind instituirea unui sistem de depunere electronică a declarațiilor de avere în format digital și a unei baze de date publice pentru declarațiile de avere</w:t>
            </w:r>
          </w:p>
        </w:tc>
        <w:tc>
          <w:tcPr>
            <w:tcW w:w="1275" w:type="dxa"/>
            <w:tcBorders>
              <w:top w:val="nil"/>
              <w:left w:val="nil"/>
              <w:bottom w:val="single" w:sz="4" w:space="0" w:color="auto"/>
              <w:right w:val="single" w:sz="4" w:space="0" w:color="auto"/>
            </w:tcBorders>
            <w:shd w:val="clear" w:color="auto" w:fill="C6EFCE"/>
            <w:noWrap/>
            <w:vAlign w:val="center"/>
          </w:tcPr>
          <w:p w14:paraId="094E2EF2" w14:textId="3E32DFF0" w:rsidR="00702291" w:rsidRDefault="00712B31">
            <w:pPr>
              <w:pStyle w:val="P68B1DB1-Normal32"/>
              <w:spacing w:after="120" w:line="240" w:lineRule="auto"/>
              <w:rPr>
                <w:rFonts w:eastAsiaTheme="minorHAnsi"/>
                <w:noProof/>
              </w:rPr>
            </w:pPr>
            <w:r>
              <w:rPr>
                <w:noProof/>
              </w:rPr>
              <w:t xml:space="preserve">Dispoziție legală care indică intrarea în vigoare </w:t>
            </w:r>
          </w:p>
        </w:tc>
        <w:tc>
          <w:tcPr>
            <w:tcW w:w="1134" w:type="dxa"/>
            <w:tcBorders>
              <w:top w:val="nil"/>
              <w:left w:val="nil"/>
              <w:bottom w:val="single" w:sz="4" w:space="0" w:color="auto"/>
              <w:right w:val="single" w:sz="4" w:space="0" w:color="auto"/>
            </w:tcBorders>
            <w:shd w:val="clear" w:color="auto" w:fill="C6EFCE"/>
            <w:noWrap/>
            <w:vAlign w:val="center"/>
          </w:tcPr>
          <w:p w14:paraId="176BB868"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A8E33FE"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C6D5251"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8FBCC5C" w14:textId="608CD786"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1EDBC495" w14:textId="7C3EB44A"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6024C5B2" w14:textId="77777777" w:rsidR="00702291" w:rsidRDefault="00712B31">
            <w:pPr>
              <w:pStyle w:val="P68B1DB1-Normal32"/>
              <w:spacing w:after="120" w:line="240" w:lineRule="auto"/>
              <w:ind w:left="52"/>
              <w:textAlignment w:val="baseline"/>
              <w:rPr>
                <w:rFonts w:eastAsia="Times New Roman"/>
                <w:noProof/>
              </w:rPr>
            </w:pPr>
            <w:r>
              <w:rPr>
                <w:noProof/>
              </w:rPr>
              <w:t>Intrarea în vigoare a modificărilor legislative care prevăd:</w:t>
            </w:r>
          </w:p>
          <w:p w14:paraId="19EFE167" w14:textId="77777777" w:rsidR="00702291" w:rsidRDefault="00712B31">
            <w:pPr>
              <w:pStyle w:val="P68B1DB1-ListParagraph43"/>
              <w:numPr>
                <w:ilvl w:val="0"/>
                <w:numId w:val="155"/>
              </w:numPr>
              <w:spacing w:after="120" w:line="240" w:lineRule="auto"/>
              <w:contextualSpacing w:val="0"/>
              <w:textAlignment w:val="baseline"/>
              <w:rPr>
                <w:rFonts w:eastAsia="Times New Roman"/>
                <w:noProof/>
              </w:rPr>
            </w:pPr>
            <w:r>
              <w:rPr>
                <w:noProof/>
              </w:rPr>
              <w:t xml:space="preserve">temeiul juridic și obligația de a institui un sistem prin care declarațiile de avere ale cadrelor politice superioare (în temeiul secțiunilor 183 și 184 din Legea CXXV din 2018 privind administrația guvernamentală) și ale rudelor acestora care locuiesc în aceeași gospodărie cu persoanele în cauză, precum și ale membrilor Adunării Naționale și ale rudelor acestora care locuiesc în aceeași gospodărie cu membrii în cauză să fie depuse electronic și în care să fie depuse electronic în format digital. </w:t>
            </w:r>
          </w:p>
          <w:p w14:paraId="701155D4" w14:textId="05FB6F77" w:rsidR="00702291" w:rsidRDefault="00712B31">
            <w:pPr>
              <w:pStyle w:val="P68B1DB1-ListParagraph43"/>
              <w:numPr>
                <w:ilvl w:val="0"/>
                <w:numId w:val="155"/>
              </w:numPr>
              <w:spacing w:after="120" w:line="240" w:lineRule="auto"/>
              <w:contextualSpacing w:val="0"/>
              <w:textAlignment w:val="baseline"/>
              <w:rPr>
                <w:rFonts w:eastAsia="Times New Roman"/>
                <w:noProof/>
              </w:rPr>
            </w:pPr>
            <w:r>
              <w:rPr>
                <w:noProof/>
              </w:rPr>
              <w:t>temeiul juridic și obligația de a crea o bază de date cu funcție de căutare în care declarațiile de avere depuse de cadrele politice superioare (în temeiul secțiunilor 183 și 184 din Legea CXXV din 2018 privind administrația guvernamentală) și de membrii Adunării Naționale să fie puse la dispoziția publicului în mod gratuit și fără înregistrare.</w:t>
            </w:r>
          </w:p>
        </w:tc>
      </w:tr>
      <w:tr w:rsidR="00702291" w14:paraId="3B154AE1"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AEE8477" w14:textId="20EF6855" w:rsidR="00702291" w:rsidRDefault="00712B31">
            <w:pPr>
              <w:pStyle w:val="P68B1DB1-Normal32"/>
              <w:spacing w:after="120" w:line="240" w:lineRule="auto"/>
              <w:rPr>
                <w:rFonts w:eastAsiaTheme="minorHAnsi"/>
                <w:noProof/>
              </w:rPr>
            </w:pPr>
            <w:r>
              <w:rPr>
                <w:noProof/>
              </w:rPr>
              <w:t>61</w:t>
            </w:r>
          </w:p>
        </w:tc>
        <w:tc>
          <w:tcPr>
            <w:tcW w:w="1712" w:type="dxa"/>
            <w:tcBorders>
              <w:top w:val="nil"/>
              <w:left w:val="nil"/>
              <w:bottom w:val="single" w:sz="4" w:space="0" w:color="auto"/>
              <w:right w:val="single" w:sz="4" w:space="0" w:color="auto"/>
            </w:tcBorders>
            <w:shd w:val="clear" w:color="auto" w:fill="C6EFCE"/>
            <w:noWrap/>
            <w:vAlign w:val="center"/>
          </w:tcPr>
          <w:p w14:paraId="3B5CB461" w14:textId="702E05A5" w:rsidR="00702291" w:rsidRDefault="00712B31">
            <w:pPr>
              <w:pStyle w:val="P68B1DB1-Normal32"/>
              <w:spacing w:after="120" w:line="240" w:lineRule="auto"/>
              <w:rPr>
                <w:noProof/>
              </w:rPr>
            </w:pPr>
            <w:r>
              <w:rPr>
                <w:noProof/>
              </w:rPr>
              <w:t>C8.R5 Modificarea normelor referitoare la declarațiile de avere</w:t>
            </w:r>
          </w:p>
        </w:tc>
        <w:tc>
          <w:tcPr>
            <w:tcW w:w="1021" w:type="dxa"/>
            <w:tcBorders>
              <w:top w:val="nil"/>
              <w:left w:val="nil"/>
              <w:bottom w:val="single" w:sz="4" w:space="0" w:color="auto"/>
              <w:right w:val="single" w:sz="4" w:space="0" w:color="auto"/>
            </w:tcBorders>
            <w:shd w:val="clear" w:color="auto" w:fill="C6EFCE"/>
            <w:noWrap/>
            <w:vAlign w:val="center"/>
          </w:tcPr>
          <w:p w14:paraId="6E80BD56" w14:textId="00418F9F"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5BEC6CC0" w14:textId="6E2F7032" w:rsidR="00702291" w:rsidRDefault="00712B31">
            <w:pPr>
              <w:pStyle w:val="P68B1DB1-Normal32"/>
              <w:spacing w:after="120" w:line="240" w:lineRule="auto"/>
              <w:rPr>
                <w:rFonts w:eastAsiaTheme="minorHAnsi"/>
                <w:noProof/>
              </w:rPr>
            </w:pPr>
            <w:r>
              <w:rPr>
                <w:noProof/>
              </w:rPr>
              <w:t>Introducerea de sancțiuni privind încălcarea obligațiilor de declarare a averii</w:t>
            </w:r>
          </w:p>
        </w:tc>
        <w:tc>
          <w:tcPr>
            <w:tcW w:w="1275" w:type="dxa"/>
            <w:tcBorders>
              <w:top w:val="nil"/>
              <w:left w:val="nil"/>
              <w:bottom w:val="single" w:sz="4" w:space="0" w:color="auto"/>
              <w:right w:val="single" w:sz="4" w:space="0" w:color="auto"/>
            </w:tcBorders>
            <w:shd w:val="clear" w:color="auto" w:fill="C6EFCE"/>
            <w:noWrap/>
            <w:vAlign w:val="center"/>
          </w:tcPr>
          <w:p w14:paraId="1814D9CB" w14:textId="2CF0192A" w:rsidR="00702291" w:rsidRDefault="00712B31">
            <w:pPr>
              <w:pStyle w:val="P68B1DB1-Normal32"/>
              <w:spacing w:after="120" w:line="240" w:lineRule="auto"/>
              <w:rPr>
                <w:rFonts w:eastAsiaTheme="minorHAnsi"/>
                <w:noProof/>
              </w:rPr>
            </w:pPr>
            <w:r>
              <w:rPr>
                <w:noProof/>
              </w:rPr>
              <w:t xml:space="preserve">Dispoziție legală care indică data de intrare în vigoare a </w:t>
            </w:r>
          </w:p>
        </w:tc>
        <w:tc>
          <w:tcPr>
            <w:tcW w:w="1134" w:type="dxa"/>
            <w:tcBorders>
              <w:top w:val="nil"/>
              <w:left w:val="nil"/>
              <w:bottom w:val="single" w:sz="4" w:space="0" w:color="auto"/>
              <w:right w:val="single" w:sz="4" w:space="0" w:color="auto"/>
            </w:tcBorders>
            <w:shd w:val="clear" w:color="auto" w:fill="C6EFCE"/>
            <w:noWrap/>
            <w:vAlign w:val="center"/>
          </w:tcPr>
          <w:p w14:paraId="72F404A1"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662840F"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C70F8C2"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50404FD" w14:textId="0C397F4D"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64047EF" w14:textId="26C67CD4"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0A045510" w14:textId="4F08D519" w:rsidR="00702291" w:rsidRDefault="00712B31">
            <w:pPr>
              <w:pStyle w:val="P68B1DB1-Normal32"/>
              <w:spacing w:after="120" w:line="240" w:lineRule="auto"/>
              <w:ind w:left="51"/>
              <w:rPr>
                <w:noProof/>
              </w:rPr>
            </w:pPr>
            <w:r>
              <w:rPr>
                <w:noProof/>
              </w:rPr>
              <w:t>Intrarea în vigoare a unor modificări legislative de stabilire a sancțiunilor penale, a amenzilor administrative și a consecințelor conexe legate de mandatul sau relația juridică în cazul încălcării obligațiilor privind declarațiile de avere.</w:t>
            </w:r>
          </w:p>
          <w:p w14:paraId="63400D05" w14:textId="3DA3EDCB" w:rsidR="00702291" w:rsidRDefault="00712B31">
            <w:pPr>
              <w:pStyle w:val="P68B1DB1-Normal32"/>
              <w:spacing w:after="120" w:line="240" w:lineRule="auto"/>
              <w:ind w:left="51"/>
              <w:rPr>
                <w:noProof/>
              </w:rPr>
            </w:pPr>
            <w:r>
              <w:rPr>
                <w:noProof/>
              </w:rPr>
              <w:t>Sancțiunile penale ar trebui să se aplice în următoarele situații: a) nedepunerea unei declarații de avere din vina proprie în urma unei solicitări în acest sens din partea entității competente, b) disimularea situației financiare a unei persoane cu privire la un fapt material prin depunerea unei declarații de avere cu un conținut fals, prin ascunderea unui fapt real sau prin orice alte mijloace.</w:t>
            </w:r>
          </w:p>
          <w:p w14:paraId="5DB71424" w14:textId="77777777" w:rsidR="00702291" w:rsidRDefault="00712B31">
            <w:pPr>
              <w:pStyle w:val="P68B1DB1-Normal32"/>
              <w:spacing w:after="120" w:line="240" w:lineRule="auto"/>
              <w:ind w:left="52"/>
              <w:textAlignment w:val="baseline"/>
              <w:rPr>
                <w:noProof/>
              </w:rPr>
            </w:pPr>
            <w:r>
              <w:rPr>
                <w:noProof/>
              </w:rPr>
              <w:t>În cazul în care Autoritatea de Integritate constată o încălcare gravă, aceasta inițiază în fața organismului, persoanei, autorității sau instanței competente consecințele aplicabile legate de mandat sau de relația juridică, inclusiv, în cazul în care legea prevede acest lucru, consecințele pecuniare.</w:t>
            </w:r>
          </w:p>
          <w:p w14:paraId="5B147690" w14:textId="4E7B5C35" w:rsidR="00702291" w:rsidRDefault="00712B31">
            <w:pPr>
              <w:pStyle w:val="P68B1DB1-Normal32"/>
              <w:spacing w:after="120" w:line="240" w:lineRule="auto"/>
              <w:ind w:left="52"/>
              <w:textAlignment w:val="baseline"/>
              <w:rPr>
                <w:rFonts w:eastAsiaTheme="minorHAnsi"/>
                <w:noProof/>
              </w:rPr>
            </w:pPr>
            <w:r>
              <w:rPr>
                <w:noProof/>
              </w:rPr>
              <w:t>Amenzile administrative se aplică deficiențelor pur administrative neintenționate care nu intră sub incidența unor astfel de încălcări grave, inclusiv neremedierea acestora în urma recomandării sau a măsurii propuse de Autoritate, cu excepția cazului în care deficiența este minoră sau neglijabilă și a fost remediată.</w:t>
            </w:r>
          </w:p>
        </w:tc>
      </w:tr>
      <w:tr w:rsidR="00702291" w14:paraId="70B0235C"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2E34025" w14:textId="6DDB4B2D" w:rsidR="00702291" w:rsidRDefault="00712B31">
            <w:pPr>
              <w:pStyle w:val="P68B1DB1-Normal32"/>
              <w:spacing w:after="120" w:line="240" w:lineRule="auto"/>
              <w:rPr>
                <w:rFonts w:eastAsiaTheme="minorHAnsi"/>
                <w:noProof/>
              </w:rPr>
            </w:pPr>
            <w:r>
              <w:rPr>
                <w:noProof/>
              </w:rPr>
              <w:t>62</w:t>
            </w:r>
          </w:p>
        </w:tc>
        <w:tc>
          <w:tcPr>
            <w:tcW w:w="1712" w:type="dxa"/>
            <w:tcBorders>
              <w:top w:val="nil"/>
              <w:left w:val="nil"/>
              <w:bottom w:val="single" w:sz="4" w:space="0" w:color="auto"/>
              <w:right w:val="single" w:sz="4" w:space="0" w:color="auto"/>
            </w:tcBorders>
            <w:shd w:val="clear" w:color="auto" w:fill="C6EFCE"/>
            <w:noWrap/>
            <w:vAlign w:val="center"/>
          </w:tcPr>
          <w:p w14:paraId="63208D9A" w14:textId="58950F04" w:rsidR="00702291" w:rsidRDefault="00712B31">
            <w:pPr>
              <w:pStyle w:val="P68B1DB1-Normal32"/>
              <w:spacing w:after="120" w:line="240" w:lineRule="auto"/>
              <w:rPr>
                <w:noProof/>
              </w:rPr>
            </w:pPr>
            <w:r>
              <w:rPr>
                <w:noProof/>
              </w:rPr>
              <w:t>C8.R6 Intrarea în vigoare a actelor juridice privind transparența utilizării resurselor publice de către fundațiile de gestionare a activelor de interes public</w:t>
            </w:r>
          </w:p>
        </w:tc>
        <w:tc>
          <w:tcPr>
            <w:tcW w:w="1021" w:type="dxa"/>
            <w:tcBorders>
              <w:top w:val="nil"/>
              <w:left w:val="nil"/>
              <w:bottom w:val="single" w:sz="4" w:space="0" w:color="auto"/>
              <w:right w:val="single" w:sz="4" w:space="0" w:color="auto"/>
            </w:tcBorders>
            <w:shd w:val="clear" w:color="auto" w:fill="C6EFCE"/>
            <w:noWrap/>
            <w:vAlign w:val="center"/>
          </w:tcPr>
          <w:p w14:paraId="72E535B2" w14:textId="3C95BD5D"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5E49DBF5" w14:textId="02552BD8" w:rsidR="00702291" w:rsidRDefault="00712B31">
            <w:pPr>
              <w:pStyle w:val="P68B1DB1-Normal32"/>
              <w:spacing w:after="120" w:line="240" w:lineRule="auto"/>
              <w:rPr>
                <w:rFonts w:eastAsiaTheme="minorHAnsi"/>
                <w:noProof/>
              </w:rPr>
            </w:pPr>
            <w:r>
              <w:rPr>
                <w:noProof/>
              </w:rPr>
              <w:t>Intrarea în vigoare a modificărilor legislative privind supravegherea modului în care fundațiile de gestionare a activelor de interes public care îndeplinesc sarcini de interes public și persoanele juridice înființate sau întreținute de acestea utilizează sprijinul Uniunii</w:t>
            </w:r>
          </w:p>
        </w:tc>
        <w:tc>
          <w:tcPr>
            <w:tcW w:w="1275" w:type="dxa"/>
            <w:tcBorders>
              <w:top w:val="nil"/>
              <w:left w:val="nil"/>
              <w:bottom w:val="single" w:sz="4" w:space="0" w:color="auto"/>
              <w:right w:val="single" w:sz="4" w:space="0" w:color="auto"/>
            </w:tcBorders>
            <w:shd w:val="clear" w:color="auto" w:fill="C6EFCE"/>
            <w:noWrap/>
            <w:vAlign w:val="center"/>
          </w:tcPr>
          <w:p w14:paraId="52882E3A" w14:textId="0B244017" w:rsidR="00702291" w:rsidRDefault="00712B31">
            <w:pPr>
              <w:pStyle w:val="P68B1DB1-Normal32"/>
              <w:spacing w:after="120" w:line="240" w:lineRule="auto"/>
              <w:rPr>
                <w:rFonts w:eastAsiaTheme="minorHAnsi"/>
                <w:noProof/>
              </w:rPr>
            </w:pPr>
            <w:r>
              <w:rPr>
                <w:noProof/>
              </w:rPr>
              <w:t>Dispoziție din modificările legislative care indică intrarea în vigoare</w:t>
            </w:r>
          </w:p>
        </w:tc>
        <w:tc>
          <w:tcPr>
            <w:tcW w:w="1134" w:type="dxa"/>
            <w:tcBorders>
              <w:top w:val="nil"/>
              <w:left w:val="nil"/>
              <w:bottom w:val="single" w:sz="4" w:space="0" w:color="auto"/>
              <w:right w:val="single" w:sz="4" w:space="0" w:color="auto"/>
            </w:tcBorders>
            <w:shd w:val="clear" w:color="auto" w:fill="C6EFCE"/>
            <w:noWrap/>
          </w:tcPr>
          <w:p w14:paraId="4D625A4F"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512F7079"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23FAC1C1"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5E7BCE3" w14:textId="5A631C1E"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6463E04" w14:textId="760C4845"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84B29AA" w14:textId="77777777" w:rsidR="00702291" w:rsidRDefault="00712B31">
            <w:pPr>
              <w:pStyle w:val="P68B1DB1-Normal32"/>
              <w:spacing w:after="120" w:line="240" w:lineRule="auto"/>
              <w:ind w:left="52"/>
              <w:textAlignment w:val="baseline"/>
              <w:rPr>
                <w:rFonts w:eastAsia="Times New Roman"/>
                <w:noProof/>
              </w:rPr>
            </w:pPr>
            <w:r>
              <w:rPr>
                <w:noProof/>
              </w:rPr>
              <w:t>Intrarea în vigoare a modificărilor legislative care prevăd:</w:t>
            </w:r>
          </w:p>
          <w:p w14:paraId="168A1CBA" w14:textId="4601DF59" w:rsidR="00702291" w:rsidRDefault="00712B31">
            <w:pPr>
              <w:pStyle w:val="P68B1DB1-Normal32"/>
              <w:spacing w:after="120" w:line="240" w:lineRule="auto"/>
              <w:ind w:left="52"/>
              <w:textAlignment w:val="baseline"/>
              <w:rPr>
                <w:noProof/>
              </w:rPr>
            </w:pPr>
            <w:r>
              <w:rPr>
                <w:noProof/>
              </w:rPr>
              <w:t>(I) desemnarea fundațiilor de gestionare a activelor de interes public care îndeplinesc sarcini publice și a persoanelor juridice înființate sau întreținute de acestea ca autorități contractante în sensul normelor privind achizițiile publice;</w:t>
            </w:r>
          </w:p>
          <w:p w14:paraId="4B7CC75D" w14:textId="77777777" w:rsidR="00702291" w:rsidRDefault="00712B31">
            <w:pPr>
              <w:pStyle w:val="P68B1DB1-Normal32"/>
              <w:spacing w:after="120" w:line="240" w:lineRule="auto"/>
              <w:ind w:left="52"/>
              <w:textAlignment w:val="baseline"/>
              <w:rPr>
                <w:noProof/>
              </w:rPr>
            </w:pPr>
            <w:r>
              <w:rPr>
                <w:noProof/>
              </w:rPr>
              <w:t xml:space="preserve">(II) cerința ca fundațiile de gestionare a activelor de interes public care îndeplinesc sarcini publice și persoanele juridice înființate sau întreținute de acestea să facă obiectul cerințelor privind accesul la informațiile publice; </w:t>
            </w:r>
          </w:p>
          <w:p w14:paraId="0CF912AE" w14:textId="6D8D4268" w:rsidR="00702291" w:rsidRDefault="00712B31">
            <w:pPr>
              <w:pStyle w:val="P68B1DB1-Normal32"/>
              <w:spacing w:after="120" w:line="240" w:lineRule="auto"/>
              <w:ind w:left="52"/>
              <w:textAlignment w:val="baseline"/>
              <w:rPr>
                <w:noProof/>
              </w:rPr>
            </w:pPr>
            <w:r>
              <w:rPr>
                <w:noProof/>
              </w:rPr>
              <w:t>(III) temeiul juridic și obligația pentru eliminarea treptată a fundațiilor de gestionare a activelor de interes public care îndeplinesc sarcini publice și care nu mențin o instituție de învățământ superior în Ungaria; și</w:t>
            </w:r>
          </w:p>
          <w:p w14:paraId="4FC5C1FF" w14:textId="36265AF7" w:rsidR="00702291" w:rsidRDefault="00712B31">
            <w:pPr>
              <w:pStyle w:val="P68B1DB1-Normal32"/>
              <w:spacing w:after="120" w:line="240" w:lineRule="auto"/>
              <w:ind w:left="52"/>
              <w:textAlignment w:val="baseline"/>
              <w:rPr>
                <w:rFonts w:eastAsiaTheme="minorHAnsi"/>
                <w:noProof/>
              </w:rPr>
            </w:pPr>
            <w:r>
              <w:rPr>
                <w:noProof/>
              </w:rPr>
              <w:t>(IV) conformitatea normelor aplicabile tuturor persoanelor care dețin funcții sau sunt angajate de fundații de gestionare a activelor de interes public care îndeplinesc sarcini publice și care mențin instituții de învățământ superior în Ungaria și persoanelor juridice înființate sau menținute de acestea cu dispozițiile articolului 61 din Regulamentul (UE, Euratom) 2024/2509, indiferent de celelalte activități și funcții ale acestora, inclusiv în cadrul guvernului ungar.</w:t>
            </w:r>
          </w:p>
        </w:tc>
      </w:tr>
      <w:tr w:rsidR="00702291" w14:paraId="5CA2AC47"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69BE4CF" w14:textId="7A542FE2" w:rsidR="00702291" w:rsidRDefault="00712B31">
            <w:pPr>
              <w:pStyle w:val="P68B1DB1-Normal32"/>
              <w:spacing w:after="120" w:line="240" w:lineRule="auto"/>
              <w:rPr>
                <w:rFonts w:eastAsiaTheme="minorHAnsi"/>
                <w:noProof/>
              </w:rPr>
            </w:pPr>
            <w:r>
              <w:rPr>
                <w:noProof/>
              </w:rPr>
              <w:t>63</w:t>
            </w:r>
          </w:p>
        </w:tc>
        <w:tc>
          <w:tcPr>
            <w:tcW w:w="1712" w:type="dxa"/>
            <w:tcBorders>
              <w:top w:val="nil"/>
              <w:left w:val="nil"/>
              <w:bottom w:val="single" w:sz="4" w:space="0" w:color="auto"/>
              <w:right w:val="single" w:sz="4" w:space="0" w:color="auto"/>
            </w:tcBorders>
            <w:shd w:val="clear" w:color="auto" w:fill="C6EFCE"/>
            <w:noWrap/>
            <w:vAlign w:val="center"/>
          </w:tcPr>
          <w:p w14:paraId="59477D74" w14:textId="37BE41B4" w:rsidR="00702291" w:rsidRDefault="00712B31">
            <w:pPr>
              <w:pStyle w:val="P68B1DB1-Normal32"/>
              <w:spacing w:after="120" w:line="240" w:lineRule="auto"/>
              <w:ind w:left="52"/>
              <w:rPr>
                <w:noProof/>
              </w:rPr>
            </w:pPr>
            <w:r>
              <w:rPr>
                <w:noProof/>
              </w:rPr>
              <w:t>C8.R7 Creșterea transparenței cheltuielilor publice</w:t>
            </w:r>
          </w:p>
          <w:p w14:paraId="45A59298" w14:textId="77777777" w:rsidR="00702291" w:rsidRDefault="00702291">
            <w:pPr>
              <w:spacing w:after="120" w:line="240" w:lineRule="auto"/>
              <w:rPr>
                <w:rFonts w:ascii="Times New Roman" w:eastAsiaTheme="minorHAns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7BF5B04D" w14:textId="26A4A5BB"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1B796712" w14:textId="1576C191" w:rsidR="00702291" w:rsidRDefault="00712B31">
            <w:pPr>
              <w:pStyle w:val="P68B1DB1-Normal32"/>
              <w:spacing w:after="120" w:line="240" w:lineRule="auto"/>
              <w:rPr>
                <w:rFonts w:eastAsiaTheme="minorHAnsi"/>
                <w:noProof/>
              </w:rPr>
            </w:pPr>
            <w:r>
              <w:rPr>
                <w:noProof/>
              </w:rPr>
              <w:t>Intrarea în vigoare a unei legislații menite să sporească transparența cheltuielilor publice</w:t>
            </w:r>
          </w:p>
        </w:tc>
        <w:tc>
          <w:tcPr>
            <w:tcW w:w="1275" w:type="dxa"/>
            <w:tcBorders>
              <w:top w:val="nil"/>
              <w:left w:val="nil"/>
              <w:bottom w:val="single" w:sz="4" w:space="0" w:color="auto"/>
              <w:right w:val="single" w:sz="4" w:space="0" w:color="auto"/>
            </w:tcBorders>
            <w:shd w:val="clear" w:color="auto" w:fill="C6EFCE"/>
            <w:noWrap/>
            <w:vAlign w:val="center"/>
          </w:tcPr>
          <w:p w14:paraId="1B73E300" w14:textId="07EC87DC" w:rsidR="00702291" w:rsidRDefault="00712B31">
            <w:pPr>
              <w:pStyle w:val="P68B1DB1-Normal32"/>
              <w:spacing w:after="120" w:line="240" w:lineRule="auto"/>
              <w:rPr>
                <w:rFonts w:eastAsiaTheme="minorHAnsi"/>
                <w:noProof/>
              </w:rPr>
            </w:pPr>
            <w:r>
              <w:rPr>
                <w:noProof/>
              </w:rPr>
              <w:t>Dispoziție legală care indică intrarea în vigoare</w:t>
            </w:r>
          </w:p>
        </w:tc>
        <w:tc>
          <w:tcPr>
            <w:tcW w:w="1134" w:type="dxa"/>
            <w:tcBorders>
              <w:top w:val="nil"/>
              <w:left w:val="nil"/>
              <w:bottom w:val="single" w:sz="4" w:space="0" w:color="auto"/>
              <w:right w:val="single" w:sz="4" w:space="0" w:color="auto"/>
            </w:tcBorders>
            <w:shd w:val="clear" w:color="auto" w:fill="C6EFCE"/>
            <w:noWrap/>
          </w:tcPr>
          <w:p w14:paraId="47D83916"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4D12E2C6"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6892A157"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C447785" w14:textId="0E6CF105"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49AA1F41" w14:textId="56F0FD4E"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3E89A271" w14:textId="39D1FC49" w:rsidR="00702291" w:rsidRDefault="00712B31">
            <w:pPr>
              <w:pStyle w:val="P68B1DB1-Normal32"/>
              <w:spacing w:after="120" w:line="240" w:lineRule="auto"/>
              <w:ind w:left="52"/>
              <w:textAlignment w:val="baseline"/>
              <w:rPr>
                <w:noProof/>
              </w:rPr>
            </w:pPr>
            <w:r>
              <w:rPr>
                <w:noProof/>
              </w:rPr>
              <w:t>Intrarea în vigoare a unei legislații care prevede o obligație pentru organismele care îndeplinesc sarcini publice, astfel cum sunt definite în secțiunea 37/C din Legea CXII din 2011 (care acoperă cel puțin persoanele juridice incluse în registrul trezoreriei, operatorii economici publici și fundațiile înființate de aceștia; fundațiile de gestionare a activelor înființate de stat, fundațiile de gestionare a activelor de interes public care îndeplinesc sarcini publice și persoanele juridice înființate sau întreținute de acestea, Rețeaua de cercetare HUN-REN) pentru a publica în mod proactiv un set predefinit de informații privind utilizarea fondurilor publice într-un registru central. Informațiile sunt puse la dispoziție într-un registru central, care furnizează, de asemenea, informații privind subcontractanții și include, după caz, identificatori unici ai contractelor în sistemul electronic de achiziții publice (EPS).</w:t>
            </w:r>
          </w:p>
          <w:p w14:paraId="4129964D" w14:textId="47C83D8F" w:rsidR="00702291" w:rsidRDefault="00712B31">
            <w:pPr>
              <w:pStyle w:val="P68B1DB1-Normal32"/>
              <w:spacing w:after="120" w:line="240" w:lineRule="auto"/>
              <w:ind w:left="52"/>
              <w:textAlignment w:val="baseline"/>
              <w:rPr>
                <w:noProof/>
              </w:rPr>
            </w:pPr>
            <w:r>
              <w:rPr>
                <w:noProof/>
              </w:rPr>
              <w:t>Legislația prevede că setul minim de date care urmează să fie încărcate în registrul central trebuie să includă:</w:t>
            </w:r>
          </w:p>
          <w:p w14:paraId="7377EC39" w14:textId="77777777" w:rsidR="00702291" w:rsidRDefault="00712B31">
            <w:pPr>
              <w:pStyle w:val="P68B1DB1-Normal32"/>
              <w:spacing w:after="120" w:line="240" w:lineRule="auto"/>
              <w:ind w:left="52"/>
              <w:textAlignment w:val="baseline"/>
              <w:rPr>
                <w:noProof/>
              </w:rPr>
            </w:pPr>
            <w:r>
              <w:rPr>
                <w:noProof/>
              </w:rPr>
              <w:t>(I) toate datele a căror publicare este deja obligatorie din motive de transparență, inclusiv datele publicate în registrul de transparență al ajutoarelor de stat;</w:t>
            </w:r>
          </w:p>
          <w:p w14:paraId="5AAE4842" w14:textId="77777777" w:rsidR="00702291" w:rsidRDefault="00712B31">
            <w:pPr>
              <w:pStyle w:val="P68B1DB1-Normal32"/>
              <w:spacing w:after="120" w:line="240" w:lineRule="auto"/>
              <w:ind w:left="52"/>
              <w:textAlignment w:val="baseline"/>
              <w:rPr>
                <w:noProof/>
              </w:rPr>
            </w:pPr>
            <w:r>
              <w:rPr>
                <w:noProof/>
              </w:rPr>
              <w:t xml:space="preserve">(II) forma cheltuielilor publice, inclusiv temeiul juridic al acestora; </w:t>
            </w:r>
          </w:p>
          <w:p w14:paraId="6B16E810" w14:textId="77777777" w:rsidR="00702291" w:rsidRDefault="00712B31">
            <w:pPr>
              <w:pStyle w:val="P68B1DB1-Normal32"/>
              <w:spacing w:after="120" w:line="240" w:lineRule="auto"/>
              <w:ind w:left="52"/>
              <w:textAlignment w:val="baseline"/>
              <w:rPr>
                <w:noProof/>
              </w:rPr>
            </w:pPr>
            <w:r>
              <w:rPr>
                <w:noProof/>
              </w:rPr>
              <w:t xml:space="preserve">(III) denumirea juridică completă a destinatarului (în cazul persoanelor juridice) sau prenumele și numele destinatarului (în cazul persoanelor fizice); </w:t>
            </w:r>
          </w:p>
          <w:p w14:paraId="68D190B7" w14:textId="77777777" w:rsidR="00702291" w:rsidRDefault="00712B31">
            <w:pPr>
              <w:pStyle w:val="P68B1DB1-Normal32"/>
              <w:spacing w:after="120" w:line="240" w:lineRule="auto"/>
              <w:ind w:left="52"/>
              <w:textAlignment w:val="baseline"/>
              <w:rPr>
                <w:noProof/>
              </w:rPr>
            </w:pPr>
            <w:r>
              <w:rPr>
                <w:noProof/>
              </w:rPr>
              <w:t xml:space="preserve">(IV) valoarea cheltuielilor publice; </w:t>
            </w:r>
          </w:p>
          <w:p w14:paraId="4AA9B3B1" w14:textId="77777777" w:rsidR="00702291" w:rsidRDefault="00712B31">
            <w:pPr>
              <w:pStyle w:val="P68B1DB1-Normal32"/>
              <w:spacing w:after="120" w:line="240" w:lineRule="auto"/>
              <w:ind w:left="52"/>
              <w:textAlignment w:val="baseline"/>
              <w:rPr>
                <w:noProof/>
              </w:rPr>
            </w:pPr>
            <w:r>
              <w:rPr>
                <w:noProof/>
              </w:rPr>
              <w:t xml:space="preserve">(V) dacă destinatarul este o persoană fizică sau juridică; </w:t>
            </w:r>
          </w:p>
          <w:p w14:paraId="6B5F66C3" w14:textId="77777777" w:rsidR="00702291" w:rsidRDefault="00712B31">
            <w:pPr>
              <w:pStyle w:val="P68B1DB1-Normal32"/>
              <w:spacing w:after="120" w:line="240" w:lineRule="auto"/>
              <w:ind w:left="52"/>
              <w:textAlignment w:val="baseline"/>
              <w:rPr>
                <w:noProof/>
              </w:rPr>
            </w:pPr>
            <w:r>
              <w:rPr>
                <w:noProof/>
              </w:rPr>
              <w:t xml:space="preserve">(VI) un identificator unic pentru persoanele juridice (codul de înregistrare în scopuri de TVA sau codul de identificare fiscală, dacă este disponibil, sau un alt identificator unic stabilit la nivel național); </w:t>
            </w:r>
          </w:p>
          <w:p w14:paraId="45F64266" w14:textId="77777777" w:rsidR="00702291" w:rsidRDefault="00712B31">
            <w:pPr>
              <w:pStyle w:val="P68B1DB1-Normal32"/>
              <w:spacing w:after="120" w:line="240" w:lineRule="auto"/>
              <w:ind w:left="52"/>
              <w:textAlignment w:val="baseline"/>
              <w:rPr>
                <w:noProof/>
              </w:rPr>
            </w:pPr>
            <w:r>
              <w:rPr>
                <w:noProof/>
              </w:rPr>
              <w:t xml:space="preserve">(VII) detaliile contractului referitoare la cheltuirea fondurilor publice, inclusiv natura și scopul acestora (tipul de contract utilizat, tipul de procedură de licitație utilizată, valoarea contractului, data semnării, durata contractului, obiectivul care trebuie atins, produsul care trebuie livrat în temeiul contractului); </w:t>
            </w:r>
          </w:p>
          <w:p w14:paraId="135E0AC4" w14:textId="77777777" w:rsidR="00702291" w:rsidRDefault="00712B31">
            <w:pPr>
              <w:pStyle w:val="P68B1DB1-Normal32"/>
              <w:spacing w:after="120" w:line="240" w:lineRule="auto"/>
              <w:ind w:left="52"/>
              <w:textAlignment w:val="baseline"/>
              <w:rPr>
                <w:noProof/>
              </w:rPr>
            </w:pPr>
            <w:r>
              <w:rPr>
                <w:noProof/>
              </w:rPr>
              <w:t xml:space="preserve">(VIII) documentația de licitație referitoare la cheltuirea fondurilor publice, inclusiv natura și scopul acestora (valoarea estimată, tipul de procedură de achiziții publice, data licitației, numărul de oferte depuse, numele ofertanților); </w:t>
            </w:r>
          </w:p>
          <w:p w14:paraId="19CFAE2A" w14:textId="77777777" w:rsidR="00702291" w:rsidRDefault="00712B31">
            <w:pPr>
              <w:pStyle w:val="P68B1DB1-Normal32"/>
              <w:spacing w:after="120" w:line="240" w:lineRule="auto"/>
              <w:ind w:left="52"/>
              <w:textAlignment w:val="baseline"/>
              <w:rPr>
                <w:noProof/>
              </w:rPr>
            </w:pPr>
            <w:r>
              <w:rPr>
                <w:noProof/>
              </w:rPr>
              <w:t xml:space="preserve">(IX) numele prestatorilor de servicii, inclusiv numele subcontractanților, al furnizorilor și al prestatorilor de capacitate, într-un format de text liber pentru datele istorice și într-un format prelucrabil automat pentru viitoarele achiziții publice; </w:t>
            </w:r>
          </w:p>
          <w:p w14:paraId="4F593422" w14:textId="77777777" w:rsidR="00702291" w:rsidRDefault="00712B31">
            <w:pPr>
              <w:pStyle w:val="P68B1DB1-Normal32"/>
              <w:spacing w:after="120" w:line="240" w:lineRule="auto"/>
              <w:ind w:left="52"/>
              <w:textAlignment w:val="baseline"/>
              <w:rPr>
                <w:noProof/>
              </w:rPr>
            </w:pPr>
            <w:r>
              <w:rPr>
                <w:noProof/>
              </w:rPr>
              <w:t xml:space="preserve">(X) ponderea preconizată a subcontractanților, dacă este disponibilă, atât pentru achizițiile publice trecute, cât și pentru cele viitoare; </w:t>
            </w:r>
          </w:p>
          <w:p w14:paraId="2C31E301" w14:textId="77777777" w:rsidR="00702291" w:rsidRDefault="00712B31">
            <w:pPr>
              <w:pStyle w:val="P68B1DB1-Normal32"/>
              <w:spacing w:after="120" w:line="240" w:lineRule="auto"/>
              <w:ind w:left="52"/>
              <w:textAlignment w:val="baseline"/>
              <w:rPr>
                <w:noProof/>
              </w:rPr>
            </w:pPr>
            <w:r>
              <w:rPr>
                <w:noProof/>
              </w:rPr>
              <w:t xml:space="preserve">(XI) organismul public responsabil; </w:t>
            </w:r>
          </w:p>
          <w:p w14:paraId="10DE715C" w14:textId="67EE63E6" w:rsidR="00702291" w:rsidRDefault="00712B31">
            <w:pPr>
              <w:pStyle w:val="P68B1DB1-Normal32"/>
              <w:spacing w:after="120" w:line="240" w:lineRule="auto"/>
              <w:ind w:left="52"/>
              <w:textAlignment w:val="baseline"/>
              <w:rPr>
                <w:rFonts w:eastAsia="Times New Roman"/>
                <w:noProof/>
              </w:rPr>
            </w:pPr>
            <w:r>
              <w:rPr>
                <w:noProof/>
              </w:rPr>
              <w:t xml:space="preserve">(XII) data la care au fost plătite fondurile. </w:t>
            </w:r>
          </w:p>
          <w:p w14:paraId="40AFA1A6" w14:textId="77777777" w:rsidR="00702291" w:rsidRDefault="00712B31">
            <w:pPr>
              <w:pStyle w:val="P68B1DB1-Normal32"/>
              <w:spacing w:after="120" w:line="240" w:lineRule="auto"/>
              <w:ind w:left="52"/>
              <w:textAlignment w:val="baseline"/>
              <w:rPr>
                <w:rFonts w:eastAsia="Times New Roman"/>
                <w:noProof/>
              </w:rPr>
            </w:pPr>
            <w:r>
              <w:rPr>
                <w:noProof/>
              </w:rPr>
              <w:t xml:space="preserve">Legislația prevede ca informațiile care indică dacă fondurile publice implică (integral sau parțial) sprijin din partea Uniunii să fie, de asemenea, puse la dispoziție în registrul central: a) pentru fondurile publice care depășesc pragul național în materie de achiziții publice și b) pentru procedurile de achiziții care au început după 31 martie 2023, inclusiv pentru procedurile care implică sprijin din partea Uniunii care nu depășesc pragurile naționale în materie de achiziții publice. </w:t>
            </w:r>
          </w:p>
          <w:p w14:paraId="2CD9453B" w14:textId="77777777" w:rsidR="00702291" w:rsidRDefault="00712B31">
            <w:pPr>
              <w:pStyle w:val="P68B1DB1-Normal32"/>
              <w:spacing w:after="120" w:line="240" w:lineRule="auto"/>
              <w:ind w:left="52"/>
              <w:textAlignment w:val="baseline"/>
              <w:rPr>
                <w:rFonts w:eastAsia="Times New Roman"/>
                <w:noProof/>
              </w:rPr>
            </w:pPr>
            <w:r>
              <w:rPr>
                <w:noProof/>
              </w:rPr>
              <w:t>Legislația prevede că seturile de date publicate în registrul central trebuie să fie publicate într-un format deschis, interoperabil și prelucrabil automat, care să permită descărcarea în masă și sortarea, căutarea, extragerea, compararea și reutilizarea datelor. De asemenea, se asigură faptul că accesul la date este furnizat gratuit și fără a fi necesară înregistrarea.</w:t>
            </w:r>
          </w:p>
          <w:p w14:paraId="2641BFCD" w14:textId="3F7B5D4D" w:rsidR="00702291" w:rsidRDefault="00712B31">
            <w:pPr>
              <w:pStyle w:val="P68B1DB1-Normal32"/>
              <w:spacing w:after="120" w:line="240" w:lineRule="auto"/>
              <w:ind w:left="52"/>
              <w:textAlignment w:val="baseline"/>
              <w:rPr>
                <w:rFonts w:eastAsia="Times New Roman"/>
                <w:noProof/>
              </w:rPr>
            </w:pPr>
            <w:r>
              <w:rPr>
                <w:noProof/>
              </w:rPr>
              <w:t>Legislația prevede obligația organismelor de a actualiza datele din registrul central cel puțin o dată la două luni.</w:t>
            </w:r>
          </w:p>
          <w:p w14:paraId="1E7DD6B5" w14:textId="4367ED5F" w:rsidR="00702291" w:rsidRDefault="00712B31">
            <w:pPr>
              <w:pStyle w:val="P68B1DB1-Normal32"/>
              <w:spacing w:after="120" w:line="240" w:lineRule="auto"/>
              <w:ind w:left="52"/>
              <w:textAlignment w:val="baseline"/>
              <w:rPr>
                <w:rFonts w:eastAsiaTheme="minorHAnsi"/>
                <w:noProof/>
              </w:rPr>
            </w:pPr>
            <w:r>
              <w:rPr>
                <w:noProof/>
              </w:rPr>
              <w:t>Legislația impune controlul respectării și al punerii în aplicare a obligațiilor prevăzute de cerințele de mai sus.</w:t>
            </w:r>
          </w:p>
        </w:tc>
      </w:tr>
      <w:tr w:rsidR="00702291" w14:paraId="261F7104"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50A1D72" w14:textId="3CE0CB30" w:rsidR="00702291" w:rsidRDefault="00712B31">
            <w:pPr>
              <w:pStyle w:val="P68B1DB1-Normal32"/>
              <w:spacing w:after="120" w:line="240" w:lineRule="auto"/>
              <w:ind w:left="52"/>
              <w:textAlignment w:val="baseline"/>
              <w:rPr>
                <w:noProof/>
              </w:rPr>
            </w:pPr>
            <w:r>
              <w:rPr>
                <w:noProof/>
              </w:rPr>
              <w:t>64</w:t>
            </w:r>
          </w:p>
          <w:p w14:paraId="13117D50" w14:textId="77777777" w:rsidR="00702291" w:rsidRDefault="00702291">
            <w:pPr>
              <w:spacing w:after="120" w:line="240" w:lineRule="auto"/>
              <w:rPr>
                <w:rFonts w:ascii="Times New Roman" w:eastAsiaTheme="minorHAnsi" w:hAnsi="Times New Roman" w:cs="Times New Roman"/>
                <w:noProof/>
                <w:sz w:val="18"/>
                <w:szCs w:val="18"/>
              </w:rPr>
            </w:pPr>
          </w:p>
        </w:tc>
        <w:tc>
          <w:tcPr>
            <w:tcW w:w="1712" w:type="dxa"/>
            <w:tcBorders>
              <w:top w:val="nil"/>
              <w:left w:val="nil"/>
              <w:bottom w:val="single" w:sz="4" w:space="0" w:color="auto"/>
              <w:right w:val="single" w:sz="4" w:space="0" w:color="auto"/>
            </w:tcBorders>
            <w:shd w:val="clear" w:color="auto" w:fill="C6EFCE"/>
            <w:noWrap/>
            <w:vAlign w:val="center"/>
          </w:tcPr>
          <w:p w14:paraId="21012095" w14:textId="7AB71847" w:rsidR="00702291" w:rsidRDefault="00712B31">
            <w:pPr>
              <w:pStyle w:val="P68B1DB1-Normal32"/>
              <w:spacing w:after="120" w:line="240" w:lineRule="auto"/>
              <w:rPr>
                <w:noProof/>
              </w:rPr>
            </w:pPr>
            <w:r>
              <w:rPr>
                <w:noProof/>
              </w:rPr>
              <w:t>C8.R8 Norme care asigură transparența beneficiarilor reali ai entităților și clarifică utilizarea subvențiilor publice</w:t>
            </w:r>
          </w:p>
        </w:tc>
        <w:tc>
          <w:tcPr>
            <w:tcW w:w="1021" w:type="dxa"/>
            <w:tcBorders>
              <w:top w:val="nil"/>
              <w:left w:val="nil"/>
              <w:bottom w:val="single" w:sz="4" w:space="0" w:color="auto"/>
              <w:right w:val="single" w:sz="4" w:space="0" w:color="auto"/>
            </w:tcBorders>
            <w:shd w:val="clear" w:color="auto" w:fill="C6EFCE"/>
            <w:noWrap/>
            <w:vAlign w:val="center"/>
          </w:tcPr>
          <w:p w14:paraId="434BC8A6" w14:textId="723250AB"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D5D5DF2" w14:textId="12C2145E" w:rsidR="00702291" w:rsidRDefault="00712B31">
            <w:pPr>
              <w:pStyle w:val="P68B1DB1-Normal32"/>
              <w:spacing w:after="120" w:line="240" w:lineRule="auto"/>
              <w:rPr>
                <w:rFonts w:eastAsiaTheme="minorHAnsi"/>
                <w:noProof/>
              </w:rPr>
            </w:pPr>
            <w:r>
              <w:rPr>
                <w:noProof/>
              </w:rPr>
              <w:t xml:space="preserve">Modificări legislative care să asigure transparența datelor persoanelor fizice care sunt beneficiarii reali și legislație care să clarifice sfera funcționarilor publici și a entităților care sunt excluse de la primirea subvențiilor publice </w:t>
            </w:r>
          </w:p>
        </w:tc>
        <w:tc>
          <w:tcPr>
            <w:tcW w:w="1275" w:type="dxa"/>
            <w:tcBorders>
              <w:top w:val="nil"/>
              <w:left w:val="nil"/>
              <w:bottom w:val="single" w:sz="4" w:space="0" w:color="auto"/>
              <w:right w:val="single" w:sz="4" w:space="0" w:color="auto"/>
            </w:tcBorders>
            <w:shd w:val="clear" w:color="auto" w:fill="C6EFCE"/>
            <w:noWrap/>
            <w:vAlign w:val="center"/>
          </w:tcPr>
          <w:p w14:paraId="11E9FE5C" w14:textId="2ECEDBCD" w:rsidR="00702291" w:rsidRDefault="00712B31">
            <w:pPr>
              <w:pStyle w:val="P68B1DB1-Normal32"/>
              <w:spacing w:after="120" w:line="240" w:lineRule="auto"/>
              <w:rPr>
                <w:rFonts w:eastAsiaTheme="minorHAnsi"/>
                <w:noProof/>
              </w:rPr>
            </w:pPr>
            <w:r>
              <w:rPr>
                <w:noProof/>
              </w:rPr>
              <w:t>Dispoziție legală care indică intrarea în vigoare</w:t>
            </w:r>
          </w:p>
        </w:tc>
        <w:tc>
          <w:tcPr>
            <w:tcW w:w="1134" w:type="dxa"/>
            <w:tcBorders>
              <w:top w:val="nil"/>
              <w:left w:val="nil"/>
              <w:bottom w:val="single" w:sz="4" w:space="0" w:color="auto"/>
              <w:right w:val="single" w:sz="4" w:space="0" w:color="auto"/>
            </w:tcBorders>
            <w:shd w:val="clear" w:color="auto" w:fill="C6EFCE"/>
            <w:noWrap/>
          </w:tcPr>
          <w:p w14:paraId="58CFC30C"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357A82F8"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37FF353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4AA5A7F" w14:textId="006BB8F0"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65EA536" w14:textId="4E8C6D6A"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7C4E641B" w14:textId="78070AD1" w:rsidR="00702291" w:rsidRDefault="00712B31">
            <w:pPr>
              <w:pStyle w:val="P68B1DB1-Normal32"/>
              <w:spacing w:after="120" w:line="240" w:lineRule="auto"/>
              <w:ind w:left="52"/>
              <w:textAlignment w:val="baseline"/>
              <w:rPr>
                <w:noProof/>
              </w:rPr>
            </w:pPr>
            <w:r>
              <w:rPr>
                <w:noProof/>
              </w:rPr>
              <w:t xml:space="preserve">Intrarea în vigoare a modificărilor legislative care prevăd transparența datelor privind beneficiarii reali și accesul la acestea. </w:t>
            </w:r>
          </w:p>
          <w:p w14:paraId="66634F86" w14:textId="77777777" w:rsidR="00702291" w:rsidRDefault="00712B31">
            <w:pPr>
              <w:pStyle w:val="P68B1DB1-Normal32"/>
              <w:spacing w:after="120" w:line="240" w:lineRule="auto"/>
              <w:ind w:left="52"/>
              <w:textAlignment w:val="baseline"/>
              <w:rPr>
                <w:noProof/>
              </w:rPr>
            </w:pPr>
            <w:r>
              <w:rPr>
                <w:noProof/>
              </w:rPr>
              <w:t>Modificările legislative respective:</w:t>
            </w:r>
          </w:p>
          <w:p w14:paraId="0AEEC14B"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Revizuirea definiției beneficiarului real pentru a include dispoziții specifice privind fondurile de investiții private</w:t>
            </w:r>
          </w:p>
          <w:p w14:paraId="047A0628"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Să includă beneficiarul real al fondurilor de investiții private/o relație fiduciară de gestionare a activelor pe lista entităților juridice care trebuie să își comunice beneficiarul real;</w:t>
            </w:r>
          </w:p>
          <w:p w14:paraId="584AF0F1"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Includerea jurnaliștilor și a organizațiilor societății civile pe lista persoanelor fizice sau juridice considerate a avea un interes legitim în accesarea datelor privind beneficiarii reali</w:t>
            </w:r>
          </w:p>
          <w:p w14:paraId="4E0A212C"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Să se asigure că organismele responsabile de gestionarea și controlul sprijinului acordat de Uniune în Ungaria au posibilitatea de a colecta informații și de a verifica beneficiarii reali ai fondurilor de investiții în societăți necotate cel puțin începând cu 1 februarie 2020.</w:t>
            </w:r>
          </w:p>
          <w:p w14:paraId="17F4D1C0" w14:textId="75A763BB" w:rsidR="00702291" w:rsidRDefault="00712B31">
            <w:pPr>
              <w:pStyle w:val="P68B1DB1-Normal32"/>
              <w:spacing w:after="120" w:line="240" w:lineRule="auto"/>
              <w:ind w:left="52"/>
              <w:textAlignment w:val="baseline"/>
              <w:rPr>
                <w:rFonts w:eastAsiaTheme="minorHAnsi"/>
                <w:noProof/>
              </w:rPr>
            </w:pPr>
            <w:r>
              <w:rPr>
                <w:noProof/>
              </w:rPr>
              <w:t>Intrarea în vigoare a legislației care prevede clarificarea și extinderea domeniului de aplicare al funcționarilor publici excluși și a domeniului de aplicare al entităților care nu pot solicita sau primi subvenții din fonduri publice.</w:t>
            </w:r>
          </w:p>
        </w:tc>
      </w:tr>
      <w:tr w:rsidR="00702291" w14:paraId="5C25B105"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F10E921" w14:textId="23E10623" w:rsidR="00702291" w:rsidRDefault="00712B31">
            <w:pPr>
              <w:pStyle w:val="P68B1DB1-Normal32"/>
              <w:spacing w:after="120" w:line="240" w:lineRule="auto"/>
              <w:rPr>
                <w:rFonts w:eastAsiaTheme="minorHAnsi"/>
                <w:noProof/>
              </w:rPr>
            </w:pPr>
            <w:r>
              <w:rPr>
                <w:noProof/>
              </w:rPr>
              <w:t>65</w:t>
            </w:r>
          </w:p>
        </w:tc>
        <w:tc>
          <w:tcPr>
            <w:tcW w:w="1712" w:type="dxa"/>
            <w:tcBorders>
              <w:top w:val="nil"/>
              <w:left w:val="nil"/>
              <w:bottom w:val="single" w:sz="4" w:space="0" w:color="auto"/>
              <w:right w:val="single" w:sz="4" w:space="0" w:color="auto"/>
            </w:tcBorders>
            <w:shd w:val="clear" w:color="auto" w:fill="C6EFCE"/>
            <w:noWrap/>
            <w:vAlign w:val="center"/>
          </w:tcPr>
          <w:p w14:paraId="06CC73AE" w14:textId="5B02A1DF" w:rsidR="00702291" w:rsidRDefault="00712B31">
            <w:pPr>
              <w:pStyle w:val="P68B1DB1-Normal32"/>
              <w:spacing w:after="120" w:line="240" w:lineRule="auto"/>
              <w:rPr>
                <w:noProof/>
              </w:rPr>
            </w:pPr>
            <w:r>
              <w:rPr>
                <w:noProof/>
              </w:rPr>
              <w:t>C8.R9 Reducerea ponderii procedurilor de achiziții publice cu ofertă unică</w:t>
            </w:r>
          </w:p>
        </w:tc>
        <w:tc>
          <w:tcPr>
            <w:tcW w:w="1021" w:type="dxa"/>
            <w:tcBorders>
              <w:top w:val="nil"/>
              <w:left w:val="nil"/>
              <w:bottom w:val="single" w:sz="4" w:space="0" w:color="auto"/>
              <w:right w:val="single" w:sz="4" w:space="0" w:color="auto"/>
            </w:tcBorders>
            <w:shd w:val="clear" w:color="auto" w:fill="C6EFCE"/>
            <w:noWrap/>
            <w:vAlign w:val="center"/>
          </w:tcPr>
          <w:p w14:paraId="6C7E81C5" w14:textId="3D3D5824"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C455F2C" w14:textId="1F0CFF22" w:rsidR="00702291" w:rsidRDefault="00712B31">
            <w:pPr>
              <w:pStyle w:val="P68B1DB1-Normal32"/>
              <w:spacing w:after="120" w:line="240" w:lineRule="auto"/>
              <w:rPr>
                <w:rFonts w:eastAsiaTheme="minorHAnsi"/>
                <w:noProof/>
              </w:rPr>
            </w:pPr>
            <w:r>
              <w:rPr>
                <w:noProof/>
              </w:rPr>
              <w:t>Ponderea procedurilor de licitație cu oferte unice pentru achizițiile finanțate din sprijinul din partea Uniunii nu depășește 15 %.</w:t>
            </w:r>
          </w:p>
        </w:tc>
        <w:tc>
          <w:tcPr>
            <w:tcW w:w="1275" w:type="dxa"/>
            <w:tcBorders>
              <w:top w:val="nil"/>
              <w:left w:val="nil"/>
              <w:bottom w:val="single" w:sz="4" w:space="0" w:color="auto"/>
              <w:right w:val="single" w:sz="4" w:space="0" w:color="auto"/>
            </w:tcBorders>
            <w:shd w:val="clear" w:color="auto" w:fill="C6EFCE"/>
            <w:noWrap/>
            <w:vAlign w:val="center"/>
          </w:tcPr>
          <w:p w14:paraId="1C60F786" w14:textId="36771C27" w:rsidR="00702291" w:rsidRDefault="00712B31">
            <w:pPr>
              <w:pStyle w:val="P68B1DB1-Normal32"/>
              <w:spacing w:after="120" w:line="240" w:lineRule="auto"/>
              <w:rPr>
                <w:rFonts w:eastAsiaTheme="minorHAnsi"/>
                <w:noProof/>
              </w:rPr>
            </w:pPr>
            <w:r>
              <w:rPr>
                <w:noProof/>
              </w:rPr>
              <w:t>Ponderea procedurilor de licitație cu oferte unice pentru achizițiile finanțate din Uniune</w:t>
            </w:r>
          </w:p>
        </w:tc>
        <w:tc>
          <w:tcPr>
            <w:tcW w:w="1134" w:type="dxa"/>
            <w:tcBorders>
              <w:top w:val="nil"/>
              <w:left w:val="nil"/>
              <w:bottom w:val="single" w:sz="4" w:space="0" w:color="auto"/>
              <w:right w:val="single" w:sz="4" w:space="0" w:color="auto"/>
            </w:tcBorders>
            <w:shd w:val="clear" w:color="auto" w:fill="C6EFCE"/>
            <w:noWrap/>
            <w:vAlign w:val="center"/>
          </w:tcPr>
          <w:p w14:paraId="4F048FAB" w14:textId="756B32DE"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D08719A" w14:textId="7C08D449"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47FB2305" w14:textId="14E743C8"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87B5D3F" w14:textId="56E91789"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7FB4F8F9" w14:textId="420ADD30"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5CC06669" w14:textId="00283462" w:rsidR="00702291" w:rsidRDefault="00712B31">
            <w:pPr>
              <w:pStyle w:val="P68B1DB1-Normal32"/>
              <w:spacing w:after="120" w:line="240" w:lineRule="auto"/>
              <w:ind w:left="52"/>
              <w:textAlignment w:val="baseline"/>
              <w:rPr>
                <w:rFonts w:eastAsiaTheme="minorHAnsi"/>
                <w:noProof/>
              </w:rPr>
            </w:pPr>
            <w:r>
              <w:rPr>
                <w:noProof/>
              </w:rPr>
              <w:t>Ponderea procedurilor de achiziții publice raportate în instrumentul de raportare a ofertelor unice – care acoperă proceduri de achiziții publice cu o valoare estimată atât peste, cât și sub pragurile UE în materie de achiziții publice – încheiate între 1 ianuarie și 31 decembrie în perioada 2022-2025 și 1 ianuarie și 31 martie în 2026 cu oferte unice pentru achiziții finanțate cel puțin parțial din sprijinul Uniunii este mai mică de 15 %. Un raport de audit cu opinie de audit fără rezerve din partea EUTAF confirmă că ponderea ofertelor unice este mai mică de 15 %.</w:t>
            </w:r>
          </w:p>
        </w:tc>
      </w:tr>
      <w:tr w:rsidR="00702291" w14:paraId="5BCF665A"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D45E344" w14:textId="5D2B5CAB" w:rsidR="00702291" w:rsidRDefault="00712B31">
            <w:pPr>
              <w:pStyle w:val="P68B1DB1-Normal32"/>
              <w:spacing w:after="120" w:line="240" w:lineRule="auto"/>
              <w:rPr>
                <w:rFonts w:eastAsiaTheme="minorHAnsi"/>
                <w:noProof/>
              </w:rPr>
            </w:pPr>
            <w:r>
              <w:rPr>
                <w:noProof/>
              </w:rPr>
              <w:t>66</w:t>
            </w:r>
          </w:p>
        </w:tc>
        <w:tc>
          <w:tcPr>
            <w:tcW w:w="1712" w:type="dxa"/>
            <w:tcBorders>
              <w:top w:val="nil"/>
              <w:left w:val="nil"/>
              <w:bottom w:val="single" w:sz="4" w:space="0" w:color="auto"/>
              <w:right w:val="single" w:sz="4" w:space="0" w:color="auto"/>
            </w:tcBorders>
            <w:shd w:val="clear" w:color="auto" w:fill="C6EFCE"/>
            <w:noWrap/>
            <w:vAlign w:val="center"/>
          </w:tcPr>
          <w:p w14:paraId="3D2C7C73" w14:textId="166C31EE" w:rsidR="00702291" w:rsidRDefault="00712B31">
            <w:pPr>
              <w:pStyle w:val="P68B1DB1-Normal32"/>
              <w:spacing w:after="120" w:line="240" w:lineRule="auto"/>
              <w:rPr>
                <w:noProof/>
              </w:rPr>
            </w:pPr>
            <w:r>
              <w:rPr>
                <w:noProof/>
              </w:rPr>
              <w:t>C8.R9 Reducerea ponderii procedurilor de achiziții publice cu ofertă unică</w:t>
            </w:r>
          </w:p>
        </w:tc>
        <w:tc>
          <w:tcPr>
            <w:tcW w:w="1021" w:type="dxa"/>
            <w:tcBorders>
              <w:top w:val="nil"/>
              <w:left w:val="nil"/>
              <w:bottom w:val="single" w:sz="4" w:space="0" w:color="auto"/>
              <w:right w:val="single" w:sz="4" w:space="0" w:color="auto"/>
            </w:tcBorders>
            <w:shd w:val="clear" w:color="auto" w:fill="C6EFCE"/>
            <w:noWrap/>
            <w:vAlign w:val="center"/>
          </w:tcPr>
          <w:p w14:paraId="6EAF0BF6" w14:textId="3E641DF7"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C6AC172" w14:textId="21DE5C4E" w:rsidR="00702291" w:rsidRDefault="00712B31">
            <w:pPr>
              <w:pStyle w:val="P68B1DB1-Normal32"/>
              <w:spacing w:after="120" w:line="240" w:lineRule="auto"/>
              <w:rPr>
                <w:rFonts w:eastAsiaTheme="minorHAnsi"/>
                <w:noProof/>
              </w:rPr>
            </w:pPr>
            <w:r>
              <w:rPr>
                <w:noProof/>
              </w:rPr>
              <w:t xml:space="preserve">Instituirea unui instrument de monitorizare și raportare („instrumentul de raportare a ofertelor unice”) </w:t>
            </w:r>
          </w:p>
        </w:tc>
        <w:tc>
          <w:tcPr>
            <w:tcW w:w="1275" w:type="dxa"/>
            <w:tcBorders>
              <w:top w:val="nil"/>
              <w:left w:val="nil"/>
              <w:bottom w:val="single" w:sz="4" w:space="0" w:color="auto"/>
              <w:right w:val="single" w:sz="4" w:space="0" w:color="auto"/>
            </w:tcBorders>
            <w:shd w:val="clear" w:color="auto" w:fill="C6EFCE"/>
            <w:noWrap/>
            <w:vAlign w:val="center"/>
          </w:tcPr>
          <w:p w14:paraId="368C0D9A" w14:textId="6A87F26D" w:rsidR="00702291" w:rsidRDefault="00712B31">
            <w:pPr>
              <w:pStyle w:val="P68B1DB1-Normal32"/>
              <w:spacing w:after="120" w:line="240" w:lineRule="auto"/>
              <w:rPr>
                <w:rFonts w:eastAsiaTheme="minorHAnsi"/>
                <w:noProof/>
              </w:rPr>
            </w:pPr>
            <w:r>
              <w:rPr>
                <w:noProof/>
              </w:rPr>
              <w:t xml:space="preserve">Instrumentul de monitorizare și raportare este funcțional </w:t>
            </w:r>
          </w:p>
        </w:tc>
        <w:tc>
          <w:tcPr>
            <w:tcW w:w="1134" w:type="dxa"/>
            <w:tcBorders>
              <w:top w:val="nil"/>
              <w:left w:val="nil"/>
              <w:bottom w:val="single" w:sz="4" w:space="0" w:color="auto"/>
              <w:right w:val="single" w:sz="4" w:space="0" w:color="auto"/>
            </w:tcBorders>
            <w:shd w:val="clear" w:color="auto" w:fill="C6EFCE"/>
            <w:noWrap/>
            <w:vAlign w:val="center"/>
          </w:tcPr>
          <w:p w14:paraId="35F2A8F5"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9489AF1"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16CE485"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9879B68" w14:textId="688888BF"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261BD80" w14:textId="56980DBB"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0157886B" w14:textId="77777777" w:rsidR="00702291" w:rsidRDefault="00712B31">
            <w:pPr>
              <w:pStyle w:val="P68B1DB1-Normal32"/>
              <w:spacing w:after="120" w:line="240" w:lineRule="auto"/>
              <w:ind w:left="52"/>
              <w:textAlignment w:val="baseline"/>
              <w:rPr>
                <w:rFonts w:eastAsia="Times New Roman"/>
                <w:noProof/>
              </w:rPr>
            </w:pPr>
            <w:r>
              <w:rPr>
                <w:noProof/>
              </w:rPr>
              <w:t>Se dezvoltă un instrument pentru monitorizarea și raportarea procedurilor de achiziții publice închise cu oferte unice.</w:t>
            </w:r>
          </w:p>
          <w:p w14:paraId="161933DC" w14:textId="757B2EF7" w:rsidR="00702291" w:rsidRDefault="00712B31">
            <w:pPr>
              <w:pStyle w:val="P68B1DB1-Normal32"/>
              <w:spacing w:after="120" w:line="240" w:lineRule="auto"/>
              <w:ind w:left="52"/>
              <w:textAlignment w:val="baseline"/>
              <w:rPr>
                <w:noProof/>
              </w:rPr>
            </w:pPr>
            <w:r>
              <w:rPr>
                <w:noProof/>
              </w:rPr>
              <w:t>Un raport de audit cu o opinie de audit fără rezerve din partea autorității de audit (EUTAF) confirmă că instrumentul de monitorizare și raportare este funcțional, că funcționalitățile sale sunt în conformitate cu metodologia Tabloului de bord al pieței unice și că datele (cu excepția indicațiilor geografice) din sistemul utilizat în scopul monitorizării și raportării sunt exacte și complete, inclusiv pentru valorile de referință.</w:t>
            </w:r>
          </w:p>
          <w:p w14:paraId="1AAF8D60" w14:textId="5FE7413C" w:rsidR="00702291" w:rsidRDefault="00712B31">
            <w:pPr>
              <w:pStyle w:val="P68B1DB1-Normal32"/>
              <w:spacing w:after="120" w:line="240" w:lineRule="auto"/>
              <w:ind w:left="52"/>
              <w:textAlignment w:val="baseline"/>
              <w:rPr>
                <w:rFonts w:eastAsiaTheme="minorHAnsi"/>
                <w:noProof/>
              </w:rPr>
            </w:pPr>
            <w:r>
              <w:rPr>
                <w:noProof/>
              </w:rPr>
              <w:t>Se asigură faptul că rapoartele scrise bazate pe informațiile din instrumentul de raportare a ofertelor unice sunt pregătite și puse la dispoziția publicului pe site-ul web al Sistemului electronic de achiziții publice (Electronic Public Procurement System – EPS).</w:t>
            </w:r>
          </w:p>
        </w:tc>
      </w:tr>
      <w:tr w:rsidR="00702291" w14:paraId="4BC2DE73"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D68B61A" w14:textId="638EF625" w:rsidR="00702291" w:rsidRDefault="00712B31">
            <w:pPr>
              <w:pStyle w:val="P68B1DB1-Normal32"/>
              <w:spacing w:after="120" w:line="240" w:lineRule="auto"/>
              <w:ind w:left="52"/>
              <w:textAlignment w:val="baseline"/>
              <w:rPr>
                <w:noProof/>
              </w:rPr>
            </w:pPr>
            <w:r>
              <w:rPr>
                <w:noProof/>
              </w:rPr>
              <w:t>67</w:t>
            </w:r>
          </w:p>
          <w:p w14:paraId="751EC647" w14:textId="77777777" w:rsidR="00702291" w:rsidRDefault="00702291">
            <w:pPr>
              <w:spacing w:after="120" w:line="240" w:lineRule="auto"/>
              <w:rPr>
                <w:rFonts w:ascii="Times New Roman" w:eastAsiaTheme="minorHAnsi" w:hAnsi="Times New Roman" w:cs="Times New Roman"/>
                <w:noProof/>
                <w:sz w:val="18"/>
                <w:szCs w:val="18"/>
              </w:rPr>
            </w:pPr>
          </w:p>
        </w:tc>
        <w:tc>
          <w:tcPr>
            <w:tcW w:w="1712" w:type="dxa"/>
            <w:tcBorders>
              <w:top w:val="nil"/>
              <w:left w:val="nil"/>
              <w:bottom w:val="single" w:sz="4" w:space="0" w:color="auto"/>
              <w:right w:val="single" w:sz="4" w:space="0" w:color="auto"/>
            </w:tcBorders>
            <w:shd w:val="clear" w:color="auto" w:fill="C6EFCE"/>
            <w:noWrap/>
            <w:vAlign w:val="center"/>
          </w:tcPr>
          <w:p w14:paraId="38A992E5" w14:textId="77777777" w:rsidR="00702291" w:rsidRDefault="00712B31">
            <w:pPr>
              <w:pStyle w:val="P68B1DB1-Normal32"/>
              <w:spacing w:after="120" w:line="240" w:lineRule="auto"/>
              <w:rPr>
                <w:noProof/>
              </w:rPr>
            </w:pPr>
            <w:r>
              <w:rPr>
                <w:noProof/>
              </w:rPr>
              <w:t xml:space="preserve">C8.R10 Consolidarea integrității, a transparenței și a competitivității pe piața achizițiilor publice </w:t>
            </w:r>
          </w:p>
        </w:tc>
        <w:tc>
          <w:tcPr>
            <w:tcW w:w="1021" w:type="dxa"/>
            <w:tcBorders>
              <w:top w:val="nil"/>
              <w:left w:val="nil"/>
              <w:bottom w:val="single" w:sz="4" w:space="0" w:color="auto"/>
              <w:right w:val="single" w:sz="4" w:space="0" w:color="auto"/>
            </w:tcBorders>
            <w:shd w:val="clear" w:color="auto" w:fill="C6EFCE"/>
            <w:noWrap/>
            <w:vAlign w:val="center"/>
          </w:tcPr>
          <w:p w14:paraId="5C7533D5" w14:textId="77777777"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175247A6" w14:textId="77777777" w:rsidR="00702291" w:rsidRDefault="00712B31">
            <w:pPr>
              <w:pStyle w:val="P68B1DB1-Normal32"/>
              <w:spacing w:after="120" w:line="240" w:lineRule="auto"/>
              <w:rPr>
                <w:rFonts w:eastAsiaTheme="minorHAnsi"/>
                <w:noProof/>
              </w:rPr>
            </w:pPr>
            <w:r>
              <w:rPr>
                <w:noProof/>
              </w:rPr>
              <w:t xml:space="preserve">Act (e) juridic (e) privind achizițiile publice pentru a consolida transparența procedurilor de achiziții publice, a introduce norme de prevenire a corupției </w:t>
            </w:r>
          </w:p>
        </w:tc>
        <w:tc>
          <w:tcPr>
            <w:tcW w:w="1275" w:type="dxa"/>
            <w:tcBorders>
              <w:top w:val="nil"/>
              <w:left w:val="nil"/>
              <w:bottom w:val="single" w:sz="4" w:space="0" w:color="auto"/>
              <w:right w:val="single" w:sz="4" w:space="0" w:color="auto"/>
            </w:tcBorders>
            <w:shd w:val="clear" w:color="auto" w:fill="C6EFCE"/>
            <w:noWrap/>
            <w:vAlign w:val="center"/>
          </w:tcPr>
          <w:p w14:paraId="4A9379E7" w14:textId="77777777" w:rsidR="00702291" w:rsidRDefault="00712B31">
            <w:pPr>
              <w:pStyle w:val="P68B1DB1-Normal27"/>
              <w:spacing w:after="120" w:line="240" w:lineRule="auto"/>
              <w:rPr>
                <w:rFonts w:eastAsiaTheme="minorHAnsi"/>
                <w:noProof/>
              </w:rPr>
            </w:pPr>
            <w:r>
              <w:rPr>
                <w:noProof/>
              </w:rPr>
              <w:t>Dispoziție din actul (actele) juridic (e) care indică intrarea în vigoare</w:t>
            </w:r>
          </w:p>
        </w:tc>
        <w:tc>
          <w:tcPr>
            <w:tcW w:w="1134" w:type="dxa"/>
            <w:tcBorders>
              <w:top w:val="nil"/>
              <w:left w:val="nil"/>
              <w:bottom w:val="single" w:sz="4" w:space="0" w:color="auto"/>
              <w:right w:val="single" w:sz="4" w:space="0" w:color="auto"/>
            </w:tcBorders>
            <w:shd w:val="clear" w:color="auto" w:fill="C6EFCE"/>
            <w:noWrap/>
            <w:vAlign w:val="center"/>
          </w:tcPr>
          <w:p w14:paraId="16B88184"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F4D5C53"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15DBBEE9"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A37B38F" w14:textId="78FF1C81"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5F0304B" w14:textId="77777777"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5A7981B0" w14:textId="77777777" w:rsidR="00702291" w:rsidRDefault="00712B31">
            <w:pPr>
              <w:pStyle w:val="P68B1DB1-Normal32"/>
              <w:spacing w:after="120" w:line="240" w:lineRule="auto"/>
              <w:ind w:left="52"/>
              <w:textAlignment w:val="baseline"/>
              <w:rPr>
                <w:noProof/>
              </w:rPr>
            </w:pPr>
            <w:r>
              <w:rPr>
                <w:noProof/>
              </w:rPr>
              <w:t>Intrarea în vigoare a actului (actelor) juridic (e) privind achizițiile publice pentru</w:t>
            </w:r>
          </w:p>
          <w:p w14:paraId="027131FB"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introducerea definiției „operatorului economic transparent”;</w:t>
            </w:r>
          </w:p>
          <w:p w14:paraId="4B971305"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să excludă operatorii economici de la procedurile de achiziții publice care nu se califică drept „operatori economici transparenți”;</w:t>
            </w:r>
          </w:p>
          <w:p w14:paraId="7DC1806E"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să definească dispoziții privind conflictele de interese în ceea ce privește beneficiarii reali ai ofertanților și rudele acestora;</w:t>
            </w:r>
          </w:p>
          <w:p w14:paraId="0368F619"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introducerea unei obligații pentru autoritățile contractante de a pune la dispoziție documentele achiziției publice (cu excepția formularelor electronice) în mod direct și nerestricționat, gratuit, pe interfața publică a SPE;</w:t>
            </w:r>
          </w:p>
          <w:p w14:paraId="6CB5D38D"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introducerea unei obligații pentru autoritățile contractante de a publica anual date privind executarea contractelor;</w:t>
            </w:r>
          </w:p>
          <w:p w14:paraId="1681CA73"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să introducă, în cazul concesiunilor, obligația de a înregistra în scris și de a publica în documentele achiziției, la începutul procedurii, rezultatele studiului de piață preliminar, calculele rentabilității investiției concesionarului și măsurile luate pentru a asigura concurența;</w:t>
            </w:r>
          </w:p>
          <w:p w14:paraId="0C406BEE" w14:textId="7AF1273E" w:rsidR="00702291" w:rsidRDefault="00712B31">
            <w:pPr>
              <w:pStyle w:val="P68B1DB1-ListParagraph43"/>
              <w:numPr>
                <w:ilvl w:val="0"/>
                <w:numId w:val="155"/>
              </w:numPr>
              <w:spacing w:after="120" w:line="240" w:lineRule="auto"/>
              <w:contextualSpacing w:val="0"/>
              <w:textAlignment w:val="baseline"/>
              <w:rPr>
                <w:noProof/>
              </w:rPr>
            </w:pPr>
            <w:r>
              <w:rPr>
                <w:noProof/>
              </w:rPr>
              <w:t>consideră că o procedură de atribuire a concesiunilor nu are succes dacă a fost depusă o singură ofertă, cu excepția cazului în care autoritatea contractantă demonstrează că lipsa concurenței este o consecință a structurii reale a pieței;</w:t>
            </w:r>
          </w:p>
          <w:p w14:paraId="1E794E3F"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să prevadă posibilitatea explicită ca autoritățile contractante să includă condiții anticorupție legate de executarea unui contract pentru a consolida transparența, responsabilitatea și integritatea;</w:t>
            </w:r>
          </w:p>
          <w:p w14:paraId="2EBB96FD"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să introducă obligația ca autoritățile contractante să stipuleze drept condiție contractuală ca ofertantul câștigător să coopereze pentru a reduce riscurile de infracțiuni de corupție;</w:t>
            </w:r>
          </w:p>
          <w:p w14:paraId="6D9C220D"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să prevadă obligația Comisiei de arbitraj în domeniul achizițiilor publice de a emite un aviz care să stabilească principiile de aplicare a amenzilor;</w:t>
            </w:r>
          </w:p>
          <w:p w14:paraId="19D34B21" w14:textId="77777777" w:rsidR="00702291" w:rsidRDefault="00712B31">
            <w:pPr>
              <w:pStyle w:val="P68B1DB1-ListParagraph43"/>
              <w:numPr>
                <w:ilvl w:val="0"/>
                <w:numId w:val="155"/>
              </w:numPr>
              <w:spacing w:after="120" w:line="240" w:lineRule="auto"/>
              <w:contextualSpacing w:val="0"/>
              <w:textAlignment w:val="baseline"/>
              <w:rPr>
                <w:noProof/>
              </w:rPr>
            </w:pPr>
            <w:r>
              <w:rPr>
                <w:noProof/>
              </w:rPr>
              <w:t>extinderea posibilității Autorității de Integritate de a iniția o cale de atac din oficiu în fața Comisiei de arbitraj în domeniul achizițiilor publice, dincolo de procedurile de achiziții publice legate de fondurile UE;</w:t>
            </w:r>
          </w:p>
          <w:p w14:paraId="59F5F4F2" w14:textId="77777777" w:rsidR="00702291" w:rsidRDefault="00712B31">
            <w:pPr>
              <w:pStyle w:val="P68B1DB1-ListParagraph43"/>
              <w:numPr>
                <w:ilvl w:val="0"/>
                <w:numId w:val="155"/>
              </w:numPr>
              <w:spacing w:after="120" w:line="240" w:lineRule="auto"/>
              <w:contextualSpacing w:val="0"/>
              <w:textAlignment w:val="baseline"/>
              <w:rPr>
                <w:rFonts w:eastAsiaTheme="minorHAnsi"/>
                <w:noProof/>
              </w:rPr>
            </w:pPr>
            <w:r>
              <w:rPr>
                <w:noProof/>
              </w:rPr>
              <w:t>să prevadă că președintele Autorității de Integritate acționează, de asemenea, ca membru ex officio al Consiliului pentru Achiziții Publice.</w:t>
            </w:r>
          </w:p>
        </w:tc>
      </w:tr>
      <w:tr w:rsidR="00702291" w14:paraId="6F4DEAAF"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16EB5D8" w14:textId="7F3D9163" w:rsidR="00702291" w:rsidRDefault="00712B31">
            <w:pPr>
              <w:pStyle w:val="P68B1DB1-Normal32"/>
              <w:spacing w:after="120" w:line="240" w:lineRule="auto"/>
              <w:rPr>
                <w:rFonts w:eastAsiaTheme="minorHAnsi"/>
                <w:noProof/>
              </w:rPr>
            </w:pPr>
            <w:r>
              <w:rPr>
                <w:noProof/>
              </w:rPr>
              <w:t>68</w:t>
            </w:r>
          </w:p>
        </w:tc>
        <w:tc>
          <w:tcPr>
            <w:tcW w:w="1712" w:type="dxa"/>
            <w:tcBorders>
              <w:top w:val="nil"/>
              <w:left w:val="nil"/>
              <w:bottom w:val="single" w:sz="4" w:space="0" w:color="auto"/>
              <w:right w:val="single" w:sz="4" w:space="0" w:color="auto"/>
            </w:tcBorders>
            <w:shd w:val="clear" w:color="auto" w:fill="C6EFCE"/>
            <w:noWrap/>
            <w:vAlign w:val="center"/>
          </w:tcPr>
          <w:p w14:paraId="36D98F6C" w14:textId="0928D233" w:rsidR="00702291" w:rsidRDefault="00712B31">
            <w:pPr>
              <w:pStyle w:val="P68B1DB1-Normal32"/>
              <w:spacing w:after="120" w:line="240" w:lineRule="auto"/>
              <w:ind w:left="52"/>
              <w:rPr>
                <w:noProof/>
              </w:rPr>
            </w:pPr>
            <w:r>
              <w:rPr>
                <w:noProof/>
              </w:rPr>
              <w:t xml:space="preserve">C8.R11 Dezvoltarea sistemului electronic de achiziții publice (EPS) pentru a spori transparența </w:t>
            </w:r>
          </w:p>
          <w:p w14:paraId="1F42FEC8" w14:textId="77777777" w:rsidR="00702291" w:rsidRDefault="00702291">
            <w:pPr>
              <w:spacing w:after="120" w:line="240" w:lineRule="auto"/>
              <w:rPr>
                <w:rFonts w:ascii="Times New Roman" w:eastAsiaTheme="minorHAns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6834F3EE" w14:textId="535FFE05"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527ED0EB" w14:textId="24A0F337" w:rsidR="00702291" w:rsidRDefault="00712B31">
            <w:pPr>
              <w:pStyle w:val="P68B1DB1-Normal32"/>
              <w:spacing w:after="120" w:line="240" w:lineRule="auto"/>
              <w:rPr>
                <w:rFonts w:eastAsiaTheme="minorHAnsi"/>
                <w:noProof/>
              </w:rPr>
            </w:pPr>
            <w:r>
              <w:rPr>
                <w:noProof/>
              </w:rPr>
              <w:t xml:space="preserve">EPS modernizat cu noile funcționalități este accesibil publicului </w:t>
            </w:r>
          </w:p>
        </w:tc>
        <w:tc>
          <w:tcPr>
            <w:tcW w:w="1275" w:type="dxa"/>
            <w:tcBorders>
              <w:top w:val="nil"/>
              <w:left w:val="nil"/>
              <w:bottom w:val="single" w:sz="4" w:space="0" w:color="auto"/>
              <w:right w:val="single" w:sz="4" w:space="0" w:color="auto"/>
            </w:tcBorders>
            <w:shd w:val="clear" w:color="auto" w:fill="C6EFCE"/>
            <w:noWrap/>
            <w:vAlign w:val="center"/>
          </w:tcPr>
          <w:p w14:paraId="6621B0F1" w14:textId="4D9F3FF3" w:rsidR="00702291" w:rsidRDefault="00712B31">
            <w:pPr>
              <w:pStyle w:val="P68B1DB1-Normal32"/>
              <w:spacing w:after="120" w:line="240" w:lineRule="auto"/>
              <w:rPr>
                <w:rFonts w:eastAsiaTheme="minorHAnsi"/>
                <w:noProof/>
              </w:rPr>
            </w:pPr>
            <w:r>
              <w:rPr>
                <w:noProof/>
              </w:rPr>
              <w:t xml:space="preserve">Raport de audit care confirmă funcționarea noilor funcționalități ale EPS. </w:t>
            </w:r>
          </w:p>
        </w:tc>
        <w:tc>
          <w:tcPr>
            <w:tcW w:w="1134" w:type="dxa"/>
            <w:tcBorders>
              <w:top w:val="nil"/>
              <w:left w:val="nil"/>
              <w:bottom w:val="single" w:sz="4" w:space="0" w:color="auto"/>
              <w:right w:val="single" w:sz="4" w:space="0" w:color="auto"/>
            </w:tcBorders>
            <w:shd w:val="clear" w:color="auto" w:fill="C6EFCE"/>
            <w:noWrap/>
            <w:vAlign w:val="center"/>
          </w:tcPr>
          <w:p w14:paraId="358E0B22" w14:textId="7165253E" w:rsidR="00702291" w:rsidRDefault="00712B31">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254DDB50"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6E35C3D"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B565146" w14:textId="0022C6F5"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4978BE59" w14:textId="43A843E0"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6FF79FC" w14:textId="77777777" w:rsidR="00702291" w:rsidRDefault="00712B31">
            <w:pPr>
              <w:pStyle w:val="P68B1DB1-Normal32"/>
              <w:spacing w:after="120" w:line="240" w:lineRule="auto"/>
              <w:ind w:left="52"/>
              <w:textAlignment w:val="baseline"/>
              <w:rPr>
                <w:noProof/>
              </w:rPr>
            </w:pPr>
            <w:r>
              <w:rPr>
                <w:noProof/>
              </w:rPr>
              <w:t>Un raport de audit cu opinie de audit fără rezerve emis de un auditor independent confirmă că:</w:t>
            </w:r>
          </w:p>
          <w:p w14:paraId="71F7B1DA" w14:textId="76B80AAB" w:rsidR="00702291" w:rsidRDefault="00712B31">
            <w:pPr>
              <w:pStyle w:val="P68B1DB1-ListParagraph43"/>
              <w:numPr>
                <w:ilvl w:val="0"/>
                <w:numId w:val="155"/>
              </w:numPr>
              <w:spacing w:after="120" w:line="240" w:lineRule="auto"/>
              <w:contextualSpacing w:val="0"/>
              <w:textAlignment w:val="baseline"/>
              <w:rPr>
                <w:rFonts w:eastAsia="Times New Roman"/>
                <w:noProof/>
              </w:rPr>
            </w:pPr>
            <w:r>
              <w:rPr>
                <w:noProof/>
              </w:rPr>
              <w:t>funcțiile sistemului electronic de achiziții publice (EPS) permit căutarea structurată în datele privind anunțurile de atribuire a contractelor și exportul în masă al tuturor datelor privind anunțurile de atribuire a contractelor publicate în EPS într-un format prelucrabil automat (inclusiv numele fiecărui membru individual al consorțiilor, numele subcontractanților și numerele de identificare ale întreprinderilor, în cazul în care acest lucru a fost furnizat în câmpurile dedicate ale anunțului de atribuire a contractelor) sunt funcționale.</w:t>
            </w:r>
          </w:p>
          <w:p w14:paraId="466EFB52" w14:textId="77777777" w:rsidR="00702291" w:rsidRDefault="00712B31">
            <w:pPr>
              <w:pStyle w:val="P68B1DB1-ListParagraph43"/>
              <w:numPr>
                <w:ilvl w:val="0"/>
                <w:numId w:val="155"/>
              </w:numPr>
              <w:spacing w:after="120" w:line="240" w:lineRule="auto"/>
              <w:contextualSpacing w:val="0"/>
              <w:textAlignment w:val="baseline"/>
              <w:rPr>
                <w:rFonts w:eastAsia="Times New Roman"/>
                <w:noProof/>
              </w:rPr>
            </w:pPr>
            <w:r>
              <w:rPr>
                <w:noProof/>
              </w:rPr>
              <w:t>aceste funcții permit colectarea, filtrarea și compararea datelor între anunțurile de atribuire a contractelor și referitoare la diferite subiecte legate de achizițiile publice care acoperă informații din diferite tipuri de anunțuri de atribuire a contractelor.</w:t>
            </w:r>
          </w:p>
          <w:p w14:paraId="2AAC4DD6" w14:textId="77777777" w:rsidR="00702291" w:rsidRDefault="00712B31">
            <w:pPr>
              <w:pStyle w:val="P68B1DB1-ListParagraph43"/>
              <w:numPr>
                <w:ilvl w:val="0"/>
                <w:numId w:val="155"/>
              </w:numPr>
              <w:spacing w:after="120" w:line="240" w:lineRule="auto"/>
              <w:contextualSpacing w:val="0"/>
              <w:textAlignment w:val="baseline"/>
              <w:rPr>
                <w:rFonts w:eastAsia="Times New Roman"/>
                <w:noProof/>
              </w:rPr>
            </w:pPr>
            <w:r>
              <w:rPr>
                <w:noProof/>
              </w:rPr>
              <w:t xml:space="preserve">în EPS este publicată o bază de date care conține informații privind anunțurile de atribuire a contractelor de achiziții publice publicate în EPS într-o formă structurată, adecvată pentru a fi prelucrată automat. </w:t>
            </w:r>
          </w:p>
          <w:p w14:paraId="2F32C470" w14:textId="45C59547" w:rsidR="00702291" w:rsidRDefault="00712B31">
            <w:pPr>
              <w:pStyle w:val="P68B1DB1-ListParagraph43"/>
              <w:numPr>
                <w:ilvl w:val="0"/>
                <w:numId w:val="155"/>
              </w:numPr>
              <w:spacing w:after="120" w:line="240" w:lineRule="auto"/>
              <w:contextualSpacing w:val="0"/>
              <w:textAlignment w:val="baseline"/>
              <w:rPr>
                <w:rFonts w:eastAsia="Times New Roman"/>
                <w:noProof/>
              </w:rPr>
            </w:pPr>
            <w:r>
              <w:rPr>
                <w:noProof/>
              </w:rPr>
              <w:t xml:space="preserve">operatorii economici din baza de date, inclusiv membrii consorțiilor, pot fi identificați printr-un identificator unic (codul de identificare fiscală, în cazul în care acesta a fost furnizat în câmpurile dedicate din anunțul de atribuire a contractului). </w:t>
            </w:r>
          </w:p>
          <w:p w14:paraId="382B46F5" w14:textId="757E16EF" w:rsidR="00702291" w:rsidRDefault="00712B31">
            <w:pPr>
              <w:pStyle w:val="P68B1DB1-ListParagraph43"/>
              <w:numPr>
                <w:ilvl w:val="0"/>
                <w:numId w:val="155"/>
              </w:numPr>
              <w:spacing w:after="120" w:line="240" w:lineRule="auto"/>
              <w:contextualSpacing w:val="0"/>
              <w:textAlignment w:val="baseline"/>
              <w:rPr>
                <w:rFonts w:eastAsiaTheme="minorHAnsi"/>
                <w:noProof/>
              </w:rPr>
            </w:pPr>
            <w:r>
              <w:rPr>
                <w:noProof/>
              </w:rPr>
              <w:t>baza de date este actualizată periodic și poate fi accesată și descărcată gratuit de oricine de pe site-ul EPS fără înregistrare.</w:t>
            </w:r>
          </w:p>
        </w:tc>
      </w:tr>
      <w:tr w:rsidR="00702291" w14:paraId="67CFCEC2"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ADC8626" w14:textId="330319B1" w:rsidR="00702291" w:rsidRDefault="00712B31">
            <w:pPr>
              <w:pStyle w:val="P68B1DB1-Normal32"/>
              <w:spacing w:after="120" w:line="240" w:lineRule="auto"/>
              <w:rPr>
                <w:rFonts w:eastAsiaTheme="minorHAnsi"/>
                <w:noProof/>
              </w:rPr>
            </w:pPr>
            <w:r>
              <w:rPr>
                <w:noProof/>
              </w:rPr>
              <w:t>69</w:t>
            </w:r>
          </w:p>
        </w:tc>
        <w:tc>
          <w:tcPr>
            <w:tcW w:w="1712" w:type="dxa"/>
            <w:tcBorders>
              <w:top w:val="nil"/>
              <w:left w:val="nil"/>
              <w:bottom w:val="single" w:sz="4" w:space="0" w:color="auto"/>
              <w:right w:val="single" w:sz="4" w:space="0" w:color="auto"/>
            </w:tcBorders>
            <w:shd w:val="clear" w:color="auto" w:fill="C6EFCE"/>
            <w:noWrap/>
            <w:vAlign w:val="center"/>
          </w:tcPr>
          <w:p w14:paraId="29134A34" w14:textId="6B4FA91B" w:rsidR="00702291" w:rsidRDefault="00712B31">
            <w:pPr>
              <w:pStyle w:val="P68B1DB1-Normal32"/>
              <w:spacing w:after="120" w:line="240" w:lineRule="auto"/>
              <w:rPr>
                <w:noProof/>
              </w:rPr>
            </w:pPr>
            <w:r>
              <w:rPr>
                <w:noProof/>
              </w:rPr>
              <w:t>C8.R12 Cadrul de măsurare a performanței pentru achizițiile publice</w:t>
            </w:r>
          </w:p>
        </w:tc>
        <w:tc>
          <w:tcPr>
            <w:tcW w:w="1021" w:type="dxa"/>
            <w:tcBorders>
              <w:top w:val="nil"/>
              <w:left w:val="nil"/>
              <w:bottom w:val="single" w:sz="4" w:space="0" w:color="auto"/>
              <w:right w:val="single" w:sz="4" w:space="0" w:color="auto"/>
            </w:tcBorders>
            <w:shd w:val="clear" w:color="auto" w:fill="C6EFCE"/>
            <w:noWrap/>
            <w:vAlign w:val="center"/>
          </w:tcPr>
          <w:p w14:paraId="64128408" w14:textId="5C6FF60B"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E3EE015" w14:textId="77777777" w:rsidR="00702291" w:rsidRDefault="00712B31">
            <w:pPr>
              <w:pStyle w:val="P68B1DB1-Normal32"/>
              <w:spacing w:after="120" w:line="240" w:lineRule="auto"/>
              <w:ind w:left="52"/>
              <w:textAlignment w:val="baseline"/>
              <w:rPr>
                <w:rFonts w:eastAsia="Times New Roman"/>
                <w:noProof/>
              </w:rPr>
            </w:pPr>
            <w:r>
              <w:rPr>
                <w:noProof/>
              </w:rPr>
              <w:t>Instituirea unui cadru de măsurare a performanței achizițiilor publice</w:t>
            </w:r>
          </w:p>
          <w:p w14:paraId="35600A43" w14:textId="77777777" w:rsidR="00702291" w:rsidRDefault="00702291">
            <w:pPr>
              <w:spacing w:after="120" w:line="240" w:lineRule="auto"/>
              <w:rPr>
                <w:rFonts w:ascii="Times New Roman" w:eastAsiaTheme="minorHAnsi" w:hAnsi="Times New Roman" w:cs="Times New Roman"/>
                <w:noProof/>
                <w:sz w:val="18"/>
                <w:szCs w:val="18"/>
              </w:rPr>
            </w:pPr>
          </w:p>
        </w:tc>
        <w:tc>
          <w:tcPr>
            <w:tcW w:w="1275" w:type="dxa"/>
            <w:tcBorders>
              <w:top w:val="nil"/>
              <w:left w:val="nil"/>
              <w:bottom w:val="single" w:sz="4" w:space="0" w:color="auto"/>
              <w:right w:val="single" w:sz="4" w:space="0" w:color="auto"/>
            </w:tcBorders>
            <w:shd w:val="clear" w:color="auto" w:fill="C6EFCE"/>
            <w:noWrap/>
            <w:vAlign w:val="center"/>
          </w:tcPr>
          <w:p w14:paraId="407680A2" w14:textId="668119EA" w:rsidR="00702291" w:rsidRDefault="00712B31">
            <w:pPr>
              <w:pStyle w:val="P68B1DB1-Normal32"/>
              <w:spacing w:after="120" w:line="240" w:lineRule="auto"/>
              <w:rPr>
                <w:rFonts w:eastAsiaTheme="minorHAnsi"/>
                <w:noProof/>
              </w:rPr>
            </w:pPr>
            <w:r>
              <w:rPr>
                <w:noProof/>
              </w:rPr>
              <w:t xml:space="preserve">Publicarea pe site-ul EPS a unui cadru de măsurare a performanței </w:t>
            </w:r>
          </w:p>
        </w:tc>
        <w:tc>
          <w:tcPr>
            <w:tcW w:w="1134" w:type="dxa"/>
            <w:tcBorders>
              <w:top w:val="nil"/>
              <w:left w:val="nil"/>
              <w:bottom w:val="single" w:sz="4" w:space="0" w:color="auto"/>
              <w:right w:val="single" w:sz="4" w:space="0" w:color="auto"/>
            </w:tcBorders>
            <w:shd w:val="clear" w:color="auto" w:fill="C6EFCE"/>
            <w:noWrap/>
            <w:vAlign w:val="center"/>
          </w:tcPr>
          <w:p w14:paraId="1D31ADF5"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5EB4116"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7D2C9B7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3561AF3" w14:textId="51954C04"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9549E98" w14:textId="03C9BD87"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4981C17A" w14:textId="77777777" w:rsidR="00702291" w:rsidRDefault="00712B31">
            <w:pPr>
              <w:pStyle w:val="P68B1DB1-Normal32"/>
              <w:spacing w:after="120" w:line="240" w:lineRule="auto"/>
              <w:ind w:left="52"/>
              <w:textAlignment w:val="baseline"/>
              <w:rPr>
                <w:rFonts w:eastAsia="Times New Roman"/>
                <w:noProof/>
              </w:rPr>
            </w:pPr>
            <w:r>
              <w:rPr>
                <w:noProof/>
              </w:rPr>
              <w:t>Publicarea pe site-ul EPS a cadrului de măsurare a performanței pentru a evalua (i) eficiența și raportul cost-eficacitate al achizițiilor publice și (ii) posibilele motive și efecte ale concurenței limitate în cadrul procedurilor de achiziții publice, precum și sectoarele cele mai afectate de procedurile de achiziții publice care au ca rezultat oferte unice.</w:t>
            </w:r>
          </w:p>
          <w:p w14:paraId="11E85351" w14:textId="77777777" w:rsidR="00702291" w:rsidRDefault="00712B31">
            <w:pPr>
              <w:pStyle w:val="P68B1DB1-Normal32"/>
              <w:spacing w:after="120" w:line="240" w:lineRule="auto"/>
              <w:ind w:left="51"/>
              <w:textAlignment w:val="baseline"/>
              <w:rPr>
                <w:noProof/>
              </w:rPr>
            </w:pPr>
            <w:r>
              <w:rPr>
                <w:noProof/>
              </w:rPr>
              <w:t>Cadrul de măsurare a performanței permite analiza anuală a:</w:t>
            </w:r>
          </w:p>
          <w:p w14:paraId="18D116C8" w14:textId="77777777" w:rsidR="00702291" w:rsidRDefault="00712B31">
            <w:pPr>
              <w:pStyle w:val="P68B1DB1-Normal32"/>
              <w:spacing w:after="120" w:line="240" w:lineRule="auto"/>
              <w:ind w:left="51"/>
              <w:textAlignment w:val="baseline"/>
              <w:rPr>
                <w:noProof/>
              </w:rPr>
            </w:pPr>
            <w:r>
              <w:rPr>
                <w:noProof/>
              </w:rPr>
              <w:t xml:space="preserve">(I) nivelul procedurilor de achiziții publice nereușite și motivele care stau la baza acestora; </w:t>
            </w:r>
          </w:p>
          <w:p w14:paraId="2863ADA8" w14:textId="77777777" w:rsidR="00702291" w:rsidRDefault="00712B31">
            <w:pPr>
              <w:pStyle w:val="P68B1DB1-Normal32"/>
              <w:spacing w:after="120" w:line="240" w:lineRule="auto"/>
              <w:ind w:left="51"/>
              <w:textAlignment w:val="baseline"/>
              <w:rPr>
                <w:noProof/>
              </w:rPr>
            </w:pPr>
            <w:r>
              <w:rPr>
                <w:noProof/>
              </w:rPr>
              <w:t xml:space="preserve">(II) partea (măsurată atât în raport cu numărul, cât și cu valoarea) din contractele care sunt anulate integral în cursul executării contractului; </w:t>
            </w:r>
          </w:p>
          <w:p w14:paraId="1309C5F3" w14:textId="77777777" w:rsidR="00702291" w:rsidRDefault="00712B31">
            <w:pPr>
              <w:pStyle w:val="P68B1DB1-Normal32"/>
              <w:spacing w:after="120" w:line="240" w:lineRule="auto"/>
              <w:ind w:left="51"/>
              <w:textAlignment w:val="baseline"/>
              <w:rPr>
                <w:noProof/>
              </w:rPr>
            </w:pPr>
            <w:r>
              <w:rPr>
                <w:noProof/>
              </w:rPr>
              <w:t xml:space="preserve">(III) ponderea întârzierilor în executarea contractului; </w:t>
            </w:r>
          </w:p>
          <w:p w14:paraId="78FBAC6D" w14:textId="77777777" w:rsidR="00702291" w:rsidRDefault="00712B31">
            <w:pPr>
              <w:pStyle w:val="P68B1DB1-Normal32"/>
              <w:spacing w:after="120" w:line="240" w:lineRule="auto"/>
              <w:ind w:left="51"/>
              <w:textAlignment w:val="baseline"/>
              <w:rPr>
                <w:noProof/>
              </w:rPr>
            </w:pPr>
            <w:r>
              <w:rPr>
                <w:noProof/>
              </w:rPr>
              <w:t xml:space="preserve">(IV) ponderea depășirilor de costuri (inclusiv proporția și volumul acestora); </w:t>
            </w:r>
          </w:p>
          <w:p w14:paraId="6A12D7CB" w14:textId="77777777" w:rsidR="00702291" w:rsidRDefault="00712B31">
            <w:pPr>
              <w:pStyle w:val="P68B1DB1-Normal32"/>
              <w:spacing w:after="120" w:line="240" w:lineRule="auto"/>
              <w:ind w:left="51"/>
              <w:textAlignment w:val="baseline"/>
              <w:rPr>
                <w:noProof/>
              </w:rPr>
            </w:pPr>
            <w:r>
              <w:rPr>
                <w:noProof/>
              </w:rPr>
              <w:t xml:space="preserve">(V) ponderea contractelor de achiziții publice atribuite în care se ia în considerare în mod explicit întregul ciclu de viață sau calcularea costurilor pe ciclu de viață; </w:t>
            </w:r>
          </w:p>
          <w:p w14:paraId="6FED6CDF" w14:textId="77777777" w:rsidR="00702291" w:rsidRDefault="00712B31">
            <w:pPr>
              <w:pStyle w:val="P68B1DB1-Normal32"/>
              <w:spacing w:after="120" w:line="240" w:lineRule="auto"/>
              <w:ind w:left="51"/>
              <w:textAlignment w:val="baseline"/>
              <w:rPr>
                <w:noProof/>
              </w:rPr>
            </w:pPr>
            <w:r>
              <w:rPr>
                <w:noProof/>
              </w:rPr>
              <w:t xml:space="preserve">(VI) ponderea participării cu succes a microîntreprinderilor și a întreprinderilor mici la achizițiile publice, luată în considerare în toate sectoarele și pentru fiecare sector în cauză (pe baza diviziunilor și grupurilor CPV); </w:t>
            </w:r>
          </w:p>
          <w:p w14:paraId="0E54D72F" w14:textId="027696F5" w:rsidR="00702291" w:rsidRDefault="00712B31">
            <w:pPr>
              <w:pStyle w:val="P68B1DB1-Normal32"/>
              <w:spacing w:after="120" w:line="240" w:lineRule="auto"/>
              <w:ind w:left="51"/>
              <w:textAlignment w:val="baseline"/>
              <w:rPr>
                <w:rFonts w:eastAsiaTheme="minorHAnsi"/>
                <w:noProof/>
              </w:rPr>
            </w:pPr>
            <w:r>
              <w:rPr>
                <w:noProof/>
              </w:rPr>
              <w:t>(VII) proporția, ca valoare, a procedurilor de achiziții publice cu oferte unice și proporția, ca valoare, a procedurilor de achiziții publice cu oferte unice finanțate din resurse naționale și din sprijin din partea Uniunii, separat.</w:t>
            </w:r>
          </w:p>
        </w:tc>
      </w:tr>
      <w:tr w:rsidR="00702291" w14:paraId="116FAC48"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A89F6DE" w14:textId="2833C695" w:rsidR="00702291" w:rsidRDefault="00712B31">
            <w:pPr>
              <w:pStyle w:val="P68B1DB1-Normal32"/>
              <w:spacing w:after="120" w:line="240" w:lineRule="auto"/>
              <w:ind w:left="52"/>
              <w:textAlignment w:val="baseline"/>
              <w:rPr>
                <w:noProof/>
              </w:rPr>
            </w:pPr>
            <w:r>
              <w:rPr>
                <w:noProof/>
              </w:rPr>
              <w:t>70</w:t>
            </w:r>
          </w:p>
          <w:p w14:paraId="7DA368B5" w14:textId="77777777" w:rsidR="00702291" w:rsidRDefault="00702291">
            <w:pPr>
              <w:spacing w:after="120" w:line="240" w:lineRule="auto"/>
              <w:rPr>
                <w:rFonts w:ascii="Times New Roman" w:eastAsiaTheme="minorHAnsi" w:hAnsi="Times New Roman" w:cs="Times New Roman"/>
                <w:noProof/>
                <w:sz w:val="18"/>
                <w:szCs w:val="18"/>
              </w:rPr>
            </w:pPr>
          </w:p>
        </w:tc>
        <w:tc>
          <w:tcPr>
            <w:tcW w:w="1712" w:type="dxa"/>
            <w:tcBorders>
              <w:top w:val="nil"/>
              <w:left w:val="nil"/>
              <w:bottom w:val="single" w:sz="4" w:space="0" w:color="auto"/>
              <w:right w:val="single" w:sz="4" w:space="0" w:color="auto"/>
            </w:tcBorders>
            <w:shd w:val="clear" w:color="auto" w:fill="C6EFCE"/>
            <w:noWrap/>
            <w:vAlign w:val="center"/>
          </w:tcPr>
          <w:p w14:paraId="00F4F0CD" w14:textId="02421332" w:rsidR="00702291" w:rsidRDefault="00712B31">
            <w:pPr>
              <w:pStyle w:val="P68B1DB1-Normal32"/>
              <w:spacing w:after="120" w:line="240" w:lineRule="auto"/>
              <w:rPr>
                <w:noProof/>
              </w:rPr>
            </w:pPr>
            <w:r>
              <w:rPr>
                <w:noProof/>
              </w:rPr>
              <w:t>C8.R13</w:t>
            </w:r>
            <w:r>
              <w:rPr>
                <w:b/>
                <w:noProof/>
              </w:rPr>
              <w:t xml:space="preserve"> </w:t>
            </w:r>
            <w:r>
              <w:rPr>
                <w:noProof/>
              </w:rPr>
              <w:t>Planul de acțiune pentru creșterea nivelului concurenței în domeniul achizițiilor publice</w:t>
            </w:r>
          </w:p>
        </w:tc>
        <w:tc>
          <w:tcPr>
            <w:tcW w:w="1021" w:type="dxa"/>
            <w:tcBorders>
              <w:top w:val="nil"/>
              <w:left w:val="nil"/>
              <w:bottom w:val="single" w:sz="4" w:space="0" w:color="auto"/>
              <w:right w:val="single" w:sz="4" w:space="0" w:color="auto"/>
            </w:tcBorders>
            <w:shd w:val="clear" w:color="auto" w:fill="C6EFCE"/>
            <w:noWrap/>
            <w:vAlign w:val="center"/>
          </w:tcPr>
          <w:p w14:paraId="4FC6A47D" w14:textId="0C536676" w:rsidR="00702291" w:rsidRDefault="00712B31">
            <w:pPr>
              <w:pStyle w:val="P68B1DB1-Normal32"/>
              <w:spacing w:after="120" w:line="240" w:lineRule="auto"/>
              <w:rPr>
                <w:rFonts w:eastAsiaTheme="minorHAnsi"/>
                <w:noProof/>
              </w:rPr>
            </w:pPr>
            <w:r>
              <w:rPr>
                <w:noProof/>
              </w:rPr>
              <w:t xml:space="preserve">Etapă </w:t>
            </w:r>
          </w:p>
        </w:tc>
        <w:tc>
          <w:tcPr>
            <w:tcW w:w="1843" w:type="dxa"/>
            <w:tcBorders>
              <w:top w:val="nil"/>
              <w:left w:val="nil"/>
              <w:bottom w:val="single" w:sz="4" w:space="0" w:color="auto"/>
              <w:right w:val="single" w:sz="4" w:space="0" w:color="auto"/>
            </w:tcBorders>
            <w:shd w:val="clear" w:color="auto" w:fill="C6EFCE"/>
            <w:noWrap/>
            <w:vAlign w:val="center"/>
          </w:tcPr>
          <w:p w14:paraId="768E7D3A" w14:textId="77777777" w:rsidR="00702291" w:rsidRDefault="00712B31">
            <w:pPr>
              <w:pStyle w:val="P68B1DB1-Normal32"/>
              <w:spacing w:after="120" w:line="240" w:lineRule="auto"/>
              <w:ind w:left="52"/>
              <w:textAlignment w:val="baseline"/>
              <w:rPr>
                <w:noProof/>
              </w:rPr>
            </w:pPr>
            <w:r>
              <w:rPr>
                <w:noProof/>
              </w:rPr>
              <w:t xml:space="preserve">Adoptarea unui plan de acțiune pentru creșterea nivelului de concurență în domeniul achizițiilor publice </w:t>
            </w:r>
          </w:p>
          <w:p w14:paraId="12A13C36" w14:textId="77777777" w:rsidR="00702291" w:rsidRDefault="00702291">
            <w:pPr>
              <w:spacing w:after="120" w:line="240" w:lineRule="auto"/>
              <w:rPr>
                <w:rFonts w:ascii="Times New Roman" w:eastAsiaTheme="minorHAnsi" w:hAnsi="Times New Roman" w:cs="Times New Roman"/>
                <w:noProof/>
                <w:sz w:val="18"/>
                <w:szCs w:val="18"/>
              </w:rPr>
            </w:pPr>
          </w:p>
        </w:tc>
        <w:tc>
          <w:tcPr>
            <w:tcW w:w="1275" w:type="dxa"/>
            <w:tcBorders>
              <w:top w:val="nil"/>
              <w:left w:val="nil"/>
              <w:bottom w:val="single" w:sz="4" w:space="0" w:color="auto"/>
              <w:right w:val="single" w:sz="4" w:space="0" w:color="auto"/>
            </w:tcBorders>
            <w:shd w:val="clear" w:color="auto" w:fill="C6EFCE"/>
            <w:noWrap/>
            <w:vAlign w:val="center"/>
          </w:tcPr>
          <w:p w14:paraId="53671B65" w14:textId="77777777" w:rsidR="00702291" w:rsidRDefault="00712B31">
            <w:pPr>
              <w:pStyle w:val="P68B1DB1-Normal32"/>
              <w:spacing w:after="120" w:line="240" w:lineRule="auto"/>
              <w:ind w:left="52"/>
              <w:textAlignment w:val="baseline"/>
              <w:rPr>
                <w:noProof/>
              </w:rPr>
            </w:pPr>
            <w:r>
              <w:rPr>
                <w:noProof/>
              </w:rPr>
              <w:t>Publicarea planului de acțiune adoptat de guvern</w:t>
            </w:r>
          </w:p>
          <w:p w14:paraId="4E8F98AA" w14:textId="77777777" w:rsidR="00702291" w:rsidRDefault="00702291">
            <w:pPr>
              <w:spacing w:after="120" w:line="240" w:lineRule="auto"/>
              <w:rPr>
                <w:rFonts w:ascii="Times New Roman" w:eastAsiaTheme="minorHAns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5E0A2AC"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5CD966C"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7B108379"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390BBC8" w14:textId="679B5659"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280C731" w14:textId="75213B3D"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016EF5CB" w14:textId="2BAC4131" w:rsidR="00702291" w:rsidRDefault="00712B31">
            <w:pPr>
              <w:pStyle w:val="P68B1DB1-Normal32"/>
              <w:spacing w:after="120" w:line="240" w:lineRule="auto"/>
              <w:ind w:left="52"/>
              <w:textAlignment w:val="baseline"/>
              <w:rPr>
                <w:rFonts w:eastAsia="Times New Roman"/>
                <w:noProof/>
              </w:rPr>
            </w:pPr>
            <w:r>
              <w:rPr>
                <w:noProof/>
              </w:rPr>
              <w:t>Guvernul adoptă, publică și revizuiește anual un plan de acțiune care vizează creșterea nivelului concurenței în domeniul achizițiilor publice.</w:t>
            </w:r>
          </w:p>
          <w:p w14:paraId="41666CFB" w14:textId="18D82ACA" w:rsidR="00702291" w:rsidRDefault="00712B31">
            <w:pPr>
              <w:pStyle w:val="P68B1DB1-Normal32"/>
              <w:spacing w:after="120" w:line="240" w:lineRule="auto"/>
              <w:ind w:left="52"/>
              <w:textAlignment w:val="baseline"/>
              <w:rPr>
                <w:rFonts w:eastAsiaTheme="minorHAnsi"/>
                <w:noProof/>
              </w:rPr>
            </w:pPr>
            <w:r>
              <w:rPr>
                <w:noProof/>
              </w:rPr>
              <w:t>Planul de acțiune: (I) stabilește obiectivele care trebuie atinse; (II) să definească măsuri pentru atingerea obiectivelor; (III) să stabilească termene precise pentru punerea în aplicare a măsurilor; (IV) să identifice organismul (organismele) responsabil (e) cu punerea în aplicare a măsurilor; (V) să instituie un mecanism de monitorizare pentru a evalua progresele înregistrate.</w:t>
            </w:r>
          </w:p>
        </w:tc>
      </w:tr>
      <w:tr w:rsidR="00702291" w14:paraId="08CC3BAC"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tcPr>
          <w:p w14:paraId="50C39B43" w14:textId="2CE1F4A7" w:rsidR="00702291" w:rsidRDefault="00712B31">
            <w:pPr>
              <w:pStyle w:val="P68B1DB1-Normal32"/>
              <w:spacing w:after="120" w:line="240" w:lineRule="auto"/>
              <w:rPr>
                <w:rFonts w:eastAsiaTheme="minorHAnsi"/>
                <w:noProof/>
              </w:rPr>
            </w:pPr>
            <w:r>
              <w:rPr>
                <w:noProof/>
              </w:rPr>
              <w:t>71</w:t>
            </w:r>
          </w:p>
        </w:tc>
        <w:tc>
          <w:tcPr>
            <w:tcW w:w="1712" w:type="dxa"/>
            <w:tcBorders>
              <w:top w:val="nil"/>
              <w:left w:val="nil"/>
              <w:bottom w:val="single" w:sz="4" w:space="0" w:color="auto"/>
              <w:right w:val="single" w:sz="4" w:space="0" w:color="auto"/>
            </w:tcBorders>
            <w:shd w:val="clear" w:color="auto" w:fill="C6EFCE"/>
            <w:noWrap/>
          </w:tcPr>
          <w:p w14:paraId="7B283533" w14:textId="414D3F4D" w:rsidR="00702291" w:rsidRDefault="00712B31">
            <w:pPr>
              <w:pStyle w:val="P68B1DB1-Normal32"/>
              <w:spacing w:after="120" w:line="240" w:lineRule="auto"/>
              <w:rPr>
                <w:noProof/>
              </w:rPr>
            </w:pPr>
            <w:r>
              <w:rPr>
                <w:noProof/>
              </w:rPr>
              <w:t>C8.R14 Consolidarea rolului și a competențelor Consiliului Judiciar Național, cu scopul de a contrabalansa competențele președintelui Oficiului Național al Magistraturii </w:t>
            </w:r>
          </w:p>
        </w:tc>
        <w:tc>
          <w:tcPr>
            <w:tcW w:w="1021" w:type="dxa"/>
            <w:tcBorders>
              <w:top w:val="nil"/>
              <w:left w:val="nil"/>
              <w:bottom w:val="single" w:sz="4" w:space="0" w:color="auto"/>
              <w:right w:val="single" w:sz="4" w:space="0" w:color="auto"/>
            </w:tcBorders>
            <w:shd w:val="clear" w:color="auto" w:fill="C6EFCE"/>
            <w:noWrap/>
          </w:tcPr>
          <w:p w14:paraId="508DD9E4" w14:textId="394ECD6A"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tcPr>
          <w:p w14:paraId="6CECDD1D" w14:textId="5DC7038C" w:rsidR="00702291" w:rsidRDefault="00712B31">
            <w:pPr>
              <w:pStyle w:val="P68B1DB1-Normal32"/>
              <w:spacing w:after="120" w:line="240" w:lineRule="auto"/>
              <w:rPr>
                <w:rFonts w:eastAsiaTheme="minorHAnsi"/>
                <w:noProof/>
              </w:rPr>
            </w:pPr>
            <w:r>
              <w:rPr>
                <w:noProof/>
              </w:rPr>
              <w:t xml:space="preserve">Intrarea în vigoare a modificărilor legislative menite să consolideze rolul Consiliului Judiciar Național </w:t>
            </w:r>
          </w:p>
        </w:tc>
        <w:tc>
          <w:tcPr>
            <w:tcW w:w="1275" w:type="dxa"/>
            <w:tcBorders>
              <w:top w:val="nil"/>
              <w:left w:val="nil"/>
              <w:bottom w:val="single" w:sz="4" w:space="0" w:color="auto"/>
              <w:right w:val="single" w:sz="4" w:space="0" w:color="auto"/>
            </w:tcBorders>
            <w:shd w:val="clear" w:color="auto" w:fill="C6EFCE"/>
            <w:noWrap/>
          </w:tcPr>
          <w:p w14:paraId="55EB80D8" w14:textId="584B61C3" w:rsidR="00702291" w:rsidRDefault="00712B31">
            <w:pPr>
              <w:pStyle w:val="P68B1DB1-Normal32"/>
              <w:spacing w:after="120" w:line="240" w:lineRule="auto"/>
              <w:rPr>
                <w:rFonts w:eastAsiaTheme="minorHAnsi"/>
                <w:noProof/>
              </w:rPr>
            </w:pPr>
            <w:r>
              <w:rPr>
                <w:noProof/>
              </w:rPr>
              <w:t>Dispoziție din modificările legislative care indică intrarea lor în vigoare</w:t>
            </w:r>
          </w:p>
        </w:tc>
        <w:tc>
          <w:tcPr>
            <w:tcW w:w="1134" w:type="dxa"/>
            <w:tcBorders>
              <w:top w:val="nil"/>
              <w:left w:val="nil"/>
              <w:bottom w:val="single" w:sz="4" w:space="0" w:color="auto"/>
              <w:right w:val="single" w:sz="4" w:space="0" w:color="auto"/>
            </w:tcBorders>
            <w:shd w:val="clear" w:color="auto" w:fill="C6EFCE"/>
            <w:noWrap/>
          </w:tcPr>
          <w:p w14:paraId="46BABA1B"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04827D45"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1D0C8348"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04151203" w14:textId="0DB1A008"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3760C10D" w14:textId="5D4496F7"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17E0C806" w14:textId="77777777" w:rsidR="00702291" w:rsidRDefault="00712B31">
            <w:pPr>
              <w:pStyle w:val="P68B1DB1-Normal32"/>
              <w:spacing w:after="120" w:line="240" w:lineRule="auto"/>
              <w:ind w:left="52"/>
              <w:textAlignment w:val="baseline"/>
              <w:rPr>
                <w:noProof/>
              </w:rPr>
            </w:pPr>
            <w:r>
              <w:rPr>
                <w:noProof/>
              </w:rPr>
              <w:t xml:space="preserve">Modificările legislative menite să consolideze rolul Consiliului Judiciar Național (CJN) </w:t>
            </w:r>
          </w:p>
          <w:p w14:paraId="622A9696" w14:textId="076F473A" w:rsidR="00702291" w:rsidRDefault="00712B31">
            <w:pPr>
              <w:pStyle w:val="paragraph"/>
              <w:numPr>
                <w:ilvl w:val="0"/>
                <w:numId w:val="20"/>
              </w:numPr>
              <w:spacing w:before="0" w:beforeAutospacing="0" w:after="120" w:afterAutospacing="0"/>
              <w:ind w:left="777" w:hanging="720"/>
              <w:rPr>
                <w:rStyle w:val="normaltextrun"/>
                <w:rFonts w:ascii="Times New Roman" w:hAnsi="Times New Roman" w:cs="Times New Roman"/>
                <w:noProof/>
                <w:sz w:val="18"/>
                <w:szCs w:val="18"/>
              </w:rPr>
            </w:pPr>
            <w:r>
              <w:rPr>
                <w:rStyle w:val="normaltextrun"/>
                <w:rFonts w:ascii="Times New Roman" w:hAnsi="Times New Roman" w:cs="Times New Roman"/>
                <w:noProof/>
                <w:sz w:val="18"/>
                <w:szCs w:val="18"/>
              </w:rPr>
              <w:t xml:space="preserve">să confere competențe sporite CJN prin adoptarea următoarelor dispoziții: </w:t>
            </w:r>
          </w:p>
          <w:p w14:paraId="16DFD867" w14:textId="251097CE" w:rsidR="00702291" w:rsidRDefault="00712B31">
            <w:pPr>
              <w:pStyle w:val="paragraph"/>
              <w:spacing w:before="0" w:beforeAutospacing="0" w:after="120" w:afterAutospacing="0"/>
              <w:ind w:left="36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 xml:space="preserve">În ceea ce privește deciziile individuale, modificările legislative prevăd furnizarea unui aviz obligatoriu motivat de către CJN cu privire la următoarele aspecte: </w:t>
            </w:r>
          </w:p>
          <w:p w14:paraId="247DAE14" w14:textId="77777777" w:rsidR="00702291" w:rsidRDefault="00712B31">
            <w:pPr>
              <w:pStyle w:val="paragraph"/>
              <w:numPr>
                <w:ilvl w:val="0"/>
                <w:numId w:val="21"/>
              </w:numPr>
              <w:spacing w:before="0" w:beforeAutospacing="0" w:after="120" w:afterAutospacing="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 xml:space="preserve">anularea, de către președintele Oficiului Național al Magistraturii (ONM), a procedurilor de numire în funcții judiciare și executive în cadrul instanțelor, în cazul în care există cel puțin un candidat eligibil care a fost sprijinit de judecătorii instanței respective; </w:t>
            </w:r>
          </w:p>
          <w:p w14:paraId="048BF3C3" w14:textId="77777777" w:rsidR="00702291" w:rsidRDefault="00712B31">
            <w:pPr>
              <w:pStyle w:val="paragraph"/>
              <w:numPr>
                <w:ilvl w:val="0"/>
                <w:numId w:val="21"/>
              </w:numPr>
              <w:spacing w:before="0" w:beforeAutospacing="0" w:after="120" w:afterAutospacing="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 xml:space="preserve">transferul judecătorilor, inclusiv detașările, la o altă instanță de către președintele Oficiului Național al Magistraturii, menționat în secțiunile 27, 27/A, 31 și 32 din Legea CLXII din 2011, cu excepția detașărilor la Oficiul Național al Magistraturii; </w:t>
            </w:r>
          </w:p>
          <w:p w14:paraId="08131FB0" w14:textId="77777777" w:rsidR="00702291" w:rsidRDefault="00712B31">
            <w:pPr>
              <w:pStyle w:val="paragraph"/>
              <w:numPr>
                <w:ilvl w:val="0"/>
                <w:numId w:val="21"/>
              </w:numPr>
              <w:spacing w:before="0" w:beforeAutospacing="0" w:after="120" w:afterAutospacing="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 xml:space="preserve">îndepărtarea, de către președintele Oficiului Național al Magistraturii, a judecătorilor din corpul de judecători care soluționează cauze speciale, inclusiv cauze de contencios administrativ, fără consimțământul acestora; </w:t>
            </w:r>
          </w:p>
          <w:p w14:paraId="5C29451E" w14:textId="5B3E2AC4" w:rsidR="00702291" w:rsidRDefault="00712B31">
            <w:pPr>
              <w:pStyle w:val="paragraph"/>
              <w:numPr>
                <w:ilvl w:val="0"/>
                <w:numId w:val="21"/>
              </w:numPr>
              <w:spacing w:before="0" w:beforeAutospacing="0" w:after="120" w:afterAutospacing="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caracterul adecvat al candidaților pentru postul de președinte și vicepreședinte al Oficiului Național al Magistraturii, care poate fi propus de președintele republicii sau, respectiv, de președintele Oficiului Național al Magistraturii; criteriile de adecvare, inclusiv independența, imparțialitatea, probitatea și integritatea, sunt stabilite prin lege. Modificările legislative asigură faptul că acei candidați considerați nepotriviți de către CJN au acces la un control jurisdicțional accelerat în fața instanței competente.</w:t>
            </w:r>
          </w:p>
          <w:p w14:paraId="364D6F0F" w14:textId="77777777" w:rsidR="00702291" w:rsidRDefault="00712B31">
            <w:pPr>
              <w:pStyle w:val="P68B1DB1-paragraph65"/>
              <w:spacing w:before="0" w:beforeAutospacing="0" w:after="120" w:afterAutospacing="0"/>
              <w:ind w:left="360"/>
              <w:textAlignment w:val="baseline"/>
              <w:rPr>
                <w:noProof/>
              </w:rPr>
            </w:pPr>
            <w:r>
              <w:rPr>
                <w:noProof/>
              </w:rPr>
              <w:t>În ceea ce privește reglementările, modificările legislative asigură faptul că CJN emite un aviz obligatoriu motivat cu privire la următoarele aspecte:</w:t>
            </w:r>
          </w:p>
          <w:p w14:paraId="53AA6026" w14:textId="77777777" w:rsidR="00702291" w:rsidRDefault="00712B31">
            <w:pPr>
              <w:pStyle w:val="P68B1DB1-paragraph65"/>
              <w:numPr>
                <w:ilvl w:val="0"/>
                <w:numId w:val="27"/>
              </w:numPr>
              <w:spacing w:before="0" w:beforeAutospacing="0" w:after="120" w:afterAutospacing="0"/>
              <w:textAlignment w:val="baseline"/>
              <w:rPr>
                <w:noProof/>
              </w:rPr>
            </w:pPr>
            <w:r>
              <w:rPr>
                <w:noProof/>
              </w:rPr>
              <w:t xml:space="preserve">sistemul de puncte pentru evaluarea candidaturilor pentru posturile judiciare în cadrul legislativ; </w:t>
            </w:r>
          </w:p>
          <w:p w14:paraId="4A377981" w14:textId="77777777" w:rsidR="00702291" w:rsidRDefault="00712B31">
            <w:pPr>
              <w:pStyle w:val="P68B1DB1-paragraph65"/>
              <w:numPr>
                <w:ilvl w:val="0"/>
                <w:numId w:val="27"/>
              </w:numPr>
              <w:spacing w:before="0" w:beforeAutospacing="0" w:after="120" w:afterAutospacing="0"/>
              <w:textAlignment w:val="baseline"/>
              <w:rPr>
                <w:noProof/>
              </w:rPr>
            </w:pPr>
            <w:r>
              <w:rPr>
                <w:noProof/>
              </w:rPr>
              <w:t xml:space="preserve">condițiile detaliate de acordare a primelor și a altor beneficii judecătorilor și cadrelor de conducere ale instanțelor; </w:t>
            </w:r>
          </w:p>
          <w:p w14:paraId="4D3D32B0" w14:textId="77777777" w:rsidR="00702291" w:rsidRDefault="00712B31">
            <w:pPr>
              <w:pStyle w:val="P68B1DB1-paragraph65"/>
              <w:numPr>
                <w:ilvl w:val="0"/>
                <w:numId w:val="27"/>
              </w:numPr>
              <w:spacing w:before="0" w:beforeAutospacing="0" w:after="120" w:afterAutospacing="0"/>
              <w:textAlignment w:val="baseline"/>
              <w:rPr>
                <w:noProof/>
              </w:rPr>
            </w:pPr>
            <w:r>
              <w:rPr>
                <w:noProof/>
              </w:rPr>
              <w:t xml:space="preserve">normele referitoare la sistemul de formare a judecătorilor; </w:t>
            </w:r>
          </w:p>
          <w:p w14:paraId="3FCE6833" w14:textId="77777777" w:rsidR="00702291" w:rsidRDefault="00712B31">
            <w:pPr>
              <w:pStyle w:val="P68B1DB1-paragraph65"/>
              <w:numPr>
                <w:ilvl w:val="0"/>
                <w:numId w:val="27"/>
              </w:numPr>
              <w:spacing w:before="0" w:beforeAutospacing="0" w:after="120" w:afterAutospacing="0"/>
              <w:textAlignment w:val="baseline"/>
              <w:rPr>
                <w:noProof/>
              </w:rPr>
            </w:pPr>
            <w:r>
              <w:rPr>
                <w:noProof/>
              </w:rPr>
              <w:t xml:space="preserve">fișa de date și metodele de evaluare a volumului de muncă al judecătorilor, precum și stabilirea „volumului de muncă național pentru procedurile contencioase și necontencioase, defalcat în funcție de nivelul judiciar și de tipurile de cauze”; </w:t>
            </w:r>
          </w:p>
          <w:p w14:paraId="0D3E36AC" w14:textId="238A1501" w:rsidR="00702291" w:rsidRDefault="00712B31">
            <w:pPr>
              <w:pStyle w:val="P68B1DB1-paragraph65"/>
              <w:numPr>
                <w:ilvl w:val="0"/>
                <w:numId w:val="27"/>
              </w:numPr>
              <w:spacing w:before="0" w:beforeAutospacing="0" w:after="120" w:afterAutospacing="0"/>
              <w:textAlignment w:val="baseline"/>
              <w:rPr>
                <w:noProof/>
              </w:rPr>
            </w:pPr>
            <w:r>
              <w:rPr>
                <w:noProof/>
              </w:rPr>
              <w:t xml:space="preserve">numărul de posturi de judecător în fiecare instanță în cadrul stabilit în bugetul anual, inclusiv în Kúria, și în departamentele acestora; </w:t>
            </w:r>
          </w:p>
          <w:p w14:paraId="4D6A77EF" w14:textId="797B4EC7" w:rsidR="00702291" w:rsidRDefault="00712B31">
            <w:pPr>
              <w:pStyle w:val="P68B1DB1-ListParagraph43"/>
              <w:numPr>
                <w:ilvl w:val="0"/>
                <w:numId w:val="20"/>
              </w:numPr>
              <w:spacing w:after="120" w:line="240" w:lineRule="auto"/>
              <w:contextualSpacing w:val="0"/>
              <w:rPr>
                <w:rFonts w:eastAsia="Times New Roman"/>
                <w:noProof/>
              </w:rPr>
            </w:pPr>
            <w:r>
              <w:rPr>
                <w:noProof/>
              </w:rPr>
              <w:t>stabilirea dreptului CJN de a avea acces la toate documentele, informațiile și datele referitoare la administrarea instanțelor. În plus, modificările legislative prevăd că CJN stabilește structura raportului bianual al președintelui ONM;</w:t>
            </w:r>
          </w:p>
          <w:p w14:paraId="6037BFCA" w14:textId="1F32988E" w:rsidR="00702291" w:rsidRDefault="00712B31">
            <w:pPr>
              <w:pStyle w:val="P68B1DB1-ListParagraph43"/>
              <w:numPr>
                <w:ilvl w:val="0"/>
                <w:numId w:val="20"/>
              </w:numPr>
              <w:spacing w:after="120" w:line="240" w:lineRule="auto"/>
              <w:contextualSpacing w:val="0"/>
              <w:rPr>
                <w:rFonts w:eastAsia="Times New Roman"/>
                <w:noProof/>
              </w:rPr>
            </w:pPr>
            <w:r>
              <w:rPr>
                <w:noProof/>
              </w:rPr>
              <w:t>să confere CJN capacitate juridică și autonomie în ceea ce privește plata bugetului său și să precizeze că președintele ONM, în calitatea sa privind bugetul instanțelor, elaborează o propunere pentru bugetul instanțelor și un raport privind punerea sa în aplicare, astfel cum sunt definite, printre altele, de CJN în ceea ce privește CJN, pe care guvernul îl prezintă parlamentului fără modificări. Modificările legislative prevăd, de asemenea, că, pentru a-și îndeplini sarcinile în cadrul CJN, judecătorii-membri au dreptul de a fi eliberați din funcția de judecător în măsura în care președinții instanțelor regionale (törvényszék) sunt eliberați din funcția de judecător. Modificările legislative prevăd că judecătorii-membri ai CJN nu pot fi realeși decât pentru următorul mandat, că judecătorii-membri ai CJN aleg din rândul lor președintele CJN și că președinții și vicepreședinții de instanță, în calitate de membri ai CJN, nu participă la deliberări și nu votează cu privire la chestiuni legate de activitățile lor administrative;</w:t>
            </w:r>
          </w:p>
          <w:p w14:paraId="199F62A7" w14:textId="79F462C4" w:rsidR="00702291" w:rsidRDefault="00712B31">
            <w:pPr>
              <w:pStyle w:val="P68B1DB1-ListParagraph43"/>
              <w:numPr>
                <w:ilvl w:val="0"/>
                <w:numId w:val="20"/>
              </w:numPr>
              <w:spacing w:after="120" w:line="240" w:lineRule="auto"/>
              <w:contextualSpacing w:val="0"/>
              <w:rPr>
                <w:rFonts w:eastAsia="Times New Roman"/>
                <w:noProof/>
              </w:rPr>
            </w:pPr>
            <w:r>
              <w:rPr>
                <w:noProof/>
              </w:rPr>
              <w:t>să stabilească dreptul CJN de a sesiza instanța competentă și Curtea Constituțională pentru a-și apăra prerogativele și a-și exercita drepturile;</w:t>
            </w:r>
          </w:p>
          <w:p w14:paraId="78FD9FD1" w14:textId="56CBD4C3" w:rsidR="00702291" w:rsidRDefault="00712B31">
            <w:pPr>
              <w:pStyle w:val="P68B1DB1-ListParagraph43"/>
              <w:numPr>
                <w:ilvl w:val="0"/>
                <w:numId w:val="20"/>
              </w:numPr>
              <w:spacing w:after="120" w:line="240" w:lineRule="auto"/>
              <w:contextualSpacing w:val="0"/>
              <w:rPr>
                <w:noProof/>
              </w:rPr>
            </w:pPr>
            <w:r>
              <w:rPr>
                <w:noProof/>
              </w:rPr>
              <w:t>să instituie obligația de a consulta CJN cu privire la propunerile legislative care afectează sistemul judiciar și dreptul de a propune guvernului să inițieze noi acte legislative cu privire la aceleași chestiuni;</w:t>
            </w:r>
          </w:p>
          <w:p w14:paraId="658D2948" w14:textId="77777777" w:rsidR="00702291" w:rsidRDefault="00712B31">
            <w:pPr>
              <w:pStyle w:val="P68B1DB1-ListParagraph43"/>
              <w:numPr>
                <w:ilvl w:val="0"/>
                <w:numId w:val="20"/>
              </w:numPr>
              <w:spacing w:after="120" w:line="240" w:lineRule="auto"/>
              <w:contextualSpacing w:val="0"/>
              <w:rPr>
                <w:noProof/>
              </w:rPr>
            </w:pPr>
            <w:r>
              <w:rPr>
                <w:noProof/>
              </w:rPr>
              <w:t>să stabilească norme nediscreționare privind desemnarea președinților de instanță interimari printr-o ordine prestabilită a pozițiilor în cadrul unei instanțe, după cum urmează: (I) în absența unui președinte de instanță, competențele președintelui sunt exercitate de vicepreședinte; (II) în absența unui vicepreședinte, competențele președintelui sunt exercitate de șeful unui departament de judecători cu cea mai lungă vechime în funcția de judecător; (III) în absența unui șef de departament, competențele președintelui sunt exercitate de președintele completului de judecată cu cea mai lungă vechime în funcția de judecător;</w:t>
            </w:r>
          </w:p>
          <w:p w14:paraId="15DADFE6" w14:textId="37983745" w:rsidR="00702291" w:rsidRDefault="00712B31">
            <w:pPr>
              <w:pStyle w:val="P68B1DB1-ListParagraph43"/>
              <w:numPr>
                <w:ilvl w:val="0"/>
                <w:numId w:val="20"/>
              </w:numPr>
              <w:spacing w:after="120" w:line="240" w:lineRule="auto"/>
              <w:contextualSpacing w:val="0"/>
              <w:rPr>
                <w:noProof/>
              </w:rPr>
            </w:pPr>
            <w:r>
              <w:rPr>
                <w:noProof/>
              </w:rPr>
              <w:t>să interzică reintegrarea, de către președintele Oficiului Național al Magistraturii, a judecătorilor, după detașarea lor, la o instanță superioară celei în fața căreia s-au pronunțat înainte de detașarea lor.</w:t>
            </w:r>
          </w:p>
        </w:tc>
      </w:tr>
      <w:tr w:rsidR="00702291" w14:paraId="0AFEA100"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tcPr>
          <w:p w14:paraId="465DCC39" w14:textId="0FD7439F" w:rsidR="00702291" w:rsidRDefault="00712B31">
            <w:pPr>
              <w:pStyle w:val="P68B1DB1-Normal32"/>
              <w:spacing w:after="120" w:line="240" w:lineRule="auto"/>
              <w:rPr>
                <w:rFonts w:eastAsiaTheme="minorHAnsi"/>
                <w:noProof/>
              </w:rPr>
            </w:pPr>
            <w:r>
              <w:rPr>
                <w:noProof/>
              </w:rPr>
              <w:t>72</w:t>
            </w:r>
          </w:p>
        </w:tc>
        <w:tc>
          <w:tcPr>
            <w:tcW w:w="1712" w:type="dxa"/>
            <w:tcBorders>
              <w:top w:val="nil"/>
              <w:left w:val="nil"/>
              <w:bottom w:val="single" w:sz="4" w:space="0" w:color="auto"/>
              <w:right w:val="single" w:sz="4" w:space="0" w:color="auto"/>
            </w:tcBorders>
            <w:shd w:val="clear" w:color="auto" w:fill="C6EFCE"/>
            <w:noWrap/>
          </w:tcPr>
          <w:p w14:paraId="1770898A" w14:textId="4870378B" w:rsidR="00702291" w:rsidRDefault="00712B31">
            <w:pPr>
              <w:pStyle w:val="P68B1DB1-Normal32"/>
              <w:spacing w:after="120" w:line="240" w:lineRule="auto"/>
              <w:rPr>
                <w:noProof/>
              </w:rPr>
            </w:pPr>
            <w:r>
              <w:rPr>
                <w:noProof/>
              </w:rPr>
              <w:t>C8.R15 Independența judiciară a Curții Supreme (Kúria)</w:t>
            </w:r>
          </w:p>
        </w:tc>
        <w:tc>
          <w:tcPr>
            <w:tcW w:w="1021" w:type="dxa"/>
            <w:tcBorders>
              <w:top w:val="nil"/>
              <w:left w:val="nil"/>
              <w:bottom w:val="single" w:sz="4" w:space="0" w:color="auto"/>
              <w:right w:val="single" w:sz="4" w:space="0" w:color="auto"/>
            </w:tcBorders>
            <w:shd w:val="clear" w:color="auto" w:fill="C6EFCE"/>
            <w:noWrap/>
          </w:tcPr>
          <w:p w14:paraId="53593D03" w14:textId="33B0EBD3"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tcPr>
          <w:p w14:paraId="218679AD" w14:textId="6CBEE289" w:rsidR="00702291" w:rsidRDefault="00712B31">
            <w:pPr>
              <w:pStyle w:val="P68B1DB1-Normal32"/>
              <w:spacing w:after="120" w:line="240" w:lineRule="auto"/>
              <w:rPr>
                <w:noProof/>
              </w:rPr>
            </w:pPr>
            <w:r>
              <w:rPr>
                <w:noProof/>
              </w:rPr>
              <w:t>Intrarea în vigoare a modificărilor privind independența judiciară a Curții Supreme</w:t>
            </w:r>
          </w:p>
        </w:tc>
        <w:tc>
          <w:tcPr>
            <w:tcW w:w="1275" w:type="dxa"/>
            <w:tcBorders>
              <w:top w:val="nil"/>
              <w:left w:val="nil"/>
              <w:bottom w:val="single" w:sz="4" w:space="0" w:color="auto"/>
              <w:right w:val="single" w:sz="4" w:space="0" w:color="auto"/>
            </w:tcBorders>
            <w:shd w:val="clear" w:color="auto" w:fill="C6EFCE"/>
            <w:noWrap/>
          </w:tcPr>
          <w:p w14:paraId="3EF6B6AB" w14:textId="40D00B3F" w:rsidR="00702291" w:rsidRDefault="00712B31">
            <w:pPr>
              <w:pStyle w:val="P68B1DB1-Normal32"/>
              <w:spacing w:after="120" w:line="240" w:lineRule="auto"/>
              <w:rPr>
                <w:rFonts w:eastAsiaTheme="minorHAnsi"/>
                <w:noProof/>
              </w:rPr>
            </w:pPr>
            <w:r>
              <w:rPr>
                <w:noProof/>
              </w:rPr>
              <w:t>Dispoziție din modificările legislative care indică intrarea lor în vigoare</w:t>
            </w:r>
          </w:p>
        </w:tc>
        <w:tc>
          <w:tcPr>
            <w:tcW w:w="1134" w:type="dxa"/>
            <w:tcBorders>
              <w:top w:val="nil"/>
              <w:left w:val="nil"/>
              <w:bottom w:val="single" w:sz="4" w:space="0" w:color="auto"/>
              <w:right w:val="single" w:sz="4" w:space="0" w:color="auto"/>
            </w:tcBorders>
            <w:shd w:val="clear" w:color="auto" w:fill="C6EFCE"/>
            <w:noWrap/>
          </w:tcPr>
          <w:p w14:paraId="19CA8947"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0A012364"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68B76873"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5F2EFBA9" w14:textId="43ABE638"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28797436" w14:textId="15E27A18"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19346EC4" w14:textId="776D4173" w:rsidR="00702291" w:rsidRDefault="00712B31">
            <w:pPr>
              <w:pStyle w:val="P68B1DB1-ListParagraph43"/>
              <w:numPr>
                <w:ilvl w:val="0"/>
                <w:numId w:val="22"/>
              </w:numPr>
              <w:spacing w:after="120" w:line="240" w:lineRule="auto"/>
              <w:contextualSpacing w:val="0"/>
              <w:rPr>
                <w:rFonts w:eastAsia="Times New Roman"/>
                <w:noProof/>
              </w:rPr>
            </w:pPr>
            <w:r>
              <w:rPr>
                <w:noProof/>
              </w:rPr>
              <w:t>Intră în vigoare modificările legislative care modifică normele privind alegerea președintelui Kúria pentru a prevedea următoarele: (I) candidații trebuie să aibă cel puțin cinci ani de experiență ca judecător; președintele Kúria nu poate fi reales; CJN emite un aviz motivat cu caracter obligatoriu cu privire la caracterul adecvat al candidaților pentru funcția de președinte al Kúria, care poate fi propus de președintele republicii. Criteriile de adecvare, inclusiv independența, imparțialitatea, probitatea și integritatea, sunt stabilite prin lege. Modificările legislative prevăd accesul candidaților considerați nepotriviți de către CJN la un control jurisdicțional accelerat în fața instanței competente;</w:t>
            </w:r>
          </w:p>
          <w:p w14:paraId="4A33C49B" w14:textId="45033464" w:rsidR="00702291" w:rsidRDefault="00712B31">
            <w:pPr>
              <w:pStyle w:val="P68B1DB1-ListParagraph43"/>
              <w:numPr>
                <w:ilvl w:val="0"/>
                <w:numId w:val="22"/>
              </w:numPr>
              <w:spacing w:after="120" w:line="240" w:lineRule="auto"/>
              <w:contextualSpacing w:val="0"/>
              <w:rPr>
                <w:rFonts w:eastAsia="Times New Roman"/>
                <w:noProof/>
              </w:rPr>
            </w:pPr>
            <w:r>
              <w:rPr>
                <w:noProof/>
              </w:rPr>
              <w:t>intră în vigoare modificările legislative și alte modificări ale normelor privind sistemul de repartizare a cauzelor al Kúria, care prevăd următoarele: (I) cauzele depuse pe cale electronică primesc un număr de cauză fără intervenție umană; (II) cauzele să fie repartizate camerelor pe baza unor criterii obiective prestabilite; completul de judecată se compune pe baza unui algoritm prevăzut în prealabil; (IV) părțile la procedură pot verifica, pe baza dosarului cauzei, dacă normele privind repartizarea cauzelor au fost aplicate în mod corespunzător; Consiliul Judiciar al Kúria și secțiile de judecători în cauză („kollégium”) emit un aviz obligatoriu cu privire la sistemul de repartizare a cauzelor;</w:t>
            </w:r>
          </w:p>
          <w:p w14:paraId="3F0A4C7E" w14:textId="77777777" w:rsidR="00702291" w:rsidRDefault="00712B31">
            <w:pPr>
              <w:pStyle w:val="P68B1DB1-ListParagraph43"/>
              <w:numPr>
                <w:ilvl w:val="0"/>
                <w:numId w:val="22"/>
              </w:numPr>
              <w:spacing w:after="120" w:line="240" w:lineRule="auto"/>
              <w:contextualSpacing w:val="0"/>
              <w:rPr>
                <w:rFonts w:eastAsia="Times New Roman"/>
                <w:noProof/>
              </w:rPr>
            </w:pPr>
            <w:r>
              <w:rPr>
                <w:noProof/>
              </w:rPr>
              <w:t xml:space="preserve">modificările legislative intră în vigoare pentru modificarea normelor privind funcționarea Kúria prin: </w:t>
            </w:r>
          </w:p>
          <w:p w14:paraId="092563FB" w14:textId="77777777" w:rsidR="00702291" w:rsidRDefault="00712B31">
            <w:pPr>
              <w:pStyle w:val="P68B1DB1-ListParagraph43"/>
              <w:numPr>
                <w:ilvl w:val="0"/>
                <w:numId w:val="23"/>
              </w:numPr>
              <w:spacing w:after="120" w:line="240" w:lineRule="auto"/>
              <w:contextualSpacing w:val="0"/>
              <w:rPr>
                <w:rFonts w:eastAsia="Times New Roman"/>
                <w:noProof/>
              </w:rPr>
            </w:pPr>
            <w:r>
              <w:rPr>
                <w:noProof/>
              </w:rPr>
              <w:t xml:space="preserve">stabilirea unor competențe sporite pentru consiliul judiciar al Kúria și pentru secțiile de judecători în cauză („kollégium”), asigurându-se, în special, că acestea emit un aviz obligatoriu cu privire la </w:t>
            </w:r>
          </w:p>
          <w:p w14:paraId="7A793E5D" w14:textId="77777777" w:rsidR="00702291" w:rsidRDefault="00712B31">
            <w:pPr>
              <w:pStyle w:val="P68B1DB1-ListParagraph43"/>
              <w:numPr>
                <w:ilvl w:val="0"/>
                <w:numId w:val="24"/>
              </w:numPr>
              <w:spacing w:after="120" w:line="240" w:lineRule="auto"/>
              <w:contextualSpacing w:val="0"/>
              <w:rPr>
                <w:rFonts w:eastAsia="Times New Roman"/>
                <w:noProof/>
              </w:rPr>
            </w:pPr>
            <w:r>
              <w:rPr>
                <w:noProof/>
              </w:rPr>
              <w:t>candidații la posturile de președinți și vicepreședinți ai departamentelor judecătorilor, de judecători președinți și de secretar general al Kúria;</w:t>
            </w:r>
          </w:p>
          <w:p w14:paraId="185A801B" w14:textId="77777777" w:rsidR="00702291" w:rsidRDefault="00712B31">
            <w:pPr>
              <w:pStyle w:val="P68B1DB1-ListParagraph43"/>
              <w:numPr>
                <w:ilvl w:val="0"/>
                <w:numId w:val="24"/>
              </w:numPr>
              <w:spacing w:after="120" w:line="240" w:lineRule="auto"/>
              <w:contextualSpacing w:val="0"/>
              <w:rPr>
                <w:rFonts w:eastAsia="Times New Roman"/>
                <w:noProof/>
              </w:rPr>
            </w:pPr>
            <w:r>
              <w:rPr>
                <w:noProof/>
              </w:rPr>
              <w:t>detașări la Kúria;</w:t>
            </w:r>
          </w:p>
          <w:p w14:paraId="62F14B45" w14:textId="77777777" w:rsidR="00702291" w:rsidRDefault="00712B31">
            <w:pPr>
              <w:pStyle w:val="P68B1DB1-ListParagraph43"/>
              <w:numPr>
                <w:ilvl w:val="0"/>
                <w:numId w:val="23"/>
              </w:numPr>
              <w:spacing w:after="120" w:line="240" w:lineRule="auto"/>
              <w:contextualSpacing w:val="0"/>
              <w:rPr>
                <w:rFonts w:eastAsia="Times New Roman"/>
                <w:noProof/>
              </w:rPr>
            </w:pPr>
            <w:r>
              <w:rPr>
                <w:noProof/>
              </w:rPr>
              <w:t>eliminarea posibilității ca membrii Curții Constituționale să devină judecători și apoi să fie numiți în Kúria fără a urma procedura normală de depunere a cererilor;</w:t>
            </w:r>
          </w:p>
          <w:p w14:paraId="599168BF" w14:textId="77777777" w:rsidR="00702291" w:rsidRDefault="00712B31">
            <w:pPr>
              <w:pStyle w:val="P68B1DB1-ListParagraph43"/>
              <w:numPr>
                <w:ilvl w:val="0"/>
                <w:numId w:val="23"/>
              </w:numPr>
              <w:spacing w:after="120" w:line="240" w:lineRule="auto"/>
              <w:contextualSpacing w:val="0"/>
              <w:rPr>
                <w:rFonts w:eastAsia="Times New Roman"/>
                <w:noProof/>
              </w:rPr>
            </w:pPr>
            <w:r>
              <w:rPr>
                <w:noProof/>
              </w:rPr>
              <w:t>asigurarea faptului că CJN emite un aviz motivat cu caracter obligatoriu cu privire la caracterul adecvat al candidaților pentru funcția de vicepreședinte al Kúria care pot fi propuși de președintele Kúria. Criteriile de adecvare, inclusiv independența, imparțialitatea, probitatea și integritatea, sunt stabilite prin lege. Modificările legislative asigură faptul că acei candidați considerați nepotriviți de către CJN au acces la un control jurisdicțional accelerat în fața instanței competente.</w:t>
            </w:r>
          </w:p>
          <w:p w14:paraId="566C1215" w14:textId="645FE39A" w:rsidR="00702291" w:rsidRDefault="00712B31">
            <w:pPr>
              <w:pStyle w:val="P68B1DB1-ListParagraph43"/>
              <w:numPr>
                <w:ilvl w:val="0"/>
                <w:numId w:val="23"/>
              </w:numPr>
              <w:spacing w:after="120" w:line="240" w:lineRule="auto"/>
              <w:contextualSpacing w:val="0"/>
              <w:rPr>
                <w:rFonts w:eastAsia="Times New Roman"/>
                <w:noProof/>
              </w:rPr>
            </w:pPr>
            <w:r>
              <w:rPr>
                <w:noProof/>
              </w:rPr>
              <w:t>asigurarea faptului că competențele consolidate ale CJN menționate la jalonul 71 se aplică și în ceea ce privește președintele Kúria atunci când acționează în calitate de autoritate împuternicită să facă numiri (în conformitate cu Legea CLXII din 2011).</w:t>
            </w:r>
          </w:p>
        </w:tc>
      </w:tr>
      <w:tr w:rsidR="00702291" w14:paraId="2725385D"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tcPr>
          <w:p w14:paraId="53FB8C74" w14:textId="4326219B" w:rsidR="00702291" w:rsidRDefault="00712B31">
            <w:pPr>
              <w:pStyle w:val="P68B1DB1-Normal32"/>
              <w:spacing w:after="120" w:line="240" w:lineRule="auto"/>
              <w:rPr>
                <w:rFonts w:eastAsiaTheme="minorHAnsi"/>
                <w:noProof/>
              </w:rPr>
            </w:pPr>
            <w:r>
              <w:rPr>
                <w:noProof/>
              </w:rPr>
              <w:t>73</w:t>
            </w:r>
          </w:p>
        </w:tc>
        <w:tc>
          <w:tcPr>
            <w:tcW w:w="1712" w:type="dxa"/>
            <w:tcBorders>
              <w:top w:val="nil"/>
              <w:left w:val="nil"/>
              <w:bottom w:val="single" w:sz="4" w:space="0" w:color="auto"/>
              <w:right w:val="single" w:sz="4" w:space="0" w:color="auto"/>
            </w:tcBorders>
            <w:shd w:val="clear" w:color="auto" w:fill="C6EFCE"/>
            <w:noWrap/>
          </w:tcPr>
          <w:p w14:paraId="01E5F357" w14:textId="3BA104F1" w:rsidR="00702291" w:rsidRDefault="00712B31">
            <w:pPr>
              <w:pStyle w:val="P68B1DB1-Normal32"/>
              <w:spacing w:after="120" w:line="240" w:lineRule="auto"/>
              <w:ind w:left="52"/>
              <w:textAlignment w:val="baseline"/>
              <w:rPr>
                <w:rFonts w:eastAsia="Times New Roman"/>
                <w:noProof/>
              </w:rPr>
            </w:pPr>
            <w:r>
              <w:rPr>
                <w:noProof/>
              </w:rPr>
              <w:t>C8.R16: Eliminarea obstacolelor din calea trimiterilor preliminare la Curtea de Justiție a Uniunii Europene</w:t>
            </w:r>
          </w:p>
          <w:p w14:paraId="744811E8" w14:textId="77777777" w:rsidR="00702291" w:rsidRDefault="00702291">
            <w:pPr>
              <w:spacing w:after="120" w:line="240" w:lineRule="auto"/>
              <w:rPr>
                <w:rFonts w:ascii="Times New Roman" w:eastAsiaTheme="minorHAns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tcPr>
          <w:p w14:paraId="0BE3F456" w14:textId="6DB4F89D"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tcPr>
          <w:p w14:paraId="43212EE1" w14:textId="52B29F17" w:rsidR="00702291" w:rsidRDefault="00712B31">
            <w:pPr>
              <w:pStyle w:val="P68B1DB1-Normal32"/>
              <w:spacing w:after="120" w:line="240" w:lineRule="auto"/>
              <w:rPr>
                <w:rFonts w:eastAsiaTheme="minorHAnsi"/>
                <w:noProof/>
              </w:rPr>
            </w:pPr>
            <w:r>
              <w:rPr>
                <w:noProof/>
              </w:rPr>
              <w:t>Intrarea în vigoare a modificărilor legislative menite să elimine obstacolele din calea trimiterilor preliminare la Curtea de Justiție a Uniunii Europene</w:t>
            </w:r>
          </w:p>
        </w:tc>
        <w:tc>
          <w:tcPr>
            <w:tcW w:w="1275" w:type="dxa"/>
            <w:tcBorders>
              <w:top w:val="nil"/>
              <w:left w:val="nil"/>
              <w:bottom w:val="single" w:sz="4" w:space="0" w:color="auto"/>
              <w:right w:val="single" w:sz="4" w:space="0" w:color="auto"/>
            </w:tcBorders>
            <w:shd w:val="clear" w:color="auto" w:fill="C6EFCE"/>
            <w:noWrap/>
          </w:tcPr>
          <w:p w14:paraId="6B104AF2" w14:textId="0ED76352" w:rsidR="00702291" w:rsidRDefault="00712B31">
            <w:pPr>
              <w:pStyle w:val="P68B1DB1-Normal32"/>
              <w:spacing w:after="120" w:line="240" w:lineRule="auto"/>
              <w:rPr>
                <w:rFonts w:eastAsiaTheme="minorHAnsi"/>
                <w:noProof/>
              </w:rPr>
            </w:pPr>
            <w:r>
              <w:rPr>
                <w:noProof/>
              </w:rPr>
              <w:t xml:space="preserve">Dispoziție din modificările legislative care indică intrarea lor în vigoare </w:t>
            </w:r>
          </w:p>
        </w:tc>
        <w:tc>
          <w:tcPr>
            <w:tcW w:w="1134" w:type="dxa"/>
            <w:tcBorders>
              <w:top w:val="nil"/>
              <w:left w:val="nil"/>
              <w:bottom w:val="single" w:sz="4" w:space="0" w:color="auto"/>
              <w:right w:val="single" w:sz="4" w:space="0" w:color="auto"/>
            </w:tcBorders>
            <w:shd w:val="clear" w:color="auto" w:fill="C6EFCE"/>
            <w:noWrap/>
          </w:tcPr>
          <w:p w14:paraId="6B18249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1841A13C"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28D33A90"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4A7A6FE4" w14:textId="4076D9B5"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562365E7" w14:textId="7BF6C257"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279C5A03" w14:textId="77777777" w:rsidR="00702291" w:rsidRDefault="00712B31">
            <w:pPr>
              <w:pStyle w:val="P68B1DB1-Normal32"/>
              <w:spacing w:after="120" w:line="240" w:lineRule="auto"/>
              <w:ind w:left="57"/>
              <w:rPr>
                <w:rFonts w:eastAsia="Times New Roman"/>
                <w:noProof/>
              </w:rPr>
            </w:pPr>
            <w:r>
              <w:rPr>
                <w:noProof/>
              </w:rPr>
              <w:t xml:space="preserve">Modificările legislative intră în vigoare pentru a se asigura că: </w:t>
            </w:r>
          </w:p>
          <w:p w14:paraId="27093439" w14:textId="3435ECF2" w:rsidR="00702291" w:rsidRDefault="00712B31">
            <w:pPr>
              <w:pStyle w:val="P68B1DB1-Normal32"/>
              <w:spacing w:after="120" w:line="240" w:lineRule="auto"/>
              <w:ind w:left="52"/>
              <w:textAlignment w:val="baseline"/>
              <w:rPr>
                <w:rFonts w:eastAsiaTheme="minorHAnsi"/>
                <w:noProof/>
              </w:rPr>
            </w:pPr>
            <w:r>
              <w:rPr>
                <w:noProof/>
              </w:rPr>
              <w:t>(I) Articolul 666 și următoarele din Codul de procedură penală se modifică pentru a elimina posibilitatea ca Kúria să controleze legalitatea deciziei unui judecător de a sesiza Curtea de Justiție a Uniunii Europene cu o trimitere preliminară și (ii) articolul 490 din Codul de procedură penală privind suspendarea procedurii se modifică pentru a elimina orice obstacol în calea efectuării de către o instanță a unei trimiteri preliminare în conformitate cu articolul 267 din TFUE.</w:t>
            </w:r>
          </w:p>
        </w:tc>
      </w:tr>
      <w:tr w:rsidR="00702291" w14:paraId="72363AB5"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tcPr>
          <w:p w14:paraId="03713DD2" w14:textId="0E8569AE" w:rsidR="00702291" w:rsidRDefault="00712B31">
            <w:pPr>
              <w:pStyle w:val="P68B1DB1-Normal32"/>
              <w:spacing w:after="120" w:line="240" w:lineRule="auto"/>
              <w:rPr>
                <w:rFonts w:eastAsiaTheme="minorHAnsi"/>
                <w:noProof/>
              </w:rPr>
            </w:pPr>
            <w:r>
              <w:rPr>
                <w:noProof/>
              </w:rPr>
              <w:t>74</w:t>
            </w:r>
          </w:p>
        </w:tc>
        <w:tc>
          <w:tcPr>
            <w:tcW w:w="1712" w:type="dxa"/>
            <w:tcBorders>
              <w:top w:val="nil"/>
              <w:left w:val="nil"/>
              <w:bottom w:val="single" w:sz="4" w:space="0" w:color="auto"/>
              <w:right w:val="single" w:sz="4" w:space="0" w:color="auto"/>
            </w:tcBorders>
            <w:shd w:val="clear" w:color="auto" w:fill="C6EFCE"/>
            <w:noWrap/>
          </w:tcPr>
          <w:p w14:paraId="2A5D4242" w14:textId="76612B0C" w:rsidR="00702291" w:rsidRDefault="00712B31">
            <w:pPr>
              <w:pStyle w:val="P68B1DB1-Normal32"/>
              <w:spacing w:after="120" w:line="240" w:lineRule="auto"/>
              <w:rPr>
                <w:noProof/>
              </w:rPr>
            </w:pPr>
            <w:r>
              <w:rPr>
                <w:noProof/>
              </w:rPr>
              <w:t>C8.R17 Reforma privind revizuirea hotărârilor definitive de către Curtea Constituțională</w:t>
            </w:r>
          </w:p>
        </w:tc>
        <w:tc>
          <w:tcPr>
            <w:tcW w:w="1021" w:type="dxa"/>
            <w:tcBorders>
              <w:top w:val="nil"/>
              <w:left w:val="nil"/>
              <w:bottom w:val="single" w:sz="4" w:space="0" w:color="auto"/>
              <w:right w:val="single" w:sz="4" w:space="0" w:color="auto"/>
            </w:tcBorders>
            <w:shd w:val="clear" w:color="auto" w:fill="C6EFCE"/>
            <w:noWrap/>
          </w:tcPr>
          <w:p w14:paraId="56C3B4D1" w14:textId="3903F596"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tcPr>
          <w:p w14:paraId="2CFCA3C6" w14:textId="67F14871" w:rsidR="00702291" w:rsidRDefault="00712B31">
            <w:pPr>
              <w:pStyle w:val="P68B1DB1-Normal32"/>
              <w:spacing w:after="120" w:line="240" w:lineRule="auto"/>
              <w:rPr>
                <w:rFonts w:eastAsiaTheme="minorHAnsi"/>
                <w:noProof/>
              </w:rPr>
            </w:pPr>
            <w:r>
              <w:rPr>
                <w:noProof/>
              </w:rPr>
              <w:t>Intrarea în vigoare a modificărilor legislative menite să elimine posibilitatea ca autoritățile publice să conteste deciziile finale în fața Curții Constituționale</w:t>
            </w:r>
          </w:p>
        </w:tc>
        <w:tc>
          <w:tcPr>
            <w:tcW w:w="1275" w:type="dxa"/>
            <w:tcBorders>
              <w:top w:val="nil"/>
              <w:left w:val="nil"/>
              <w:bottom w:val="single" w:sz="4" w:space="0" w:color="auto"/>
              <w:right w:val="single" w:sz="4" w:space="0" w:color="auto"/>
            </w:tcBorders>
            <w:shd w:val="clear" w:color="auto" w:fill="C6EFCE"/>
            <w:noWrap/>
          </w:tcPr>
          <w:p w14:paraId="7323A158" w14:textId="30CD1ECD" w:rsidR="00702291" w:rsidRDefault="00712B31">
            <w:pPr>
              <w:pStyle w:val="P68B1DB1-Normal32"/>
              <w:spacing w:after="120" w:line="240" w:lineRule="auto"/>
              <w:rPr>
                <w:rFonts w:eastAsiaTheme="minorHAnsi"/>
                <w:noProof/>
              </w:rPr>
            </w:pPr>
            <w:r>
              <w:rPr>
                <w:noProof/>
              </w:rPr>
              <w:t xml:space="preserve">Dispoziție din modificările legislative care indică intrarea lor în vigoare </w:t>
            </w:r>
          </w:p>
        </w:tc>
        <w:tc>
          <w:tcPr>
            <w:tcW w:w="1134" w:type="dxa"/>
            <w:tcBorders>
              <w:top w:val="nil"/>
              <w:left w:val="nil"/>
              <w:bottom w:val="single" w:sz="4" w:space="0" w:color="auto"/>
              <w:right w:val="single" w:sz="4" w:space="0" w:color="auto"/>
            </w:tcBorders>
            <w:shd w:val="clear" w:color="auto" w:fill="C6EFCE"/>
            <w:noWrap/>
          </w:tcPr>
          <w:p w14:paraId="38F19293" w14:textId="5A6C286B" w:rsidR="00702291" w:rsidRDefault="00712B31">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2690D092" w14:textId="02576B63" w:rsidR="00702291" w:rsidRDefault="00712B31">
            <w:pPr>
              <w:pStyle w:val="P68B1DB1-Normal32"/>
              <w:spacing w:after="120" w:line="240" w:lineRule="auto"/>
              <w:rPr>
                <w:rFonts w:eastAsia="Calibri"/>
                <w:noProof/>
              </w:rPr>
            </w:pPr>
            <w:r>
              <w:rPr>
                <w:noProof/>
              </w:rPr>
              <w:t xml:space="preserve"> </w:t>
            </w:r>
          </w:p>
        </w:tc>
        <w:tc>
          <w:tcPr>
            <w:tcW w:w="993" w:type="dxa"/>
            <w:tcBorders>
              <w:top w:val="nil"/>
              <w:left w:val="nil"/>
              <w:bottom w:val="single" w:sz="4" w:space="0" w:color="auto"/>
              <w:right w:val="single" w:sz="4" w:space="0" w:color="auto"/>
            </w:tcBorders>
            <w:shd w:val="clear" w:color="auto" w:fill="C6EFCE"/>
            <w:noWrap/>
          </w:tcPr>
          <w:p w14:paraId="1C9E293D" w14:textId="6EBF789F" w:rsidR="00702291" w:rsidRDefault="00712B31">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7AA0C579" w14:textId="2B55212F"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04C4BBA1" w14:textId="3C4FA3EB"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0A5ECEF5" w14:textId="367E91C6" w:rsidR="00702291" w:rsidRDefault="00712B31">
            <w:pPr>
              <w:pStyle w:val="P68B1DB1-Normal32"/>
              <w:spacing w:after="120" w:line="240" w:lineRule="auto"/>
              <w:ind w:left="52"/>
              <w:textAlignment w:val="baseline"/>
              <w:rPr>
                <w:rFonts w:eastAsiaTheme="minorHAnsi"/>
                <w:noProof/>
              </w:rPr>
            </w:pPr>
            <w:r>
              <w:rPr>
                <w:noProof/>
              </w:rPr>
              <w:t>Intră în vigoare modificările legislative care prevăd eliminarea posibilității, introdusă în 2019 prin modificarea secțiunii 27 din Legea CLI din 2011, ca autoritățile publice să conteste în fața Curții Constituționale hotărârile judecătorești definitive.</w:t>
            </w:r>
          </w:p>
        </w:tc>
      </w:tr>
      <w:tr w:rsidR="00702291" w14:paraId="7AFC19C2"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292F3AB" w14:textId="6292BE68" w:rsidR="00702291" w:rsidRDefault="00712B31">
            <w:pPr>
              <w:pStyle w:val="P68B1DB1-Normal32"/>
              <w:spacing w:after="120" w:line="240" w:lineRule="auto"/>
              <w:rPr>
                <w:rFonts w:eastAsiaTheme="minorHAnsi"/>
                <w:noProof/>
              </w:rPr>
            </w:pPr>
            <w:r>
              <w:rPr>
                <w:noProof/>
              </w:rPr>
              <w:t>75</w:t>
            </w:r>
          </w:p>
        </w:tc>
        <w:tc>
          <w:tcPr>
            <w:tcW w:w="1712" w:type="dxa"/>
            <w:tcBorders>
              <w:top w:val="nil"/>
              <w:left w:val="nil"/>
              <w:bottom w:val="single" w:sz="4" w:space="0" w:color="auto"/>
              <w:right w:val="single" w:sz="4" w:space="0" w:color="auto"/>
            </w:tcBorders>
            <w:shd w:val="clear" w:color="auto" w:fill="C6EFCE"/>
            <w:noWrap/>
            <w:vAlign w:val="center"/>
          </w:tcPr>
          <w:p w14:paraId="0A9ADC2A" w14:textId="084C3EDD" w:rsidR="00702291" w:rsidRDefault="00712B31">
            <w:pPr>
              <w:pStyle w:val="P68B1DB1-Normal32"/>
              <w:spacing w:after="120" w:line="240" w:lineRule="auto"/>
              <w:rPr>
                <w:noProof/>
              </w:rPr>
            </w:pPr>
            <w:r>
              <w:rPr>
                <w:noProof/>
              </w:rPr>
              <w:t>C8.R18 Modificări legislative de consolidare a mecanismelor de gestionare, monitorizare, audit și control pentru a garanta utilizarea corectă a sprijinului din partea Uniunii</w:t>
            </w:r>
          </w:p>
        </w:tc>
        <w:tc>
          <w:tcPr>
            <w:tcW w:w="1021" w:type="dxa"/>
            <w:tcBorders>
              <w:top w:val="nil"/>
              <w:left w:val="nil"/>
              <w:bottom w:val="single" w:sz="4" w:space="0" w:color="auto"/>
              <w:right w:val="single" w:sz="4" w:space="0" w:color="auto"/>
            </w:tcBorders>
            <w:shd w:val="clear" w:color="auto" w:fill="C6EFCE"/>
            <w:noWrap/>
            <w:vAlign w:val="center"/>
          </w:tcPr>
          <w:p w14:paraId="71FCE03E" w14:textId="231A4A4C" w:rsidR="00702291" w:rsidRDefault="00712B31">
            <w:pPr>
              <w:pStyle w:val="P68B1DB1-Normal32"/>
              <w:spacing w:after="120" w:line="240" w:lineRule="auto"/>
              <w:rPr>
                <w:rFonts w:eastAsiaTheme="minorHAnsi"/>
                <w:noProof/>
              </w:rPr>
            </w:pPr>
            <w:r>
              <w:rPr>
                <w:noProof/>
              </w:rPr>
              <w:t xml:space="preserve">Etapă </w:t>
            </w:r>
          </w:p>
        </w:tc>
        <w:tc>
          <w:tcPr>
            <w:tcW w:w="1843" w:type="dxa"/>
            <w:tcBorders>
              <w:top w:val="nil"/>
              <w:left w:val="nil"/>
              <w:bottom w:val="single" w:sz="4" w:space="0" w:color="auto"/>
              <w:right w:val="single" w:sz="4" w:space="0" w:color="auto"/>
            </w:tcBorders>
            <w:shd w:val="clear" w:color="auto" w:fill="C6EFCE"/>
            <w:noWrap/>
            <w:vAlign w:val="center"/>
          </w:tcPr>
          <w:p w14:paraId="0D339214" w14:textId="42A10440" w:rsidR="00702291" w:rsidRDefault="00712B31">
            <w:pPr>
              <w:pStyle w:val="P68B1DB1-Normal32"/>
              <w:spacing w:after="120" w:line="240" w:lineRule="auto"/>
              <w:rPr>
                <w:rFonts w:eastAsiaTheme="minorHAnsi"/>
                <w:noProof/>
              </w:rPr>
            </w:pPr>
            <w:r>
              <w:rPr>
                <w:noProof/>
              </w:rPr>
              <w:t>Act (e) juridic (e) care prevede (prevăd) mandatul legal pentru gestionarea, auditul și controlul planului de redresare și reziliență și care reglementează gestionarea, monitorizarea, controlul și auditul fondurilor în temeiul Regulamentului (UE) 2021/1060 în Ungaria</w:t>
            </w:r>
          </w:p>
        </w:tc>
        <w:tc>
          <w:tcPr>
            <w:tcW w:w="1275" w:type="dxa"/>
            <w:tcBorders>
              <w:top w:val="nil"/>
              <w:left w:val="nil"/>
              <w:bottom w:val="single" w:sz="4" w:space="0" w:color="auto"/>
              <w:right w:val="single" w:sz="4" w:space="0" w:color="auto"/>
            </w:tcBorders>
            <w:shd w:val="clear" w:color="auto" w:fill="C6EFCE"/>
            <w:noWrap/>
            <w:vAlign w:val="center"/>
          </w:tcPr>
          <w:p w14:paraId="0E77BDF2" w14:textId="136F6AE0" w:rsidR="00702291" w:rsidRDefault="00712B31">
            <w:pPr>
              <w:pStyle w:val="P68B1DB1-Normal32"/>
              <w:spacing w:after="120" w:line="240" w:lineRule="auto"/>
              <w:rPr>
                <w:rFonts w:eastAsiaTheme="minorHAnsi"/>
                <w:noProof/>
              </w:rPr>
            </w:pPr>
            <w:r>
              <w:rPr>
                <w:noProof/>
              </w:rPr>
              <w:t>Dispoziție din actul (actele) juridic (e) care indică intrarea sa în vigoare</w:t>
            </w:r>
          </w:p>
        </w:tc>
        <w:tc>
          <w:tcPr>
            <w:tcW w:w="1134" w:type="dxa"/>
            <w:tcBorders>
              <w:top w:val="nil"/>
              <w:left w:val="nil"/>
              <w:bottom w:val="single" w:sz="4" w:space="0" w:color="auto"/>
              <w:right w:val="single" w:sz="4" w:space="0" w:color="auto"/>
            </w:tcBorders>
            <w:shd w:val="clear" w:color="auto" w:fill="C6EFCE"/>
            <w:noWrap/>
          </w:tcPr>
          <w:p w14:paraId="22BE94A1"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0458A24F"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57575E8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DD34DB8" w14:textId="612B3A0F"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E596768" w14:textId="44BF629C"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354DDB6" w14:textId="4720BA05" w:rsidR="00702291" w:rsidRDefault="00712B31">
            <w:pPr>
              <w:pStyle w:val="P68B1DB1-Normal32"/>
              <w:spacing w:after="120" w:line="240" w:lineRule="auto"/>
              <w:ind w:left="52"/>
              <w:textAlignment w:val="baseline"/>
              <w:rPr>
                <w:rFonts w:eastAsia="Times New Roman"/>
                <w:noProof/>
              </w:rPr>
            </w:pPr>
            <w:r>
              <w:rPr>
                <w:noProof/>
              </w:rPr>
              <w:t>Intrarea în vigoare a actului (actelor) juridic (e) care prevede (prevăd) definirea mandatului legal al organismelor implicate în implementarea, auditul și controlul planului de redresare și reziliență în Ungaria și după 2026.</w:t>
            </w:r>
          </w:p>
          <w:p w14:paraId="49CA874D" w14:textId="77777777" w:rsidR="00702291" w:rsidRDefault="00712B31">
            <w:pPr>
              <w:pStyle w:val="P68B1DB1-Normal32"/>
              <w:spacing w:after="120" w:line="240" w:lineRule="auto"/>
              <w:ind w:left="52"/>
              <w:textAlignment w:val="baseline"/>
              <w:rPr>
                <w:noProof/>
              </w:rPr>
            </w:pPr>
            <w:r>
              <w:rPr>
                <w:noProof/>
              </w:rPr>
              <w:t>Respectivele cerințe legislative stabilesc rolurile și responsabilitățile organismelor care furnizează:</w:t>
            </w:r>
          </w:p>
          <w:p w14:paraId="79B57C4C" w14:textId="77777777" w:rsidR="00702291" w:rsidRDefault="00712B31">
            <w:pPr>
              <w:pStyle w:val="P68B1DB1-Normal32"/>
              <w:spacing w:after="120" w:line="240" w:lineRule="auto"/>
              <w:ind w:left="52"/>
              <w:textAlignment w:val="baseline"/>
              <w:rPr>
                <w:noProof/>
              </w:rPr>
            </w:pPr>
            <w:r>
              <w:rPr>
                <w:noProof/>
              </w:rPr>
              <w:t>(a) colectarea și fiabilitatea datelor legate de atingerea jaloanelor și a țintelor și monitorizarea îndeplinirii acestora;</w:t>
            </w:r>
          </w:p>
          <w:p w14:paraId="426E5BF5" w14:textId="77777777" w:rsidR="00702291" w:rsidRDefault="00712B31">
            <w:pPr>
              <w:pStyle w:val="P68B1DB1-Normal32"/>
              <w:spacing w:after="120" w:line="240" w:lineRule="auto"/>
              <w:ind w:left="52"/>
              <w:textAlignment w:val="baseline"/>
              <w:rPr>
                <w:noProof/>
              </w:rPr>
            </w:pPr>
            <w:r>
              <w:rPr>
                <w:noProof/>
              </w:rPr>
              <w:t xml:space="preserve">(b) existența unor proceduri pentru întocmirea și fiabilitatea declarațiilor de gestiune, a rezumatelor de audit și a cererilor de plată; </w:t>
            </w:r>
          </w:p>
          <w:p w14:paraId="1ECA92A8" w14:textId="77777777" w:rsidR="00702291" w:rsidRDefault="00712B31">
            <w:pPr>
              <w:pStyle w:val="P68B1DB1-Normal32"/>
              <w:spacing w:after="120" w:line="240" w:lineRule="auto"/>
              <w:ind w:left="52"/>
              <w:textAlignment w:val="baseline"/>
              <w:rPr>
                <w:noProof/>
              </w:rPr>
            </w:pPr>
            <w:r>
              <w:rPr>
                <w:noProof/>
              </w:rPr>
              <w:t xml:space="preserve">(c) că există proceduri de colectare și stocare a datelor privind destinatarii finali, contractanții, subcontractanții și beneficiarii reali în conformitate cu articolul 22 din Regulamentul (UE) 2021/241 de instituire a Mecanismului de redresare și reziliență; </w:t>
            </w:r>
          </w:p>
          <w:p w14:paraId="5C6909E7" w14:textId="77777777" w:rsidR="00702291" w:rsidRDefault="00712B31">
            <w:pPr>
              <w:pStyle w:val="P68B1DB1-Normal32"/>
              <w:spacing w:after="120" w:line="240" w:lineRule="auto"/>
              <w:ind w:left="52"/>
              <w:textAlignment w:val="baseline"/>
              <w:rPr>
                <w:noProof/>
              </w:rPr>
            </w:pPr>
            <w:r>
              <w:rPr>
                <w:noProof/>
              </w:rPr>
              <w:t xml:space="preserve">(d) că obligații clare privind conflictul de interese se aplică întregului personal implicat în punerea în aplicare (inclusiv în actele pregătitoare aferente), în controlul (inclusiv evaluatorilor interni și externi în cadrul procedurilor de achiziții publice) și în auditul planului de redresare și reziliență, precum și destinatarilor finali, autorităților contractante, contractanților, subcontractanților, precum și firmelor de consultanță implicate în pregătirea și punerea în aplicare a proiectului; </w:t>
            </w:r>
          </w:p>
          <w:p w14:paraId="44ADB8B6" w14:textId="77777777" w:rsidR="00702291" w:rsidRDefault="00712B31">
            <w:pPr>
              <w:pStyle w:val="P68B1DB1-Normal32"/>
              <w:spacing w:after="120" w:line="240" w:lineRule="auto"/>
              <w:ind w:left="52"/>
              <w:textAlignment w:val="baseline"/>
              <w:rPr>
                <w:noProof/>
              </w:rPr>
            </w:pPr>
            <w:r>
              <w:rPr>
                <w:noProof/>
              </w:rPr>
              <w:t xml:space="preserve">(e) că normele privind conflictele de interese abordează în mod explicit situațiile care implică familia, viața sentimentală, afinitățile politice sau naționale, interesul economic sau orice alt interes personal direct sau indirect care poate fi perceput ca un conflict de interese, în conformitate cu articolul 61 din Regulamentul (UE, Euratom) 2024/2509 și cu Comunicarea aferentă a Comisiei [„Orientări privind evitarea și gestionarea conflictelor de interese în temeiul Regulamentului financiar” (C 121/01)]; </w:t>
            </w:r>
          </w:p>
          <w:p w14:paraId="5793F722" w14:textId="77777777" w:rsidR="00702291" w:rsidRDefault="00712B31">
            <w:pPr>
              <w:pStyle w:val="P68B1DB1-Normal32"/>
              <w:spacing w:after="120" w:line="240" w:lineRule="auto"/>
              <w:ind w:left="52"/>
              <w:textAlignment w:val="baseline"/>
              <w:rPr>
                <w:noProof/>
              </w:rPr>
            </w:pPr>
            <w:r>
              <w:rPr>
                <w:noProof/>
              </w:rPr>
              <w:t xml:space="preserve">(f) că personalul implicat în procesul decizional privind proiectele individuale (în special deciziile privind eligibilitatea, evaluarea riscurilor, selecția proiectelor, procedurile de control intermediare și finale, gestionarea neregulilor și deciziile legate de audit) este obligat să emită o declarație privind absența conflictelor de interese de la caz la caz, care se păstrează timp de cel puțin 5 ani; </w:t>
            </w:r>
          </w:p>
          <w:p w14:paraId="627CA519" w14:textId="77777777" w:rsidR="00702291" w:rsidRDefault="00712B31">
            <w:pPr>
              <w:pStyle w:val="P68B1DB1-Normal32"/>
              <w:spacing w:after="120" w:line="240" w:lineRule="auto"/>
              <w:ind w:left="52"/>
              <w:textAlignment w:val="baseline"/>
              <w:rPr>
                <w:noProof/>
              </w:rPr>
            </w:pPr>
            <w:r>
              <w:rPr>
                <w:noProof/>
              </w:rPr>
              <w:t>(g) veridicitatea declarațiilor privind conflictele de interese este controlată periodic, iar rezultatele acestor controale sunt stocate timp de cel puțin 5 ani;</w:t>
            </w:r>
          </w:p>
          <w:p w14:paraId="62D69070" w14:textId="460E8503" w:rsidR="00702291" w:rsidRDefault="00712B31">
            <w:pPr>
              <w:pStyle w:val="P68B1DB1-Normal32"/>
              <w:spacing w:after="120" w:line="240" w:lineRule="auto"/>
              <w:ind w:left="52"/>
              <w:textAlignment w:val="baseline"/>
              <w:rPr>
                <w:noProof/>
              </w:rPr>
            </w:pPr>
            <w:r>
              <w:rPr>
                <w:noProof/>
              </w:rPr>
              <w:t>(h) ca aceste organisme să efectueze controale ex post cuprinzătoare pentru a stabili dacă au fost respectate toate normele aplicabile, în special în ceea ce privește frauda, corupția, conflictele de interese și dubla finanțare. Este necesar ca astfel de controale ex post să acopere un nivel suficient de ridicat al populației de acorduri de finanțare semnate și de contracte de achiziții publice atribuite pentru măsurile din planul de redresare și reziliență, în cazul în care acordurile/contractele specifice, inclusiv plățile, care ar trebui selectate pentru controale ex post ar trebui selectate în funcție de riscuri. În plus, este necesar ca respectivele controale ex post să utilizeze datele și informațiile disponibile în urma punerii în aplicare a jaloanelor 59, 63, 64 și 78 și să analizeze dacă aprobarea/atribuirea acordurilor/contractelor respective respectă obligațiile care decurg din legislația menționată la jalonul 62. Actul juridic prevede că respectivele controale ex post se efectuează cu respectarea actului juridic menționat la jalonul 73.</w:t>
            </w:r>
          </w:p>
          <w:p w14:paraId="5C700927" w14:textId="77777777" w:rsidR="00702291" w:rsidRDefault="00712B31">
            <w:pPr>
              <w:pStyle w:val="P68B1DB1-Normal32"/>
              <w:spacing w:after="120" w:line="240" w:lineRule="auto"/>
              <w:ind w:left="52"/>
              <w:textAlignment w:val="baseline"/>
              <w:rPr>
                <w:noProof/>
              </w:rPr>
            </w:pPr>
            <w:r>
              <w:rPr>
                <w:noProof/>
              </w:rPr>
              <w:t>(I) existența unor proceduri de supraveghere a personalului care ocupă posturi sensibile (cum ar fi gestionarea neregulilor, controalele și evaluarea riscurilor);</w:t>
            </w:r>
          </w:p>
          <w:p w14:paraId="511C0FA8" w14:textId="77777777" w:rsidR="00702291" w:rsidRDefault="00712B31">
            <w:pPr>
              <w:pStyle w:val="P68B1DB1-Normal32"/>
              <w:spacing w:after="120" w:line="240" w:lineRule="auto"/>
              <w:ind w:left="52"/>
              <w:textAlignment w:val="baseline"/>
              <w:rPr>
                <w:noProof/>
              </w:rPr>
            </w:pPr>
            <w:r>
              <w:rPr>
                <w:noProof/>
              </w:rPr>
              <w:t>(j) că ofertanții nu participă la licitații în cadrul procedurilor de achiziții publice în cazul în care se constată un conflict de interese relevant pentru ei în cadrul licitației specifice respective.</w:t>
            </w:r>
          </w:p>
          <w:p w14:paraId="06E0D946" w14:textId="3C918EDA" w:rsidR="00702291" w:rsidRDefault="00712B31">
            <w:pPr>
              <w:pStyle w:val="P68B1DB1-Normal32"/>
              <w:spacing w:after="120" w:line="240" w:lineRule="auto"/>
              <w:ind w:left="52"/>
              <w:textAlignment w:val="baseline"/>
              <w:rPr>
                <w:rFonts w:eastAsiaTheme="minorHAnsi"/>
                <w:noProof/>
              </w:rPr>
            </w:pPr>
            <w:r>
              <w:rPr>
                <w:noProof/>
              </w:rPr>
              <w:t>Actul (actele) juridic (e) privind gestionarea, monitorizarea, controlul și auditul fondurilor în temeiul Regulamentului (UE) 2021/1060 în Ungaria prevede (prevăd) literele (d)-(g) și (i)-(j) de mai sus, unde dispozițiile de la litera (d) se aplică și beneficiarilor operațiunilor.</w:t>
            </w:r>
          </w:p>
        </w:tc>
      </w:tr>
      <w:tr w:rsidR="00702291" w14:paraId="46ECBD4C"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428FE4B" w14:textId="3A5E4474" w:rsidR="00702291" w:rsidRDefault="00712B31">
            <w:pPr>
              <w:pStyle w:val="P68B1DB1-Normal32"/>
              <w:spacing w:after="120" w:line="240" w:lineRule="auto"/>
              <w:rPr>
                <w:rFonts w:eastAsiaTheme="minorHAnsi"/>
                <w:noProof/>
              </w:rPr>
            </w:pPr>
            <w:r>
              <w:rPr>
                <w:noProof/>
              </w:rPr>
              <w:t>76</w:t>
            </w:r>
          </w:p>
        </w:tc>
        <w:tc>
          <w:tcPr>
            <w:tcW w:w="1712" w:type="dxa"/>
            <w:tcBorders>
              <w:top w:val="nil"/>
              <w:left w:val="nil"/>
              <w:bottom w:val="single" w:sz="4" w:space="0" w:color="auto"/>
              <w:right w:val="single" w:sz="4" w:space="0" w:color="auto"/>
            </w:tcBorders>
            <w:shd w:val="clear" w:color="auto" w:fill="C6EFCE"/>
            <w:noWrap/>
            <w:vAlign w:val="center"/>
          </w:tcPr>
          <w:p w14:paraId="306BB15A" w14:textId="3611ADD1" w:rsidR="00702291" w:rsidRDefault="00712B31">
            <w:pPr>
              <w:pStyle w:val="P68B1DB1-Normal32"/>
              <w:spacing w:after="120" w:line="240" w:lineRule="auto"/>
              <w:ind w:left="52"/>
              <w:textAlignment w:val="baseline"/>
              <w:rPr>
                <w:noProof/>
              </w:rPr>
            </w:pPr>
            <w:r>
              <w:rPr>
                <w:noProof/>
              </w:rPr>
              <w:t>C8.R18 Modificări legislative de consolidare a mecanismelor de gestionare, monitorizare, audit și control pentru a garanta utilizarea corectă a sprijinului din partea Uniunii</w:t>
            </w:r>
          </w:p>
          <w:p w14:paraId="73B058A9" w14:textId="77777777" w:rsidR="00702291" w:rsidRDefault="00702291">
            <w:pPr>
              <w:spacing w:after="120" w:line="240" w:lineRule="auto"/>
              <w:rPr>
                <w:rFonts w:ascii="Times New Roman" w:eastAsiaTheme="minorHAns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4F464E4B" w14:textId="2E7F8DBB"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573679AC" w14:textId="6E6D1613" w:rsidR="00702291" w:rsidRDefault="00712B31">
            <w:pPr>
              <w:pStyle w:val="P68B1DB1-Normal32"/>
              <w:spacing w:after="120" w:line="240" w:lineRule="auto"/>
              <w:rPr>
                <w:rFonts w:eastAsiaTheme="minorHAnsi"/>
                <w:noProof/>
              </w:rPr>
            </w:pPr>
            <w:r>
              <w:rPr>
                <w:noProof/>
              </w:rPr>
              <w:t>Norme care să asigure prevenirea, detectarea și corectarea conflictelor de interese pentru personalul tuturor organismelor implicate în gestionarea și controlul sprijinului acordat de Uniune în Ungaria</w:t>
            </w:r>
          </w:p>
        </w:tc>
        <w:tc>
          <w:tcPr>
            <w:tcW w:w="1275" w:type="dxa"/>
            <w:tcBorders>
              <w:top w:val="nil"/>
              <w:left w:val="nil"/>
              <w:bottom w:val="single" w:sz="4" w:space="0" w:color="auto"/>
              <w:right w:val="single" w:sz="4" w:space="0" w:color="auto"/>
            </w:tcBorders>
            <w:shd w:val="clear" w:color="auto" w:fill="C6EFCE"/>
            <w:noWrap/>
            <w:vAlign w:val="center"/>
          </w:tcPr>
          <w:p w14:paraId="69F4BA41" w14:textId="77777777" w:rsidR="00702291" w:rsidRDefault="00712B31">
            <w:pPr>
              <w:pStyle w:val="P68B1DB1-Normal32"/>
              <w:spacing w:after="120" w:line="240" w:lineRule="auto"/>
              <w:ind w:left="52"/>
              <w:textAlignment w:val="baseline"/>
              <w:rPr>
                <w:noProof/>
              </w:rPr>
            </w:pPr>
            <w:r>
              <w:rPr>
                <w:noProof/>
              </w:rPr>
              <w:t xml:space="preserve">Dispoziție din actul (actele) juridic (e) care indică intrarea sa în vigoare și adoptarea procedurilor </w:t>
            </w:r>
          </w:p>
          <w:p w14:paraId="5FE6A0F0" w14:textId="77777777" w:rsidR="00702291" w:rsidRDefault="00702291">
            <w:pPr>
              <w:spacing w:after="120" w:line="240" w:lineRule="auto"/>
              <w:rPr>
                <w:rFonts w:ascii="Times New Roman" w:eastAsiaTheme="minorHAns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DB8EEC8"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AAD2F19"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0F48DA6"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0EB02A7" w14:textId="2D424B8D"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2D1A957" w14:textId="5F4522FE"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260BBCFF" w14:textId="77777777" w:rsidR="00702291" w:rsidRDefault="00712B31">
            <w:pPr>
              <w:pStyle w:val="P68B1DB1-Normal32"/>
              <w:spacing w:after="120" w:line="240" w:lineRule="auto"/>
              <w:ind w:left="52"/>
              <w:textAlignment w:val="baseline"/>
              <w:rPr>
                <w:noProof/>
              </w:rPr>
            </w:pPr>
            <w:r>
              <w:rPr>
                <w:noProof/>
              </w:rPr>
              <w:t xml:space="preserve">Intrarea în vigoare a actului (actelor) juridic (e) care prevede (prevăd) </w:t>
            </w:r>
          </w:p>
          <w:p w14:paraId="2B5E43E7" w14:textId="77777777" w:rsidR="00702291" w:rsidRDefault="00712B31">
            <w:pPr>
              <w:pStyle w:val="P68B1DB1-ListParagraph43"/>
              <w:numPr>
                <w:ilvl w:val="0"/>
                <w:numId w:val="156"/>
              </w:numPr>
              <w:spacing w:after="120" w:line="240" w:lineRule="auto"/>
              <w:contextualSpacing w:val="0"/>
              <w:textAlignment w:val="baseline"/>
              <w:rPr>
                <w:noProof/>
              </w:rPr>
            </w:pPr>
            <w:r>
              <w:rPr>
                <w:noProof/>
              </w:rPr>
              <w:t xml:space="preserve">dispoziții privind prevenirea, detectarea și corectarea situațiilor de conflict de interese în conformitate cu articolul 61 din Regulamentul (UE, Euratom) 2024/2509 și cu comunicarea aferentă a Comisiei [„Orientări privind evitarea și gestionarea conflictelor de interese în temeiul Regulamentului financiar” (C 121/01)]. </w:t>
            </w:r>
          </w:p>
          <w:p w14:paraId="5A5FB069" w14:textId="77777777" w:rsidR="00702291" w:rsidRDefault="00712B31">
            <w:pPr>
              <w:pStyle w:val="P68B1DB1-ListParagraph43"/>
              <w:numPr>
                <w:ilvl w:val="0"/>
                <w:numId w:val="156"/>
              </w:numPr>
              <w:spacing w:after="120" w:line="240" w:lineRule="auto"/>
              <w:contextualSpacing w:val="0"/>
              <w:textAlignment w:val="baseline"/>
              <w:rPr>
                <w:noProof/>
              </w:rPr>
            </w:pPr>
            <w:r>
              <w:rPr>
                <w:noProof/>
              </w:rPr>
              <w:t xml:space="preserve">stabilirea sarcinilor și a obligațiilor organismelor implicate în gestionarea și controlul sprijinului acordat de Uniune în ceea ce privește rolul lor în prevenirea, detectarea și corectarea situațiilor de conflict de interese. </w:t>
            </w:r>
          </w:p>
          <w:p w14:paraId="23FF8E87" w14:textId="77777777" w:rsidR="00702291" w:rsidRDefault="00712B31">
            <w:pPr>
              <w:pStyle w:val="P68B1DB1-ListParagraph43"/>
              <w:numPr>
                <w:ilvl w:val="0"/>
                <w:numId w:val="156"/>
              </w:numPr>
              <w:spacing w:after="120" w:line="240" w:lineRule="auto"/>
              <w:contextualSpacing w:val="0"/>
              <w:textAlignment w:val="baseline"/>
              <w:rPr>
                <w:noProof/>
              </w:rPr>
            </w:pPr>
            <w:r>
              <w:rPr>
                <w:noProof/>
              </w:rPr>
              <w:t xml:space="preserve">temeiul juridic și obligația acestor organisme de a institui proceduri în acest sens. </w:t>
            </w:r>
          </w:p>
          <w:p w14:paraId="205A654B" w14:textId="1E0B977A" w:rsidR="00702291" w:rsidRDefault="00712B31">
            <w:pPr>
              <w:pStyle w:val="P68B1DB1-Normal32"/>
              <w:spacing w:after="120" w:line="240" w:lineRule="auto"/>
              <w:ind w:left="52"/>
              <w:textAlignment w:val="baseline"/>
              <w:rPr>
                <w:rFonts w:eastAsiaTheme="minorHAnsi"/>
                <w:noProof/>
              </w:rPr>
            </w:pPr>
            <w:r>
              <w:rPr>
                <w:noProof/>
              </w:rPr>
              <w:t>Aceste proceduri trebuie să fi fost adoptate.</w:t>
            </w:r>
          </w:p>
        </w:tc>
      </w:tr>
      <w:tr w:rsidR="00702291" w14:paraId="10202586"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6FC35C0" w14:textId="455F6826" w:rsidR="00702291" w:rsidRDefault="00712B31">
            <w:pPr>
              <w:pStyle w:val="P68B1DB1-Normal32"/>
              <w:spacing w:after="120" w:line="240" w:lineRule="auto"/>
              <w:rPr>
                <w:rFonts w:eastAsiaTheme="minorHAnsi"/>
                <w:noProof/>
              </w:rPr>
            </w:pPr>
            <w:r>
              <w:rPr>
                <w:noProof/>
              </w:rPr>
              <w:t>77</w:t>
            </w:r>
          </w:p>
        </w:tc>
        <w:tc>
          <w:tcPr>
            <w:tcW w:w="1712" w:type="dxa"/>
            <w:tcBorders>
              <w:top w:val="nil"/>
              <w:left w:val="nil"/>
              <w:bottom w:val="single" w:sz="4" w:space="0" w:color="auto"/>
              <w:right w:val="single" w:sz="4" w:space="0" w:color="auto"/>
            </w:tcBorders>
            <w:shd w:val="clear" w:color="auto" w:fill="C6EFCE"/>
            <w:noWrap/>
            <w:vAlign w:val="center"/>
          </w:tcPr>
          <w:p w14:paraId="14A6ACBE" w14:textId="46814E7C" w:rsidR="00702291" w:rsidRDefault="00712B31">
            <w:pPr>
              <w:pStyle w:val="P68B1DB1-Normal32"/>
              <w:spacing w:after="120" w:line="240" w:lineRule="auto"/>
              <w:rPr>
                <w:noProof/>
              </w:rPr>
            </w:pPr>
            <w:r>
              <w:rPr>
                <w:noProof/>
              </w:rPr>
              <w:t>C8.R19 Strategia antifraudă și anticorupție pentru punerea în aplicare, auditul și controlul sprijinului acordat de Uniune</w:t>
            </w:r>
          </w:p>
        </w:tc>
        <w:tc>
          <w:tcPr>
            <w:tcW w:w="1021" w:type="dxa"/>
            <w:tcBorders>
              <w:top w:val="nil"/>
              <w:left w:val="nil"/>
              <w:bottom w:val="single" w:sz="4" w:space="0" w:color="auto"/>
              <w:right w:val="single" w:sz="4" w:space="0" w:color="auto"/>
            </w:tcBorders>
            <w:shd w:val="clear" w:color="auto" w:fill="C6EFCE"/>
            <w:noWrap/>
            <w:vAlign w:val="center"/>
          </w:tcPr>
          <w:p w14:paraId="593DAC05" w14:textId="23F8FD80" w:rsidR="00702291" w:rsidRDefault="00712B31">
            <w:pPr>
              <w:pStyle w:val="P68B1DB1-Normal32"/>
              <w:spacing w:after="120" w:line="240" w:lineRule="auto"/>
              <w:rPr>
                <w:rFonts w:eastAsiaTheme="minorHAnsi"/>
                <w:noProof/>
              </w:rPr>
            </w:pPr>
            <w:r>
              <w:rPr>
                <w:noProof/>
              </w:rPr>
              <w:t xml:space="preserve">Etapă </w:t>
            </w:r>
          </w:p>
        </w:tc>
        <w:tc>
          <w:tcPr>
            <w:tcW w:w="1843" w:type="dxa"/>
            <w:tcBorders>
              <w:top w:val="nil"/>
              <w:left w:val="nil"/>
              <w:bottom w:val="single" w:sz="4" w:space="0" w:color="auto"/>
              <w:right w:val="single" w:sz="4" w:space="0" w:color="auto"/>
            </w:tcBorders>
            <w:shd w:val="clear" w:color="auto" w:fill="C6EFCE"/>
            <w:noWrap/>
            <w:vAlign w:val="center"/>
          </w:tcPr>
          <w:p w14:paraId="2DFD2218" w14:textId="2221DAA3" w:rsidR="00702291" w:rsidRDefault="00712B31">
            <w:pPr>
              <w:pStyle w:val="P68B1DB1-Normal32"/>
              <w:spacing w:after="120" w:line="240" w:lineRule="auto"/>
              <w:rPr>
                <w:rFonts w:eastAsiaTheme="minorHAnsi"/>
                <w:noProof/>
              </w:rPr>
            </w:pPr>
            <w:r>
              <w:rPr>
                <w:noProof/>
              </w:rPr>
              <w:t>Adoptarea unei strategii antifraudă și anticorupție pentru sprijinul Uniunii și a unui plan de acțiune aferent</w:t>
            </w:r>
          </w:p>
        </w:tc>
        <w:tc>
          <w:tcPr>
            <w:tcW w:w="1275" w:type="dxa"/>
            <w:tcBorders>
              <w:top w:val="nil"/>
              <w:left w:val="nil"/>
              <w:bottom w:val="single" w:sz="4" w:space="0" w:color="auto"/>
              <w:right w:val="single" w:sz="4" w:space="0" w:color="auto"/>
            </w:tcBorders>
            <w:shd w:val="clear" w:color="auto" w:fill="C6EFCE"/>
            <w:noWrap/>
            <w:vAlign w:val="center"/>
          </w:tcPr>
          <w:p w14:paraId="6311CA3C" w14:textId="07CD6F78" w:rsidR="00702291" w:rsidRDefault="00712B31">
            <w:pPr>
              <w:pStyle w:val="P68B1DB1-Normal32"/>
              <w:spacing w:after="120" w:line="240" w:lineRule="auto"/>
              <w:rPr>
                <w:rFonts w:eastAsiaTheme="minorHAnsi"/>
                <w:noProof/>
              </w:rPr>
            </w:pPr>
            <w:r>
              <w:rPr>
                <w:noProof/>
              </w:rPr>
              <w:t>Adoptarea unei strategii antifraudă și anticorupție pentru sprijinul Uniunii și a planului de acțiune aferent</w:t>
            </w:r>
          </w:p>
        </w:tc>
        <w:tc>
          <w:tcPr>
            <w:tcW w:w="1134" w:type="dxa"/>
            <w:tcBorders>
              <w:top w:val="nil"/>
              <w:left w:val="nil"/>
              <w:bottom w:val="single" w:sz="4" w:space="0" w:color="auto"/>
              <w:right w:val="single" w:sz="4" w:space="0" w:color="auto"/>
            </w:tcBorders>
            <w:shd w:val="clear" w:color="auto" w:fill="C6EFCE"/>
            <w:noWrap/>
          </w:tcPr>
          <w:p w14:paraId="3C883FA1"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51FDE98A"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14F53C1C"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0FC402" w14:textId="6C2A4220"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ADF3F4B" w14:textId="4B4C335F"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4C256EFE" w14:textId="77777777" w:rsidR="00702291" w:rsidRDefault="00712B31">
            <w:pPr>
              <w:pStyle w:val="P68B1DB1-Normal32"/>
              <w:spacing w:after="120" w:line="240" w:lineRule="auto"/>
              <w:ind w:left="52"/>
              <w:textAlignment w:val="baseline"/>
              <w:rPr>
                <w:noProof/>
              </w:rPr>
            </w:pPr>
            <w:r>
              <w:rPr>
                <w:noProof/>
              </w:rPr>
              <w:t>Guvernul adoptă o strategie antifraudă și anticorupție pentru întregul sprijin din partea Uniunii, oferind:</w:t>
            </w:r>
          </w:p>
          <w:p w14:paraId="531FF5C4" w14:textId="77777777" w:rsidR="00702291" w:rsidRDefault="00712B31">
            <w:pPr>
              <w:pStyle w:val="P68B1DB1-Normal32"/>
              <w:spacing w:after="120" w:line="240" w:lineRule="auto"/>
              <w:ind w:left="52"/>
              <w:textAlignment w:val="baseline"/>
              <w:rPr>
                <w:noProof/>
              </w:rPr>
            </w:pPr>
            <w:r>
              <w:rPr>
                <w:noProof/>
              </w:rPr>
              <w:t xml:space="preserve">(I) rolurile și responsabilitățile legate de prevenirea, detectarea și corectarea fraudei, a conflictelor de interese și a corupției ale diferitelor entități implicate în punerea în aplicare a sprijinului financiar din partea Uniunii în Ungaria; </w:t>
            </w:r>
          </w:p>
          <w:p w14:paraId="0C2444D6" w14:textId="77777777" w:rsidR="00702291" w:rsidRDefault="00712B31">
            <w:pPr>
              <w:pStyle w:val="P68B1DB1-Normal32"/>
              <w:spacing w:after="120" w:line="240" w:lineRule="auto"/>
              <w:ind w:left="52"/>
              <w:textAlignment w:val="baseline"/>
              <w:rPr>
                <w:noProof/>
              </w:rPr>
            </w:pPr>
            <w:r>
              <w:rPr>
                <w:noProof/>
              </w:rPr>
              <w:t>(II) evaluarea principalelor riscuri, factori și practici de fraudă, conflict de interese și corupție.</w:t>
            </w:r>
          </w:p>
          <w:p w14:paraId="6671770B" w14:textId="77777777" w:rsidR="00702291" w:rsidRDefault="00712B31">
            <w:pPr>
              <w:pStyle w:val="P68B1DB1-Normal32"/>
              <w:spacing w:after="120" w:line="240" w:lineRule="auto"/>
              <w:ind w:left="52"/>
              <w:textAlignment w:val="baseline"/>
              <w:rPr>
                <w:noProof/>
              </w:rPr>
            </w:pPr>
            <w:r>
              <w:rPr>
                <w:noProof/>
              </w:rPr>
              <w:t xml:space="preserve">Guvernul adoptă un plan de acțiune legat de strategia menționată anterior, care: </w:t>
            </w:r>
          </w:p>
          <w:p w14:paraId="218BED6D" w14:textId="29F0CEC5" w:rsidR="00702291" w:rsidRDefault="00712B31">
            <w:pPr>
              <w:pStyle w:val="P68B1DB1-Normal32"/>
              <w:spacing w:after="120" w:line="240" w:lineRule="auto"/>
              <w:ind w:left="52"/>
              <w:textAlignment w:val="baseline"/>
              <w:rPr>
                <w:rFonts w:eastAsiaTheme="minorHAnsi"/>
                <w:noProof/>
              </w:rPr>
            </w:pPr>
            <w:r>
              <w:rPr>
                <w:noProof/>
              </w:rPr>
              <w:t>(I) să definească acțiunile; (II) să stabilească termene pentru realizarea fiecăreia dintre acțiuni; (III) să identifice, pentru fiecare dintre acțiuni, organismul (organismele) responsabil (e) cu punerea sa în aplicare; (IV) să definească indicatori pentru măsurarea progreselor înregistrate în punerea în aplicare a fiecăreia dintre acțiuni; (V) stabilește modalitățile de revizuire periodică a acțiunilor.</w:t>
            </w:r>
          </w:p>
        </w:tc>
      </w:tr>
      <w:tr w:rsidR="00702291" w14:paraId="44449C4F"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464C142" w14:textId="65ADA301" w:rsidR="00702291" w:rsidRDefault="00712B31">
            <w:pPr>
              <w:pStyle w:val="P68B1DB1-Normal32"/>
              <w:spacing w:after="120" w:line="240" w:lineRule="auto"/>
              <w:rPr>
                <w:rFonts w:eastAsiaTheme="minorHAnsi"/>
                <w:noProof/>
              </w:rPr>
            </w:pPr>
            <w:r>
              <w:rPr>
                <w:noProof/>
              </w:rPr>
              <w:t>78</w:t>
            </w:r>
          </w:p>
        </w:tc>
        <w:tc>
          <w:tcPr>
            <w:tcW w:w="1712" w:type="dxa"/>
            <w:tcBorders>
              <w:top w:val="nil"/>
              <w:left w:val="nil"/>
              <w:bottom w:val="single" w:sz="4" w:space="0" w:color="auto"/>
              <w:right w:val="single" w:sz="4" w:space="0" w:color="auto"/>
            </w:tcBorders>
            <w:shd w:val="clear" w:color="auto" w:fill="C6EFCE"/>
            <w:noWrap/>
            <w:vAlign w:val="center"/>
          </w:tcPr>
          <w:p w14:paraId="4856BBB8" w14:textId="75430EAC" w:rsidR="00702291" w:rsidRDefault="00712B31">
            <w:pPr>
              <w:pStyle w:val="P68B1DB1-Normal32"/>
              <w:spacing w:after="120" w:line="240" w:lineRule="auto"/>
              <w:rPr>
                <w:rFonts w:eastAsiaTheme="minorHAnsi"/>
                <w:noProof/>
              </w:rPr>
            </w:pPr>
            <w:r>
              <w:rPr>
                <w:noProof/>
              </w:rPr>
              <w:t>C8.R20 Sistemul Arachne pentru sprijinul din partea Uniunii</w:t>
            </w:r>
          </w:p>
        </w:tc>
        <w:tc>
          <w:tcPr>
            <w:tcW w:w="1021" w:type="dxa"/>
            <w:tcBorders>
              <w:top w:val="nil"/>
              <w:left w:val="nil"/>
              <w:bottom w:val="single" w:sz="4" w:space="0" w:color="auto"/>
              <w:right w:val="single" w:sz="4" w:space="0" w:color="auto"/>
            </w:tcBorders>
            <w:shd w:val="clear" w:color="auto" w:fill="C6EFCE"/>
            <w:noWrap/>
            <w:vAlign w:val="center"/>
          </w:tcPr>
          <w:p w14:paraId="426C6B45" w14:textId="2D8567B8"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545BFF58" w14:textId="4836237F" w:rsidR="00702291" w:rsidRDefault="00712B31">
            <w:pPr>
              <w:pStyle w:val="P68B1DB1-Normal32"/>
              <w:spacing w:after="120" w:line="240" w:lineRule="auto"/>
              <w:rPr>
                <w:rFonts w:eastAsiaTheme="minorHAnsi"/>
                <w:noProof/>
              </w:rPr>
            </w:pPr>
            <w:r>
              <w:rPr>
                <w:noProof/>
              </w:rPr>
              <w:t>Utilizarea sistematică a instrumentului de evaluare a riscurilor Arachne</w:t>
            </w:r>
          </w:p>
        </w:tc>
        <w:tc>
          <w:tcPr>
            <w:tcW w:w="1275" w:type="dxa"/>
            <w:tcBorders>
              <w:top w:val="nil"/>
              <w:left w:val="nil"/>
              <w:bottom w:val="single" w:sz="4" w:space="0" w:color="auto"/>
              <w:right w:val="single" w:sz="4" w:space="0" w:color="auto"/>
            </w:tcBorders>
            <w:shd w:val="clear" w:color="auto" w:fill="C6EFCE"/>
            <w:noWrap/>
            <w:vAlign w:val="center"/>
          </w:tcPr>
          <w:p w14:paraId="685FC588" w14:textId="08239A3D" w:rsidR="00702291" w:rsidRDefault="00712B31">
            <w:pPr>
              <w:pStyle w:val="P68B1DB1-Normal32"/>
              <w:spacing w:after="120" w:line="240" w:lineRule="auto"/>
              <w:rPr>
                <w:rFonts w:eastAsiaTheme="minorHAnsi"/>
                <w:noProof/>
              </w:rPr>
            </w:pPr>
            <w:r>
              <w:rPr>
                <w:noProof/>
              </w:rPr>
              <w:t xml:space="preserve">Intrarea în vigoare a dispozițiilor legislative care asigură utilizarea sistematică a instrumentului de evaluare a riscurilor Arachne </w:t>
            </w:r>
          </w:p>
        </w:tc>
        <w:tc>
          <w:tcPr>
            <w:tcW w:w="1134" w:type="dxa"/>
            <w:tcBorders>
              <w:top w:val="nil"/>
              <w:left w:val="nil"/>
              <w:bottom w:val="single" w:sz="4" w:space="0" w:color="auto"/>
              <w:right w:val="single" w:sz="4" w:space="0" w:color="auto"/>
            </w:tcBorders>
            <w:shd w:val="clear" w:color="auto" w:fill="C6EFCE"/>
            <w:noWrap/>
          </w:tcPr>
          <w:p w14:paraId="3D29E832"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0BBD8E53"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0209B68F"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9AD4C76" w14:textId="72E6A52C"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185B33C6" w14:textId="33F333BF"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B019B3C" w14:textId="5F45E9B7" w:rsidR="00702291" w:rsidRDefault="00712B31">
            <w:pPr>
              <w:pStyle w:val="P68B1DB1-Normal32"/>
              <w:spacing w:after="120" w:line="240" w:lineRule="auto"/>
              <w:ind w:left="52"/>
              <w:textAlignment w:val="baseline"/>
              <w:rPr>
                <w:rFonts w:eastAsia="Times New Roman"/>
                <w:noProof/>
              </w:rPr>
            </w:pPr>
            <w:r>
              <w:rPr>
                <w:noProof/>
              </w:rPr>
              <w:t xml:space="preserve">Intrarea în vigoare a dispozițiilor legislative care prevăd obligația de utilizare în Ungaria a funcționalităților instrumentului de evaluare a riscurilor Arachne în gestionarea, controlul și auditul planului de redresare și reziliență, precum și a sprijinului din partea Uniunii din fonduri în temeiul Regulamentului (UE) 2021/1060, cu excepția sprijinului acordat în cadrul obiectivului de cooperare teritorială europeană și în temeiul Regulamentului (UE) 2021/2115. </w:t>
            </w:r>
          </w:p>
          <w:p w14:paraId="27AD15A1" w14:textId="77777777" w:rsidR="00702291" w:rsidRDefault="00712B31">
            <w:pPr>
              <w:pStyle w:val="P68B1DB1-Normal32"/>
              <w:spacing w:after="120" w:line="240" w:lineRule="auto"/>
              <w:ind w:left="52"/>
              <w:textAlignment w:val="baseline"/>
              <w:rPr>
                <w:rFonts w:eastAsia="Times New Roman"/>
                <w:noProof/>
              </w:rPr>
            </w:pPr>
            <w:r>
              <w:rPr>
                <w:noProof/>
              </w:rPr>
              <w:t>Dispozițiile legislative prevăd:</w:t>
            </w:r>
          </w:p>
          <w:p w14:paraId="36238A3F" w14:textId="77777777" w:rsidR="00702291" w:rsidRDefault="00712B31">
            <w:pPr>
              <w:pStyle w:val="P68B1DB1-Normal32"/>
              <w:spacing w:after="120" w:line="240" w:lineRule="auto"/>
              <w:ind w:left="52"/>
              <w:textAlignment w:val="baseline"/>
              <w:rPr>
                <w:rFonts w:eastAsia="Times New Roman"/>
                <w:noProof/>
              </w:rPr>
            </w:pPr>
            <w:r>
              <w:rPr>
                <w:noProof/>
              </w:rPr>
              <w:t xml:space="preserve">(I) obligația autorităților de a încărca o dată la două luni în sistemul Arachne toate datele pentru câmpurile de date prevăzute în regulamentele UE aplicabile, în timp util, în conformitate cu procedurile care urmează să fie elaborate; </w:t>
            </w:r>
          </w:p>
          <w:p w14:paraId="0C7B54AD" w14:textId="4F2C9175" w:rsidR="00702291" w:rsidRDefault="00712B31">
            <w:pPr>
              <w:pStyle w:val="P68B1DB1-Normal32"/>
              <w:spacing w:after="120" w:line="240" w:lineRule="auto"/>
              <w:ind w:left="52"/>
              <w:textAlignment w:val="baseline"/>
              <w:rPr>
                <w:rFonts w:eastAsia="Times New Roman"/>
                <w:noProof/>
              </w:rPr>
            </w:pPr>
            <w:r>
              <w:rPr>
                <w:noProof/>
              </w:rPr>
              <w:t xml:space="preserve">(II) obligația autorităților de a efectua verificări suplimentare în cazul în care instrumentul de evaluare a riscurilor Arachne – inclusiv pentru verificarea ex ante a solicitanților – semnalează un risc și au obligația de a ține seama, în procedurile lor decizionale, de rezultatele evaluării riscurilor generate de instrumentul de evaluare a riscurilor Arachne; </w:t>
            </w:r>
          </w:p>
          <w:p w14:paraId="726C36C1" w14:textId="77777777" w:rsidR="00702291" w:rsidRDefault="00712B31">
            <w:pPr>
              <w:pStyle w:val="P68B1DB1-Normal32"/>
              <w:spacing w:after="120" w:line="240" w:lineRule="auto"/>
              <w:ind w:left="52"/>
              <w:textAlignment w:val="baseline"/>
              <w:rPr>
                <w:noProof/>
              </w:rPr>
            </w:pPr>
            <w:r>
              <w:rPr>
                <w:noProof/>
              </w:rPr>
              <w:t>(III) că organismele de audit respective din Ungaria și din cadrul serviciilor relevante ale Comisiei și al organismelor de control au acces deplin la funcționalitățile instrumentului de evaluare a riscurilor Arachne în scopul evaluării riscurilor și la datele din sistem; și</w:t>
            </w:r>
          </w:p>
          <w:p w14:paraId="7DDDE26E" w14:textId="6B3A898B" w:rsidR="00702291" w:rsidRDefault="00712B31">
            <w:pPr>
              <w:pStyle w:val="P68B1DB1-Normal32"/>
              <w:spacing w:after="120" w:line="240" w:lineRule="auto"/>
              <w:ind w:left="52"/>
              <w:textAlignment w:val="baseline"/>
              <w:rPr>
                <w:rFonts w:eastAsiaTheme="minorHAnsi"/>
                <w:noProof/>
              </w:rPr>
            </w:pPr>
            <w:r>
              <w:rPr>
                <w:noProof/>
              </w:rPr>
              <w:t>(IV) obligația autorităților de a pregăti proceduri care să stabilească cerințe detaliate pentru utilizarea practică a instrumentului de evaluare a riscurilor Arachne și pentru încărcarea în timp util și cuprinzătoare a datelor în cadrul acestuia.</w:t>
            </w:r>
          </w:p>
        </w:tc>
      </w:tr>
      <w:tr w:rsidR="00702291" w14:paraId="214AE2AC"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6D25056" w14:textId="265FB6D6" w:rsidR="00702291" w:rsidRDefault="00712B31">
            <w:pPr>
              <w:pStyle w:val="P68B1DB1-Normal32"/>
              <w:spacing w:after="120" w:line="240" w:lineRule="auto"/>
              <w:rPr>
                <w:rFonts w:eastAsiaTheme="minorHAnsi"/>
                <w:noProof/>
              </w:rPr>
            </w:pPr>
            <w:r>
              <w:rPr>
                <w:noProof/>
              </w:rPr>
              <w:t>79</w:t>
            </w:r>
          </w:p>
        </w:tc>
        <w:tc>
          <w:tcPr>
            <w:tcW w:w="1712" w:type="dxa"/>
            <w:tcBorders>
              <w:top w:val="nil"/>
              <w:left w:val="nil"/>
              <w:bottom w:val="single" w:sz="4" w:space="0" w:color="auto"/>
              <w:right w:val="single" w:sz="4" w:space="0" w:color="auto"/>
            </w:tcBorders>
            <w:shd w:val="clear" w:color="auto" w:fill="C6EFCE"/>
            <w:noWrap/>
            <w:vAlign w:val="center"/>
          </w:tcPr>
          <w:p w14:paraId="6D60B9D2" w14:textId="5FFC9321" w:rsidR="00702291" w:rsidRDefault="00712B31">
            <w:pPr>
              <w:pStyle w:val="P68B1DB1-Normal32"/>
              <w:spacing w:after="120" w:line="240" w:lineRule="auto"/>
              <w:ind w:left="52"/>
              <w:textAlignment w:val="baseline"/>
              <w:rPr>
                <w:rFonts w:eastAsiaTheme="minorHAnsi"/>
                <w:noProof/>
              </w:rPr>
            </w:pPr>
            <w:r>
              <w:rPr>
                <w:noProof/>
              </w:rPr>
              <w:t>C8.R20 Sistemul Arachne pentru sprijinul din partea Uniunii</w:t>
            </w:r>
          </w:p>
        </w:tc>
        <w:tc>
          <w:tcPr>
            <w:tcW w:w="1021" w:type="dxa"/>
            <w:tcBorders>
              <w:top w:val="nil"/>
              <w:left w:val="nil"/>
              <w:bottom w:val="single" w:sz="4" w:space="0" w:color="auto"/>
              <w:right w:val="single" w:sz="4" w:space="0" w:color="auto"/>
            </w:tcBorders>
            <w:shd w:val="clear" w:color="auto" w:fill="C6EFCE"/>
            <w:noWrap/>
            <w:vAlign w:val="center"/>
          </w:tcPr>
          <w:p w14:paraId="32C5B18A" w14:textId="67AA503B"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6538C589" w14:textId="0BD4D4D5" w:rsidR="00702291" w:rsidRDefault="00712B31">
            <w:pPr>
              <w:pStyle w:val="P68B1DB1-Normal32"/>
              <w:spacing w:after="120" w:line="240" w:lineRule="auto"/>
              <w:rPr>
                <w:rFonts w:eastAsiaTheme="minorHAnsi"/>
                <w:noProof/>
              </w:rPr>
            </w:pPr>
            <w:r>
              <w:rPr>
                <w:noProof/>
              </w:rPr>
              <w:t>Utilizarea sistematică a instrumentului de evaluare a riscurilor Arachne</w:t>
            </w:r>
          </w:p>
        </w:tc>
        <w:tc>
          <w:tcPr>
            <w:tcW w:w="1275" w:type="dxa"/>
            <w:tcBorders>
              <w:top w:val="nil"/>
              <w:left w:val="nil"/>
              <w:bottom w:val="single" w:sz="4" w:space="0" w:color="auto"/>
              <w:right w:val="single" w:sz="4" w:space="0" w:color="auto"/>
            </w:tcBorders>
            <w:shd w:val="clear" w:color="auto" w:fill="C6EFCE"/>
            <w:noWrap/>
            <w:vAlign w:val="center"/>
          </w:tcPr>
          <w:p w14:paraId="4DFF00C5" w14:textId="7EF5AA58" w:rsidR="00702291" w:rsidRDefault="00712B31">
            <w:pPr>
              <w:pStyle w:val="P68B1DB1-Normal32"/>
              <w:spacing w:after="120" w:line="240" w:lineRule="auto"/>
              <w:rPr>
                <w:rFonts w:eastAsiaTheme="minorHAnsi"/>
                <w:noProof/>
              </w:rPr>
            </w:pPr>
            <w:r>
              <w:rPr>
                <w:noProof/>
              </w:rPr>
              <w:t>Raport de audit care confirmă caracterul adecvat al procedurilor privind utilizarea sistematică și eficace a instrumentului de evaluare a riscurilor Arachne și exhaustivitatea datelor încărcate în Arachne</w:t>
            </w:r>
          </w:p>
        </w:tc>
        <w:tc>
          <w:tcPr>
            <w:tcW w:w="1134" w:type="dxa"/>
            <w:tcBorders>
              <w:top w:val="nil"/>
              <w:left w:val="nil"/>
              <w:bottom w:val="single" w:sz="4" w:space="0" w:color="auto"/>
              <w:right w:val="single" w:sz="4" w:space="0" w:color="auto"/>
            </w:tcBorders>
            <w:shd w:val="clear" w:color="auto" w:fill="C6EFCE"/>
            <w:noWrap/>
          </w:tcPr>
          <w:p w14:paraId="4ACD63E7"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447E62B2"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3F9D0EF8"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75424CD" w14:textId="73CA66D5"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421484BE" w14:textId="6BC59DA6"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008A95E6" w14:textId="7FC20251" w:rsidR="00702291" w:rsidRDefault="00712B31">
            <w:pPr>
              <w:pStyle w:val="P68B1DB1-Normal32"/>
              <w:spacing w:after="120" w:line="240" w:lineRule="auto"/>
              <w:ind w:left="52"/>
              <w:textAlignment w:val="baseline"/>
              <w:rPr>
                <w:noProof/>
              </w:rPr>
            </w:pPr>
            <w:r>
              <w:rPr>
                <w:noProof/>
              </w:rPr>
              <w:t xml:space="preserve">În ceea ce privește planul de redresare și reziliență și sprijinul din partea Uniunii din fondurile acordate în temeiul Regulamentului (UE) 2021/1060, cu excepția sprijinului acordat în cadrul obiectivului de cooperare teritorială europeană, un raport de audit cu o opinie de audit fără rezerve din partea autorității de audit (EUTAF) verifică dacă: </w:t>
            </w:r>
          </w:p>
          <w:p w14:paraId="5FA5552C" w14:textId="3643AC3C" w:rsidR="00702291" w:rsidRDefault="00712B31">
            <w:pPr>
              <w:pStyle w:val="P68B1DB1-Normal32"/>
              <w:spacing w:after="120" w:line="240" w:lineRule="auto"/>
              <w:ind w:left="52"/>
              <w:textAlignment w:val="baseline"/>
              <w:rPr>
                <w:noProof/>
              </w:rPr>
            </w:pPr>
            <w:r>
              <w:rPr>
                <w:noProof/>
              </w:rPr>
              <w:t>(I) caracterul adecvat al procedurilor prevăzute în jalonul 78 asigură încărcarea unui set complet de informații o dată la două luni;</w:t>
            </w:r>
          </w:p>
          <w:p w14:paraId="64C150CD" w14:textId="77777777" w:rsidR="00702291" w:rsidRDefault="00712B31">
            <w:pPr>
              <w:pStyle w:val="P68B1DB1-Normal32"/>
              <w:spacing w:after="120" w:line="240" w:lineRule="auto"/>
              <w:ind w:left="52"/>
              <w:textAlignment w:val="baseline"/>
              <w:rPr>
                <w:noProof/>
              </w:rPr>
            </w:pPr>
            <w:r>
              <w:rPr>
                <w:noProof/>
              </w:rPr>
              <w:t xml:space="preserve">(II) datele prevăzute în dreptul aplicabil al Uniunii au fost efectiv încărcate integral în Arachne: și </w:t>
            </w:r>
          </w:p>
          <w:p w14:paraId="6745A947" w14:textId="77777777" w:rsidR="00702291" w:rsidRDefault="00712B31">
            <w:pPr>
              <w:pStyle w:val="P68B1DB1-Normal32"/>
              <w:spacing w:after="120" w:line="240" w:lineRule="auto"/>
              <w:ind w:left="52"/>
              <w:textAlignment w:val="baseline"/>
              <w:rPr>
                <w:noProof/>
              </w:rPr>
            </w:pPr>
            <w:r>
              <w:rPr>
                <w:noProof/>
              </w:rPr>
              <w:t>(III) organismele naționale instituie mecanisme pentru a asigura monitorizarea sistematică și periodică a evaluării riscurilor generate de sistemul Arachne.</w:t>
            </w:r>
          </w:p>
          <w:p w14:paraId="283556AD" w14:textId="1F6D3DD7" w:rsidR="00702291" w:rsidRDefault="00712B31">
            <w:pPr>
              <w:pStyle w:val="P68B1DB1-Normal32"/>
              <w:spacing w:after="120" w:line="240" w:lineRule="auto"/>
              <w:ind w:left="52"/>
              <w:textAlignment w:val="baseline"/>
              <w:rPr>
                <w:rFonts w:eastAsiaTheme="minorHAnsi"/>
                <w:noProof/>
              </w:rPr>
            </w:pPr>
            <w:r>
              <w:rPr>
                <w:noProof/>
              </w:rPr>
              <w:t>În ceea ce privește fondurile în temeiul Regulamentului (UE) 2021/2115 în Ungaria, se adoptă un plan de acțiune pentru a aplica aceleași proceduri ca cele prezentate mai sus.</w:t>
            </w:r>
          </w:p>
        </w:tc>
      </w:tr>
      <w:tr w:rsidR="00702291" w14:paraId="6D106999"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8F1C046" w14:textId="0BE28942" w:rsidR="00702291" w:rsidRDefault="00712B31">
            <w:pPr>
              <w:pStyle w:val="P68B1DB1-Normal32"/>
              <w:spacing w:after="120" w:line="240" w:lineRule="auto"/>
              <w:rPr>
                <w:rFonts w:eastAsiaTheme="minorHAnsi"/>
                <w:noProof/>
              </w:rPr>
            </w:pPr>
            <w:r>
              <w:rPr>
                <w:noProof/>
              </w:rPr>
              <w:t>80</w:t>
            </w:r>
          </w:p>
        </w:tc>
        <w:tc>
          <w:tcPr>
            <w:tcW w:w="1712" w:type="dxa"/>
            <w:tcBorders>
              <w:top w:val="nil"/>
              <w:left w:val="nil"/>
              <w:bottom w:val="single" w:sz="4" w:space="0" w:color="auto"/>
              <w:right w:val="single" w:sz="4" w:space="0" w:color="auto"/>
            </w:tcBorders>
            <w:shd w:val="clear" w:color="auto" w:fill="C6EFCE"/>
            <w:noWrap/>
            <w:vAlign w:val="center"/>
          </w:tcPr>
          <w:p w14:paraId="0D6A048A" w14:textId="5B892D6B" w:rsidR="00702291" w:rsidRDefault="00712B31">
            <w:pPr>
              <w:pStyle w:val="P68B1DB1-Normal32"/>
              <w:spacing w:after="120" w:line="240" w:lineRule="auto"/>
              <w:rPr>
                <w:noProof/>
              </w:rPr>
            </w:pPr>
            <w:r>
              <w:rPr>
                <w:noProof/>
              </w:rPr>
              <w:t>C8.R21: Înființarea unei Direcții de Audit Intern și Integritate pentru a consolida controlul conflictelor de interese atunci când se pune în aplicare sprijinul acordat de Uniune</w:t>
            </w:r>
          </w:p>
        </w:tc>
        <w:tc>
          <w:tcPr>
            <w:tcW w:w="1021" w:type="dxa"/>
            <w:tcBorders>
              <w:top w:val="nil"/>
              <w:left w:val="nil"/>
              <w:bottom w:val="single" w:sz="4" w:space="0" w:color="auto"/>
              <w:right w:val="single" w:sz="4" w:space="0" w:color="auto"/>
            </w:tcBorders>
            <w:shd w:val="clear" w:color="auto" w:fill="C6EFCE"/>
            <w:noWrap/>
            <w:vAlign w:val="center"/>
          </w:tcPr>
          <w:p w14:paraId="373CE412" w14:textId="4EEFFF11"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36065A62" w14:textId="68191B4C" w:rsidR="00702291" w:rsidRDefault="00712B31">
            <w:pPr>
              <w:pStyle w:val="P68B1DB1-Normal32"/>
              <w:spacing w:after="120" w:line="240" w:lineRule="auto"/>
              <w:rPr>
                <w:rFonts w:eastAsiaTheme="minorHAnsi"/>
                <w:noProof/>
              </w:rPr>
            </w:pPr>
            <w:r>
              <w:rPr>
                <w:noProof/>
              </w:rPr>
              <w:t>Asigurarea prevenirii, detectării și corectării eficace a fraudei și a corupției în punerea în aplicare a sprijinului acordat de Uniune prin înființarea și funcționarea deplină a unei noi direcții de audit intern și integritate (DIAI)</w:t>
            </w:r>
          </w:p>
        </w:tc>
        <w:tc>
          <w:tcPr>
            <w:tcW w:w="1275" w:type="dxa"/>
            <w:tcBorders>
              <w:top w:val="nil"/>
              <w:left w:val="nil"/>
              <w:bottom w:val="single" w:sz="4" w:space="0" w:color="auto"/>
              <w:right w:val="single" w:sz="4" w:space="0" w:color="auto"/>
            </w:tcBorders>
            <w:shd w:val="clear" w:color="auto" w:fill="C6EFCE"/>
            <w:noWrap/>
            <w:vAlign w:val="center"/>
          </w:tcPr>
          <w:p w14:paraId="2CC64542" w14:textId="3C24BA23" w:rsidR="00702291" w:rsidRDefault="00712B31">
            <w:pPr>
              <w:pStyle w:val="P68B1DB1-Normal32"/>
              <w:spacing w:after="120" w:line="240" w:lineRule="auto"/>
              <w:rPr>
                <w:rFonts w:eastAsiaTheme="minorHAnsi"/>
                <w:noProof/>
              </w:rPr>
            </w:pPr>
            <w:r>
              <w:rPr>
                <w:noProof/>
              </w:rPr>
              <w:t xml:space="preserve">Dispoziție în actul juridic care indică intrarea sa în vigoare </w:t>
            </w:r>
          </w:p>
        </w:tc>
        <w:tc>
          <w:tcPr>
            <w:tcW w:w="1134" w:type="dxa"/>
            <w:tcBorders>
              <w:top w:val="nil"/>
              <w:left w:val="nil"/>
              <w:bottom w:val="single" w:sz="4" w:space="0" w:color="auto"/>
              <w:right w:val="single" w:sz="4" w:space="0" w:color="auto"/>
            </w:tcBorders>
            <w:shd w:val="clear" w:color="auto" w:fill="C6EFCE"/>
            <w:noWrap/>
          </w:tcPr>
          <w:p w14:paraId="4D5BBEC8"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53B2D546"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0EACB75F"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303824B" w14:textId="1788AFB4"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8AA355E" w14:textId="3537D9A0"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52944FB6" w14:textId="77777777" w:rsidR="00702291" w:rsidRDefault="00712B31">
            <w:pPr>
              <w:pStyle w:val="P68B1DB1-Normal32"/>
              <w:spacing w:after="120" w:line="240" w:lineRule="auto"/>
              <w:ind w:left="52"/>
              <w:textAlignment w:val="baseline"/>
              <w:rPr>
                <w:noProof/>
              </w:rPr>
            </w:pPr>
            <w:r>
              <w:rPr>
                <w:noProof/>
              </w:rPr>
              <w:t>Intrarea în vigoare a unui act juridic care prevede înființarea unei noi Direcții de Audit Intern și Integritate (DIAI). Actul juridic respectiv prevede că:</w:t>
            </w:r>
          </w:p>
          <w:p w14:paraId="32353D69" w14:textId="77777777" w:rsidR="00702291" w:rsidRDefault="00712B31">
            <w:pPr>
              <w:pStyle w:val="P68B1DB1-Normal32"/>
              <w:spacing w:after="120" w:line="240" w:lineRule="auto"/>
              <w:ind w:left="52"/>
              <w:textAlignment w:val="baseline"/>
              <w:rPr>
                <w:noProof/>
              </w:rPr>
            </w:pPr>
            <w:r>
              <w:rPr>
                <w:noProof/>
              </w:rPr>
              <w:t xml:space="preserve">(I) independența DIAI este garantată prin numirea personalului său de rang înalt, durata mandatului acestuia fără posibilitatea de a-l demite; </w:t>
            </w:r>
          </w:p>
          <w:p w14:paraId="5266B75D" w14:textId="77777777" w:rsidR="00702291" w:rsidRDefault="00712B31">
            <w:pPr>
              <w:pStyle w:val="P68B1DB1-Normal32"/>
              <w:spacing w:after="120" w:line="240" w:lineRule="auto"/>
              <w:ind w:left="52"/>
              <w:textAlignment w:val="baseline"/>
              <w:rPr>
                <w:noProof/>
              </w:rPr>
            </w:pPr>
            <w:r>
              <w:rPr>
                <w:noProof/>
              </w:rPr>
              <w:t xml:space="preserve">(II) selecția personalului DIAI se bazează pe criterii obiective; </w:t>
            </w:r>
          </w:p>
          <w:p w14:paraId="7F45767B" w14:textId="77777777" w:rsidR="00702291" w:rsidRDefault="00712B31">
            <w:pPr>
              <w:pStyle w:val="P68B1DB1-Normal32"/>
              <w:spacing w:after="120" w:line="240" w:lineRule="auto"/>
              <w:ind w:left="52"/>
              <w:textAlignment w:val="baseline"/>
              <w:rPr>
                <w:noProof/>
              </w:rPr>
            </w:pPr>
            <w:r>
              <w:rPr>
                <w:noProof/>
              </w:rPr>
              <w:t xml:space="preserve">(III) faptul că DIAI are competența de a acționa în legătură cu organismele implicate în punerea în aplicare a sprijinului acordat de Uniune în Ungaria; </w:t>
            </w:r>
          </w:p>
          <w:p w14:paraId="40FA6137" w14:textId="77777777" w:rsidR="00702291" w:rsidRDefault="00712B31">
            <w:pPr>
              <w:pStyle w:val="P68B1DB1-Normal32"/>
              <w:spacing w:after="120" w:line="240" w:lineRule="auto"/>
              <w:ind w:left="52"/>
              <w:textAlignment w:val="baseline"/>
              <w:rPr>
                <w:noProof/>
              </w:rPr>
            </w:pPr>
            <w:r>
              <w:rPr>
                <w:noProof/>
              </w:rPr>
              <w:t xml:space="preserve">(IV) că, la cerere, DIAI oferă fără întârziere acces deplin la toate declarațiile privind conflictele de interese și la toate dosarele sale Autorității de Integritate; </w:t>
            </w:r>
          </w:p>
          <w:p w14:paraId="50618EBC" w14:textId="77777777" w:rsidR="00702291" w:rsidRDefault="00712B31">
            <w:pPr>
              <w:pStyle w:val="P68B1DB1-Normal32"/>
              <w:spacing w:after="120" w:line="240" w:lineRule="auto"/>
              <w:ind w:left="52"/>
              <w:textAlignment w:val="baseline"/>
              <w:rPr>
                <w:noProof/>
              </w:rPr>
            </w:pPr>
            <w:r>
              <w:rPr>
                <w:noProof/>
              </w:rPr>
              <w:t xml:space="preserve">(V) că există un regulament de procedură care reglementează structura sa instituțională și metodele sale de lucru și că acesta face obiectul supravegherii de către Autoritatea de Integritate; </w:t>
            </w:r>
          </w:p>
          <w:p w14:paraId="55E7EC22" w14:textId="3D5AC39F" w:rsidR="00702291" w:rsidRDefault="00712B31">
            <w:pPr>
              <w:pStyle w:val="P68B1DB1-Normal32"/>
              <w:spacing w:after="120" w:line="240" w:lineRule="auto"/>
              <w:ind w:left="52"/>
              <w:textAlignment w:val="baseline"/>
              <w:rPr>
                <w:noProof/>
              </w:rPr>
            </w:pPr>
            <w:r>
              <w:rPr>
                <w:noProof/>
              </w:rPr>
              <w:t xml:space="preserve">(VI) alocarea de resurse financiare și umane suficiente pentru îndeplinirea sarcinilor sale; </w:t>
            </w:r>
          </w:p>
          <w:p w14:paraId="6EAD848C" w14:textId="77777777" w:rsidR="00702291" w:rsidRDefault="00712B31">
            <w:pPr>
              <w:pStyle w:val="P68B1DB1-Normal32"/>
              <w:spacing w:after="120" w:line="240" w:lineRule="auto"/>
              <w:ind w:left="52"/>
              <w:textAlignment w:val="baseline"/>
              <w:rPr>
                <w:noProof/>
              </w:rPr>
            </w:pPr>
            <w:r>
              <w:rPr>
                <w:noProof/>
              </w:rPr>
              <w:t xml:space="preserve">(VII) că DIAI controlează periodic veridicitatea declarațiilor privind conflictele de interese depuse în legătură cu punerea în aplicare a sprijinului acordat de Uniune în Ungaria și că informațiile privind aceste controale sunt stocate timp de cel puțin 5 ani; </w:t>
            </w:r>
          </w:p>
          <w:p w14:paraId="4A76E2EE" w14:textId="77777777" w:rsidR="00702291" w:rsidRDefault="00712B31">
            <w:pPr>
              <w:pStyle w:val="P68B1DB1-Normal32"/>
              <w:spacing w:after="120" w:line="240" w:lineRule="auto"/>
              <w:ind w:left="52"/>
              <w:textAlignment w:val="baseline"/>
              <w:rPr>
                <w:noProof/>
              </w:rPr>
            </w:pPr>
            <w:r>
              <w:rPr>
                <w:noProof/>
              </w:rPr>
              <w:t xml:space="preserve">(VIII) să fie posibilă raportarea anonimă a oricărei suspiciuni privind un conflict de interese; </w:t>
            </w:r>
          </w:p>
          <w:p w14:paraId="08AD0B38" w14:textId="77777777" w:rsidR="00702291" w:rsidRDefault="00712B31">
            <w:pPr>
              <w:pStyle w:val="P68B1DB1-Normal32"/>
              <w:spacing w:after="120" w:line="240" w:lineRule="auto"/>
              <w:ind w:left="52"/>
              <w:textAlignment w:val="baseline"/>
              <w:rPr>
                <w:noProof/>
              </w:rPr>
            </w:pPr>
            <w:r>
              <w:rPr>
                <w:noProof/>
              </w:rPr>
              <w:t xml:space="preserve">(IX) că DIAI investighează suspiciunile raportate; </w:t>
            </w:r>
          </w:p>
          <w:p w14:paraId="04CDFA85" w14:textId="4DEC98C1" w:rsidR="00702291" w:rsidRDefault="00712B31">
            <w:pPr>
              <w:pStyle w:val="P68B1DB1-Normal32"/>
              <w:spacing w:after="120" w:line="240" w:lineRule="auto"/>
              <w:ind w:left="52"/>
              <w:textAlignment w:val="baseline"/>
              <w:rPr>
                <w:rFonts w:eastAsia="Times New Roman"/>
                <w:noProof/>
              </w:rPr>
            </w:pPr>
            <w:r>
              <w:rPr>
                <w:noProof/>
              </w:rPr>
              <w:t>(X) că DIAI raportează anual Autorității de Integritate cu privire la activitatea sa.</w:t>
            </w:r>
          </w:p>
        </w:tc>
      </w:tr>
      <w:tr w:rsidR="00702291" w14:paraId="3369B033"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E41E4B6" w14:textId="40B7B80E" w:rsidR="00702291" w:rsidRDefault="00712B31">
            <w:pPr>
              <w:pStyle w:val="P68B1DB1-Normal32"/>
              <w:spacing w:after="120" w:line="240" w:lineRule="auto"/>
              <w:rPr>
                <w:rFonts w:eastAsiaTheme="minorHAnsi"/>
                <w:noProof/>
              </w:rPr>
            </w:pPr>
            <w:r>
              <w:rPr>
                <w:noProof/>
              </w:rPr>
              <w:t>81</w:t>
            </w:r>
          </w:p>
        </w:tc>
        <w:tc>
          <w:tcPr>
            <w:tcW w:w="1712" w:type="dxa"/>
            <w:tcBorders>
              <w:top w:val="nil"/>
              <w:left w:val="nil"/>
              <w:bottom w:val="single" w:sz="4" w:space="0" w:color="auto"/>
              <w:right w:val="single" w:sz="4" w:space="0" w:color="auto"/>
            </w:tcBorders>
            <w:shd w:val="clear" w:color="auto" w:fill="C6EFCE"/>
            <w:noWrap/>
            <w:vAlign w:val="center"/>
          </w:tcPr>
          <w:p w14:paraId="00EFE726" w14:textId="5D335A3A" w:rsidR="00702291" w:rsidRDefault="00712B31">
            <w:pPr>
              <w:pStyle w:val="P68B1DB1-Normal32"/>
              <w:spacing w:after="120" w:line="240" w:lineRule="auto"/>
              <w:rPr>
                <w:noProof/>
              </w:rPr>
            </w:pPr>
            <w:r>
              <w:rPr>
                <w:noProof/>
              </w:rPr>
              <w:t>C8.R22 Asigurarea capacității EUTAF de a-și îndeplini sarcinile</w:t>
            </w:r>
          </w:p>
        </w:tc>
        <w:tc>
          <w:tcPr>
            <w:tcW w:w="1021" w:type="dxa"/>
            <w:tcBorders>
              <w:top w:val="nil"/>
              <w:left w:val="nil"/>
              <w:bottom w:val="single" w:sz="4" w:space="0" w:color="auto"/>
              <w:right w:val="single" w:sz="4" w:space="0" w:color="auto"/>
            </w:tcBorders>
            <w:shd w:val="clear" w:color="auto" w:fill="C6EFCE"/>
            <w:noWrap/>
            <w:vAlign w:val="center"/>
          </w:tcPr>
          <w:p w14:paraId="0E8345CB" w14:textId="4EB70EF9"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5D193DEF" w14:textId="5FC64EE8" w:rsidR="00702291" w:rsidRDefault="00712B31">
            <w:pPr>
              <w:pStyle w:val="P68B1DB1-Normal32"/>
              <w:spacing w:after="120" w:line="240" w:lineRule="auto"/>
              <w:rPr>
                <w:rFonts w:eastAsiaTheme="minorHAnsi"/>
                <w:noProof/>
              </w:rPr>
            </w:pPr>
            <w:r>
              <w:rPr>
                <w:noProof/>
              </w:rPr>
              <w:t>Asigurarea prevenirii, detectării și corectării eficace a fraudei și a corupției în punerea în aplicare a sprijinului acordat de Uniune prin intermediul unei capacități adecvate pentru EUTAF</w:t>
            </w:r>
          </w:p>
        </w:tc>
        <w:tc>
          <w:tcPr>
            <w:tcW w:w="1275" w:type="dxa"/>
            <w:tcBorders>
              <w:top w:val="nil"/>
              <w:left w:val="nil"/>
              <w:bottom w:val="single" w:sz="4" w:space="0" w:color="auto"/>
              <w:right w:val="single" w:sz="4" w:space="0" w:color="auto"/>
            </w:tcBorders>
            <w:shd w:val="clear" w:color="auto" w:fill="C6EFCE"/>
            <w:noWrap/>
            <w:vAlign w:val="center"/>
          </w:tcPr>
          <w:p w14:paraId="2C69E037" w14:textId="55CDFC10" w:rsidR="00702291" w:rsidRDefault="00712B31">
            <w:pPr>
              <w:pStyle w:val="P68B1DB1-Normal32"/>
              <w:spacing w:after="120" w:line="240" w:lineRule="auto"/>
              <w:rPr>
                <w:rFonts w:eastAsiaTheme="minorHAnsi"/>
                <w:noProof/>
              </w:rPr>
            </w:pPr>
            <w:r>
              <w:rPr>
                <w:noProof/>
              </w:rPr>
              <w:t>Dispoziție din actul (actele) juridic (e) care indică intrarea sa în vigoare</w:t>
            </w:r>
          </w:p>
        </w:tc>
        <w:tc>
          <w:tcPr>
            <w:tcW w:w="1134" w:type="dxa"/>
            <w:tcBorders>
              <w:top w:val="nil"/>
              <w:left w:val="nil"/>
              <w:bottom w:val="single" w:sz="4" w:space="0" w:color="auto"/>
              <w:right w:val="single" w:sz="4" w:space="0" w:color="auto"/>
            </w:tcBorders>
            <w:shd w:val="clear" w:color="auto" w:fill="C6EFCE"/>
            <w:noWrap/>
          </w:tcPr>
          <w:p w14:paraId="74CB6CCD" w14:textId="5A4BCD39" w:rsidR="00702291" w:rsidRDefault="00712B31">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3B19F7F9" w14:textId="290CF4A0" w:rsidR="00702291" w:rsidRDefault="00712B31">
            <w:pPr>
              <w:pStyle w:val="P68B1DB1-Normal32"/>
              <w:spacing w:after="120" w:line="240" w:lineRule="auto"/>
              <w:rPr>
                <w:rFonts w:eastAsia="Calibri"/>
                <w:noProof/>
              </w:rPr>
            </w:pPr>
            <w:r>
              <w:rPr>
                <w:noProof/>
              </w:rPr>
              <w:t xml:space="preserve"> </w:t>
            </w:r>
          </w:p>
        </w:tc>
        <w:tc>
          <w:tcPr>
            <w:tcW w:w="993" w:type="dxa"/>
            <w:tcBorders>
              <w:top w:val="nil"/>
              <w:left w:val="nil"/>
              <w:bottom w:val="single" w:sz="4" w:space="0" w:color="auto"/>
              <w:right w:val="single" w:sz="4" w:space="0" w:color="auto"/>
            </w:tcBorders>
            <w:shd w:val="clear" w:color="auto" w:fill="C6EFCE"/>
            <w:noWrap/>
          </w:tcPr>
          <w:p w14:paraId="6E4ADCE7" w14:textId="71116DB2" w:rsidR="00702291" w:rsidRDefault="00712B31">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490974C4" w14:textId="50AC98EE"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AD15DF2" w14:textId="688835CC"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1FE7F84" w14:textId="77777777" w:rsidR="00702291" w:rsidRDefault="00712B31">
            <w:pPr>
              <w:pStyle w:val="P68B1DB1-Normal32"/>
              <w:spacing w:after="120" w:line="240" w:lineRule="auto"/>
              <w:ind w:left="52"/>
              <w:textAlignment w:val="baseline"/>
              <w:rPr>
                <w:rFonts w:eastAsia="Times New Roman"/>
                <w:noProof/>
              </w:rPr>
            </w:pPr>
            <w:r>
              <w:rPr>
                <w:noProof/>
              </w:rPr>
              <w:t>Intră în vigoare un act (acte) juridic (e) care prevede (prevăd) alocarea resurselor financiare și umane necesare pentru ca EUTAF să își protejeze independența și să îi permită să își îndeplinească sarcinile în mod eficace. Modificările legislative prevăd că: </w:t>
            </w:r>
          </w:p>
          <w:p w14:paraId="7B6EC8AF" w14:textId="77777777" w:rsidR="00702291" w:rsidRDefault="00712B31">
            <w:pPr>
              <w:pStyle w:val="P68B1DB1-Normal32"/>
              <w:spacing w:after="120" w:line="240" w:lineRule="auto"/>
              <w:ind w:left="52"/>
              <w:textAlignment w:val="baseline"/>
              <w:rPr>
                <w:rFonts w:eastAsia="Times New Roman"/>
                <w:noProof/>
              </w:rPr>
            </w:pPr>
            <w:r>
              <w:rPr>
                <w:noProof/>
              </w:rPr>
              <w:t>Bugetul anual al EUTAF se stabilește pe baza unei propuneri inițiale a EUTAF și se modifică numai dacă acest lucru este justificat în mod public și nu subminează capacitatea EUTAF de a-și îndeplini sarcinile în mod eficace și în timp util. </w:t>
            </w:r>
          </w:p>
          <w:p w14:paraId="6415EAB1" w14:textId="77777777" w:rsidR="00702291" w:rsidRDefault="00712B31">
            <w:pPr>
              <w:pStyle w:val="P68B1DB1-Normal32"/>
              <w:spacing w:after="120" w:line="240" w:lineRule="auto"/>
              <w:ind w:left="52"/>
              <w:textAlignment w:val="baseline"/>
              <w:rPr>
                <w:rFonts w:eastAsia="Times New Roman"/>
                <w:noProof/>
              </w:rPr>
            </w:pPr>
            <w:r>
              <w:rPr>
                <w:noProof/>
              </w:rPr>
              <w:t>Remunerația șefului EUTAF se stabilește la 70 % din remunerația președintelui Biroului Național de Audit. </w:t>
            </w:r>
          </w:p>
          <w:p w14:paraId="1D0DBF1E" w14:textId="37D971BA" w:rsidR="00702291" w:rsidRDefault="00712B31">
            <w:pPr>
              <w:pStyle w:val="P68B1DB1-Normal32"/>
              <w:spacing w:after="120" w:line="240" w:lineRule="auto"/>
              <w:ind w:left="52"/>
              <w:textAlignment w:val="baseline"/>
              <w:rPr>
                <w:rFonts w:eastAsiaTheme="minorHAnsi"/>
                <w:noProof/>
              </w:rPr>
            </w:pPr>
            <w:r>
              <w:rPr>
                <w:noProof/>
              </w:rPr>
              <w:t xml:space="preserve">Independența funcțională și profesională a EUTAF este menținută, iar personalul EUTAF continuă să nu solicite și să nu accepte instrucțiuni cu privire la activitatea sa de audit. </w:t>
            </w:r>
          </w:p>
        </w:tc>
      </w:tr>
      <w:tr w:rsidR="00702291" w14:paraId="4AC3C320"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78D9A1E" w14:textId="42F4EB86" w:rsidR="00702291" w:rsidRDefault="00712B31">
            <w:pPr>
              <w:pStyle w:val="P68B1DB1-Normal32"/>
              <w:spacing w:after="120" w:line="240" w:lineRule="auto"/>
              <w:rPr>
                <w:rFonts w:eastAsiaTheme="minorHAnsi"/>
                <w:noProof/>
              </w:rPr>
            </w:pPr>
            <w:r>
              <w:rPr>
                <w:noProof/>
              </w:rPr>
              <w:t>82</w:t>
            </w:r>
          </w:p>
        </w:tc>
        <w:tc>
          <w:tcPr>
            <w:tcW w:w="1712" w:type="dxa"/>
            <w:tcBorders>
              <w:top w:val="nil"/>
              <w:left w:val="nil"/>
              <w:bottom w:val="single" w:sz="4" w:space="0" w:color="auto"/>
              <w:right w:val="single" w:sz="4" w:space="0" w:color="auto"/>
            </w:tcBorders>
            <w:shd w:val="clear" w:color="auto" w:fill="C6EFCE"/>
            <w:noWrap/>
            <w:vAlign w:val="center"/>
          </w:tcPr>
          <w:p w14:paraId="1E5E393E" w14:textId="16195A82" w:rsidR="00702291" w:rsidRDefault="00712B31">
            <w:pPr>
              <w:pStyle w:val="P68B1DB1-Normal32"/>
              <w:spacing w:after="120" w:line="240" w:lineRule="auto"/>
              <w:rPr>
                <w:noProof/>
              </w:rPr>
            </w:pPr>
            <w:r>
              <w:rPr>
                <w:noProof/>
              </w:rPr>
              <w:t>C8.R23 Cooperarea cu OLAF pentru a consolida detectarea fraudelor legate de utilizarea sprijinului din partea Uniunii</w:t>
            </w:r>
          </w:p>
        </w:tc>
        <w:tc>
          <w:tcPr>
            <w:tcW w:w="1021" w:type="dxa"/>
            <w:tcBorders>
              <w:top w:val="nil"/>
              <w:left w:val="nil"/>
              <w:bottom w:val="single" w:sz="4" w:space="0" w:color="auto"/>
              <w:right w:val="single" w:sz="4" w:space="0" w:color="auto"/>
            </w:tcBorders>
            <w:shd w:val="clear" w:color="auto" w:fill="C6EFCE"/>
            <w:noWrap/>
            <w:vAlign w:val="center"/>
          </w:tcPr>
          <w:p w14:paraId="1FC6D47F" w14:textId="03C5707C" w:rsidR="00702291" w:rsidRDefault="00712B31">
            <w:pPr>
              <w:pStyle w:val="P68B1DB1-Normal32"/>
              <w:spacing w:after="120" w:line="240" w:lineRule="auto"/>
              <w:rPr>
                <w:rFonts w:eastAsiaTheme="minorHAnsi"/>
                <w:noProof/>
              </w:rPr>
            </w:pPr>
            <w:r>
              <w:rPr>
                <w:noProof/>
              </w:rPr>
              <w:t xml:space="preserve">Etapă </w:t>
            </w:r>
          </w:p>
        </w:tc>
        <w:tc>
          <w:tcPr>
            <w:tcW w:w="1843" w:type="dxa"/>
            <w:tcBorders>
              <w:top w:val="nil"/>
              <w:left w:val="nil"/>
              <w:bottom w:val="single" w:sz="4" w:space="0" w:color="auto"/>
              <w:right w:val="single" w:sz="4" w:space="0" w:color="auto"/>
            </w:tcBorders>
            <w:shd w:val="clear" w:color="auto" w:fill="C6EFCE"/>
            <w:noWrap/>
            <w:vAlign w:val="center"/>
          </w:tcPr>
          <w:p w14:paraId="29D2BEDD" w14:textId="4878E6D7" w:rsidR="00702291" w:rsidRDefault="00712B31">
            <w:pPr>
              <w:pStyle w:val="P68B1DB1-Normal32"/>
              <w:spacing w:after="120" w:line="240" w:lineRule="auto"/>
              <w:rPr>
                <w:rFonts w:eastAsiaTheme="minorHAnsi"/>
                <w:noProof/>
              </w:rPr>
            </w:pPr>
            <w:r>
              <w:rPr>
                <w:noProof/>
              </w:rPr>
              <w:t>Desemnarea unei autorități naționale responsabile cu acordarea de asistență OLAF în ceea ce privește controalele sale la fața locului în Ungaria și introducerea posibilității de a aplica sancțiuni financiare actorilor economici necooperanți</w:t>
            </w:r>
          </w:p>
        </w:tc>
        <w:tc>
          <w:tcPr>
            <w:tcW w:w="1275" w:type="dxa"/>
            <w:tcBorders>
              <w:top w:val="nil"/>
              <w:left w:val="nil"/>
              <w:bottom w:val="single" w:sz="4" w:space="0" w:color="auto"/>
              <w:right w:val="single" w:sz="4" w:space="0" w:color="auto"/>
            </w:tcBorders>
            <w:shd w:val="clear" w:color="auto" w:fill="C6EFCE"/>
            <w:noWrap/>
            <w:vAlign w:val="center"/>
          </w:tcPr>
          <w:p w14:paraId="14F0FD01" w14:textId="613C9CDF" w:rsidR="00702291" w:rsidRDefault="00712B31">
            <w:pPr>
              <w:pStyle w:val="P68B1DB1-Normal32"/>
              <w:spacing w:after="120" w:line="240" w:lineRule="auto"/>
              <w:rPr>
                <w:rFonts w:eastAsiaTheme="minorHAnsi"/>
                <w:noProof/>
              </w:rPr>
            </w:pPr>
            <w:r>
              <w:rPr>
                <w:noProof/>
              </w:rPr>
              <w:t>Dispoziție în actul juridic care indică intrarea sa în vigoare</w:t>
            </w:r>
          </w:p>
        </w:tc>
        <w:tc>
          <w:tcPr>
            <w:tcW w:w="1134" w:type="dxa"/>
            <w:tcBorders>
              <w:top w:val="nil"/>
              <w:left w:val="nil"/>
              <w:bottom w:val="single" w:sz="4" w:space="0" w:color="auto"/>
              <w:right w:val="single" w:sz="4" w:space="0" w:color="auto"/>
            </w:tcBorders>
            <w:shd w:val="clear" w:color="auto" w:fill="C6EFCE"/>
            <w:noWrap/>
          </w:tcPr>
          <w:p w14:paraId="7C26C53C"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76697FA3"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48527F55"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EBC81B" w14:textId="5EE2BB6A"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36880B0" w14:textId="0FD83447"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3E8E9304" w14:textId="77777777" w:rsidR="00702291" w:rsidRDefault="00712B31">
            <w:pPr>
              <w:pStyle w:val="P68B1DB1-Normal32"/>
              <w:spacing w:after="120" w:line="240" w:lineRule="auto"/>
              <w:ind w:left="52"/>
              <w:textAlignment w:val="baseline"/>
              <w:rPr>
                <w:rFonts w:eastAsia="Times New Roman"/>
                <w:noProof/>
              </w:rPr>
            </w:pPr>
            <w:r>
              <w:rPr>
                <w:noProof/>
              </w:rPr>
              <w:t>Intrarea în vigoare a actului (actelor) juridic (e) care prevede (prevăd):</w:t>
            </w:r>
          </w:p>
          <w:p w14:paraId="7EAAC323" w14:textId="3976DBE5" w:rsidR="00702291" w:rsidRDefault="00712B31">
            <w:pPr>
              <w:pStyle w:val="P68B1DB1-Normal32"/>
              <w:spacing w:after="120" w:line="240" w:lineRule="auto"/>
              <w:ind w:left="52"/>
              <w:textAlignment w:val="baseline"/>
              <w:rPr>
                <w:rFonts w:eastAsia="Times New Roman"/>
                <w:noProof/>
              </w:rPr>
            </w:pPr>
            <w:r>
              <w:rPr>
                <w:noProof/>
              </w:rPr>
              <w:t>(I) desemnarea Administrației Naționale Fiscale și Vamale (Nemzeti Adó- és Vámhivatal, NAV) ca autoritate națională competentă să asiste OLAF atunci când efectuează controale la fața locului în Ungaria și atunci când un operator economic care face obiectul acestor controale refuză să coopereze. Modificarea include o descriere a procedurii care trebuie urmată. Acesta introduce, de asemenea, posibilitatea prezenței unui gardian financiar la cererea OLAF. Garda financiară permite OLAF să își efectueze verificările și inspecțiile la fața locului, în special prin asigurarea punerii în aplicare pentru a proteja probele, astfel cum se prevede în Regulamentul (UE, Euratom) nr. 883/2013 și în Regulamentul (Euratom, CE) nr. 2185/96. Acestea includ următoarele tipuri de intervenții: (a) luarea de măsuri la fața locului [secțiunea 36/L din Legea CXXII din 2010 privind Nemzeti Adó- és Vámhivatal (denumită în continuare NAVtv.)], (b) solicitarea de informații [secțiunea 36 din NAVtv.], (c) verificarea identității [secțiunea 36/A din NAVtv.], (d) intrarea într-un loc care nu se califică drept reședință privată [secțiunea 36/G din NAVtv.], (e) protecția locului [secțiunea 36/I alineatul (1) din NAVtv.]. Modificarea prevede că, în cazul în care această asistență necesită o autorizație din partea unei autorități judiciare, o astfel de autorizație se solicită de către AFCOS național (serviciul național de coordonare antifraudă) cu cel puțin 72 de ore în avans. Pe baza unei astfel de autorizații, OLAF poate solicita prezența în prealabil a gardei financiare, în cazul în care există un risc de rezistență la un control și o inspecție la fața locului planificate.</w:t>
            </w:r>
          </w:p>
          <w:p w14:paraId="4B1DA159" w14:textId="780D08E0" w:rsidR="00702291" w:rsidRDefault="00712B31">
            <w:pPr>
              <w:pStyle w:val="P68B1DB1-Normal32"/>
              <w:spacing w:after="120" w:line="240" w:lineRule="auto"/>
              <w:ind w:left="52"/>
              <w:textAlignment w:val="baseline"/>
              <w:rPr>
                <w:rFonts w:eastAsiaTheme="minorHAnsi"/>
                <w:noProof/>
              </w:rPr>
            </w:pPr>
            <w:r>
              <w:rPr>
                <w:noProof/>
              </w:rPr>
              <w:t xml:space="preserve">(II) modificarea Legii XXIX din 2004 pentru a introduce un tip de sancțiune financiară disuasivă care să fie impusă în cazul în care un operator economic refuză să coopereze cu OLAF în scopul verificărilor și inspecțiilor la fața locului. </w:t>
            </w:r>
          </w:p>
        </w:tc>
      </w:tr>
      <w:tr w:rsidR="00702291" w14:paraId="2EC7F86E"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829BB84" w14:textId="48638C6A" w:rsidR="00702291" w:rsidRDefault="00712B31">
            <w:pPr>
              <w:pStyle w:val="P68B1DB1-Normal32"/>
              <w:spacing w:after="120" w:line="240" w:lineRule="auto"/>
              <w:rPr>
                <w:rFonts w:eastAsiaTheme="minorHAnsi"/>
                <w:noProof/>
              </w:rPr>
            </w:pPr>
            <w:r>
              <w:rPr>
                <w:noProof/>
              </w:rPr>
              <w:t>83</w:t>
            </w:r>
          </w:p>
        </w:tc>
        <w:tc>
          <w:tcPr>
            <w:tcW w:w="1712" w:type="dxa"/>
            <w:tcBorders>
              <w:top w:val="nil"/>
              <w:left w:val="nil"/>
              <w:bottom w:val="single" w:sz="4" w:space="0" w:color="auto"/>
              <w:right w:val="single" w:sz="4" w:space="0" w:color="auto"/>
            </w:tcBorders>
            <w:shd w:val="clear" w:color="auto" w:fill="C6EFCE"/>
            <w:noWrap/>
            <w:vAlign w:val="center"/>
          </w:tcPr>
          <w:p w14:paraId="440B6DBA" w14:textId="4848EAB7" w:rsidR="00702291" w:rsidRDefault="00712B31">
            <w:pPr>
              <w:pStyle w:val="P68B1DB1-Normal32"/>
              <w:spacing w:after="120" w:line="240" w:lineRule="auto"/>
              <w:rPr>
                <w:noProof/>
              </w:rPr>
            </w:pPr>
            <w:r>
              <w:rPr>
                <w:noProof/>
              </w:rPr>
              <w:t>C8.R24 Auditul și controlul planului de redresare și reziliență și protecția intereselor financiare ale Uniunii</w:t>
            </w:r>
          </w:p>
        </w:tc>
        <w:tc>
          <w:tcPr>
            <w:tcW w:w="1021" w:type="dxa"/>
            <w:tcBorders>
              <w:top w:val="nil"/>
              <w:left w:val="nil"/>
              <w:bottom w:val="single" w:sz="4" w:space="0" w:color="auto"/>
              <w:right w:val="single" w:sz="4" w:space="0" w:color="auto"/>
            </w:tcBorders>
            <w:shd w:val="clear" w:color="auto" w:fill="C6EFCE"/>
            <w:noWrap/>
            <w:vAlign w:val="center"/>
          </w:tcPr>
          <w:p w14:paraId="057D49F2" w14:textId="2CAA07AC"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328A866E" w14:textId="11F51872" w:rsidR="00702291" w:rsidRDefault="00712B31">
            <w:pPr>
              <w:pStyle w:val="P68B1DB1-Normal32"/>
              <w:spacing w:after="120" w:line="240" w:lineRule="auto"/>
              <w:rPr>
                <w:rFonts w:eastAsiaTheme="minorHAnsi"/>
                <w:noProof/>
              </w:rPr>
            </w:pPr>
            <w:r>
              <w:rPr>
                <w:noProof/>
              </w:rPr>
              <w:t>Sistemul de monitorizare pentru punerea în aplicare a planului de redresare și reziliență al Ungariei</w:t>
            </w:r>
          </w:p>
        </w:tc>
        <w:tc>
          <w:tcPr>
            <w:tcW w:w="1275" w:type="dxa"/>
            <w:tcBorders>
              <w:top w:val="nil"/>
              <w:left w:val="nil"/>
              <w:bottom w:val="single" w:sz="4" w:space="0" w:color="auto"/>
              <w:right w:val="single" w:sz="4" w:space="0" w:color="auto"/>
            </w:tcBorders>
            <w:shd w:val="clear" w:color="auto" w:fill="C6EFCE"/>
            <w:noWrap/>
            <w:vAlign w:val="center"/>
          </w:tcPr>
          <w:p w14:paraId="075408AD" w14:textId="02B7816B" w:rsidR="00702291" w:rsidRDefault="00712B31">
            <w:pPr>
              <w:pStyle w:val="P68B1DB1-Normal32"/>
              <w:spacing w:after="120" w:line="240" w:lineRule="auto"/>
              <w:rPr>
                <w:rFonts w:eastAsiaTheme="minorHAnsi"/>
                <w:noProof/>
              </w:rPr>
            </w:pPr>
            <w:r>
              <w:rPr>
                <w:noProof/>
              </w:rPr>
              <w:t>Opinia de audit a EUTAF care confirmă funcționarea sistemului de repertorii pentru planul de redresare și reziliență</w:t>
            </w:r>
          </w:p>
        </w:tc>
        <w:tc>
          <w:tcPr>
            <w:tcW w:w="1134" w:type="dxa"/>
            <w:tcBorders>
              <w:top w:val="nil"/>
              <w:left w:val="nil"/>
              <w:bottom w:val="single" w:sz="4" w:space="0" w:color="auto"/>
              <w:right w:val="single" w:sz="4" w:space="0" w:color="auto"/>
            </w:tcBorders>
            <w:shd w:val="clear" w:color="auto" w:fill="C6EFCE"/>
            <w:noWrap/>
            <w:vAlign w:val="center"/>
          </w:tcPr>
          <w:p w14:paraId="3DDD78BD"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46DC4B9"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220D3C9"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069931F" w14:textId="22F63674"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D3DE294" w14:textId="676F5DBE"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377287A" w14:textId="77777777" w:rsidR="00702291" w:rsidRDefault="00712B31">
            <w:pPr>
              <w:pStyle w:val="P68B1DB1-Normal32"/>
              <w:spacing w:after="120" w:line="240" w:lineRule="auto"/>
              <w:ind w:left="52"/>
              <w:textAlignment w:val="baseline"/>
              <w:rPr>
                <w:rFonts w:eastAsia="Times New Roman"/>
                <w:noProof/>
              </w:rPr>
            </w:pPr>
            <w:r>
              <w:rPr>
                <w:noProof/>
              </w:rPr>
              <w:t>Un raport de audit cu opinie de audit fără rezerve din partea autorității de audit (EUTAF) confirmă că sistemul de repertorii pentru monitorizarea punerii în aplicare a planului de redresare și reziliență este funcțional.</w:t>
            </w:r>
          </w:p>
          <w:p w14:paraId="4D58A0B8" w14:textId="77777777" w:rsidR="00702291" w:rsidRDefault="00712B31">
            <w:pPr>
              <w:pStyle w:val="P68B1DB1-Normal32"/>
              <w:spacing w:after="120" w:line="240" w:lineRule="auto"/>
              <w:ind w:left="52"/>
              <w:textAlignment w:val="baseline"/>
              <w:rPr>
                <w:rFonts w:eastAsia="Times New Roman"/>
                <w:noProof/>
              </w:rPr>
            </w:pPr>
            <w:r>
              <w:rPr>
                <w:noProof/>
              </w:rPr>
              <w:t>Sistemul de repertorii efectuează:</w:t>
            </w:r>
          </w:p>
          <w:p w14:paraId="5C1A88DC" w14:textId="77777777" w:rsidR="00702291" w:rsidRDefault="00712B31">
            <w:pPr>
              <w:pStyle w:val="P68B1DB1-Normal32"/>
              <w:spacing w:after="120" w:line="240" w:lineRule="auto"/>
              <w:ind w:left="52"/>
              <w:textAlignment w:val="baseline"/>
              <w:rPr>
                <w:rFonts w:eastAsia="Times New Roman"/>
                <w:noProof/>
              </w:rPr>
            </w:pPr>
            <w:r>
              <w:rPr>
                <w:noProof/>
              </w:rPr>
              <w:t>(a) colectarea de date și monitorizarea atingerii jaloanelor și a țintelor;</w:t>
            </w:r>
          </w:p>
          <w:p w14:paraId="01014DD9" w14:textId="77777777" w:rsidR="00702291" w:rsidRDefault="00712B31">
            <w:pPr>
              <w:pStyle w:val="P68B1DB1-Normal32"/>
              <w:spacing w:after="120" w:line="240" w:lineRule="auto"/>
              <w:ind w:left="52"/>
              <w:textAlignment w:val="baseline"/>
              <w:rPr>
                <w:rFonts w:eastAsia="Times New Roman"/>
                <w:noProof/>
              </w:rPr>
            </w:pPr>
            <w:r>
              <w:rPr>
                <w:noProof/>
              </w:rPr>
              <w:t>(b) colectarea, stocarea și accesul la datele prevăzute la articolul 22 alineatul (2) litera (d) punctele (i)-(iii) din Regulamentul privind MRR.</w:t>
            </w:r>
          </w:p>
          <w:p w14:paraId="2A2A2B32" w14:textId="2A141CDB" w:rsidR="00702291" w:rsidRDefault="00712B31">
            <w:pPr>
              <w:pStyle w:val="P68B1DB1-Normal32"/>
              <w:spacing w:after="120" w:line="240" w:lineRule="auto"/>
              <w:ind w:left="52"/>
              <w:textAlignment w:val="baseline"/>
              <w:rPr>
                <w:rFonts w:eastAsiaTheme="minorHAnsi"/>
                <w:noProof/>
              </w:rPr>
            </w:pPr>
            <w:r>
              <w:rPr>
                <w:noProof/>
              </w:rPr>
              <w:t xml:space="preserve">Accesul la date este asigurat pentru organismele naționale și europene în scopul auditului și al controlului. </w:t>
            </w:r>
          </w:p>
        </w:tc>
      </w:tr>
      <w:tr w:rsidR="00702291" w14:paraId="1E2309FE"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AA85104" w14:textId="70C41D65" w:rsidR="00702291" w:rsidRDefault="00712B31">
            <w:pPr>
              <w:pStyle w:val="P68B1DB1-Normal32"/>
              <w:spacing w:after="120" w:line="240" w:lineRule="auto"/>
              <w:rPr>
                <w:rFonts w:eastAsiaTheme="minorHAnsi"/>
                <w:noProof/>
              </w:rPr>
            </w:pPr>
            <w:r>
              <w:rPr>
                <w:noProof/>
              </w:rPr>
              <w:t>84</w:t>
            </w:r>
          </w:p>
        </w:tc>
        <w:tc>
          <w:tcPr>
            <w:tcW w:w="1712" w:type="dxa"/>
            <w:tcBorders>
              <w:top w:val="nil"/>
              <w:left w:val="nil"/>
              <w:bottom w:val="single" w:sz="4" w:space="0" w:color="auto"/>
              <w:right w:val="single" w:sz="4" w:space="0" w:color="auto"/>
            </w:tcBorders>
            <w:shd w:val="clear" w:color="auto" w:fill="C6EFCE"/>
            <w:noWrap/>
            <w:vAlign w:val="center"/>
          </w:tcPr>
          <w:p w14:paraId="4638D461" w14:textId="30B20EE6" w:rsidR="00702291" w:rsidRDefault="00712B31">
            <w:pPr>
              <w:pStyle w:val="P68B1DB1-Normal32"/>
              <w:spacing w:after="120" w:line="240" w:lineRule="auto"/>
              <w:rPr>
                <w:noProof/>
              </w:rPr>
            </w:pPr>
            <w:r>
              <w:rPr>
                <w:noProof/>
              </w:rPr>
              <w:t>C8.R24 Auditul și controlul planului de redresare și reziliență și protecția intereselor financiare ale Uniunii</w:t>
            </w:r>
          </w:p>
        </w:tc>
        <w:tc>
          <w:tcPr>
            <w:tcW w:w="1021" w:type="dxa"/>
            <w:tcBorders>
              <w:top w:val="nil"/>
              <w:left w:val="nil"/>
              <w:bottom w:val="single" w:sz="4" w:space="0" w:color="auto"/>
              <w:right w:val="single" w:sz="4" w:space="0" w:color="auto"/>
            </w:tcBorders>
            <w:shd w:val="clear" w:color="auto" w:fill="C6EFCE"/>
            <w:noWrap/>
            <w:vAlign w:val="center"/>
          </w:tcPr>
          <w:p w14:paraId="0D38637C" w14:textId="448C9EE6" w:rsidR="00702291" w:rsidRDefault="00712B31">
            <w:pPr>
              <w:pStyle w:val="P68B1DB1-Normal32"/>
              <w:spacing w:after="120" w:line="240" w:lineRule="auto"/>
              <w:rPr>
                <w:rFonts w:eastAsiaTheme="minorHAns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74D4225" w14:textId="61B8BBBD" w:rsidR="00702291" w:rsidRDefault="00712B31">
            <w:pPr>
              <w:pStyle w:val="P68B1DB1-Normal32"/>
              <w:spacing w:after="120" w:line="240" w:lineRule="auto"/>
              <w:rPr>
                <w:rFonts w:eastAsiaTheme="minorHAnsi"/>
                <w:noProof/>
              </w:rPr>
            </w:pPr>
            <w:r>
              <w:rPr>
                <w:noProof/>
              </w:rPr>
              <w:t>Auditul implementării planului de redresare și reziliență al Ungariei</w:t>
            </w:r>
          </w:p>
        </w:tc>
        <w:tc>
          <w:tcPr>
            <w:tcW w:w="1275" w:type="dxa"/>
            <w:tcBorders>
              <w:top w:val="nil"/>
              <w:left w:val="nil"/>
              <w:bottom w:val="single" w:sz="4" w:space="0" w:color="auto"/>
              <w:right w:val="single" w:sz="4" w:space="0" w:color="auto"/>
            </w:tcBorders>
            <w:shd w:val="clear" w:color="auto" w:fill="C6EFCE"/>
            <w:noWrap/>
            <w:vAlign w:val="center"/>
          </w:tcPr>
          <w:p w14:paraId="79EF64D2" w14:textId="070727DE" w:rsidR="00702291" w:rsidRDefault="00712B31">
            <w:pPr>
              <w:pStyle w:val="P68B1DB1-Normal32"/>
              <w:spacing w:after="120" w:line="240" w:lineRule="auto"/>
              <w:rPr>
                <w:rFonts w:eastAsiaTheme="minorHAnsi"/>
                <w:noProof/>
              </w:rPr>
            </w:pPr>
            <w:r>
              <w:rPr>
                <w:noProof/>
              </w:rPr>
              <w:t>Aprobarea unei strategii de audit de către EUTAF pentru planul de redresare și reziliență</w:t>
            </w:r>
          </w:p>
        </w:tc>
        <w:tc>
          <w:tcPr>
            <w:tcW w:w="1134" w:type="dxa"/>
            <w:tcBorders>
              <w:top w:val="nil"/>
              <w:left w:val="nil"/>
              <w:bottom w:val="single" w:sz="4" w:space="0" w:color="auto"/>
              <w:right w:val="single" w:sz="4" w:space="0" w:color="auto"/>
            </w:tcBorders>
            <w:shd w:val="clear" w:color="auto" w:fill="C6EFCE"/>
            <w:noWrap/>
            <w:vAlign w:val="center"/>
          </w:tcPr>
          <w:p w14:paraId="6FFBD541"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B312051"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16B18717"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39831A8" w14:textId="70BD364A" w:rsidR="00702291" w:rsidRDefault="00F233DB">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70B5CBA0" w14:textId="17E61CCD" w:rsidR="00702291" w:rsidRDefault="00712B31">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517C768E" w14:textId="77777777" w:rsidR="00702291" w:rsidRDefault="00712B31">
            <w:pPr>
              <w:pStyle w:val="P68B1DB1-Normal32"/>
              <w:spacing w:after="120" w:line="240" w:lineRule="auto"/>
              <w:ind w:left="52"/>
              <w:textAlignment w:val="baseline"/>
              <w:rPr>
                <w:noProof/>
              </w:rPr>
            </w:pPr>
            <w:r>
              <w:rPr>
                <w:noProof/>
              </w:rPr>
              <w:t xml:space="preserve">Aprobarea unei strategii de audit pentru autoritatea de audit (EUTAF), care să prevadă ca auditul punerii în aplicare a planului de redresare și reziliență al Ungariei să se efectueze în conformitate cu standardele de audit acceptate la nivel internațional pentru perioada care se încheie cel puțin la sfârșitul anului 2028. </w:t>
            </w:r>
          </w:p>
          <w:p w14:paraId="0951B1EA" w14:textId="21BD4EE3" w:rsidR="00702291" w:rsidRDefault="00712B31">
            <w:pPr>
              <w:pStyle w:val="P68B1DB1-Normal32"/>
              <w:spacing w:after="120" w:line="240" w:lineRule="auto"/>
              <w:ind w:left="52"/>
              <w:textAlignment w:val="baseline"/>
              <w:rPr>
                <w:rFonts w:eastAsiaTheme="minorHAnsi"/>
                <w:noProof/>
              </w:rPr>
            </w:pPr>
            <w:r>
              <w:rPr>
                <w:noProof/>
              </w:rPr>
              <w:t>Strategia stabilește metodologia și abordarea evaluării riscurilor, frecvența și tipul auditurilor (cum ar fi auditurile sistemelor și ale proiectelor, auditurile documentare și auditurile la fața locului) care trebuie efectuate în diferitele etape de punere în aplicare a reformelor și a investițiilor puse în aplicare în cadrul planului de redresare și reziliență, precum și fiabilitatea datelor care sprijină atingerea jaloanelor și a țintelor. Pe lângă un grad ridicat de testare de fond, auditurile ar trebui să asigure un grad suficient de ridicat de acoperire a controalelor pentru a stabili dacă organismele de punere în aplicare respectă cerința menționată la jalonul 75 litera (h).</w:t>
            </w:r>
          </w:p>
        </w:tc>
      </w:tr>
      <w:tr w:rsidR="00702291" w14:paraId="0B0360DF"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72F0C70" w14:textId="2832B719" w:rsidR="00702291" w:rsidRDefault="00712B31">
            <w:pPr>
              <w:pStyle w:val="P68B1DB1-Normal66"/>
              <w:spacing w:after="120" w:line="240" w:lineRule="auto"/>
              <w:rPr>
                <w:noProof/>
              </w:rPr>
            </w:pPr>
            <w:r>
              <w:rPr>
                <w:noProof/>
              </w:rPr>
              <w:t>85</w:t>
            </w:r>
          </w:p>
        </w:tc>
        <w:tc>
          <w:tcPr>
            <w:tcW w:w="1712" w:type="dxa"/>
            <w:tcBorders>
              <w:top w:val="nil"/>
              <w:left w:val="nil"/>
              <w:bottom w:val="single" w:sz="4" w:space="0" w:color="auto"/>
              <w:right w:val="single" w:sz="4" w:space="0" w:color="auto"/>
            </w:tcBorders>
            <w:shd w:val="clear" w:color="auto" w:fill="C6EFCE"/>
            <w:noWrap/>
            <w:vAlign w:val="center"/>
          </w:tcPr>
          <w:p w14:paraId="62FD1EF8" w14:textId="5C6649E7" w:rsidR="00702291" w:rsidRDefault="00712B31">
            <w:pPr>
              <w:pStyle w:val="P68B1DB1-Normal32"/>
              <w:spacing w:after="120" w:line="240" w:lineRule="auto"/>
              <w:rPr>
                <w:noProof/>
              </w:rPr>
            </w:pPr>
            <w:r>
              <w:rPr>
                <w:noProof/>
              </w:rPr>
              <w:t>C8.R25 Consolidarea transparenței și a accesului la informațiile publice</w:t>
            </w:r>
          </w:p>
        </w:tc>
        <w:tc>
          <w:tcPr>
            <w:tcW w:w="1021" w:type="dxa"/>
            <w:tcBorders>
              <w:top w:val="nil"/>
              <w:left w:val="nil"/>
              <w:bottom w:val="single" w:sz="4" w:space="0" w:color="auto"/>
              <w:right w:val="single" w:sz="4" w:space="0" w:color="auto"/>
            </w:tcBorders>
            <w:shd w:val="clear" w:color="auto" w:fill="C6EFCE"/>
            <w:noWrap/>
            <w:vAlign w:val="center"/>
          </w:tcPr>
          <w:p w14:paraId="2399FAB8" w14:textId="52E5F6C7"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65342A86" w14:textId="5B3901F7" w:rsidR="00702291" w:rsidRDefault="00712B31">
            <w:pPr>
              <w:pStyle w:val="P68B1DB1-Normal66"/>
              <w:spacing w:after="120" w:line="240" w:lineRule="auto"/>
              <w:rPr>
                <w:noProof/>
              </w:rPr>
            </w:pPr>
            <w:r>
              <w:rPr>
                <w:noProof/>
              </w:rPr>
              <w:t>Intrarea în vigoare a actului (actelor) juridic (e) care asigură previzibilitatea juridică în ceea ce privește accesul la informațiile publice în instanță</w:t>
            </w:r>
          </w:p>
        </w:tc>
        <w:tc>
          <w:tcPr>
            <w:tcW w:w="1275" w:type="dxa"/>
            <w:tcBorders>
              <w:top w:val="nil"/>
              <w:left w:val="nil"/>
              <w:bottom w:val="single" w:sz="4" w:space="0" w:color="auto"/>
              <w:right w:val="single" w:sz="4" w:space="0" w:color="auto"/>
            </w:tcBorders>
            <w:shd w:val="clear" w:color="auto" w:fill="C6EFCE"/>
            <w:noWrap/>
            <w:vAlign w:val="center"/>
          </w:tcPr>
          <w:p w14:paraId="1D50540A" w14:textId="350D3A1F" w:rsidR="00702291" w:rsidRDefault="00712B31">
            <w:pPr>
              <w:pStyle w:val="P68B1DB1-Normal66"/>
              <w:spacing w:after="120" w:line="240" w:lineRule="auto"/>
              <w:rPr>
                <w:noProof/>
              </w:rPr>
            </w:pPr>
            <w:r>
              <w:rPr>
                <w:noProof/>
              </w:rPr>
              <w:t>Dispoziție din actul (actele) juridic (e) care indică intrarea în vigoare</w:t>
            </w:r>
          </w:p>
        </w:tc>
        <w:tc>
          <w:tcPr>
            <w:tcW w:w="1134" w:type="dxa"/>
            <w:tcBorders>
              <w:top w:val="nil"/>
              <w:left w:val="nil"/>
              <w:bottom w:val="single" w:sz="4" w:space="0" w:color="auto"/>
              <w:right w:val="single" w:sz="4" w:space="0" w:color="auto"/>
            </w:tcBorders>
            <w:shd w:val="clear" w:color="auto" w:fill="C6EFCE"/>
            <w:noWrap/>
            <w:vAlign w:val="center"/>
          </w:tcPr>
          <w:p w14:paraId="2DB4B2B0"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837E67A"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6391964F"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340332F" w14:textId="04FB6681"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0F86DCA" w14:textId="3D4A0287"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62CD1AD" w14:textId="21B8D874" w:rsidR="00702291" w:rsidRDefault="00712B31">
            <w:pPr>
              <w:pStyle w:val="P68B1DB1-Normal66"/>
              <w:spacing w:after="120" w:line="240" w:lineRule="auto"/>
              <w:ind w:left="52"/>
              <w:textAlignment w:val="baseline"/>
              <w:rPr>
                <w:rFonts w:eastAsia="Times New Roman"/>
                <w:noProof/>
              </w:rPr>
            </w:pPr>
            <w:r>
              <w:rPr>
                <w:noProof/>
              </w:rPr>
              <w:t>Intrarea în vigoare a actului (actelor) juridic (e) care prevede (prevăd) o procedură excepțională pentru cererile de acces la informațiile publice:</w:t>
            </w:r>
          </w:p>
          <w:p w14:paraId="7A28DFE4" w14:textId="26712CE3" w:rsidR="00702291" w:rsidRDefault="00712B31">
            <w:pPr>
              <w:pStyle w:val="P68B1DB1-ListParagraph67"/>
              <w:numPr>
                <w:ilvl w:val="0"/>
                <w:numId w:val="155"/>
              </w:numPr>
              <w:spacing w:after="120" w:line="240" w:lineRule="auto"/>
              <w:contextualSpacing w:val="0"/>
              <w:textAlignment w:val="baseline"/>
              <w:rPr>
                <w:noProof/>
              </w:rPr>
            </w:pPr>
            <w:r>
              <w:rPr>
                <w:noProof/>
              </w:rPr>
              <w:t>aceasta introduce o procedură excepțională cu aceleași etape procedurale și termene similare cu cele aplicate în cazurile de rectificare a presei, astfel cum se prevede în Legea CXXX din 2016 privind procedurile civile (secțiunile 495-501).</w:t>
            </w:r>
          </w:p>
          <w:p w14:paraId="45989E72" w14:textId="154D6F50" w:rsidR="00702291" w:rsidRDefault="00712B31">
            <w:pPr>
              <w:pStyle w:val="P68B1DB1-ListParagraph68"/>
              <w:numPr>
                <w:ilvl w:val="0"/>
                <w:numId w:val="155"/>
              </w:numPr>
              <w:spacing w:after="120" w:line="240" w:lineRule="auto"/>
              <w:contextualSpacing w:val="0"/>
              <w:textAlignment w:val="baseline"/>
              <w:rPr>
                <w:rFonts w:eastAsiaTheme="minorHAnsi"/>
                <w:noProof/>
              </w:rPr>
            </w:pPr>
            <w:r>
              <w:rPr>
                <w:noProof/>
              </w:rPr>
              <w:t xml:space="preserve">care impun operatorului de date și solicitantului de date să acționeze cu bună-credință și să coopereze între ei pentru a facilita transparența în utilizarea fondurilor și a activelor publice. </w:t>
            </w:r>
          </w:p>
        </w:tc>
      </w:tr>
      <w:tr w:rsidR="00702291" w14:paraId="560BBB25"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DEA4A01" w14:textId="107F968C" w:rsidR="00702291" w:rsidRDefault="00712B31">
            <w:pPr>
              <w:pStyle w:val="P68B1DB1-Normal66"/>
              <w:spacing w:after="120" w:line="240" w:lineRule="auto"/>
              <w:rPr>
                <w:noProof/>
              </w:rPr>
            </w:pPr>
            <w:r>
              <w:rPr>
                <w:noProof/>
              </w:rPr>
              <w:t>86</w:t>
            </w:r>
          </w:p>
        </w:tc>
        <w:tc>
          <w:tcPr>
            <w:tcW w:w="1712" w:type="dxa"/>
            <w:tcBorders>
              <w:top w:val="nil"/>
              <w:left w:val="nil"/>
              <w:bottom w:val="single" w:sz="4" w:space="0" w:color="auto"/>
              <w:right w:val="single" w:sz="4" w:space="0" w:color="auto"/>
            </w:tcBorders>
            <w:shd w:val="clear" w:color="auto" w:fill="C6EFCE"/>
            <w:noWrap/>
            <w:vAlign w:val="center"/>
          </w:tcPr>
          <w:p w14:paraId="1025D8C4" w14:textId="06D58619" w:rsidR="00702291" w:rsidRDefault="00712B31">
            <w:pPr>
              <w:pStyle w:val="P68B1DB1-Normal32"/>
              <w:spacing w:after="120" w:line="240" w:lineRule="auto"/>
              <w:rPr>
                <w:noProof/>
              </w:rPr>
            </w:pPr>
            <w:r>
              <w:rPr>
                <w:noProof/>
              </w:rPr>
              <w:t>C8.R25 Consolidarea transparenței și a accesului la informațiile publice</w:t>
            </w:r>
          </w:p>
        </w:tc>
        <w:tc>
          <w:tcPr>
            <w:tcW w:w="1021" w:type="dxa"/>
            <w:tcBorders>
              <w:top w:val="nil"/>
              <w:left w:val="nil"/>
              <w:bottom w:val="single" w:sz="4" w:space="0" w:color="auto"/>
              <w:right w:val="single" w:sz="4" w:space="0" w:color="auto"/>
            </w:tcBorders>
            <w:shd w:val="clear" w:color="auto" w:fill="C6EFCE"/>
            <w:noWrap/>
            <w:vAlign w:val="center"/>
          </w:tcPr>
          <w:p w14:paraId="16F986DC" w14:textId="43B1A49D"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7DB76D7A" w14:textId="1104F8B3" w:rsidR="00702291" w:rsidRDefault="00712B31">
            <w:pPr>
              <w:pStyle w:val="P68B1DB1-Normal66"/>
              <w:spacing w:after="120" w:line="240" w:lineRule="auto"/>
              <w:rPr>
                <w:noProof/>
              </w:rPr>
            </w:pPr>
            <w:r>
              <w:rPr>
                <w:noProof/>
              </w:rPr>
              <w:t>Intrarea în vigoare a modificărilor legislative care asigură o mai mare transparență a informațiilor publice</w:t>
            </w:r>
          </w:p>
        </w:tc>
        <w:tc>
          <w:tcPr>
            <w:tcW w:w="1275" w:type="dxa"/>
            <w:tcBorders>
              <w:top w:val="nil"/>
              <w:left w:val="nil"/>
              <w:bottom w:val="single" w:sz="4" w:space="0" w:color="auto"/>
              <w:right w:val="single" w:sz="4" w:space="0" w:color="auto"/>
            </w:tcBorders>
            <w:shd w:val="clear" w:color="auto" w:fill="C6EFCE"/>
            <w:noWrap/>
            <w:vAlign w:val="center"/>
          </w:tcPr>
          <w:p w14:paraId="00EFCD12" w14:textId="06C5A074" w:rsidR="00702291" w:rsidRDefault="00712B31">
            <w:pPr>
              <w:pStyle w:val="P68B1DB1-Normal66"/>
              <w:spacing w:after="120" w:line="240" w:lineRule="auto"/>
              <w:rPr>
                <w:noProof/>
              </w:rPr>
            </w:pPr>
            <w:r>
              <w:rPr>
                <w:noProof/>
              </w:rPr>
              <w:t>Dispoziții ale modificărilor legislative care indică intrarea lor în vigoare</w:t>
            </w:r>
          </w:p>
        </w:tc>
        <w:tc>
          <w:tcPr>
            <w:tcW w:w="1134" w:type="dxa"/>
            <w:tcBorders>
              <w:top w:val="nil"/>
              <w:left w:val="nil"/>
              <w:bottom w:val="single" w:sz="4" w:space="0" w:color="auto"/>
              <w:right w:val="single" w:sz="4" w:space="0" w:color="auto"/>
            </w:tcBorders>
            <w:shd w:val="clear" w:color="auto" w:fill="C6EFCE"/>
            <w:noWrap/>
            <w:vAlign w:val="center"/>
          </w:tcPr>
          <w:p w14:paraId="0A9AE6D0"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39560AC"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44AAAB25"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2748806" w14:textId="526792C1"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B93495D" w14:textId="19812C16"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1F14164" w14:textId="76DBF0A5" w:rsidR="00702291" w:rsidRDefault="00712B31">
            <w:pPr>
              <w:pStyle w:val="P68B1DB1-Normal66"/>
              <w:spacing w:after="120" w:line="240" w:lineRule="auto"/>
              <w:ind w:left="52"/>
              <w:textAlignment w:val="baseline"/>
              <w:rPr>
                <w:rFonts w:eastAsia="Times New Roman"/>
                <w:noProof/>
              </w:rPr>
            </w:pPr>
            <w:r>
              <w:rPr>
                <w:noProof/>
              </w:rPr>
              <w:t xml:space="preserve">Intrarea în vigoare a modificărilor legislative pentru a stabili regula principală conform căreia informațiile publice sunt furnizate gratuit, iar taxele pentru accesul la astfel de informații publice pot fi aplicate numai în circumstanțe excepționale și clar definite. În acest sens, modificările: </w:t>
            </w:r>
          </w:p>
          <w:p w14:paraId="7F667C9B" w14:textId="77777777" w:rsidR="00702291" w:rsidRDefault="00712B31">
            <w:pPr>
              <w:pStyle w:val="P68B1DB1-Normal66"/>
              <w:spacing w:after="120" w:line="240" w:lineRule="auto"/>
              <w:ind w:left="52"/>
              <w:textAlignment w:val="baseline"/>
              <w:rPr>
                <w:rFonts w:eastAsia="Times New Roman"/>
                <w:noProof/>
              </w:rPr>
            </w:pPr>
            <w:r>
              <w:rPr>
                <w:noProof/>
              </w:rPr>
              <w:t>(I) Să elimine posibilitatea de a percepe costuri cu forța de muncă asociate cu îndeplinirea cererilor de acces la informațiile publice;</w:t>
            </w:r>
          </w:p>
          <w:p w14:paraId="19C73A00" w14:textId="77777777" w:rsidR="00702291" w:rsidRDefault="00712B31">
            <w:pPr>
              <w:pStyle w:val="P68B1DB1-Normal66"/>
              <w:spacing w:after="120" w:line="240" w:lineRule="auto"/>
              <w:ind w:left="52"/>
              <w:textAlignment w:val="baseline"/>
              <w:rPr>
                <w:rFonts w:eastAsia="Times New Roman"/>
                <w:noProof/>
              </w:rPr>
            </w:pPr>
            <w:r>
              <w:rPr>
                <w:noProof/>
              </w:rPr>
              <w:t>(II) Definesc costurile unitare accesibile publicului legate de costurile copierii și furnizării informațiilor solicitate;</w:t>
            </w:r>
          </w:p>
          <w:p w14:paraId="0B08D6DD" w14:textId="5FCE9A41" w:rsidR="00702291" w:rsidRDefault="00712B31">
            <w:pPr>
              <w:pStyle w:val="P68B1DB1-Normal66"/>
              <w:spacing w:after="120" w:line="240" w:lineRule="auto"/>
              <w:ind w:left="52"/>
              <w:textAlignment w:val="baseline"/>
              <w:rPr>
                <w:rFonts w:eastAsia="Times New Roman"/>
                <w:noProof/>
              </w:rPr>
            </w:pPr>
            <w:r>
              <w:rPr>
                <w:noProof/>
              </w:rPr>
              <w:t>(III) Stabilește regula conform căreia taxele percepute nu depășesc costurile reale suportate de deținătorul informațiilor publice solicitate pentru îndeplinirea cererii de informații referitoare la categoriile de costuri prevăzute la punctul (ii) și numai în cazul în care costurile respective depășesc 10 000 HUF;</w:t>
            </w:r>
          </w:p>
          <w:p w14:paraId="6D278CFC" w14:textId="7757AE43" w:rsidR="00702291" w:rsidRDefault="00712B31">
            <w:pPr>
              <w:pStyle w:val="P68B1DB1-Normal66"/>
              <w:spacing w:after="120" w:line="240" w:lineRule="auto"/>
              <w:ind w:left="52"/>
              <w:textAlignment w:val="baseline"/>
              <w:rPr>
                <w:rFonts w:eastAsia="Times New Roman"/>
                <w:noProof/>
              </w:rPr>
            </w:pPr>
            <w:r>
              <w:rPr>
                <w:noProof/>
              </w:rPr>
              <w:t>(IV) Să introducă un plafon general rezonabil de scăzut, de maximum 190 000 HUF, pentru costurile asociate care pot fi luate în considerare de un organism public atunci când îndeplinește o cerere de acces individual la informații publice; și</w:t>
            </w:r>
          </w:p>
          <w:p w14:paraId="4C723FF0" w14:textId="16ECD53E" w:rsidR="00702291" w:rsidRDefault="00712B31">
            <w:pPr>
              <w:pStyle w:val="P68B1DB1-Normal32"/>
              <w:spacing w:after="120" w:line="240" w:lineRule="auto"/>
              <w:ind w:left="52"/>
              <w:textAlignment w:val="baseline"/>
              <w:rPr>
                <w:rFonts w:eastAsia="Times New Roman"/>
                <w:noProof/>
              </w:rPr>
            </w:pPr>
            <w:r>
              <w:rPr>
                <w:noProof/>
              </w:rPr>
              <w:t>(V) Abrogarea dispozițiilor care permit unui organism care îndeplinește sarcini publice să refuze o cerere de date pe motiv că aceasta ar implica obținerea, colectarea sau prelucrarea de date sau ar necesita crearea de noi date.</w:t>
            </w:r>
          </w:p>
        </w:tc>
      </w:tr>
      <w:tr w:rsidR="00702291" w14:paraId="19159CD4"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362532C" w14:textId="5D7C1588" w:rsidR="00702291" w:rsidRDefault="00712B31">
            <w:pPr>
              <w:pStyle w:val="P68B1DB1-Normal66"/>
              <w:spacing w:after="120" w:line="240" w:lineRule="auto"/>
              <w:rPr>
                <w:noProof/>
              </w:rPr>
            </w:pPr>
            <w:r>
              <w:rPr>
                <w:noProof/>
              </w:rPr>
              <w:t>87</w:t>
            </w:r>
          </w:p>
        </w:tc>
        <w:tc>
          <w:tcPr>
            <w:tcW w:w="1712" w:type="dxa"/>
            <w:tcBorders>
              <w:top w:val="nil"/>
              <w:left w:val="nil"/>
              <w:bottom w:val="single" w:sz="4" w:space="0" w:color="auto"/>
              <w:right w:val="single" w:sz="4" w:space="0" w:color="auto"/>
            </w:tcBorders>
            <w:shd w:val="clear" w:color="auto" w:fill="C6EFCE"/>
            <w:noWrap/>
            <w:vAlign w:val="center"/>
          </w:tcPr>
          <w:p w14:paraId="5E1D8A83" w14:textId="15590636" w:rsidR="00702291" w:rsidRDefault="00712B31">
            <w:pPr>
              <w:pStyle w:val="P68B1DB1-Normal32"/>
              <w:spacing w:after="120" w:line="240" w:lineRule="auto"/>
              <w:rPr>
                <w:noProof/>
              </w:rPr>
            </w:pPr>
            <w:r>
              <w:rPr>
                <w:noProof/>
              </w:rPr>
              <w:t>C8.R25 Consolidarea transparenței și a accesului la informațiile publice</w:t>
            </w:r>
          </w:p>
        </w:tc>
        <w:tc>
          <w:tcPr>
            <w:tcW w:w="1021" w:type="dxa"/>
            <w:tcBorders>
              <w:top w:val="nil"/>
              <w:left w:val="nil"/>
              <w:bottom w:val="single" w:sz="4" w:space="0" w:color="auto"/>
              <w:right w:val="single" w:sz="4" w:space="0" w:color="auto"/>
            </w:tcBorders>
            <w:shd w:val="clear" w:color="auto" w:fill="C6EFCE"/>
            <w:noWrap/>
            <w:vAlign w:val="center"/>
          </w:tcPr>
          <w:p w14:paraId="2E57B808" w14:textId="4A6E93F1"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763BC8B8" w14:textId="2C59C9E3" w:rsidR="00702291" w:rsidRDefault="00712B31">
            <w:pPr>
              <w:pStyle w:val="P68B1DB1-Normal66"/>
              <w:spacing w:after="120" w:line="240" w:lineRule="auto"/>
              <w:rPr>
                <w:noProof/>
              </w:rPr>
            </w:pPr>
            <w:r>
              <w:rPr>
                <w:noProof/>
              </w:rPr>
              <w:t>Raportul (rapoartele) Autorității Naționale pentru Protecția Datelor și Libertatea de Informare privind accesul la informațiile publice </w:t>
            </w:r>
          </w:p>
        </w:tc>
        <w:tc>
          <w:tcPr>
            <w:tcW w:w="1275" w:type="dxa"/>
            <w:tcBorders>
              <w:top w:val="nil"/>
              <w:left w:val="nil"/>
              <w:bottom w:val="single" w:sz="4" w:space="0" w:color="auto"/>
              <w:right w:val="single" w:sz="4" w:space="0" w:color="auto"/>
            </w:tcBorders>
            <w:shd w:val="clear" w:color="auto" w:fill="C6EFCE"/>
            <w:noWrap/>
            <w:vAlign w:val="center"/>
          </w:tcPr>
          <w:p w14:paraId="6E90356D" w14:textId="563C3B32" w:rsidR="00702291" w:rsidRDefault="00712B31">
            <w:pPr>
              <w:pStyle w:val="P68B1DB1-Normal66"/>
              <w:spacing w:after="120" w:line="240" w:lineRule="auto"/>
              <w:rPr>
                <w:noProof/>
              </w:rPr>
            </w:pPr>
            <w:r>
              <w:rPr>
                <w:noProof/>
              </w:rPr>
              <w:t>Disponibilitatea online a raportului (rapoartelor) Autorității Naționale pentru Protecția Datelor și Libertatea de Informare cu privire la respectarea de către organismele publice a obligațiilor care le revin în ceea ce privește accesul la informațiile publice</w:t>
            </w:r>
          </w:p>
        </w:tc>
        <w:tc>
          <w:tcPr>
            <w:tcW w:w="1134" w:type="dxa"/>
            <w:tcBorders>
              <w:top w:val="nil"/>
              <w:left w:val="nil"/>
              <w:bottom w:val="single" w:sz="4" w:space="0" w:color="auto"/>
              <w:right w:val="single" w:sz="4" w:space="0" w:color="auto"/>
            </w:tcBorders>
            <w:shd w:val="clear" w:color="auto" w:fill="C6EFCE"/>
            <w:noWrap/>
            <w:vAlign w:val="center"/>
          </w:tcPr>
          <w:p w14:paraId="2D5E76BB" w14:textId="7EB76E38" w:rsidR="00702291" w:rsidRDefault="00712B31">
            <w:pPr>
              <w:pStyle w:val="P68B1DB1-Normal66"/>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1BFDBF93" w14:textId="5E0C6363" w:rsidR="00702291" w:rsidRDefault="00712B31">
            <w:pPr>
              <w:pStyle w:val="P68B1DB1-Normal66"/>
              <w:spacing w:after="120" w:line="240" w:lineRule="auto"/>
              <w:rPr>
                <w:rFonts w:eastAsia="Calibri"/>
                <w:noProof/>
              </w:rPr>
            </w:pPr>
            <w:r>
              <w:rPr>
                <w:noProof/>
              </w:rPr>
              <w:t xml:space="preserve"> </w:t>
            </w:r>
          </w:p>
        </w:tc>
        <w:tc>
          <w:tcPr>
            <w:tcW w:w="993" w:type="dxa"/>
            <w:tcBorders>
              <w:top w:val="nil"/>
              <w:left w:val="nil"/>
              <w:bottom w:val="single" w:sz="4" w:space="0" w:color="auto"/>
              <w:right w:val="single" w:sz="4" w:space="0" w:color="auto"/>
            </w:tcBorders>
            <w:shd w:val="clear" w:color="auto" w:fill="C6EFCE"/>
            <w:noWrap/>
            <w:vAlign w:val="center"/>
          </w:tcPr>
          <w:p w14:paraId="70AB237F" w14:textId="1C4DC647" w:rsidR="00702291" w:rsidRDefault="00712B31">
            <w:pPr>
              <w:pStyle w:val="P68B1DB1-Normal66"/>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707DA8B5" w14:textId="4594EB5B"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1FBE2569" w14:textId="482A54B2"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B0002DD" w14:textId="489CC05E" w:rsidR="00702291" w:rsidRDefault="00712B31">
            <w:pPr>
              <w:pStyle w:val="P68B1DB1-Normal66"/>
              <w:spacing w:after="120" w:line="240" w:lineRule="auto"/>
              <w:ind w:left="52"/>
              <w:textAlignment w:val="baseline"/>
              <w:rPr>
                <w:rFonts w:eastAsia="Times New Roman"/>
                <w:noProof/>
              </w:rPr>
            </w:pPr>
            <w:r>
              <w:rPr>
                <w:noProof/>
              </w:rPr>
              <w:t>Autoritatea Națională pentru Protecția Datelor și Libertatea de Informare efectuează controale asupra organismelor care îndeplinesc sarcini publice ex officio și în urma unei plângeri pentru a evalua dacă acestea respectă cerințele lor respective privind transparența datelor publice și asigurarea accesului la datele de interes public.</w:t>
            </w:r>
          </w:p>
          <w:p w14:paraId="5CADF825" w14:textId="45FA94A4" w:rsidR="00702291" w:rsidRDefault="00712B31">
            <w:pPr>
              <w:pStyle w:val="P68B1DB1-Normal66"/>
              <w:spacing w:after="120" w:line="240" w:lineRule="auto"/>
              <w:ind w:left="52"/>
              <w:textAlignment w:val="baseline"/>
              <w:rPr>
                <w:rFonts w:eastAsia="Times New Roman"/>
                <w:noProof/>
              </w:rPr>
            </w:pPr>
            <w:r>
              <w:rPr>
                <w:noProof/>
              </w:rPr>
              <w:t>Constatările controalelor sunt rezumate în raportul (rapoartele) care identifică modul în care deficiențele trebuie remediate și monitorizate, precum și recomandările privind modul în care poate fi îmbunătățit accesul la datele publice. </w:t>
            </w:r>
          </w:p>
        </w:tc>
      </w:tr>
      <w:tr w:rsidR="00702291" w14:paraId="1385BD6B"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5C9D1A2" w14:textId="00D13FD7" w:rsidR="00702291" w:rsidRDefault="00712B31">
            <w:pPr>
              <w:pStyle w:val="P68B1DB1-Normal66"/>
              <w:spacing w:after="120" w:line="240" w:lineRule="auto"/>
              <w:rPr>
                <w:noProof/>
              </w:rPr>
            </w:pPr>
            <w:r>
              <w:rPr>
                <w:noProof/>
              </w:rPr>
              <w:br w:type="page"/>
              <w:t>88</w:t>
            </w:r>
          </w:p>
        </w:tc>
        <w:tc>
          <w:tcPr>
            <w:tcW w:w="1712" w:type="dxa"/>
            <w:tcBorders>
              <w:top w:val="nil"/>
              <w:left w:val="nil"/>
              <w:bottom w:val="single" w:sz="4" w:space="0" w:color="auto"/>
              <w:right w:val="single" w:sz="4" w:space="0" w:color="auto"/>
            </w:tcBorders>
            <w:shd w:val="clear" w:color="auto" w:fill="C6EFCE"/>
            <w:noWrap/>
            <w:vAlign w:val="center"/>
          </w:tcPr>
          <w:p w14:paraId="7A7C0119" w14:textId="65B1F53B" w:rsidR="00702291" w:rsidRDefault="00712B31">
            <w:pPr>
              <w:pStyle w:val="P68B1DB1-Normal32"/>
              <w:spacing w:after="120" w:line="240" w:lineRule="auto"/>
              <w:rPr>
                <w:noProof/>
              </w:rPr>
            </w:pPr>
            <w:r>
              <w:rPr>
                <w:noProof/>
              </w:rPr>
              <w:t>C8.R26 Îmbunătățirea calității procesului legislativ și implicarea părților interesate și a partenerilor sociali în procesul decizional</w:t>
            </w:r>
          </w:p>
        </w:tc>
        <w:tc>
          <w:tcPr>
            <w:tcW w:w="1021" w:type="dxa"/>
            <w:tcBorders>
              <w:top w:val="nil"/>
              <w:left w:val="nil"/>
              <w:bottom w:val="single" w:sz="4" w:space="0" w:color="auto"/>
              <w:right w:val="single" w:sz="4" w:space="0" w:color="auto"/>
            </w:tcBorders>
            <w:shd w:val="clear" w:color="auto" w:fill="C6EFCE"/>
            <w:noWrap/>
            <w:vAlign w:val="center"/>
          </w:tcPr>
          <w:p w14:paraId="024326B4" w14:textId="701181B6"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65307C5D" w14:textId="6AAA22DE" w:rsidR="00702291" w:rsidRDefault="00712B31">
            <w:pPr>
              <w:pStyle w:val="P68B1DB1-Normal66"/>
              <w:spacing w:after="120" w:line="240" w:lineRule="auto"/>
              <w:rPr>
                <w:noProof/>
              </w:rPr>
            </w:pPr>
            <w:r>
              <w:rPr>
                <w:noProof/>
              </w:rPr>
              <w:t>Intrarea în vigoare a unui (unor) act (e) juridic (e) care include (e) dispoziții privind implicarea părților interesate în implementarea și monitorizarea planului de redresare și reziliență</w:t>
            </w:r>
          </w:p>
        </w:tc>
        <w:tc>
          <w:tcPr>
            <w:tcW w:w="1275" w:type="dxa"/>
            <w:tcBorders>
              <w:top w:val="nil"/>
              <w:left w:val="nil"/>
              <w:bottom w:val="single" w:sz="4" w:space="0" w:color="auto"/>
              <w:right w:val="single" w:sz="4" w:space="0" w:color="auto"/>
            </w:tcBorders>
            <w:shd w:val="clear" w:color="auto" w:fill="C6EFCE"/>
            <w:noWrap/>
            <w:vAlign w:val="center"/>
          </w:tcPr>
          <w:p w14:paraId="101FE5BD" w14:textId="1C089350" w:rsidR="00702291" w:rsidRDefault="00712B31">
            <w:pPr>
              <w:pStyle w:val="P68B1DB1-Normal66"/>
              <w:spacing w:after="120" w:line="240" w:lineRule="auto"/>
              <w:rPr>
                <w:noProof/>
              </w:rPr>
            </w:pPr>
            <w:r>
              <w:rPr>
                <w:noProof/>
              </w:rPr>
              <w:t xml:space="preserve">Dispoziție din actul (actele) juridic (e) care indică intrarea în vigoare </w:t>
            </w:r>
          </w:p>
        </w:tc>
        <w:tc>
          <w:tcPr>
            <w:tcW w:w="1134" w:type="dxa"/>
            <w:tcBorders>
              <w:top w:val="nil"/>
              <w:left w:val="nil"/>
              <w:bottom w:val="single" w:sz="4" w:space="0" w:color="auto"/>
              <w:right w:val="single" w:sz="4" w:space="0" w:color="auto"/>
            </w:tcBorders>
            <w:shd w:val="clear" w:color="auto" w:fill="C6EFCE"/>
            <w:noWrap/>
            <w:vAlign w:val="center"/>
          </w:tcPr>
          <w:p w14:paraId="32BD47FF"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27FCE4A"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1C19BFC2"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2DE24E9" w14:textId="49010AFB"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F3AB14C" w14:textId="083714D7"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83866A2" w14:textId="77777777" w:rsidR="00702291" w:rsidRDefault="00712B31">
            <w:pPr>
              <w:pStyle w:val="P68B1DB1-Normal66"/>
              <w:spacing w:after="120" w:line="240" w:lineRule="auto"/>
              <w:ind w:left="52"/>
              <w:textAlignment w:val="baseline"/>
              <w:rPr>
                <w:rFonts w:eastAsia="Times New Roman"/>
                <w:noProof/>
              </w:rPr>
            </w:pPr>
            <w:r>
              <w:rPr>
                <w:noProof/>
              </w:rPr>
              <w:t>Intrarea în vigoare a unui (unor) act (e) juridic (e) care prevede (prevăd):</w:t>
            </w:r>
          </w:p>
          <w:p w14:paraId="36C625DA" w14:textId="1FBCC077" w:rsidR="00702291" w:rsidRDefault="00712B31">
            <w:pPr>
              <w:pStyle w:val="P68B1DB1-Normal66"/>
              <w:spacing w:after="120" w:line="240" w:lineRule="auto"/>
              <w:ind w:left="52"/>
              <w:textAlignment w:val="baseline"/>
              <w:rPr>
                <w:rFonts w:eastAsia="Times New Roman"/>
                <w:noProof/>
              </w:rPr>
            </w:pPr>
            <w:r>
              <w:rPr>
                <w:noProof/>
              </w:rPr>
              <w:t>(1) obligația de a elabora o strategie care să definească sarcinile și responsabilitățile cu privire la modul în care principalele părți interesate sunt implicate în punerea în aplicare a măsurilor din planul de redresare și reziliență;</w:t>
            </w:r>
          </w:p>
          <w:p w14:paraId="6AA6DD3B" w14:textId="6E90825E" w:rsidR="00702291" w:rsidRDefault="00712B31">
            <w:pPr>
              <w:pStyle w:val="P68B1DB1-Normal66"/>
              <w:spacing w:after="120" w:line="240" w:lineRule="auto"/>
              <w:ind w:left="52"/>
              <w:textAlignment w:val="baseline"/>
              <w:rPr>
                <w:rFonts w:eastAsia="Times New Roman"/>
                <w:noProof/>
              </w:rPr>
            </w:pPr>
            <w:r>
              <w:rPr>
                <w:noProof/>
              </w:rPr>
              <w:t>(2) temeiul juridic și obligația de instituire a unui comitet de monitorizare, alcătuit din părțile interesate și partenerii sociali relevanți pentru implementarea componentelor planului de redresare și reziliență. Comitetul de monitorizare are sarcina de a monitoriza în permanență punerea în aplicare a planului de redresare și reziliență și după 2026. Toți membrii comitetului de monitorizare au aceleași drepturi și obligații. Cel puțin 50 % dintre membrii comitetului de monitorizare reprezintă organizații ale societății civile independente de guvern și de organismele publice. Aceste organizații sunt selectate printr-un proces de selecție deschis, transparent și nediscriminatoriu, bazat pe criterii obiective legate de expertiză și merit, din organizații care sunt active în unul sau mai multe dintre următoarele domenii: politica socială; educație; piața muncii; asistență medicală; mediul; lupta împotriva schimbărilor climatice; al energiei, dezvoltarea durabilă; transportul durabil; promovarea drepturilor fundamentale, a egalității de tratament și a nediscriminării; anticorupție; și transparența. Membrii comitetului de monitorizare care reprezintă societatea civilă.</w:t>
            </w:r>
          </w:p>
          <w:p w14:paraId="49B0825B" w14:textId="3CF8BBCE" w:rsidR="00702291" w:rsidRDefault="00712B31">
            <w:pPr>
              <w:pStyle w:val="P68B1DB1-Normal32"/>
              <w:spacing w:after="120" w:line="240" w:lineRule="auto"/>
              <w:ind w:left="52"/>
              <w:textAlignment w:val="baseline"/>
              <w:rPr>
                <w:rFonts w:eastAsia="Times New Roman"/>
                <w:noProof/>
              </w:rPr>
            </w:pPr>
            <w:r>
              <w:rPr>
                <w:noProof/>
              </w:rPr>
              <w:t xml:space="preserve">(3) obligația comitetului de monitorizare de a se reuni cel puțin de două ori pe an și de a primi informații referitoare la punerea în aplicare a măsurilor din planul de redresare și reziliență, obligația comitetului de monitorizare de a emite recomandări cu majoritatea simplă a membrilor săi și obligația autorității naționale de a da curs recomandărilor respective și de a raporta comitetului de monitorizare cu privire la progresele înregistrate în acest sens; </w:t>
            </w:r>
          </w:p>
        </w:tc>
      </w:tr>
      <w:tr w:rsidR="00702291" w14:paraId="0640AE21"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5ABD166" w14:textId="311C58FD" w:rsidR="00702291" w:rsidRDefault="00712B31">
            <w:pPr>
              <w:pStyle w:val="P68B1DB1-Normal66"/>
              <w:spacing w:after="120" w:line="240" w:lineRule="auto"/>
              <w:rPr>
                <w:noProof/>
              </w:rPr>
            </w:pPr>
            <w:r>
              <w:rPr>
                <w:noProof/>
              </w:rPr>
              <w:t>89</w:t>
            </w:r>
          </w:p>
        </w:tc>
        <w:tc>
          <w:tcPr>
            <w:tcW w:w="1712" w:type="dxa"/>
            <w:tcBorders>
              <w:top w:val="nil"/>
              <w:left w:val="nil"/>
              <w:bottom w:val="single" w:sz="4" w:space="0" w:color="auto"/>
              <w:right w:val="single" w:sz="4" w:space="0" w:color="auto"/>
            </w:tcBorders>
            <w:shd w:val="clear" w:color="auto" w:fill="C6EFCE"/>
            <w:noWrap/>
            <w:vAlign w:val="center"/>
          </w:tcPr>
          <w:p w14:paraId="7B8CE5EE" w14:textId="7719C7A0" w:rsidR="00702291" w:rsidRDefault="00712B31">
            <w:pPr>
              <w:pStyle w:val="P68B1DB1-Normal32"/>
              <w:spacing w:after="120" w:line="240" w:lineRule="auto"/>
              <w:rPr>
                <w:noProof/>
              </w:rPr>
            </w:pPr>
            <w:r>
              <w:rPr>
                <w:noProof/>
              </w:rPr>
              <w:t>C8.R26 Îmbunătățirea calității procesului legislativ și implicarea părților interesate și a partenerilor sociali în procesul decizional</w:t>
            </w:r>
          </w:p>
        </w:tc>
        <w:tc>
          <w:tcPr>
            <w:tcW w:w="1021" w:type="dxa"/>
            <w:tcBorders>
              <w:top w:val="nil"/>
              <w:left w:val="nil"/>
              <w:bottom w:val="single" w:sz="4" w:space="0" w:color="auto"/>
              <w:right w:val="single" w:sz="4" w:space="0" w:color="auto"/>
            </w:tcBorders>
            <w:shd w:val="clear" w:color="auto" w:fill="C6EFCE"/>
            <w:noWrap/>
            <w:vAlign w:val="center"/>
          </w:tcPr>
          <w:p w14:paraId="675DDE49" w14:textId="3F55468F"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1725760E" w14:textId="22360557" w:rsidR="00702291" w:rsidRDefault="00712B31">
            <w:pPr>
              <w:pStyle w:val="P68B1DB1-Normal66"/>
              <w:spacing w:after="120" w:line="240" w:lineRule="auto"/>
              <w:rPr>
                <w:noProof/>
              </w:rPr>
            </w:pPr>
            <w:r>
              <w:rPr>
                <w:noProof/>
              </w:rPr>
              <w:t>Intrarea în vigoare a actului (actelor) juridic (e) pentru a spori utilizarea consultărilor publice și a evaluărilor impactului în procesul legislativ</w:t>
            </w:r>
          </w:p>
        </w:tc>
        <w:tc>
          <w:tcPr>
            <w:tcW w:w="1275" w:type="dxa"/>
            <w:tcBorders>
              <w:top w:val="nil"/>
              <w:left w:val="nil"/>
              <w:bottom w:val="single" w:sz="4" w:space="0" w:color="auto"/>
              <w:right w:val="single" w:sz="4" w:space="0" w:color="auto"/>
            </w:tcBorders>
            <w:shd w:val="clear" w:color="auto" w:fill="C6EFCE"/>
            <w:noWrap/>
            <w:vAlign w:val="center"/>
          </w:tcPr>
          <w:p w14:paraId="132EC145" w14:textId="2E2512FE" w:rsidR="00702291" w:rsidRDefault="00712B31">
            <w:pPr>
              <w:pStyle w:val="P68B1DB1-Normal66"/>
              <w:spacing w:after="120" w:line="240" w:lineRule="auto"/>
              <w:rPr>
                <w:noProof/>
              </w:rPr>
            </w:pPr>
            <w:r>
              <w:rPr>
                <w:noProof/>
              </w:rPr>
              <w:t xml:space="preserve">Dispoziții din actul (actele) juridic (e) care indică intrarea lor în vigoare </w:t>
            </w:r>
          </w:p>
        </w:tc>
        <w:tc>
          <w:tcPr>
            <w:tcW w:w="1134" w:type="dxa"/>
            <w:tcBorders>
              <w:top w:val="nil"/>
              <w:left w:val="nil"/>
              <w:bottom w:val="single" w:sz="4" w:space="0" w:color="auto"/>
              <w:right w:val="single" w:sz="4" w:space="0" w:color="auto"/>
            </w:tcBorders>
            <w:shd w:val="clear" w:color="auto" w:fill="C6EFCE"/>
            <w:noWrap/>
            <w:vAlign w:val="center"/>
          </w:tcPr>
          <w:p w14:paraId="03B920CD"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02C1CCE"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6759FDD9"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26C6725" w14:textId="03C1A991"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13BDACD8" w14:textId="51663AC9"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DCCBBF5" w14:textId="2FCE5ECA" w:rsidR="00702291" w:rsidRDefault="00712B31">
            <w:pPr>
              <w:pStyle w:val="P68B1DB1-Normal66"/>
              <w:spacing w:after="120" w:line="240" w:lineRule="auto"/>
              <w:textAlignment w:val="baseline"/>
              <w:rPr>
                <w:rFonts w:eastAsia="Times New Roman"/>
                <w:noProof/>
              </w:rPr>
            </w:pPr>
            <w:r>
              <w:rPr>
                <w:noProof/>
              </w:rPr>
              <w:t>Intrarea în vigoare a actului (actelor) juridic (e) cu scopul de a se asigura că, pentru toate actele legislative adoptate de guvern (și anume, decrete guvernamentale și decrete ministeriale) sau prezentate parlamentului spre adoptare de către guvern (și anume, proiecte de lege), se efectuează o consultare publică și se elaborează o evaluare a impactului, iar rezumatele acestora sunt puse în mod sistematic la dispoziția publicului, prevăzând:</w:t>
            </w:r>
          </w:p>
          <w:p w14:paraId="52536CF6" w14:textId="77777777" w:rsidR="00702291" w:rsidRDefault="00712B31">
            <w:pPr>
              <w:pStyle w:val="P68B1DB1-Normal66"/>
              <w:spacing w:after="120" w:line="240" w:lineRule="auto"/>
              <w:ind w:left="52"/>
              <w:textAlignment w:val="baseline"/>
              <w:rPr>
                <w:rFonts w:eastAsia="Times New Roman"/>
                <w:noProof/>
              </w:rPr>
            </w:pPr>
            <w:r>
              <w:rPr>
                <w:noProof/>
              </w:rPr>
              <w:t>(I) o perioadă minimă de consultare de opt zile (ceea ce înseamnă că proiectul de act legislativ este pus la dispoziția publicului pentru consultare în același timp cu trimiterea sa pentru consultare intraguvernamentală);</w:t>
            </w:r>
          </w:p>
          <w:p w14:paraId="6587F3BB" w14:textId="77777777" w:rsidR="00702291" w:rsidRDefault="00712B31">
            <w:pPr>
              <w:pStyle w:val="P68B1DB1-Normal66"/>
              <w:spacing w:after="120" w:line="240" w:lineRule="auto"/>
              <w:ind w:left="52"/>
              <w:textAlignment w:val="baseline"/>
              <w:rPr>
                <w:rFonts w:eastAsia="Times New Roman"/>
                <w:noProof/>
              </w:rPr>
            </w:pPr>
            <w:r>
              <w:rPr>
                <w:noProof/>
              </w:rPr>
              <w:t>(II) o perioadă minimă de cinci zile de la expirarea perioadei de consultare publică pentru a analiza contribuțiile primite în cursul perioadei de consultare publică, în cursul căreia actul legislativ al guvernului nu este adoptat de guvern sau proiectul de lege nu este prezentat parlamentului;</w:t>
            </w:r>
          </w:p>
          <w:p w14:paraId="2B9E2906" w14:textId="77777777" w:rsidR="00702291" w:rsidRDefault="00712B31">
            <w:pPr>
              <w:pStyle w:val="P68B1DB1-Normal66"/>
              <w:spacing w:after="120" w:line="240" w:lineRule="auto"/>
              <w:ind w:left="52"/>
              <w:textAlignment w:val="baseline"/>
              <w:rPr>
                <w:noProof/>
              </w:rPr>
            </w:pPr>
            <w:r>
              <w:rPr>
                <w:noProof/>
              </w:rPr>
              <w:t xml:space="preserve">ponderea actelor legislative care pot intra sub incidența excepțiilor prevăzute în secțiunea 5 din Legea CXXXI din 2010 este de maximum 10 %. </w:t>
            </w:r>
          </w:p>
          <w:p w14:paraId="0F9B950F" w14:textId="1CD58647" w:rsidR="00702291" w:rsidRDefault="00712B31">
            <w:pPr>
              <w:pStyle w:val="P68B1DB1-Normal66"/>
              <w:spacing w:after="120" w:line="240" w:lineRule="auto"/>
              <w:ind w:left="52"/>
              <w:textAlignment w:val="baseline"/>
              <w:rPr>
                <w:rFonts w:eastAsia="Times New Roman"/>
                <w:noProof/>
              </w:rPr>
            </w:pPr>
            <w:r>
              <w:rPr>
                <w:noProof/>
              </w:rPr>
              <w:t>(IV) că utilizarea acestor excepții trebuie justificată în mod corespunzător în scris, cu o trimitere la excepția specifică aplicată;</w:t>
            </w:r>
          </w:p>
          <w:p w14:paraId="5EB213A0" w14:textId="5680FAA6" w:rsidR="00702291" w:rsidRDefault="00712B31">
            <w:pPr>
              <w:pStyle w:val="P68B1DB1-Normal66"/>
              <w:spacing w:after="120" w:line="240" w:lineRule="auto"/>
              <w:ind w:left="52"/>
              <w:textAlignment w:val="baseline"/>
              <w:rPr>
                <w:rFonts w:eastAsia="Times New Roman"/>
                <w:noProof/>
              </w:rPr>
            </w:pPr>
            <w:r>
              <w:rPr>
                <w:noProof/>
              </w:rPr>
              <w:t>(V) ca un rezumat al evaluării preliminare a impactului și o expunere de motive care prezintă scopul și principalele elemente ale propunerii să fie puse la dispoziția publicului, împreună cu proiectul de act legislativ, în toate cazurile;</w:t>
            </w:r>
          </w:p>
          <w:p w14:paraId="6E158364" w14:textId="04206B60" w:rsidR="00702291" w:rsidRDefault="00712B31">
            <w:pPr>
              <w:pStyle w:val="P68B1DB1-Normal27"/>
              <w:spacing w:after="120" w:line="240" w:lineRule="auto"/>
              <w:ind w:left="52"/>
              <w:textAlignment w:val="baseline"/>
              <w:rPr>
                <w:noProof/>
              </w:rPr>
            </w:pPr>
            <w:r>
              <w:rPr>
                <w:noProof/>
              </w:rPr>
              <w:t xml:space="preserve">(VI) extinderea obligației de a efectua consultări publice cu privire la proiectele de instrumente legislative referitoare la lista (listele) de nume și eliminarea posibilității de a se baza pe interese legate de conservarea naturii și protecția mediului din domeniul de aplicare al derogărilor de la cerințele de consultare publică. </w:t>
            </w:r>
          </w:p>
          <w:p w14:paraId="4A5E867E" w14:textId="6AC40083" w:rsidR="00702291" w:rsidRDefault="00712B31">
            <w:pPr>
              <w:pStyle w:val="P68B1DB1-Normal66"/>
              <w:spacing w:after="120" w:line="240" w:lineRule="auto"/>
              <w:ind w:left="52"/>
              <w:textAlignment w:val="baseline"/>
              <w:rPr>
                <w:rFonts w:eastAsia="Times New Roman"/>
                <w:noProof/>
              </w:rPr>
            </w:pPr>
            <w:r>
              <w:rPr>
                <w:noProof/>
              </w:rPr>
              <w:t>(VII) Biroul guvernamental de control (KEHI) verifică anual respectarea cerințelor privind consultarea publică prevăzute în Legea CXXXI din 2010, inclusiv punerea în aplicare a punctelor (i)-(vi), în special dacă utilizarea derogărilor a fost justificată în mod corespunzător și aplicată în mod corespunzător. Constatările verificărilor de mai sus se publică anual, până la data de 31 ianuarie, într-un raport pe site-ul oficiului.</w:t>
            </w:r>
          </w:p>
          <w:p w14:paraId="6E9C8900" w14:textId="7C549C18" w:rsidR="00702291" w:rsidRDefault="00712B31">
            <w:pPr>
              <w:pStyle w:val="P68B1DB1-Normal66"/>
              <w:spacing w:after="120" w:line="240" w:lineRule="auto"/>
              <w:ind w:left="52"/>
              <w:textAlignment w:val="baseline"/>
              <w:rPr>
                <w:noProof/>
              </w:rPr>
            </w:pPr>
            <w:r>
              <w:rPr>
                <w:noProof/>
              </w:rPr>
              <w:t>(VIII) Biroul de Control al Guvernului impune în mod consecvent o amendă suficient de mare ministerului condus de ministrul responsabil cu elaborarea legislației în cauză în cazul nerespectării oricăreia dintre dispozițiile CXXXI din 2010. Motivele pentru impunerea amenzii sunt puse la dispoziția publicului.</w:t>
            </w:r>
          </w:p>
        </w:tc>
      </w:tr>
      <w:tr w:rsidR="00702291" w14:paraId="44D519B5"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5816168" w14:textId="05D7EE4F" w:rsidR="00702291" w:rsidRDefault="00712B31">
            <w:pPr>
              <w:pStyle w:val="P68B1DB1-Normal66"/>
              <w:spacing w:after="120" w:line="240" w:lineRule="auto"/>
              <w:rPr>
                <w:rFonts w:eastAsia="Calibri"/>
                <w:noProof/>
              </w:rPr>
            </w:pPr>
            <w:r>
              <w:rPr>
                <w:noProof/>
              </w:rPr>
              <w:t>90</w:t>
            </w:r>
          </w:p>
        </w:tc>
        <w:tc>
          <w:tcPr>
            <w:tcW w:w="1712" w:type="dxa"/>
            <w:tcBorders>
              <w:top w:val="nil"/>
              <w:left w:val="nil"/>
              <w:bottom w:val="single" w:sz="4" w:space="0" w:color="auto"/>
              <w:right w:val="single" w:sz="4" w:space="0" w:color="auto"/>
            </w:tcBorders>
            <w:shd w:val="clear" w:color="auto" w:fill="C6EFCE"/>
            <w:noWrap/>
            <w:vAlign w:val="center"/>
          </w:tcPr>
          <w:p w14:paraId="6F82873A" w14:textId="573233D0" w:rsidR="00702291" w:rsidRDefault="00712B31">
            <w:pPr>
              <w:pStyle w:val="P68B1DB1-Normal66"/>
              <w:spacing w:after="120" w:line="240" w:lineRule="auto"/>
              <w:rPr>
                <w:rFonts w:eastAsia="Calibri"/>
                <w:noProof/>
              </w:rPr>
            </w:pPr>
            <w:r>
              <w:rPr>
                <w:noProof/>
              </w:rPr>
              <w:t>C8.R27 Revizuirea cerințelor minime privind substanța în scopul impozitului pe profit</w:t>
            </w:r>
          </w:p>
        </w:tc>
        <w:tc>
          <w:tcPr>
            <w:tcW w:w="1021" w:type="dxa"/>
            <w:tcBorders>
              <w:top w:val="nil"/>
              <w:left w:val="nil"/>
              <w:bottom w:val="single" w:sz="4" w:space="0" w:color="auto"/>
              <w:right w:val="single" w:sz="4" w:space="0" w:color="auto"/>
            </w:tcBorders>
            <w:shd w:val="clear" w:color="auto" w:fill="C6EFCE"/>
            <w:noWrap/>
            <w:vAlign w:val="center"/>
          </w:tcPr>
          <w:p w14:paraId="7D8AC1F7" w14:textId="77777777" w:rsidR="00702291" w:rsidRDefault="00712B31">
            <w:pPr>
              <w:pStyle w:val="P68B1DB1-Normal66"/>
              <w:spacing w:after="120" w:line="240" w:lineRule="auto"/>
              <w:rPr>
                <w:rFonts w:eastAsia="Calibri"/>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F401159" w14:textId="43C21C73" w:rsidR="00702291" w:rsidRDefault="00712B31">
            <w:pPr>
              <w:pStyle w:val="P68B1DB1-Normal66"/>
              <w:spacing w:after="120" w:line="240" w:lineRule="auto"/>
              <w:rPr>
                <w:rFonts w:eastAsia="Times New Roman"/>
                <w:noProof/>
              </w:rPr>
            </w:pPr>
            <w:r>
              <w:rPr>
                <w:noProof/>
              </w:rPr>
              <w:t>Expertiză internațională independentă privind normele naționale de combatere a evitării obligațiilor fiscale</w:t>
            </w:r>
          </w:p>
        </w:tc>
        <w:tc>
          <w:tcPr>
            <w:tcW w:w="1275" w:type="dxa"/>
            <w:tcBorders>
              <w:top w:val="nil"/>
              <w:left w:val="nil"/>
              <w:bottom w:val="single" w:sz="4" w:space="0" w:color="auto"/>
              <w:right w:val="single" w:sz="4" w:space="0" w:color="auto"/>
            </w:tcBorders>
            <w:shd w:val="clear" w:color="auto" w:fill="C6EFCE"/>
            <w:noWrap/>
            <w:vAlign w:val="center"/>
          </w:tcPr>
          <w:p w14:paraId="67E65D78" w14:textId="53ED88EE" w:rsidR="00702291" w:rsidRDefault="00712B31">
            <w:pPr>
              <w:pStyle w:val="P68B1DB1-Normal66"/>
              <w:spacing w:after="120" w:line="240" w:lineRule="auto"/>
              <w:rPr>
                <w:rFonts w:eastAsia="Calibri"/>
                <w:noProof/>
              </w:rPr>
            </w:pPr>
            <w:r>
              <w:rPr>
                <w:noProof/>
              </w:rPr>
              <w:t>Publicarea revizuirii</w:t>
            </w:r>
          </w:p>
        </w:tc>
        <w:tc>
          <w:tcPr>
            <w:tcW w:w="1134" w:type="dxa"/>
            <w:tcBorders>
              <w:top w:val="nil"/>
              <w:left w:val="nil"/>
              <w:bottom w:val="single" w:sz="4" w:space="0" w:color="auto"/>
              <w:right w:val="single" w:sz="4" w:space="0" w:color="auto"/>
            </w:tcBorders>
            <w:shd w:val="clear" w:color="auto" w:fill="C6EFCE"/>
            <w:noWrap/>
            <w:vAlign w:val="center"/>
          </w:tcPr>
          <w:p w14:paraId="0B9CB224"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56AD7FC"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EECAE45"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8E67119" w14:textId="15C9DBB5" w:rsidR="00702291" w:rsidRDefault="00F233DB">
            <w:pPr>
              <w:pStyle w:val="P68B1DB1-Normal66"/>
              <w:spacing w:after="120" w:line="240" w:lineRule="auto"/>
              <w:rPr>
                <w:rFonts w:eastAsia="Calibr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B8D925D" w14:textId="1B4D6A6F" w:rsidR="00702291" w:rsidRDefault="00712B31">
            <w:pPr>
              <w:pStyle w:val="P68B1DB1-Normal66"/>
              <w:spacing w:after="120" w:line="240" w:lineRule="auto"/>
              <w:rPr>
                <w:rFonts w:eastAsia="Calibr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7ED749FC" w14:textId="77777777" w:rsidR="00702291" w:rsidRDefault="00712B31">
            <w:pPr>
              <w:pStyle w:val="P68B1DB1-Normal66"/>
              <w:spacing w:after="120" w:line="240" w:lineRule="auto"/>
              <w:ind w:left="52"/>
              <w:textAlignment w:val="baseline"/>
              <w:rPr>
                <w:noProof/>
              </w:rPr>
            </w:pPr>
            <w:r>
              <w:rPr>
                <w:noProof/>
              </w:rPr>
              <w:t xml:space="preserve">Publicarea unei revizuiri independente a normelor naționale de combatere a evitării obligațiilor fiscale pe site-ul Ministerului de Finanțe. </w:t>
            </w:r>
          </w:p>
          <w:p w14:paraId="243E32DF" w14:textId="77777777" w:rsidR="00702291" w:rsidRDefault="00712B31">
            <w:pPr>
              <w:pStyle w:val="P68B1DB1-Normal66"/>
              <w:spacing w:after="120" w:line="240" w:lineRule="auto"/>
              <w:ind w:left="52"/>
              <w:textAlignment w:val="baseline"/>
              <w:rPr>
                <w:noProof/>
              </w:rPr>
            </w:pPr>
            <w:r>
              <w:rPr>
                <w:noProof/>
              </w:rPr>
              <w:t>Revizuirea analizează situația actuală a normelor naționale de combatere a evitării obligațiilor fiscale și oferă propuneri și recomandări concrete pentru îmbunătățirea eficacității normelor fiscale în ceea ce privește entitățile fictive.</w:t>
            </w:r>
          </w:p>
          <w:p w14:paraId="6134E229" w14:textId="6EAC8BAE" w:rsidR="00702291" w:rsidRDefault="00712B31">
            <w:pPr>
              <w:pStyle w:val="P68B1DB1-Normal66"/>
              <w:spacing w:after="120" w:line="240" w:lineRule="auto"/>
              <w:ind w:left="52"/>
              <w:textAlignment w:val="baseline"/>
              <w:rPr>
                <w:rFonts w:eastAsia="Times New Roman"/>
                <w:noProof/>
              </w:rPr>
            </w:pPr>
            <w:r>
              <w:rPr>
                <w:noProof/>
              </w:rPr>
              <w:t xml:space="preserve">Revizuirea face, de asemenea, recomandări privind cerințele minime de substanță în scopul impozitului pe profit și consecințele fiscale în cazul neîndeplinirii cerințelor minime de substanță. </w:t>
            </w:r>
          </w:p>
        </w:tc>
      </w:tr>
      <w:tr w:rsidR="00702291" w14:paraId="697AC01F" w14:textId="77777777" w:rsidTr="00494F0E">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45BD4" w14:textId="2E01F68E" w:rsidR="00702291" w:rsidRDefault="00712B31">
            <w:pPr>
              <w:pStyle w:val="P68B1DB1-Normal66"/>
              <w:spacing w:after="120" w:line="240" w:lineRule="auto"/>
              <w:rPr>
                <w:noProof/>
              </w:rPr>
            </w:pPr>
            <w:r>
              <w:rPr>
                <w:noProof/>
              </w:rPr>
              <w:t>91</w:t>
            </w:r>
          </w:p>
        </w:tc>
        <w:tc>
          <w:tcPr>
            <w:tcW w:w="1712" w:type="dxa"/>
            <w:tcBorders>
              <w:top w:val="single" w:sz="4" w:space="0" w:color="auto"/>
              <w:left w:val="nil"/>
              <w:bottom w:val="single" w:sz="4" w:space="0" w:color="auto"/>
              <w:right w:val="single" w:sz="4" w:space="0" w:color="auto"/>
            </w:tcBorders>
            <w:shd w:val="clear" w:color="auto" w:fill="C6EFCE"/>
            <w:noWrap/>
            <w:vAlign w:val="center"/>
          </w:tcPr>
          <w:p w14:paraId="1313B474" w14:textId="7A2324B5" w:rsidR="00702291" w:rsidRDefault="00712B31">
            <w:pPr>
              <w:pStyle w:val="P68B1DB1-Normal66"/>
              <w:spacing w:after="120" w:line="240" w:lineRule="auto"/>
              <w:rPr>
                <w:noProof/>
              </w:rPr>
            </w:pPr>
            <w:r>
              <w:rPr>
                <w:noProof/>
              </w:rPr>
              <w:t>C8.R28 Consolidarea reglementărilor privind prețurile de transfer</w:t>
            </w:r>
          </w:p>
        </w:tc>
        <w:tc>
          <w:tcPr>
            <w:tcW w:w="1021" w:type="dxa"/>
            <w:tcBorders>
              <w:top w:val="single" w:sz="4" w:space="0" w:color="auto"/>
              <w:left w:val="nil"/>
              <w:bottom w:val="single" w:sz="4" w:space="0" w:color="auto"/>
              <w:right w:val="single" w:sz="4" w:space="0" w:color="auto"/>
            </w:tcBorders>
            <w:shd w:val="clear" w:color="auto" w:fill="C6EFCE"/>
            <w:noWrap/>
            <w:vAlign w:val="center"/>
          </w:tcPr>
          <w:p w14:paraId="75FE70D9" w14:textId="3249A767" w:rsidR="00702291" w:rsidRDefault="00712B31">
            <w:pPr>
              <w:pStyle w:val="P68B1DB1-Normal66"/>
              <w:spacing w:after="120" w:line="240" w:lineRule="auto"/>
              <w:rPr>
                <w:noProof/>
              </w:rPr>
            </w:pPr>
            <w:r>
              <w:rPr>
                <w:noProof/>
              </w:rPr>
              <w:t>Etapă</w:t>
            </w:r>
          </w:p>
        </w:tc>
        <w:tc>
          <w:tcPr>
            <w:tcW w:w="1843" w:type="dxa"/>
            <w:tcBorders>
              <w:top w:val="single" w:sz="4" w:space="0" w:color="auto"/>
              <w:left w:val="nil"/>
              <w:bottom w:val="single" w:sz="4" w:space="0" w:color="auto"/>
              <w:right w:val="single" w:sz="4" w:space="0" w:color="auto"/>
            </w:tcBorders>
            <w:shd w:val="clear" w:color="auto" w:fill="C6EFCE"/>
            <w:noWrap/>
            <w:vAlign w:val="center"/>
          </w:tcPr>
          <w:p w14:paraId="3D3C2334" w14:textId="4EA7E39F" w:rsidR="00702291" w:rsidRDefault="00712B31">
            <w:pPr>
              <w:pStyle w:val="P68B1DB1-Normal66"/>
              <w:spacing w:after="120" w:line="240" w:lineRule="auto"/>
              <w:rPr>
                <w:noProof/>
              </w:rPr>
            </w:pPr>
            <w:r>
              <w:rPr>
                <w:noProof/>
              </w:rPr>
              <w:t>Intrarea în vigoare a actului (actelor) juridic (e) de consolidare a normelor privind prețurile de transfer</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71F4ACC" w14:textId="3E06BCEA" w:rsidR="00702291" w:rsidRDefault="00712B31">
            <w:pPr>
              <w:pStyle w:val="P68B1DB1-Normal66"/>
              <w:spacing w:after="120" w:line="240" w:lineRule="auto"/>
              <w:rPr>
                <w:noProof/>
              </w:rPr>
            </w:pPr>
            <w:r>
              <w:rPr>
                <w:noProof/>
              </w:rPr>
              <w:t>Dispoziții din actul (actele) juridic (e) care indică intrarea lor în vigoare</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168543D6"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11882669"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vAlign w:val="center"/>
          </w:tcPr>
          <w:p w14:paraId="2F36506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51B84DF9" w14:textId="691C8254" w:rsidR="00702291" w:rsidRDefault="00F233DB">
            <w:pPr>
              <w:pStyle w:val="P68B1DB1-Normal20"/>
              <w:spacing w:after="120" w:line="240" w:lineRule="auto"/>
              <w:rPr>
                <w:rFonts w:cs="Times New Roman"/>
                <w:noProof/>
                <w:szCs w:val="18"/>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vAlign w:val="center"/>
          </w:tcPr>
          <w:p w14:paraId="26942446" w14:textId="075425AE" w:rsidR="00702291" w:rsidRDefault="00712B31">
            <w:pPr>
              <w:pStyle w:val="P68B1DB1-Normal20"/>
              <w:spacing w:after="120" w:line="240" w:lineRule="auto"/>
              <w:rPr>
                <w:rFonts w:cs="Times New Roman"/>
                <w:noProof/>
                <w:szCs w:val="18"/>
              </w:rPr>
            </w:pPr>
            <w:r>
              <w:rPr>
                <w:noProof/>
              </w:rPr>
              <w:t>2026</w:t>
            </w:r>
          </w:p>
        </w:tc>
        <w:tc>
          <w:tcPr>
            <w:tcW w:w="3713" w:type="dxa"/>
            <w:tcBorders>
              <w:top w:val="single" w:sz="4" w:space="0" w:color="auto"/>
              <w:left w:val="nil"/>
              <w:bottom w:val="single" w:sz="4" w:space="0" w:color="auto"/>
              <w:right w:val="single" w:sz="4" w:space="0" w:color="auto"/>
            </w:tcBorders>
            <w:shd w:val="clear" w:color="auto" w:fill="C6EFCE"/>
            <w:noWrap/>
          </w:tcPr>
          <w:p w14:paraId="047E82D1" w14:textId="77777777" w:rsidR="00702291" w:rsidRDefault="00712B31">
            <w:pPr>
              <w:pStyle w:val="P68B1DB1-Normal66"/>
              <w:spacing w:after="120" w:line="240" w:lineRule="auto"/>
              <w:ind w:left="52"/>
              <w:jc w:val="both"/>
              <w:textAlignment w:val="baseline"/>
              <w:rPr>
                <w:noProof/>
              </w:rPr>
            </w:pPr>
            <w:r>
              <w:rPr>
                <w:noProof/>
              </w:rPr>
              <w:t xml:space="preserve">Intrarea în vigoare a actului (actelor) juridic (e) care introduce (introduc) noi obligații de raportare a prețurilor de transfer. Actul (actele) juridic (e) trebuie să includă cerințe detaliate pentru noua raportare a datelor privind prețurile de transfer. </w:t>
            </w:r>
          </w:p>
          <w:p w14:paraId="1C404A9A" w14:textId="53AA8946" w:rsidR="00702291" w:rsidRDefault="00712B31">
            <w:pPr>
              <w:pStyle w:val="P68B1DB1-Normal66"/>
              <w:spacing w:after="120" w:line="240" w:lineRule="auto"/>
              <w:rPr>
                <w:noProof/>
              </w:rPr>
            </w:pPr>
            <w:r>
              <w:rPr>
                <w:noProof/>
              </w:rPr>
              <w:t>Domeniul de aplicare al actului (actelor) juridic (e) acoperă tranzacțiile între întreprinderi asociate cu o valoare de cel puțin 150 milioane HUF.</w:t>
            </w:r>
          </w:p>
        </w:tc>
      </w:tr>
      <w:tr w:rsidR="00702291" w14:paraId="4D978F8F"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7D64ABA" w14:textId="087FBD01" w:rsidR="00702291" w:rsidRDefault="00712B31">
            <w:pPr>
              <w:pStyle w:val="P68B1DB1-Normal66"/>
              <w:spacing w:after="120" w:line="240" w:lineRule="auto"/>
              <w:rPr>
                <w:noProof/>
              </w:rPr>
            </w:pPr>
            <w:r>
              <w:rPr>
                <w:noProof/>
              </w:rPr>
              <w:t>92</w:t>
            </w:r>
          </w:p>
        </w:tc>
        <w:tc>
          <w:tcPr>
            <w:tcW w:w="1712" w:type="dxa"/>
            <w:tcBorders>
              <w:top w:val="nil"/>
              <w:left w:val="nil"/>
              <w:bottom w:val="single" w:sz="4" w:space="0" w:color="auto"/>
              <w:right w:val="single" w:sz="4" w:space="0" w:color="auto"/>
            </w:tcBorders>
            <w:shd w:val="clear" w:color="auto" w:fill="C6EFCE"/>
            <w:noWrap/>
            <w:vAlign w:val="center"/>
          </w:tcPr>
          <w:p w14:paraId="32FD8B00" w14:textId="51063F59" w:rsidR="00702291" w:rsidRDefault="00712B31">
            <w:pPr>
              <w:pStyle w:val="P68B1DB1-Normal66"/>
              <w:spacing w:after="120" w:line="240" w:lineRule="auto"/>
              <w:rPr>
                <w:noProof/>
              </w:rPr>
            </w:pPr>
            <w:r>
              <w:rPr>
                <w:noProof/>
              </w:rPr>
              <w:t>C8.R29 Extinderea domeniului de aplicare al normelor privind nedeductibilitatea pentru plățile către exterior</w:t>
            </w:r>
          </w:p>
        </w:tc>
        <w:tc>
          <w:tcPr>
            <w:tcW w:w="1021" w:type="dxa"/>
            <w:tcBorders>
              <w:top w:val="nil"/>
              <w:left w:val="nil"/>
              <w:bottom w:val="single" w:sz="4" w:space="0" w:color="auto"/>
              <w:right w:val="single" w:sz="4" w:space="0" w:color="auto"/>
            </w:tcBorders>
            <w:shd w:val="clear" w:color="auto" w:fill="C6EFCE"/>
            <w:noWrap/>
            <w:vAlign w:val="center"/>
          </w:tcPr>
          <w:p w14:paraId="43CA5924" w14:textId="7167798D"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4CA8143" w14:textId="29AEFD2D" w:rsidR="00702291" w:rsidRDefault="00712B31">
            <w:pPr>
              <w:pStyle w:val="P68B1DB1-Normal66"/>
              <w:spacing w:after="120" w:line="240" w:lineRule="auto"/>
              <w:rPr>
                <w:noProof/>
              </w:rPr>
            </w:pPr>
            <w:r>
              <w:rPr>
                <w:noProof/>
              </w:rPr>
              <w:t>Intrarea în vigoare a actului (actelor) juridic (e) de extindere a normelor de nedeductibilitate pentru plățile către exterior</w:t>
            </w:r>
          </w:p>
        </w:tc>
        <w:tc>
          <w:tcPr>
            <w:tcW w:w="1275" w:type="dxa"/>
            <w:tcBorders>
              <w:top w:val="nil"/>
              <w:left w:val="nil"/>
              <w:bottom w:val="single" w:sz="4" w:space="0" w:color="auto"/>
              <w:right w:val="single" w:sz="4" w:space="0" w:color="auto"/>
            </w:tcBorders>
            <w:shd w:val="clear" w:color="auto" w:fill="C6EFCE"/>
            <w:noWrap/>
            <w:vAlign w:val="center"/>
          </w:tcPr>
          <w:p w14:paraId="27CDB03F" w14:textId="39337101" w:rsidR="00702291" w:rsidRDefault="00712B31">
            <w:pPr>
              <w:pStyle w:val="P68B1DB1-Normal66"/>
              <w:spacing w:after="120" w:line="240" w:lineRule="auto"/>
              <w:rPr>
                <w:noProof/>
              </w:rPr>
            </w:pPr>
            <w:r>
              <w:rPr>
                <w:noProof/>
              </w:rPr>
              <w:t>Dispoziții din actul (actele) juridic (e) care indică intrarea lor în vigoare</w:t>
            </w:r>
          </w:p>
        </w:tc>
        <w:tc>
          <w:tcPr>
            <w:tcW w:w="1134" w:type="dxa"/>
            <w:tcBorders>
              <w:top w:val="nil"/>
              <w:left w:val="nil"/>
              <w:bottom w:val="single" w:sz="4" w:space="0" w:color="auto"/>
              <w:right w:val="single" w:sz="4" w:space="0" w:color="auto"/>
            </w:tcBorders>
            <w:shd w:val="clear" w:color="auto" w:fill="C6EFCE"/>
            <w:noWrap/>
            <w:vAlign w:val="center"/>
          </w:tcPr>
          <w:p w14:paraId="18EF309D"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B28B4B4"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3A923AC"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ACA65DD" w14:textId="4D4E1FF8" w:rsidR="00702291" w:rsidRDefault="00F233DB">
            <w:pPr>
              <w:pStyle w:val="P68B1DB1-Normal20"/>
              <w:spacing w:after="120" w:line="240" w:lineRule="auto"/>
              <w:rPr>
                <w:rFonts w:cs="Times New Roman"/>
                <w:noProof/>
                <w:szCs w:val="18"/>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1B283BC" w14:textId="7B8A9DA9" w:rsidR="00702291" w:rsidRDefault="00712B31">
            <w:pPr>
              <w:pStyle w:val="P68B1DB1-Normal20"/>
              <w:spacing w:after="120" w:line="240" w:lineRule="auto"/>
              <w:rPr>
                <w:rFonts w:cs="Times New Roman"/>
                <w:noProof/>
                <w:szCs w:val="18"/>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234895BE" w14:textId="77777777" w:rsidR="00702291" w:rsidRDefault="00712B31">
            <w:pPr>
              <w:pStyle w:val="P68B1DB1-Normal66"/>
              <w:spacing w:after="120" w:line="240" w:lineRule="auto"/>
              <w:ind w:left="52"/>
              <w:jc w:val="both"/>
              <w:textAlignment w:val="baseline"/>
              <w:rPr>
                <w:noProof/>
              </w:rPr>
            </w:pPr>
            <w:r>
              <w:rPr>
                <w:noProof/>
              </w:rPr>
              <w:t xml:space="preserve">Intrarea în vigoare a actului (actelor) juridic (e) care extinde (extind) normele de nedeductibilitate pentru plățile în străinătate pentru a acoperi toate tranzacțiile cu redevențe și dobânzi în străinătate în jurisdicții care fie sunt incluse pe lista UE a jurisdicțiilor necooperante, fie sunt considerate jurisdicții cu impozit zero sau cu impozit redus (care includ orice jurisdicție cu o rată oficială a impozitului pe profit mai mică decât rata oficială a impozitului pe profit din Ungaria). </w:t>
            </w:r>
          </w:p>
          <w:p w14:paraId="1874A2D5" w14:textId="368958CE" w:rsidR="00702291" w:rsidRDefault="00712B31">
            <w:pPr>
              <w:pStyle w:val="P68B1DB1-Normal66"/>
              <w:spacing w:after="120" w:line="240" w:lineRule="auto"/>
              <w:rPr>
                <w:noProof/>
              </w:rPr>
            </w:pPr>
            <w:r>
              <w:rPr>
                <w:noProof/>
              </w:rPr>
              <w:t>Actul (actele) juridic (e) identifică criteriile de aplicare a unei consecințe fiscale, ținând seama de motivele economice care stau la baza tranzacției și de tratamentul fiscal al tranzacției, pentru a acoperi cazurile de dublă neimpozitare. De asemenea, identifică consecințele fiscale adecvate pentru atenuarea riscului vizat.</w:t>
            </w:r>
          </w:p>
        </w:tc>
      </w:tr>
      <w:tr w:rsidR="00702291" w14:paraId="03942E2B"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314E43D" w14:textId="120D3191" w:rsidR="00702291" w:rsidRDefault="00712B31">
            <w:pPr>
              <w:pStyle w:val="P68B1DB1-Normal66"/>
              <w:spacing w:after="120" w:line="240" w:lineRule="auto"/>
              <w:rPr>
                <w:noProof/>
              </w:rPr>
            </w:pPr>
            <w:r>
              <w:rPr>
                <w:noProof/>
              </w:rPr>
              <w:t>93</w:t>
            </w:r>
          </w:p>
        </w:tc>
        <w:tc>
          <w:tcPr>
            <w:tcW w:w="1712" w:type="dxa"/>
            <w:tcBorders>
              <w:top w:val="nil"/>
              <w:left w:val="nil"/>
              <w:bottom w:val="single" w:sz="4" w:space="0" w:color="auto"/>
              <w:right w:val="single" w:sz="4" w:space="0" w:color="auto"/>
            </w:tcBorders>
            <w:shd w:val="clear" w:color="auto" w:fill="C6EFCE"/>
            <w:noWrap/>
            <w:vAlign w:val="center"/>
          </w:tcPr>
          <w:p w14:paraId="1384BEE5" w14:textId="5A2F8098" w:rsidR="00702291" w:rsidRDefault="00712B31">
            <w:pPr>
              <w:pStyle w:val="P68B1DB1-Normal66"/>
              <w:spacing w:after="120" w:line="240" w:lineRule="auto"/>
              <w:rPr>
                <w:noProof/>
              </w:rPr>
            </w:pPr>
            <w:r>
              <w:rPr>
                <w:noProof/>
              </w:rPr>
              <w:t>C8.R29 Extinderea domeniului de aplicare al normelor privind nedeductibilitatea pentru plățile către exterior</w:t>
            </w:r>
          </w:p>
        </w:tc>
        <w:tc>
          <w:tcPr>
            <w:tcW w:w="1021" w:type="dxa"/>
            <w:tcBorders>
              <w:top w:val="nil"/>
              <w:left w:val="nil"/>
              <w:bottom w:val="single" w:sz="4" w:space="0" w:color="auto"/>
              <w:right w:val="single" w:sz="4" w:space="0" w:color="auto"/>
            </w:tcBorders>
            <w:shd w:val="clear" w:color="auto" w:fill="C6EFCE"/>
            <w:noWrap/>
            <w:vAlign w:val="center"/>
          </w:tcPr>
          <w:p w14:paraId="669C1CA6" w14:textId="62CDAEF4"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0E03F4C2" w14:textId="07BD9F49" w:rsidR="00702291" w:rsidRDefault="00712B31">
            <w:pPr>
              <w:pStyle w:val="P68B1DB1-Normal66"/>
              <w:spacing w:after="120" w:line="240" w:lineRule="auto"/>
              <w:rPr>
                <w:noProof/>
              </w:rPr>
            </w:pPr>
            <w:r>
              <w:rPr>
                <w:noProof/>
              </w:rPr>
              <w:t>Comandarea unei evaluări independente a eficacității setului general de norme interne legate de planificarea fiscală agresivă</w:t>
            </w:r>
          </w:p>
        </w:tc>
        <w:tc>
          <w:tcPr>
            <w:tcW w:w="1275" w:type="dxa"/>
            <w:tcBorders>
              <w:top w:val="nil"/>
              <w:left w:val="nil"/>
              <w:bottom w:val="single" w:sz="4" w:space="0" w:color="auto"/>
              <w:right w:val="single" w:sz="4" w:space="0" w:color="auto"/>
            </w:tcBorders>
            <w:shd w:val="clear" w:color="auto" w:fill="C6EFCE"/>
            <w:noWrap/>
            <w:vAlign w:val="center"/>
          </w:tcPr>
          <w:p w14:paraId="1094626E" w14:textId="77777777" w:rsidR="00702291" w:rsidRDefault="00712B31">
            <w:pPr>
              <w:pStyle w:val="P68B1DB1-Normal66"/>
              <w:spacing w:after="120" w:line="240" w:lineRule="auto"/>
              <w:ind w:left="52"/>
              <w:textAlignment w:val="baseline"/>
              <w:rPr>
                <w:noProof/>
              </w:rPr>
            </w:pPr>
            <w:r>
              <w:rPr>
                <w:noProof/>
              </w:rPr>
              <w:t>Raportul intermediar al evaluării</w:t>
            </w:r>
          </w:p>
          <w:p w14:paraId="48D171E5" w14:textId="77777777" w:rsidR="00702291" w:rsidRDefault="00702291">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60B399B"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7ADB9DD"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7EC022DB"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C062804" w14:textId="697FCB10"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339F00F" w14:textId="76DD72C1"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60BB1151" w14:textId="0D094000" w:rsidR="00702291" w:rsidRDefault="00712B31">
            <w:pPr>
              <w:pStyle w:val="P68B1DB1-Normal66"/>
              <w:spacing w:after="120" w:line="240" w:lineRule="auto"/>
              <w:rPr>
                <w:noProof/>
              </w:rPr>
            </w:pPr>
            <w:r>
              <w:rPr>
                <w:noProof/>
              </w:rPr>
              <w:t xml:space="preserve">Se transmite Comisiei un raport intermediar privind progresele înregistrate de o evaluare independentă, efectuată de OCDE și comandată de Ungaria, cu privire la eficacitatea setului general de norme interne care vizează societățile de tip „cutie poștală” și plățile în străinătate de dobânzi și de redevențe între societățile stabilite în Ungaria și societățile stabilite în jurisdicții care fie sunt incluse pe lista UE a jurisdicțiilor necooperante, fie sunt considerate jurisdicții cu impozite zero sau cu impozite reduse. Angajamentul de a acționa pe baza rezultatelor evaluării independente se transmite prin publicarea unei scrisori oficiale din partea ministrului de finanțe către Comisie. </w:t>
            </w:r>
          </w:p>
        </w:tc>
      </w:tr>
      <w:tr w:rsidR="00702291" w14:paraId="700D666E"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49655EA" w14:textId="2601DC76" w:rsidR="00702291" w:rsidRDefault="00712B31">
            <w:pPr>
              <w:pStyle w:val="P68B1DB1-Normal66"/>
              <w:spacing w:after="120" w:line="240" w:lineRule="auto"/>
              <w:rPr>
                <w:noProof/>
              </w:rPr>
            </w:pPr>
            <w:r>
              <w:rPr>
                <w:noProof/>
              </w:rPr>
              <w:t>94</w:t>
            </w:r>
          </w:p>
        </w:tc>
        <w:tc>
          <w:tcPr>
            <w:tcW w:w="1712" w:type="dxa"/>
            <w:tcBorders>
              <w:top w:val="nil"/>
              <w:left w:val="nil"/>
              <w:bottom w:val="single" w:sz="4" w:space="0" w:color="auto"/>
              <w:right w:val="single" w:sz="4" w:space="0" w:color="auto"/>
            </w:tcBorders>
            <w:shd w:val="clear" w:color="auto" w:fill="C6EFCE"/>
            <w:noWrap/>
            <w:vAlign w:val="center"/>
          </w:tcPr>
          <w:p w14:paraId="466ADFDA" w14:textId="7571905E" w:rsidR="00702291" w:rsidRDefault="00712B31">
            <w:pPr>
              <w:pStyle w:val="P68B1DB1-Normal66"/>
              <w:spacing w:after="120" w:line="240" w:lineRule="auto"/>
              <w:rPr>
                <w:noProof/>
              </w:rPr>
            </w:pPr>
            <w:r>
              <w:rPr>
                <w:noProof/>
              </w:rPr>
              <w:t>C8.R30 Transformarea digitală a procedurilor de conformare fiscală</w:t>
            </w:r>
          </w:p>
        </w:tc>
        <w:tc>
          <w:tcPr>
            <w:tcW w:w="1021" w:type="dxa"/>
            <w:tcBorders>
              <w:top w:val="nil"/>
              <w:left w:val="nil"/>
              <w:bottom w:val="single" w:sz="4" w:space="0" w:color="auto"/>
              <w:right w:val="single" w:sz="4" w:space="0" w:color="auto"/>
            </w:tcBorders>
            <w:shd w:val="clear" w:color="auto" w:fill="C6EFCE"/>
            <w:noWrap/>
            <w:vAlign w:val="center"/>
          </w:tcPr>
          <w:p w14:paraId="0D1A9321" w14:textId="2ECFE79E"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F8AFFCD" w14:textId="78F56D37" w:rsidR="00702291" w:rsidRDefault="00712B31">
            <w:pPr>
              <w:pStyle w:val="P68B1DB1-Normal66"/>
              <w:spacing w:after="120" w:line="240" w:lineRule="auto"/>
              <w:rPr>
                <w:noProof/>
              </w:rPr>
            </w:pPr>
            <w:r>
              <w:rPr>
                <w:noProof/>
              </w:rPr>
              <w:t>Servicii digitale legate de soluțiile ePayroll, eReceipt și eVAT</w:t>
            </w:r>
          </w:p>
        </w:tc>
        <w:tc>
          <w:tcPr>
            <w:tcW w:w="1275" w:type="dxa"/>
            <w:tcBorders>
              <w:top w:val="nil"/>
              <w:left w:val="nil"/>
              <w:bottom w:val="single" w:sz="4" w:space="0" w:color="auto"/>
              <w:right w:val="single" w:sz="4" w:space="0" w:color="auto"/>
            </w:tcBorders>
            <w:shd w:val="clear" w:color="auto" w:fill="C6EFCE"/>
            <w:noWrap/>
            <w:vAlign w:val="center"/>
          </w:tcPr>
          <w:p w14:paraId="228438C3" w14:textId="7A6BC87E" w:rsidR="00702291" w:rsidRDefault="00712B31">
            <w:pPr>
              <w:pStyle w:val="P68B1DB1-Normal66"/>
              <w:spacing w:after="120" w:line="240" w:lineRule="auto"/>
              <w:rPr>
                <w:noProof/>
              </w:rPr>
            </w:pPr>
            <w:r>
              <w:rPr>
                <w:noProof/>
              </w:rPr>
              <w:t>Dispoziții din actul (actele) juridic (e) care indică intrarea lor în vigoare și lansarea proiectelor-pilot și accesibilitatea platformei pentru utilizatori</w:t>
            </w:r>
          </w:p>
        </w:tc>
        <w:tc>
          <w:tcPr>
            <w:tcW w:w="1134" w:type="dxa"/>
            <w:tcBorders>
              <w:top w:val="nil"/>
              <w:left w:val="nil"/>
              <w:bottom w:val="single" w:sz="4" w:space="0" w:color="auto"/>
              <w:right w:val="single" w:sz="4" w:space="0" w:color="auto"/>
            </w:tcBorders>
            <w:shd w:val="clear" w:color="auto" w:fill="C6EFCE"/>
            <w:noWrap/>
            <w:vAlign w:val="center"/>
          </w:tcPr>
          <w:p w14:paraId="458249C9"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2557FA8"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150F2F7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29DB7FD" w14:textId="58FC7EC8"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77A815C3" w14:textId="1B890128"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71FE0989" w14:textId="0CDBCAA9" w:rsidR="00702291" w:rsidRDefault="00712B31">
            <w:pPr>
              <w:pStyle w:val="P68B1DB1-Normal32"/>
              <w:spacing w:after="120" w:line="240" w:lineRule="auto"/>
              <w:ind w:left="52"/>
              <w:textAlignment w:val="baseline"/>
              <w:rPr>
                <w:rFonts w:eastAsia="Times New Roman"/>
                <w:noProof/>
              </w:rPr>
            </w:pPr>
            <w:r>
              <w:rPr>
                <w:noProof/>
              </w:rPr>
              <w:t xml:space="preserve">Intrarea în vigoare a actului (actelor) juridic (e) necesar (e) pentru introducerea „primirii electronice”. </w:t>
            </w:r>
          </w:p>
          <w:p w14:paraId="39C0BAD7" w14:textId="42B0D2AE" w:rsidR="00702291" w:rsidRDefault="00712B31">
            <w:pPr>
              <w:pStyle w:val="P68B1DB1-Normal27"/>
              <w:spacing w:after="120" w:line="240" w:lineRule="auto"/>
              <w:ind w:left="52"/>
              <w:textAlignment w:val="baseline"/>
              <w:rPr>
                <w:noProof/>
              </w:rPr>
            </w:pPr>
            <w:r>
              <w:rPr>
                <w:noProof/>
              </w:rPr>
              <w:t xml:space="preserve">Lansarea proiectului-pilot „ePayroll” (Platforma pentru furnizarea de date privind ocuparea forței de muncă). </w:t>
            </w:r>
          </w:p>
          <w:p w14:paraId="0657C42B" w14:textId="16F014C5" w:rsidR="00702291" w:rsidRDefault="00712B31">
            <w:pPr>
              <w:pStyle w:val="P68B1DB1-Normal27"/>
              <w:spacing w:after="120" w:line="240" w:lineRule="auto"/>
              <w:ind w:left="52"/>
              <w:textAlignment w:val="baseline"/>
              <w:rPr>
                <w:noProof/>
              </w:rPr>
            </w:pPr>
            <w:r>
              <w:rPr>
                <w:noProof/>
              </w:rPr>
              <w:t xml:space="preserve">Platforma „eVAT” va fi accesibilă utilizatorilor. </w:t>
            </w:r>
          </w:p>
        </w:tc>
      </w:tr>
      <w:tr w:rsidR="00702291" w14:paraId="7AD48F50"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A583A34" w14:textId="753F6CFE" w:rsidR="00702291" w:rsidRDefault="00712B31">
            <w:pPr>
              <w:pStyle w:val="P68B1DB1-Normal66"/>
              <w:spacing w:after="120" w:line="240" w:lineRule="auto"/>
              <w:rPr>
                <w:noProof/>
              </w:rPr>
            </w:pPr>
            <w:r>
              <w:rPr>
                <w:noProof/>
              </w:rPr>
              <w:t>95</w:t>
            </w:r>
          </w:p>
        </w:tc>
        <w:tc>
          <w:tcPr>
            <w:tcW w:w="1712" w:type="dxa"/>
            <w:tcBorders>
              <w:top w:val="nil"/>
              <w:left w:val="nil"/>
              <w:bottom w:val="single" w:sz="4" w:space="0" w:color="auto"/>
              <w:right w:val="single" w:sz="4" w:space="0" w:color="auto"/>
            </w:tcBorders>
            <w:shd w:val="clear" w:color="auto" w:fill="C6EFCE"/>
            <w:noWrap/>
            <w:vAlign w:val="center"/>
          </w:tcPr>
          <w:p w14:paraId="45BD8F78" w14:textId="061DDB73" w:rsidR="00702291" w:rsidRDefault="00712B31">
            <w:pPr>
              <w:pStyle w:val="P68B1DB1-Normal66"/>
              <w:spacing w:after="120" w:line="240" w:lineRule="auto"/>
              <w:rPr>
                <w:noProof/>
              </w:rPr>
            </w:pPr>
            <w:r>
              <w:rPr>
                <w:noProof/>
              </w:rPr>
              <w:t>C8.R31 Simplificarea sistemului fiscal prin reducerea numărului de impozite</w:t>
            </w:r>
          </w:p>
        </w:tc>
        <w:tc>
          <w:tcPr>
            <w:tcW w:w="1021" w:type="dxa"/>
            <w:tcBorders>
              <w:top w:val="nil"/>
              <w:left w:val="nil"/>
              <w:bottom w:val="single" w:sz="4" w:space="0" w:color="auto"/>
              <w:right w:val="single" w:sz="4" w:space="0" w:color="auto"/>
            </w:tcBorders>
            <w:shd w:val="clear" w:color="auto" w:fill="C6EFCE"/>
            <w:noWrap/>
            <w:vAlign w:val="center"/>
          </w:tcPr>
          <w:p w14:paraId="1435B960" w14:textId="0C148DE4"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6C1555FD" w14:textId="0B942B8A" w:rsidR="00702291" w:rsidRDefault="00712B31">
            <w:pPr>
              <w:pStyle w:val="P68B1DB1-Normal66"/>
              <w:spacing w:after="120" w:line="240" w:lineRule="auto"/>
              <w:rPr>
                <w:noProof/>
              </w:rPr>
            </w:pPr>
            <w:r>
              <w:rPr>
                <w:noProof/>
              </w:rPr>
              <w:t>Modificarea impozitului pe vânzările cu amănuntul</w:t>
            </w:r>
          </w:p>
        </w:tc>
        <w:tc>
          <w:tcPr>
            <w:tcW w:w="1275" w:type="dxa"/>
            <w:tcBorders>
              <w:top w:val="nil"/>
              <w:left w:val="nil"/>
              <w:bottom w:val="single" w:sz="4" w:space="0" w:color="auto"/>
              <w:right w:val="single" w:sz="4" w:space="0" w:color="auto"/>
            </w:tcBorders>
            <w:shd w:val="clear" w:color="auto" w:fill="C6EFCE"/>
            <w:noWrap/>
            <w:vAlign w:val="center"/>
          </w:tcPr>
          <w:p w14:paraId="0990BB02" w14:textId="4E56FA17" w:rsidR="00702291" w:rsidRDefault="00712B31">
            <w:pPr>
              <w:pStyle w:val="P68B1DB1-Normal66"/>
              <w:spacing w:after="120" w:line="240" w:lineRule="auto"/>
              <w:rPr>
                <w:noProof/>
              </w:rPr>
            </w:pPr>
            <w:r>
              <w:rPr>
                <w:noProof/>
              </w:rPr>
              <w:t>Dispoziții din actul (actele) juridic (e) care indică revizuirea impozitului în sectorul comerțului cu amănuntul</w:t>
            </w:r>
          </w:p>
        </w:tc>
        <w:tc>
          <w:tcPr>
            <w:tcW w:w="1134" w:type="dxa"/>
            <w:tcBorders>
              <w:top w:val="nil"/>
              <w:left w:val="nil"/>
              <w:bottom w:val="single" w:sz="4" w:space="0" w:color="auto"/>
              <w:right w:val="single" w:sz="4" w:space="0" w:color="auto"/>
            </w:tcBorders>
            <w:shd w:val="clear" w:color="auto" w:fill="C6EFCE"/>
            <w:noWrap/>
            <w:vAlign w:val="center"/>
          </w:tcPr>
          <w:p w14:paraId="1062E504"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CF88127"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247F7F93"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A4DEC0A" w14:textId="22971E57"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A6519F8" w14:textId="1A0D36E0"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03A20CE0" w14:textId="07FEDD29" w:rsidR="00702291" w:rsidRDefault="00712B31">
            <w:pPr>
              <w:pStyle w:val="P68B1DB1-Normal66"/>
              <w:spacing w:after="120" w:line="240" w:lineRule="auto"/>
              <w:rPr>
                <w:noProof/>
              </w:rPr>
            </w:pPr>
            <w:r>
              <w:rPr>
                <w:noProof/>
              </w:rPr>
              <w:t xml:space="preserve">Intrarea în vigoare a actului (actelor) juridic (e) de eliminare a restricțiilor privind societățile de comerț cu amănuntul aflate sub control străin care își restructurează operațiunile comerciale ca societăți naționale de comerț cu amănuntul. </w:t>
            </w:r>
          </w:p>
        </w:tc>
      </w:tr>
      <w:tr w:rsidR="00702291" w14:paraId="3CFDCA0E"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986850C" w14:textId="22290574" w:rsidR="00702291" w:rsidRDefault="00712B31">
            <w:pPr>
              <w:pStyle w:val="P68B1DB1-Normal66"/>
              <w:spacing w:after="120" w:line="240" w:lineRule="auto"/>
              <w:rPr>
                <w:noProof/>
              </w:rPr>
            </w:pPr>
            <w:r>
              <w:rPr>
                <w:noProof/>
              </w:rPr>
              <w:t>96</w:t>
            </w:r>
          </w:p>
        </w:tc>
        <w:tc>
          <w:tcPr>
            <w:tcW w:w="1712" w:type="dxa"/>
            <w:tcBorders>
              <w:top w:val="nil"/>
              <w:left w:val="nil"/>
              <w:bottom w:val="single" w:sz="4" w:space="0" w:color="auto"/>
              <w:right w:val="single" w:sz="4" w:space="0" w:color="auto"/>
            </w:tcBorders>
            <w:shd w:val="clear" w:color="auto" w:fill="C6EFCE"/>
            <w:noWrap/>
            <w:vAlign w:val="center"/>
          </w:tcPr>
          <w:p w14:paraId="78AAE822" w14:textId="447A5186" w:rsidR="00702291" w:rsidRDefault="00712B31">
            <w:pPr>
              <w:pStyle w:val="P68B1DB1-Normal66"/>
              <w:spacing w:after="120" w:line="240" w:lineRule="auto"/>
              <w:rPr>
                <w:noProof/>
              </w:rPr>
            </w:pPr>
            <w:r>
              <w:rPr>
                <w:noProof/>
              </w:rPr>
              <w:t>C8.R31 Simplificarea sistemului fiscal prin reducerea numărului de impozite</w:t>
            </w:r>
          </w:p>
        </w:tc>
        <w:tc>
          <w:tcPr>
            <w:tcW w:w="1021" w:type="dxa"/>
            <w:tcBorders>
              <w:top w:val="nil"/>
              <w:left w:val="nil"/>
              <w:bottom w:val="single" w:sz="4" w:space="0" w:color="auto"/>
              <w:right w:val="single" w:sz="4" w:space="0" w:color="auto"/>
            </w:tcBorders>
            <w:shd w:val="clear" w:color="auto" w:fill="C6EFCE"/>
            <w:noWrap/>
            <w:vAlign w:val="center"/>
          </w:tcPr>
          <w:p w14:paraId="4F986B31" w14:textId="56682A72"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255526F8" w14:textId="753148A1" w:rsidR="00702291" w:rsidRDefault="00712B31">
            <w:pPr>
              <w:pStyle w:val="P68B1DB1-Normal66"/>
              <w:spacing w:after="120" w:line="240" w:lineRule="auto"/>
              <w:rPr>
                <w:noProof/>
              </w:rPr>
            </w:pPr>
            <w:r>
              <w:rPr>
                <w:noProof/>
              </w:rPr>
              <w:t>Eliminarea treptată a avantajelor fiscale</w:t>
            </w:r>
          </w:p>
        </w:tc>
        <w:tc>
          <w:tcPr>
            <w:tcW w:w="1275" w:type="dxa"/>
            <w:tcBorders>
              <w:top w:val="nil"/>
              <w:left w:val="nil"/>
              <w:bottom w:val="single" w:sz="4" w:space="0" w:color="auto"/>
              <w:right w:val="single" w:sz="4" w:space="0" w:color="auto"/>
            </w:tcBorders>
            <w:shd w:val="clear" w:color="auto" w:fill="C6EFCE"/>
            <w:noWrap/>
            <w:vAlign w:val="center"/>
          </w:tcPr>
          <w:p w14:paraId="4EC4CEB6" w14:textId="6CBE7250" w:rsidR="00702291" w:rsidRDefault="00712B31">
            <w:pPr>
              <w:pStyle w:val="P68B1DB1-Normal66"/>
              <w:spacing w:after="120" w:line="240" w:lineRule="auto"/>
              <w:rPr>
                <w:noProof/>
              </w:rPr>
            </w:pPr>
            <w:r>
              <w:rPr>
                <w:noProof/>
              </w:rPr>
              <w:t>Publicarea actului (actelor) juridic (e) în Jurnalul Oficial și publicarea unei rezoluții a guvernului</w:t>
            </w:r>
          </w:p>
        </w:tc>
        <w:tc>
          <w:tcPr>
            <w:tcW w:w="1134" w:type="dxa"/>
            <w:tcBorders>
              <w:top w:val="nil"/>
              <w:left w:val="nil"/>
              <w:bottom w:val="single" w:sz="4" w:space="0" w:color="auto"/>
              <w:right w:val="single" w:sz="4" w:space="0" w:color="auto"/>
            </w:tcBorders>
            <w:shd w:val="clear" w:color="auto" w:fill="C6EFCE"/>
            <w:noWrap/>
            <w:vAlign w:val="center"/>
          </w:tcPr>
          <w:p w14:paraId="6F3AF50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3D80B3A"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23394B3"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DC6EB2" w14:textId="629D1EC8"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68F6A12" w14:textId="383878F3"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28C0DF4A" w14:textId="209E90A1" w:rsidR="00702291" w:rsidRDefault="00712B31">
            <w:pPr>
              <w:pStyle w:val="P68B1DB1-Normal27"/>
              <w:spacing w:after="120" w:line="240" w:lineRule="auto"/>
              <w:ind w:left="52"/>
              <w:textAlignment w:val="baseline"/>
              <w:rPr>
                <w:noProof/>
              </w:rPr>
            </w:pPr>
            <w:r>
              <w:rPr>
                <w:noProof/>
              </w:rPr>
              <w:t xml:space="preserve">Adoptarea și publicarea în Jurnalul Oficial a actului (actelor) juridic (e) de reducere a numărului de avantaje fiscale în cadrul regimului impozitului pe profit. </w:t>
            </w:r>
          </w:p>
          <w:p w14:paraId="0A42D6BA" w14:textId="34460FF0" w:rsidR="00702291" w:rsidRDefault="00712B31">
            <w:pPr>
              <w:pStyle w:val="P68B1DB1-Normal32"/>
              <w:spacing w:after="120" w:line="240" w:lineRule="auto"/>
              <w:textAlignment w:val="baseline"/>
              <w:rPr>
                <w:noProof/>
              </w:rPr>
            </w:pPr>
            <w:r>
              <w:rPr>
                <w:noProof/>
              </w:rPr>
              <w:t>Intrarea în vigoare a actului (actelor) juridic (e) referitor (e) la impozitarea veniturilor persoanelor fizice care asigură eliminarea treptată a avantajelor fiscale pentru utilizarea fiduciilor.</w:t>
            </w:r>
          </w:p>
          <w:p w14:paraId="26E5125A" w14:textId="594EDD3A" w:rsidR="00702291" w:rsidRDefault="00712B31">
            <w:pPr>
              <w:pStyle w:val="P68B1DB1-Normal32"/>
              <w:spacing w:after="120" w:line="240" w:lineRule="auto"/>
              <w:rPr>
                <w:noProof/>
              </w:rPr>
            </w:pPr>
            <w:r>
              <w:rPr>
                <w:noProof/>
              </w:rPr>
              <w:t xml:space="preserve">Publicarea unei rezoluții a guvernului prin care se comandă o revizuire internă a sistemului actual de impozitare a profitului, inclusiv a ratelor de impozitare, cu scopul de a colecta venituri suplimentare din impozitul pe profit, menținând în același timp competitivitatea sistemului de impozitare a profitului. </w:t>
            </w:r>
          </w:p>
        </w:tc>
      </w:tr>
      <w:tr w:rsidR="00702291" w14:paraId="28FF0495"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1B2D78E" w14:textId="5ADFE7E0" w:rsidR="00702291" w:rsidRDefault="00712B31">
            <w:pPr>
              <w:pStyle w:val="P68B1DB1-Normal66"/>
              <w:spacing w:after="120" w:line="240" w:lineRule="auto"/>
              <w:rPr>
                <w:noProof/>
              </w:rPr>
            </w:pPr>
            <w:r>
              <w:rPr>
                <w:noProof/>
              </w:rPr>
              <w:t>97</w:t>
            </w:r>
          </w:p>
        </w:tc>
        <w:tc>
          <w:tcPr>
            <w:tcW w:w="1712" w:type="dxa"/>
            <w:tcBorders>
              <w:top w:val="nil"/>
              <w:left w:val="nil"/>
              <w:bottom w:val="single" w:sz="4" w:space="0" w:color="auto"/>
              <w:right w:val="single" w:sz="4" w:space="0" w:color="auto"/>
            </w:tcBorders>
            <w:shd w:val="clear" w:color="auto" w:fill="C6EFCE"/>
            <w:noWrap/>
            <w:vAlign w:val="center"/>
          </w:tcPr>
          <w:p w14:paraId="450400B5" w14:textId="5FA12859" w:rsidR="00702291" w:rsidRDefault="00712B31">
            <w:pPr>
              <w:pStyle w:val="P68B1DB1-Normal66"/>
              <w:spacing w:after="120" w:line="240" w:lineRule="auto"/>
              <w:rPr>
                <w:noProof/>
              </w:rPr>
            </w:pPr>
            <w:r>
              <w:rPr>
                <w:noProof/>
              </w:rPr>
              <w:t>C8.R31 Simplificarea sistemului fiscal prin reducerea numărului de impozite</w:t>
            </w:r>
          </w:p>
        </w:tc>
        <w:tc>
          <w:tcPr>
            <w:tcW w:w="1021" w:type="dxa"/>
            <w:tcBorders>
              <w:top w:val="nil"/>
              <w:left w:val="nil"/>
              <w:bottom w:val="single" w:sz="4" w:space="0" w:color="auto"/>
              <w:right w:val="single" w:sz="4" w:space="0" w:color="auto"/>
            </w:tcBorders>
            <w:shd w:val="clear" w:color="auto" w:fill="C6EFCE"/>
            <w:noWrap/>
            <w:vAlign w:val="center"/>
          </w:tcPr>
          <w:p w14:paraId="459BFA58" w14:textId="7843CA49"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0BDFE39B" w14:textId="56C317F5" w:rsidR="00702291" w:rsidRDefault="00712B31">
            <w:pPr>
              <w:pStyle w:val="P68B1DB1-Normal66"/>
              <w:spacing w:after="120" w:line="240" w:lineRule="auto"/>
              <w:rPr>
                <w:noProof/>
              </w:rPr>
            </w:pPr>
            <w:r>
              <w:rPr>
                <w:noProof/>
              </w:rPr>
              <w:t>Adoptarea actului (actelor) juridic (e) de reducere a numărului de impozite</w:t>
            </w:r>
          </w:p>
        </w:tc>
        <w:tc>
          <w:tcPr>
            <w:tcW w:w="1275" w:type="dxa"/>
            <w:tcBorders>
              <w:top w:val="nil"/>
              <w:left w:val="nil"/>
              <w:bottom w:val="single" w:sz="4" w:space="0" w:color="auto"/>
              <w:right w:val="single" w:sz="4" w:space="0" w:color="auto"/>
            </w:tcBorders>
            <w:shd w:val="clear" w:color="auto" w:fill="C6EFCE"/>
            <w:noWrap/>
            <w:vAlign w:val="center"/>
          </w:tcPr>
          <w:p w14:paraId="272B586C" w14:textId="2DE7CF31" w:rsidR="00702291" w:rsidRDefault="00712B31">
            <w:pPr>
              <w:pStyle w:val="P68B1DB1-Normal66"/>
              <w:spacing w:after="120" w:line="240" w:lineRule="auto"/>
              <w:rPr>
                <w:noProof/>
              </w:rPr>
            </w:pPr>
            <w:r>
              <w:rPr>
                <w:noProof/>
              </w:rPr>
              <w:t>Publicarea actului (actelor) juridic (e) în Jurnalul Oficial</w:t>
            </w:r>
          </w:p>
        </w:tc>
        <w:tc>
          <w:tcPr>
            <w:tcW w:w="1134" w:type="dxa"/>
            <w:tcBorders>
              <w:top w:val="nil"/>
              <w:left w:val="nil"/>
              <w:bottom w:val="single" w:sz="4" w:space="0" w:color="auto"/>
              <w:right w:val="single" w:sz="4" w:space="0" w:color="auto"/>
            </w:tcBorders>
            <w:shd w:val="clear" w:color="auto" w:fill="C6EFCE"/>
            <w:noWrap/>
            <w:vAlign w:val="center"/>
          </w:tcPr>
          <w:p w14:paraId="44EBFA08"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BE3D3BB"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E3E8A11"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043A5EA" w14:textId="23EC6B58"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E40BF86" w14:textId="2DABC004"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75005663" w14:textId="26997F2E" w:rsidR="00702291" w:rsidRDefault="00712B31">
            <w:pPr>
              <w:pStyle w:val="P68B1DB1-Normal32"/>
              <w:spacing w:after="120" w:line="240" w:lineRule="auto"/>
              <w:rPr>
                <w:noProof/>
              </w:rPr>
            </w:pPr>
            <w:r>
              <w:rPr>
                <w:noProof/>
              </w:rPr>
              <w:t xml:space="preserve">Adoptarea și publicarea în Jurnalul Oficial a actului (actelor) juridic (e) de reducere a numărului de taxe. Actul (actele) juridic (e) trebuie să realizeze o reducere a numărului de taxe de la 54, în vigoare la 1 ianuarie 2023, la maximum 49. Impozitele sectoriale temporare și taxa de utilitate publică care intră sub incidența R36 nu sunt considerate ca făcând parte din impozitele în vigoare la 1 ianuarie 2023 și nici nu contribuie la reducerea propusă a numărului de impozite. </w:t>
            </w:r>
          </w:p>
        </w:tc>
      </w:tr>
      <w:tr w:rsidR="00702291" w14:paraId="0219E66A"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E1F2B3F" w14:textId="5B61E116" w:rsidR="00702291" w:rsidRDefault="00712B31">
            <w:pPr>
              <w:pStyle w:val="P68B1DB1-Normal66"/>
              <w:spacing w:after="120" w:line="240" w:lineRule="auto"/>
              <w:rPr>
                <w:noProof/>
              </w:rPr>
            </w:pPr>
            <w:r>
              <w:rPr>
                <w:noProof/>
              </w:rPr>
              <w:t>98</w:t>
            </w:r>
          </w:p>
        </w:tc>
        <w:tc>
          <w:tcPr>
            <w:tcW w:w="1712" w:type="dxa"/>
            <w:tcBorders>
              <w:top w:val="nil"/>
              <w:left w:val="nil"/>
              <w:bottom w:val="single" w:sz="4" w:space="0" w:color="auto"/>
              <w:right w:val="single" w:sz="4" w:space="0" w:color="auto"/>
            </w:tcBorders>
            <w:shd w:val="clear" w:color="auto" w:fill="C6EFCE"/>
            <w:noWrap/>
            <w:vAlign w:val="center"/>
          </w:tcPr>
          <w:p w14:paraId="5CCAD2B9" w14:textId="4222BAFD" w:rsidR="00702291" w:rsidRDefault="00712B31">
            <w:pPr>
              <w:pStyle w:val="P68B1DB1-Normal66"/>
              <w:spacing w:after="120" w:line="240" w:lineRule="auto"/>
              <w:rPr>
                <w:noProof/>
              </w:rPr>
            </w:pPr>
            <w:r>
              <w:rPr>
                <w:noProof/>
              </w:rPr>
              <w:t>C8.R31 Simplificarea sistemului fiscal prin reducerea numărului de impozite</w:t>
            </w:r>
          </w:p>
        </w:tc>
        <w:tc>
          <w:tcPr>
            <w:tcW w:w="1021" w:type="dxa"/>
            <w:tcBorders>
              <w:top w:val="nil"/>
              <w:left w:val="nil"/>
              <w:bottom w:val="single" w:sz="4" w:space="0" w:color="auto"/>
              <w:right w:val="single" w:sz="4" w:space="0" w:color="auto"/>
            </w:tcBorders>
            <w:shd w:val="clear" w:color="auto" w:fill="C6EFCE"/>
            <w:noWrap/>
            <w:vAlign w:val="center"/>
          </w:tcPr>
          <w:p w14:paraId="6C02F4F2" w14:textId="1570BA0A"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87BDDC7" w14:textId="1C40E289" w:rsidR="00702291" w:rsidRDefault="00712B31">
            <w:pPr>
              <w:pStyle w:val="P68B1DB1-Normal66"/>
              <w:spacing w:after="120" w:line="240" w:lineRule="auto"/>
              <w:rPr>
                <w:noProof/>
              </w:rPr>
            </w:pPr>
            <w:r>
              <w:rPr>
                <w:noProof/>
              </w:rPr>
              <w:t>Raport referitor la posibilitățile de simplificare și consolidare a unui set alternativ de norme privind impozitarea veniturilor persoanelor fizice</w:t>
            </w:r>
          </w:p>
        </w:tc>
        <w:tc>
          <w:tcPr>
            <w:tcW w:w="1275" w:type="dxa"/>
            <w:tcBorders>
              <w:top w:val="nil"/>
              <w:left w:val="nil"/>
              <w:bottom w:val="single" w:sz="4" w:space="0" w:color="auto"/>
              <w:right w:val="single" w:sz="4" w:space="0" w:color="auto"/>
            </w:tcBorders>
            <w:shd w:val="clear" w:color="auto" w:fill="C6EFCE"/>
            <w:noWrap/>
            <w:vAlign w:val="center"/>
          </w:tcPr>
          <w:p w14:paraId="52F7EA7E" w14:textId="61DE7AFA" w:rsidR="00702291" w:rsidRDefault="00712B31">
            <w:pPr>
              <w:pStyle w:val="P68B1DB1-Normal66"/>
              <w:spacing w:after="120" w:line="240" w:lineRule="auto"/>
              <w:rPr>
                <w:noProof/>
              </w:rPr>
            </w:pPr>
            <w:r>
              <w:rPr>
                <w:noProof/>
              </w:rPr>
              <w:t>Publicarea raportului</w:t>
            </w:r>
          </w:p>
        </w:tc>
        <w:tc>
          <w:tcPr>
            <w:tcW w:w="1134" w:type="dxa"/>
            <w:tcBorders>
              <w:top w:val="nil"/>
              <w:left w:val="nil"/>
              <w:bottom w:val="single" w:sz="4" w:space="0" w:color="auto"/>
              <w:right w:val="single" w:sz="4" w:space="0" w:color="auto"/>
            </w:tcBorders>
            <w:shd w:val="clear" w:color="auto" w:fill="C6EFCE"/>
            <w:noWrap/>
            <w:vAlign w:val="center"/>
          </w:tcPr>
          <w:p w14:paraId="0BEBBD64"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DCD6218"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7B391878"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86CA735" w14:textId="6362B838" w:rsidR="00702291" w:rsidRDefault="00F233DB">
            <w:pPr>
              <w:pStyle w:val="P68B1DB1-Normal20"/>
              <w:spacing w:after="120" w:line="240" w:lineRule="auto"/>
              <w:rPr>
                <w:rFonts w:cs="Times New Roman"/>
                <w:noProof/>
                <w:szCs w:val="18"/>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B578095" w14:textId="6E23EB66" w:rsidR="00702291" w:rsidRDefault="00712B31">
            <w:pPr>
              <w:pStyle w:val="P68B1DB1-Normal20"/>
              <w:spacing w:after="120" w:line="240" w:lineRule="auto"/>
              <w:rPr>
                <w:rFonts w:cs="Times New Roman"/>
                <w:noProof/>
                <w:szCs w:val="18"/>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3A98C05B" w14:textId="77777777" w:rsidR="00702291" w:rsidRDefault="00712B31">
            <w:pPr>
              <w:pStyle w:val="P68B1DB1-Normal66"/>
              <w:spacing w:after="120" w:line="240" w:lineRule="auto"/>
              <w:ind w:left="52"/>
              <w:textAlignment w:val="baseline"/>
              <w:rPr>
                <w:rFonts w:eastAsia="Times New Roman"/>
                <w:noProof/>
              </w:rPr>
            </w:pPr>
            <w:r>
              <w:rPr>
                <w:noProof/>
              </w:rPr>
              <w:t>Publicarea unui raport privind modul în care normele privind impozitarea veniturilor persoanelor fizice ar putea fi simplificate și consolidate, în vederea eliminării cheltuielilor fiscale ineficiente, a facilitării alegerii normelor fiscale pentru contribuabili și a reducerii stimulentelor distorsionate sau nejustificate.</w:t>
            </w:r>
          </w:p>
          <w:p w14:paraId="46ECB649" w14:textId="11184538" w:rsidR="00702291" w:rsidRDefault="00712B31">
            <w:pPr>
              <w:pStyle w:val="P68B1DB1-Normal66"/>
              <w:spacing w:after="120" w:line="240" w:lineRule="auto"/>
              <w:rPr>
                <w:noProof/>
              </w:rPr>
            </w:pPr>
            <w:r>
              <w:rPr>
                <w:noProof/>
              </w:rPr>
              <w:t>Raportul se publică pe site-ul Ministerului Finanțelor.</w:t>
            </w:r>
          </w:p>
        </w:tc>
      </w:tr>
      <w:tr w:rsidR="00702291" w14:paraId="1F160D54"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511FA5D" w14:textId="388FEAC4" w:rsidR="00702291" w:rsidRDefault="00712B31">
            <w:pPr>
              <w:pStyle w:val="P68B1DB1-Normal66"/>
              <w:spacing w:after="120" w:line="240" w:lineRule="auto"/>
              <w:rPr>
                <w:noProof/>
              </w:rPr>
            </w:pPr>
            <w:r>
              <w:rPr>
                <w:noProof/>
              </w:rPr>
              <w:t>99</w:t>
            </w:r>
          </w:p>
        </w:tc>
        <w:tc>
          <w:tcPr>
            <w:tcW w:w="1712" w:type="dxa"/>
            <w:tcBorders>
              <w:top w:val="nil"/>
              <w:left w:val="nil"/>
              <w:bottom w:val="single" w:sz="4" w:space="0" w:color="auto"/>
              <w:right w:val="single" w:sz="4" w:space="0" w:color="auto"/>
            </w:tcBorders>
            <w:shd w:val="clear" w:color="auto" w:fill="C6EFCE"/>
            <w:noWrap/>
            <w:vAlign w:val="center"/>
          </w:tcPr>
          <w:p w14:paraId="64F41552" w14:textId="7B5CD505" w:rsidR="00702291" w:rsidRDefault="00712B31">
            <w:pPr>
              <w:pStyle w:val="P68B1DB1-Normal66"/>
              <w:spacing w:after="120" w:line="240" w:lineRule="auto"/>
              <w:ind w:left="52"/>
              <w:rPr>
                <w:rFonts w:eastAsia="Times New Roman"/>
                <w:noProof/>
              </w:rPr>
            </w:pPr>
            <w:r>
              <w:rPr>
                <w:noProof/>
              </w:rPr>
              <w:t>C8.R32 Reformarea taxei pe conductele de utilități publice</w:t>
            </w:r>
          </w:p>
          <w:p w14:paraId="4DBEA79D" w14:textId="77777777" w:rsidR="00702291" w:rsidRDefault="00702291">
            <w:pPr>
              <w:spacing w:after="120" w:line="240" w:lineRule="auto"/>
              <w:rPr>
                <w:rFonts w:ascii="Times New Roman"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2631062E" w14:textId="02E2E29A"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1C6EBE0" w14:textId="551BF26E" w:rsidR="00702291" w:rsidRDefault="00712B31">
            <w:pPr>
              <w:pStyle w:val="P68B1DB1-Normal66"/>
              <w:spacing w:after="120" w:line="240" w:lineRule="auto"/>
              <w:rPr>
                <w:noProof/>
              </w:rPr>
            </w:pPr>
            <w:r>
              <w:rPr>
                <w:noProof/>
              </w:rPr>
              <w:t>Intrarea în vigoare a actului (actelor) juridic (e) privind taxa pe conductele de utilități </w:t>
            </w:r>
          </w:p>
        </w:tc>
        <w:tc>
          <w:tcPr>
            <w:tcW w:w="1275" w:type="dxa"/>
            <w:tcBorders>
              <w:top w:val="nil"/>
              <w:left w:val="nil"/>
              <w:bottom w:val="single" w:sz="4" w:space="0" w:color="auto"/>
              <w:right w:val="single" w:sz="4" w:space="0" w:color="auto"/>
            </w:tcBorders>
            <w:shd w:val="clear" w:color="auto" w:fill="C6EFCE"/>
            <w:noWrap/>
            <w:vAlign w:val="center"/>
          </w:tcPr>
          <w:p w14:paraId="0753D010" w14:textId="2C30408E" w:rsidR="00702291" w:rsidRDefault="00712B31">
            <w:pPr>
              <w:pStyle w:val="P68B1DB1-Normal66"/>
              <w:spacing w:after="120" w:line="240" w:lineRule="auto"/>
              <w:rPr>
                <w:noProof/>
              </w:rPr>
            </w:pPr>
            <w:r>
              <w:rPr>
                <w:noProof/>
              </w:rPr>
              <w:t>Dispoziții din actul (actele) juridic (e) care indică intrarea lor în vigoare</w:t>
            </w:r>
          </w:p>
        </w:tc>
        <w:tc>
          <w:tcPr>
            <w:tcW w:w="1134" w:type="dxa"/>
            <w:tcBorders>
              <w:top w:val="nil"/>
              <w:left w:val="nil"/>
              <w:bottom w:val="single" w:sz="4" w:space="0" w:color="auto"/>
              <w:right w:val="single" w:sz="4" w:space="0" w:color="auto"/>
            </w:tcBorders>
            <w:shd w:val="clear" w:color="auto" w:fill="C6EFCE"/>
            <w:noWrap/>
            <w:vAlign w:val="center"/>
          </w:tcPr>
          <w:p w14:paraId="3561A791"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E663087"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160967E"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17A2588" w14:textId="4B9917E7" w:rsidR="00702291" w:rsidRDefault="00F233DB">
            <w:pPr>
              <w:pStyle w:val="P68B1DB1-Normal20"/>
              <w:spacing w:after="120" w:line="240" w:lineRule="auto"/>
              <w:rPr>
                <w:rFonts w:cs="Times New Roman"/>
                <w:noProof/>
                <w:szCs w:val="18"/>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5FEB05E" w14:textId="3BC18D31" w:rsidR="00702291" w:rsidRDefault="00712B31">
            <w:pPr>
              <w:pStyle w:val="P68B1DB1-Normal20"/>
              <w:spacing w:after="120" w:line="240" w:lineRule="auto"/>
              <w:rPr>
                <w:rFonts w:cs="Times New Roman"/>
                <w:noProof/>
                <w:szCs w:val="18"/>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7659C110" w14:textId="77777777" w:rsidR="00702291" w:rsidRDefault="00712B31">
            <w:pPr>
              <w:pStyle w:val="P68B1DB1-Normal66"/>
              <w:spacing w:after="120" w:line="240" w:lineRule="auto"/>
              <w:ind w:left="52"/>
              <w:textAlignment w:val="baseline"/>
              <w:rPr>
                <w:noProof/>
              </w:rPr>
            </w:pPr>
            <w:r>
              <w:rPr>
                <w:noProof/>
              </w:rPr>
              <w:t xml:space="preserve">Intrarea în vigoare a actului (actelor) juridic (e) privind simplificarea impozitării utilităților publice pentru </w:t>
            </w:r>
          </w:p>
          <w:p w14:paraId="6C5077FF" w14:textId="77777777" w:rsidR="00702291" w:rsidRDefault="00712B31">
            <w:pPr>
              <w:pStyle w:val="P68B1DB1-ListParagraph67"/>
              <w:numPr>
                <w:ilvl w:val="0"/>
                <w:numId w:val="148"/>
              </w:numPr>
              <w:spacing w:after="120" w:line="240" w:lineRule="auto"/>
              <w:contextualSpacing w:val="0"/>
              <w:textAlignment w:val="baseline"/>
              <w:rPr>
                <w:noProof/>
              </w:rPr>
            </w:pPr>
            <w:r>
              <w:rPr>
                <w:noProof/>
              </w:rPr>
              <w:t xml:space="preserve">abrogarea Legii nr. CLXVIII din 2012 privind taxa pe conductele de utilități sau </w:t>
            </w:r>
          </w:p>
          <w:p w14:paraId="66187522" w14:textId="77777777" w:rsidR="00702291" w:rsidRDefault="00712B31">
            <w:pPr>
              <w:pStyle w:val="P68B1DB1-ListParagraph67"/>
              <w:numPr>
                <w:ilvl w:val="0"/>
                <w:numId w:val="148"/>
              </w:numPr>
              <w:spacing w:after="120" w:line="240" w:lineRule="auto"/>
              <w:contextualSpacing w:val="0"/>
              <w:textAlignment w:val="baseline"/>
              <w:rPr>
                <w:rFonts w:eastAsia="Times New Roman"/>
                <w:noProof/>
              </w:rPr>
            </w:pPr>
            <w:r>
              <w:rPr>
                <w:noProof/>
              </w:rPr>
              <w:t xml:space="preserve">modificarea Legii nr. CLXVIII din 2012 privind taxa pe conductele de utilități </w:t>
            </w:r>
          </w:p>
          <w:p w14:paraId="36C0D772" w14:textId="53529129" w:rsidR="00702291" w:rsidRDefault="00712B31">
            <w:pPr>
              <w:pStyle w:val="P68B1DB1-Normal66"/>
              <w:spacing w:after="120" w:line="240" w:lineRule="auto"/>
              <w:rPr>
                <w:noProof/>
              </w:rPr>
            </w:pPr>
            <w:r>
              <w:rPr>
                <w:noProof/>
              </w:rPr>
              <w:t>pentru a introduce o normă fiscală care să permită proprietarilor de utilități să achite sau să crediteze impozitul detaliat datorat pentru liniile lor (apă și canalizare, linii electrice, conducte de gaze naturale și cabluri de telecomunicații) situate în zone publice pentru suma pe care o investesc în întreținerea sau modernizarea acestor linii.</w:t>
            </w:r>
          </w:p>
        </w:tc>
      </w:tr>
      <w:tr w:rsidR="00702291" w14:paraId="45B5E55F"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1BAD408" w14:textId="3DA00B95" w:rsidR="00702291" w:rsidRDefault="00712B31">
            <w:pPr>
              <w:pStyle w:val="P68B1DB1-Normal66"/>
              <w:spacing w:after="120" w:line="240" w:lineRule="auto"/>
              <w:rPr>
                <w:noProof/>
              </w:rPr>
            </w:pPr>
            <w:r>
              <w:rPr>
                <w:noProof/>
              </w:rPr>
              <w:t>100</w:t>
            </w:r>
          </w:p>
        </w:tc>
        <w:tc>
          <w:tcPr>
            <w:tcW w:w="1712" w:type="dxa"/>
            <w:tcBorders>
              <w:top w:val="nil"/>
              <w:left w:val="nil"/>
              <w:bottom w:val="single" w:sz="4" w:space="0" w:color="auto"/>
              <w:right w:val="single" w:sz="4" w:space="0" w:color="auto"/>
            </w:tcBorders>
            <w:shd w:val="clear" w:color="auto" w:fill="C6EFCE"/>
            <w:noWrap/>
            <w:vAlign w:val="center"/>
          </w:tcPr>
          <w:p w14:paraId="3765026F" w14:textId="44B10F44" w:rsidR="00702291" w:rsidRDefault="00712B31">
            <w:pPr>
              <w:pStyle w:val="P68B1DB1-Normal66"/>
              <w:spacing w:after="120" w:line="240" w:lineRule="auto"/>
              <w:rPr>
                <w:noProof/>
              </w:rPr>
            </w:pPr>
            <w:r>
              <w:rPr>
                <w:noProof/>
              </w:rPr>
              <w:t>C8.R33 Stimularea eficienței cheltuielilor publice prin efectuarea de analize ale cheltuielilor</w:t>
            </w:r>
          </w:p>
        </w:tc>
        <w:tc>
          <w:tcPr>
            <w:tcW w:w="1021" w:type="dxa"/>
            <w:tcBorders>
              <w:top w:val="nil"/>
              <w:left w:val="nil"/>
              <w:bottom w:val="single" w:sz="4" w:space="0" w:color="auto"/>
              <w:right w:val="single" w:sz="4" w:space="0" w:color="auto"/>
            </w:tcBorders>
            <w:shd w:val="clear" w:color="auto" w:fill="C6EFCE"/>
            <w:noWrap/>
            <w:vAlign w:val="center"/>
          </w:tcPr>
          <w:p w14:paraId="391B39C3" w14:textId="456814AA"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6483B4B8" w14:textId="44ED944D" w:rsidR="00702291" w:rsidRDefault="00712B31">
            <w:pPr>
              <w:pStyle w:val="P68B1DB1-Normal66"/>
              <w:spacing w:after="120" w:line="240" w:lineRule="auto"/>
              <w:rPr>
                <w:noProof/>
              </w:rPr>
            </w:pPr>
            <w:r>
              <w:rPr>
                <w:noProof/>
              </w:rPr>
              <w:t>Instituirea procesului de efectuare a analizelor cheltuielilor și de efectuare a analizelor cheltuielilor</w:t>
            </w:r>
          </w:p>
        </w:tc>
        <w:tc>
          <w:tcPr>
            <w:tcW w:w="1275" w:type="dxa"/>
            <w:tcBorders>
              <w:top w:val="nil"/>
              <w:left w:val="nil"/>
              <w:bottom w:val="single" w:sz="4" w:space="0" w:color="auto"/>
              <w:right w:val="single" w:sz="4" w:space="0" w:color="auto"/>
            </w:tcBorders>
            <w:shd w:val="clear" w:color="auto" w:fill="C6EFCE"/>
            <w:noWrap/>
            <w:vAlign w:val="center"/>
          </w:tcPr>
          <w:p w14:paraId="2BB8F09B" w14:textId="695F1FF1" w:rsidR="00702291" w:rsidRDefault="00712B31">
            <w:pPr>
              <w:pStyle w:val="P68B1DB1-Normal66"/>
              <w:spacing w:after="120" w:line="240" w:lineRule="auto"/>
              <w:rPr>
                <w:noProof/>
              </w:rPr>
            </w:pPr>
            <w:r>
              <w:rPr>
                <w:noProof/>
              </w:rPr>
              <w:t>Publicarea unei rezoluții a guvernului, semnarea unui contract cu unul sau mai mulți experți internaționali și efectuarea a două analize ale cheltuielilor</w:t>
            </w:r>
          </w:p>
        </w:tc>
        <w:tc>
          <w:tcPr>
            <w:tcW w:w="1134" w:type="dxa"/>
            <w:tcBorders>
              <w:top w:val="nil"/>
              <w:left w:val="nil"/>
              <w:bottom w:val="single" w:sz="4" w:space="0" w:color="auto"/>
              <w:right w:val="single" w:sz="4" w:space="0" w:color="auto"/>
            </w:tcBorders>
            <w:shd w:val="clear" w:color="auto" w:fill="C6EFCE"/>
            <w:noWrap/>
            <w:vAlign w:val="center"/>
          </w:tcPr>
          <w:p w14:paraId="70F32427"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ABECEB3"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450C7D79"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B3659A3" w14:textId="0F1846FB"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F196B0D" w14:textId="5B3DF0AA"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72469D5F" w14:textId="77777777" w:rsidR="00702291" w:rsidRDefault="00712B31">
            <w:pPr>
              <w:pStyle w:val="P68B1DB1-ListParagraph67"/>
              <w:numPr>
                <w:ilvl w:val="0"/>
                <w:numId w:val="149"/>
              </w:numPr>
              <w:spacing w:after="120" w:line="240" w:lineRule="auto"/>
              <w:contextualSpacing w:val="0"/>
              <w:textAlignment w:val="baseline"/>
              <w:rPr>
                <w:rFonts w:eastAsia="Times New Roman"/>
                <w:noProof/>
              </w:rPr>
            </w:pPr>
            <w:r>
              <w:rPr>
                <w:noProof/>
              </w:rPr>
              <w:t>Publicarea unei (unor) rezoluții guvernamentale privind lansarea unui proces de analiză a cheltuielilor.</w:t>
            </w:r>
          </w:p>
          <w:p w14:paraId="1A10353C" w14:textId="77777777" w:rsidR="00702291" w:rsidRDefault="00712B31">
            <w:pPr>
              <w:pStyle w:val="P68B1DB1-Normal66"/>
              <w:spacing w:after="120" w:line="240" w:lineRule="auto"/>
              <w:ind w:left="52"/>
              <w:textAlignment w:val="baseline"/>
              <w:rPr>
                <w:rFonts w:eastAsia="Times New Roman"/>
                <w:noProof/>
              </w:rPr>
            </w:pPr>
            <w:r>
              <w:rPr>
                <w:noProof/>
              </w:rPr>
              <w:t>Rezoluția (rezoluțiile) precizează:</w:t>
            </w:r>
          </w:p>
          <w:p w14:paraId="7AD6EBAD" w14:textId="77777777" w:rsidR="00702291" w:rsidRDefault="00712B31">
            <w:pPr>
              <w:pStyle w:val="P68B1DB1-Normal32"/>
              <w:numPr>
                <w:ilvl w:val="0"/>
                <w:numId w:val="13"/>
              </w:numPr>
              <w:spacing w:after="120" w:line="240" w:lineRule="auto"/>
              <w:ind w:left="412"/>
              <w:textAlignment w:val="baseline"/>
              <w:rPr>
                <w:rFonts w:eastAsia="Times New Roman"/>
                <w:noProof/>
              </w:rPr>
            </w:pPr>
            <w:r>
              <w:rPr>
                <w:noProof/>
              </w:rPr>
              <w:t>obiectivele și țintele detaliate;</w:t>
            </w:r>
          </w:p>
          <w:p w14:paraId="221C447C" w14:textId="77777777" w:rsidR="00702291" w:rsidRDefault="00712B31">
            <w:pPr>
              <w:pStyle w:val="P68B1DB1-Normal32"/>
              <w:numPr>
                <w:ilvl w:val="0"/>
                <w:numId w:val="13"/>
              </w:numPr>
              <w:spacing w:after="120" w:line="240" w:lineRule="auto"/>
              <w:ind w:left="412"/>
              <w:textAlignment w:val="baseline"/>
              <w:rPr>
                <w:rFonts w:eastAsia="Times New Roman"/>
                <w:noProof/>
              </w:rPr>
            </w:pPr>
            <w:r>
              <w:rPr>
                <w:noProof/>
              </w:rPr>
              <w:t>metodologia de revizuire;</w:t>
            </w:r>
          </w:p>
          <w:p w14:paraId="317C0D9C" w14:textId="77777777" w:rsidR="00702291" w:rsidRDefault="00712B31">
            <w:pPr>
              <w:pStyle w:val="P68B1DB1-Normal32"/>
              <w:numPr>
                <w:ilvl w:val="0"/>
                <w:numId w:val="13"/>
              </w:numPr>
              <w:spacing w:after="120" w:line="240" w:lineRule="auto"/>
              <w:ind w:left="412"/>
              <w:textAlignment w:val="baseline"/>
              <w:rPr>
                <w:rFonts w:eastAsia="Times New Roman"/>
                <w:noProof/>
              </w:rPr>
            </w:pPr>
            <w:r>
              <w:rPr>
                <w:noProof/>
              </w:rPr>
              <w:t>un mecanism de integrare a rezultatelor analizelor cheltuielilor în procesul bugetar, prin intermediul circularei bugetare.</w:t>
            </w:r>
          </w:p>
          <w:p w14:paraId="7F22D4DD" w14:textId="77777777" w:rsidR="00702291" w:rsidRDefault="00712B31">
            <w:pPr>
              <w:pStyle w:val="P68B1DB1-Normal66"/>
              <w:spacing w:after="120" w:line="240" w:lineRule="auto"/>
              <w:textAlignment w:val="baseline"/>
              <w:rPr>
                <w:rFonts w:eastAsia="Times New Roman"/>
                <w:noProof/>
              </w:rPr>
            </w:pPr>
            <w:r>
              <w:rPr>
                <w:noProof/>
              </w:rPr>
              <w:t>Metodologia definește obiective concrete în materie de economii și eficiență pentru anumite domenii de cheltuieli.</w:t>
            </w:r>
          </w:p>
          <w:p w14:paraId="764D0F27" w14:textId="7E1F320C" w:rsidR="00702291" w:rsidRDefault="00712B31">
            <w:pPr>
              <w:pStyle w:val="P68B1DB1-ListParagraph43"/>
              <w:numPr>
                <w:ilvl w:val="0"/>
                <w:numId w:val="149"/>
              </w:numPr>
              <w:spacing w:after="120" w:line="240" w:lineRule="auto"/>
              <w:contextualSpacing w:val="0"/>
              <w:rPr>
                <w:rFonts w:eastAsia="Times New Roman"/>
                <w:noProof/>
              </w:rPr>
            </w:pPr>
            <w:r>
              <w:rPr>
                <w:noProof/>
              </w:rPr>
              <w:t>Guvernul coordonează și efectuează două analize ale cheltuielilor din cel puțin două domenii de cheltuieli.</w:t>
            </w:r>
          </w:p>
          <w:p w14:paraId="4D2CAB56" w14:textId="0DCFF418" w:rsidR="00702291" w:rsidRDefault="00712B31">
            <w:pPr>
              <w:pStyle w:val="P68B1DB1-ListParagraph43"/>
              <w:numPr>
                <w:ilvl w:val="0"/>
                <w:numId w:val="149"/>
              </w:numPr>
              <w:spacing w:after="120" w:line="240" w:lineRule="auto"/>
              <w:rPr>
                <w:noProof/>
              </w:rPr>
            </w:pPr>
            <w:r>
              <w:rPr>
                <w:noProof/>
              </w:rPr>
              <w:t>Guvernul va contracta un expert internațional care să ofere asistență tehnică pentru efectuarea de analize ale cheltuielilor în vederea elaborării a două analize viitoare ale cheltuielilor.</w:t>
            </w:r>
          </w:p>
        </w:tc>
      </w:tr>
      <w:tr w:rsidR="00702291" w14:paraId="3BCE85AA"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6D47042" w14:textId="35E5CDAA" w:rsidR="00702291" w:rsidRDefault="00712B31">
            <w:pPr>
              <w:pStyle w:val="P68B1DB1-Normal66"/>
              <w:spacing w:after="120" w:line="240" w:lineRule="auto"/>
              <w:rPr>
                <w:noProof/>
              </w:rPr>
            </w:pPr>
            <w:r>
              <w:rPr>
                <w:noProof/>
              </w:rPr>
              <w:t>101</w:t>
            </w:r>
          </w:p>
        </w:tc>
        <w:tc>
          <w:tcPr>
            <w:tcW w:w="1712" w:type="dxa"/>
            <w:tcBorders>
              <w:top w:val="nil"/>
              <w:left w:val="nil"/>
              <w:bottom w:val="single" w:sz="4" w:space="0" w:color="auto"/>
              <w:right w:val="single" w:sz="4" w:space="0" w:color="auto"/>
            </w:tcBorders>
            <w:shd w:val="clear" w:color="auto" w:fill="C6EFCE"/>
            <w:noWrap/>
            <w:vAlign w:val="center"/>
          </w:tcPr>
          <w:p w14:paraId="7EE37EAC" w14:textId="3772BF64" w:rsidR="00702291" w:rsidRDefault="00712B31">
            <w:pPr>
              <w:pStyle w:val="P68B1DB1-Normal66"/>
              <w:spacing w:after="120" w:line="240" w:lineRule="auto"/>
              <w:rPr>
                <w:noProof/>
              </w:rPr>
            </w:pPr>
            <w:r>
              <w:rPr>
                <w:noProof/>
              </w:rPr>
              <w:t>C8.R34 Îmbunătățirea cadrului bugetar intern</w:t>
            </w:r>
          </w:p>
        </w:tc>
        <w:tc>
          <w:tcPr>
            <w:tcW w:w="1021" w:type="dxa"/>
            <w:tcBorders>
              <w:top w:val="nil"/>
              <w:left w:val="nil"/>
              <w:bottom w:val="single" w:sz="4" w:space="0" w:color="auto"/>
              <w:right w:val="single" w:sz="4" w:space="0" w:color="auto"/>
            </w:tcBorders>
            <w:shd w:val="clear" w:color="auto" w:fill="C6EFCE"/>
            <w:noWrap/>
            <w:vAlign w:val="center"/>
          </w:tcPr>
          <w:p w14:paraId="787F7F7F" w14:textId="47C76EA4"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4E4B2472" w14:textId="7DD3E866" w:rsidR="00702291" w:rsidRDefault="00712B31">
            <w:pPr>
              <w:pStyle w:val="P68B1DB1-Normal66"/>
              <w:spacing w:after="120" w:line="240" w:lineRule="auto"/>
              <w:rPr>
                <w:noProof/>
              </w:rPr>
            </w:pPr>
            <w:r>
              <w:rPr>
                <w:noProof/>
              </w:rPr>
              <w:t xml:space="preserve">Consolidarea controlului bugetar </w:t>
            </w:r>
          </w:p>
        </w:tc>
        <w:tc>
          <w:tcPr>
            <w:tcW w:w="1275" w:type="dxa"/>
            <w:tcBorders>
              <w:top w:val="nil"/>
              <w:left w:val="nil"/>
              <w:bottom w:val="single" w:sz="4" w:space="0" w:color="auto"/>
              <w:right w:val="single" w:sz="4" w:space="0" w:color="auto"/>
            </w:tcBorders>
            <w:shd w:val="clear" w:color="auto" w:fill="C6EFCE"/>
            <w:noWrap/>
            <w:vAlign w:val="center"/>
          </w:tcPr>
          <w:p w14:paraId="33C20640" w14:textId="306F68E1" w:rsidR="00702291" w:rsidRDefault="00712B31">
            <w:pPr>
              <w:pStyle w:val="P68B1DB1-Normal66"/>
              <w:spacing w:after="120" w:line="240" w:lineRule="auto"/>
              <w:rPr>
                <w:noProof/>
              </w:rPr>
            </w:pPr>
            <w:r>
              <w:rPr>
                <w:noProof/>
              </w:rPr>
              <w:t>Dispoziții din actul (actele) juridic (e) care indică intrarea lor în vigoare și publicarea rezoluției (rezoluțiilor) guvernului</w:t>
            </w:r>
          </w:p>
        </w:tc>
        <w:tc>
          <w:tcPr>
            <w:tcW w:w="1134" w:type="dxa"/>
            <w:tcBorders>
              <w:top w:val="nil"/>
              <w:left w:val="nil"/>
              <w:bottom w:val="single" w:sz="4" w:space="0" w:color="auto"/>
              <w:right w:val="single" w:sz="4" w:space="0" w:color="auto"/>
            </w:tcBorders>
            <w:shd w:val="clear" w:color="auto" w:fill="C6EFCE"/>
            <w:noWrap/>
            <w:vAlign w:val="center"/>
          </w:tcPr>
          <w:p w14:paraId="3576A11D"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30FA38A"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2A019BFB"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AC9C487" w14:textId="7790C274"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49852870" w14:textId="42A0C247"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2C49E3C7" w14:textId="77777777" w:rsidR="00702291" w:rsidRDefault="00712B31">
            <w:pPr>
              <w:pStyle w:val="P68B1DB1-Normal66"/>
              <w:spacing w:after="120" w:line="240" w:lineRule="auto"/>
              <w:rPr>
                <w:noProof/>
              </w:rPr>
            </w:pPr>
            <w:r>
              <w:rPr>
                <w:noProof/>
              </w:rPr>
              <w:t xml:space="preserve">Intrarea în vigoare a actului (actelor) juridic (e): </w:t>
            </w:r>
          </w:p>
          <w:p w14:paraId="29B415CC" w14:textId="77777777" w:rsidR="00702291" w:rsidRDefault="00712B31">
            <w:pPr>
              <w:pStyle w:val="P68B1DB1-ListParagraph43"/>
              <w:numPr>
                <w:ilvl w:val="0"/>
                <w:numId w:val="150"/>
              </w:numPr>
              <w:spacing w:after="120" w:line="240" w:lineRule="auto"/>
              <w:contextualSpacing w:val="0"/>
              <w:rPr>
                <w:noProof/>
              </w:rPr>
            </w:pPr>
            <w:r>
              <w:rPr>
                <w:noProof/>
              </w:rPr>
              <w:t>să introducă un interval de timp obligatoriu pentru prezentarea proiectului de lege a bugetului anual către parlament și să mandateze guvernul să pregătească și să publice anual o circulară privind bugetul;</w:t>
            </w:r>
          </w:p>
          <w:p w14:paraId="7CB4F80A" w14:textId="0B5CB1D7" w:rsidR="00702291" w:rsidRDefault="00712B31">
            <w:pPr>
              <w:pStyle w:val="P68B1DB1-ListParagraph67"/>
              <w:numPr>
                <w:ilvl w:val="0"/>
                <w:numId w:val="150"/>
              </w:numPr>
              <w:spacing w:after="120" w:line="240" w:lineRule="auto"/>
              <w:contextualSpacing w:val="0"/>
              <w:rPr>
                <w:noProof/>
              </w:rPr>
            </w:pPr>
            <w:r>
              <w:rPr>
                <w:noProof/>
              </w:rPr>
              <w:t>să limiteze utilizarea creditelor nealocate în cadrul bugetului;</w:t>
            </w:r>
          </w:p>
          <w:p w14:paraId="459C9C08" w14:textId="77777777" w:rsidR="00702291" w:rsidRDefault="00712B31">
            <w:pPr>
              <w:pStyle w:val="P68B1DB1-ListParagraph67"/>
              <w:numPr>
                <w:ilvl w:val="0"/>
                <w:numId w:val="150"/>
              </w:numPr>
              <w:spacing w:after="120" w:line="240" w:lineRule="auto"/>
              <w:contextualSpacing w:val="0"/>
              <w:rPr>
                <w:noProof/>
              </w:rPr>
            </w:pPr>
            <w:r>
              <w:rPr>
                <w:noProof/>
              </w:rPr>
              <w:t>să limiteze competențele guvernului de a efectua realocări în cursul anului și de a lua decizii bugetare și să sporească transparența acestora;</w:t>
            </w:r>
          </w:p>
          <w:p w14:paraId="241AB740" w14:textId="77777777" w:rsidR="00702291" w:rsidRDefault="00712B31">
            <w:pPr>
              <w:pStyle w:val="P68B1DB1-ListParagraph43"/>
              <w:numPr>
                <w:ilvl w:val="0"/>
                <w:numId w:val="150"/>
              </w:numPr>
              <w:spacing w:after="120" w:line="240" w:lineRule="auto"/>
              <w:contextualSpacing w:val="0"/>
              <w:rPr>
                <w:noProof/>
              </w:rPr>
            </w:pPr>
            <w:r>
              <w:rPr>
                <w:noProof/>
              </w:rPr>
              <w:t>să modifice Legea privind stabilitatea economică, definind instituirea unei linii bugetare separate pentru cheltuielile operaționale ale Consiliului bugetar, care va fi suficientă pentru a facilita angajarea de personal suplimentar.</w:t>
            </w:r>
          </w:p>
          <w:p w14:paraId="2FF4CBA5" w14:textId="77777777" w:rsidR="00702291" w:rsidRDefault="00712B31">
            <w:pPr>
              <w:pStyle w:val="P68B1DB1-Normal66"/>
              <w:spacing w:after="120" w:line="240" w:lineRule="auto"/>
              <w:rPr>
                <w:noProof/>
              </w:rPr>
            </w:pPr>
            <w:r>
              <w:rPr>
                <w:noProof/>
              </w:rPr>
              <w:t>Publicarea unei (unor) rezoluții guvernamentale:</w:t>
            </w:r>
          </w:p>
          <w:p w14:paraId="1A28CA45" w14:textId="5D827ADC" w:rsidR="00702291" w:rsidRDefault="00712B31">
            <w:pPr>
              <w:pStyle w:val="P68B1DB1-ListParagraph43"/>
              <w:numPr>
                <w:ilvl w:val="0"/>
                <w:numId w:val="150"/>
              </w:numPr>
              <w:spacing w:after="120" w:line="240" w:lineRule="auto"/>
              <w:contextualSpacing w:val="0"/>
              <w:rPr>
                <w:noProof/>
              </w:rPr>
            </w:pPr>
            <w:r>
              <w:rPr>
                <w:noProof/>
              </w:rPr>
              <w:t xml:space="preserve">să acorde responsabilități suplimentare Ministerului de Finanțe în ceea ce privește controlul cheltuielilor, inclusiv să solicite aprobarea prealabilă a Ministerului de Finanțe pentru orice nou angajament financiar de peste 250 de milioane HUF și pentru achizițiile de active de peste 100 de milioane HUF, dacă nu se bazează pe obligații legale sau contractuale specifice; </w:t>
            </w:r>
          </w:p>
          <w:p w14:paraId="146D2FC6" w14:textId="6E58E3C0" w:rsidR="00702291" w:rsidRDefault="00712B31">
            <w:pPr>
              <w:pStyle w:val="P68B1DB1-ListParagraph43"/>
              <w:numPr>
                <w:ilvl w:val="0"/>
                <w:numId w:val="150"/>
              </w:numPr>
              <w:spacing w:after="120" w:line="240" w:lineRule="auto"/>
              <w:contextualSpacing w:val="0"/>
              <w:rPr>
                <w:noProof/>
              </w:rPr>
            </w:pPr>
            <w:r>
              <w:rPr>
                <w:noProof/>
              </w:rPr>
              <w:t>acordarea de competențe suplimentare de supraveghere financiară Ministerului de Finanțe în ceea ce privește cele mai mari nouă întreprinderi de stat, inclusiv solicitarea acordului prealabil al ministrului de finanțe cu privire la aprobarea și modificarea planurilor anuale de afaceri ale întreprinderilor și introducerea unor cerințe de raportare lunară.</w:t>
            </w:r>
          </w:p>
        </w:tc>
      </w:tr>
      <w:tr w:rsidR="00702291" w14:paraId="13A15382"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1171FAB" w14:textId="02D1DA27" w:rsidR="00702291" w:rsidRDefault="00712B31">
            <w:pPr>
              <w:pStyle w:val="P68B1DB1-Normal66"/>
              <w:spacing w:after="120" w:line="240" w:lineRule="auto"/>
              <w:rPr>
                <w:noProof/>
              </w:rPr>
            </w:pPr>
            <w:r>
              <w:rPr>
                <w:noProof/>
              </w:rPr>
              <w:t>102</w:t>
            </w:r>
          </w:p>
        </w:tc>
        <w:tc>
          <w:tcPr>
            <w:tcW w:w="1712" w:type="dxa"/>
            <w:tcBorders>
              <w:top w:val="nil"/>
              <w:left w:val="nil"/>
              <w:bottom w:val="single" w:sz="4" w:space="0" w:color="auto"/>
              <w:right w:val="single" w:sz="4" w:space="0" w:color="auto"/>
            </w:tcBorders>
            <w:shd w:val="clear" w:color="auto" w:fill="C6EFCE"/>
            <w:noWrap/>
            <w:vAlign w:val="center"/>
          </w:tcPr>
          <w:p w14:paraId="4F26D0BE" w14:textId="7A7F8887" w:rsidR="00702291" w:rsidRDefault="00712B31">
            <w:pPr>
              <w:pStyle w:val="P68B1DB1-Normal66"/>
              <w:spacing w:after="120" w:line="240" w:lineRule="auto"/>
              <w:rPr>
                <w:noProof/>
              </w:rPr>
            </w:pPr>
            <w:r>
              <w:rPr>
                <w:noProof/>
              </w:rPr>
              <w:t>C8.R34 Îmbunătățirea cadrului bugetar intern</w:t>
            </w:r>
          </w:p>
        </w:tc>
        <w:tc>
          <w:tcPr>
            <w:tcW w:w="1021" w:type="dxa"/>
            <w:tcBorders>
              <w:top w:val="nil"/>
              <w:left w:val="nil"/>
              <w:bottom w:val="single" w:sz="4" w:space="0" w:color="auto"/>
              <w:right w:val="single" w:sz="4" w:space="0" w:color="auto"/>
            </w:tcBorders>
            <w:shd w:val="clear" w:color="auto" w:fill="C6EFCE"/>
            <w:noWrap/>
            <w:vAlign w:val="center"/>
          </w:tcPr>
          <w:p w14:paraId="1F22D8E6" w14:textId="529A07B3"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16E7BB29" w14:textId="7A263FCE" w:rsidR="00702291" w:rsidRDefault="00712B31">
            <w:pPr>
              <w:pStyle w:val="P68B1DB1-Normal66"/>
              <w:spacing w:after="120" w:line="240" w:lineRule="auto"/>
              <w:rPr>
                <w:noProof/>
              </w:rPr>
            </w:pPr>
            <w:r>
              <w:rPr>
                <w:noProof/>
              </w:rPr>
              <w:t>Lansarea unei revizuiri a cadrului bugetar, sprijinită de o consultare publică specifică</w:t>
            </w:r>
          </w:p>
        </w:tc>
        <w:tc>
          <w:tcPr>
            <w:tcW w:w="1275" w:type="dxa"/>
            <w:tcBorders>
              <w:top w:val="nil"/>
              <w:left w:val="nil"/>
              <w:bottom w:val="single" w:sz="4" w:space="0" w:color="auto"/>
              <w:right w:val="single" w:sz="4" w:space="0" w:color="auto"/>
            </w:tcBorders>
            <w:shd w:val="clear" w:color="auto" w:fill="C6EFCE"/>
            <w:noWrap/>
            <w:vAlign w:val="center"/>
          </w:tcPr>
          <w:p w14:paraId="5303D1EF" w14:textId="286AC39D" w:rsidR="00702291" w:rsidRDefault="00712B31">
            <w:pPr>
              <w:pStyle w:val="P68B1DB1-Normal66"/>
              <w:spacing w:after="120" w:line="240" w:lineRule="auto"/>
              <w:rPr>
                <w:noProof/>
              </w:rPr>
            </w:pPr>
            <w:r>
              <w:rPr>
                <w:noProof/>
              </w:rPr>
              <w:t>Publicarea unei rezoluții a guvernului</w:t>
            </w:r>
          </w:p>
        </w:tc>
        <w:tc>
          <w:tcPr>
            <w:tcW w:w="1134" w:type="dxa"/>
            <w:tcBorders>
              <w:top w:val="nil"/>
              <w:left w:val="nil"/>
              <w:bottom w:val="single" w:sz="4" w:space="0" w:color="auto"/>
              <w:right w:val="single" w:sz="4" w:space="0" w:color="auto"/>
            </w:tcBorders>
            <w:shd w:val="clear" w:color="auto" w:fill="C6EFCE"/>
            <w:noWrap/>
            <w:vAlign w:val="center"/>
          </w:tcPr>
          <w:p w14:paraId="5499A6F3"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5A68C0D"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0157850D"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597EB4A" w14:textId="770D5CA4"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02A25C4" w14:textId="6624F86D"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335B6A0E" w14:textId="77777777" w:rsidR="00702291" w:rsidRDefault="00712B31">
            <w:pPr>
              <w:pStyle w:val="P68B1DB1-Normal66"/>
              <w:spacing w:after="120" w:line="240" w:lineRule="auto"/>
              <w:rPr>
                <w:noProof/>
              </w:rPr>
            </w:pPr>
            <w:r>
              <w:rPr>
                <w:noProof/>
              </w:rPr>
              <w:t xml:space="preserve">Publicarea unei rezoluții a guvernului privind înființarea secretariatului tehnic responsabil cu revizuirea cadrului bugetar în cadrul Ministerului Finanțelor. </w:t>
            </w:r>
          </w:p>
          <w:p w14:paraId="6BF791CD" w14:textId="74FB1256" w:rsidR="00702291" w:rsidRDefault="00712B31">
            <w:pPr>
              <w:pStyle w:val="P68B1DB1-Normal66"/>
              <w:spacing w:after="120" w:line="240" w:lineRule="auto"/>
              <w:rPr>
                <w:noProof/>
              </w:rPr>
            </w:pPr>
            <w:r>
              <w:rPr>
                <w:noProof/>
              </w:rPr>
              <w:t xml:space="preserve">Rezoluția precizează calendarul și domeniul de aplicare al revizuirii, care vizează elaborarea cadrului bugetar pe termen mediu și a normelor bugetare interne, structura instituțională, garanțiile de independență și mandatul Consiliului bugetar, precum și procedurile bugetare și instrumentele de gestionare a finanțelor publice care reglementează pregătirea și executarea legii bugetare anuale, inclusiv rolul analizelor cheltuielilor. Rezoluția precizează că rezultatul revizuirii va sta la baza modificărilor aduse cadrului juridic pe durata de viață a următorului plan bugetar-structural pe termen mediu al Ungariei. </w:t>
            </w:r>
          </w:p>
        </w:tc>
      </w:tr>
      <w:tr w:rsidR="00702291" w14:paraId="1D378AAB"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FE76378" w14:textId="3335110B" w:rsidR="00702291" w:rsidRDefault="00712B31">
            <w:pPr>
              <w:pStyle w:val="P68B1DB1-Normal66"/>
              <w:spacing w:after="120" w:line="240" w:lineRule="auto"/>
              <w:rPr>
                <w:noProof/>
              </w:rPr>
            </w:pPr>
            <w:r>
              <w:rPr>
                <w:noProof/>
              </w:rPr>
              <w:t>103</w:t>
            </w:r>
          </w:p>
        </w:tc>
        <w:tc>
          <w:tcPr>
            <w:tcW w:w="1712" w:type="dxa"/>
            <w:tcBorders>
              <w:top w:val="nil"/>
              <w:left w:val="nil"/>
              <w:bottom w:val="single" w:sz="4" w:space="0" w:color="auto"/>
              <w:right w:val="single" w:sz="4" w:space="0" w:color="auto"/>
            </w:tcBorders>
            <w:shd w:val="clear" w:color="auto" w:fill="C6EFCE"/>
            <w:noWrap/>
            <w:vAlign w:val="center"/>
          </w:tcPr>
          <w:p w14:paraId="2ADFD01B" w14:textId="6A52B1D2" w:rsidR="00702291" w:rsidRDefault="00712B31">
            <w:pPr>
              <w:pStyle w:val="P68B1DB1-Normal66"/>
              <w:spacing w:after="120" w:line="240" w:lineRule="auto"/>
              <w:rPr>
                <w:noProof/>
              </w:rPr>
            </w:pPr>
            <w:r>
              <w:rPr>
                <w:noProof/>
              </w:rPr>
              <w:t>C8.R35 Reforma împrumuturilor subvenționate</w:t>
            </w:r>
          </w:p>
        </w:tc>
        <w:tc>
          <w:tcPr>
            <w:tcW w:w="1021" w:type="dxa"/>
            <w:tcBorders>
              <w:top w:val="nil"/>
              <w:left w:val="nil"/>
              <w:bottom w:val="single" w:sz="4" w:space="0" w:color="auto"/>
              <w:right w:val="single" w:sz="4" w:space="0" w:color="auto"/>
            </w:tcBorders>
            <w:shd w:val="clear" w:color="auto" w:fill="C6EFCE"/>
            <w:noWrap/>
            <w:vAlign w:val="center"/>
          </w:tcPr>
          <w:p w14:paraId="673F69A8" w14:textId="63DC5D9C" w:rsidR="00702291" w:rsidRDefault="00712B31">
            <w:pPr>
              <w:pStyle w:val="P68B1DB1-Normal66"/>
              <w:spacing w:after="120" w:line="240" w:lineRule="auto"/>
              <w:rPr>
                <w:noProof/>
              </w:rPr>
            </w:pPr>
            <w:r>
              <w:rPr>
                <w:noProof/>
              </w:rPr>
              <w:t>Etapă</w:t>
            </w:r>
          </w:p>
        </w:tc>
        <w:tc>
          <w:tcPr>
            <w:tcW w:w="1843" w:type="dxa"/>
            <w:tcBorders>
              <w:top w:val="nil"/>
              <w:left w:val="nil"/>
              <w:bottom w:val="single" w:sz="4" w:space="0" w:color="auto"/>
              <w:right w:val="single" w:sz="4" w:space="0" w:color="auto"/>
            </w:tcBorders>
            <w:shd w:val="clear" w:color="auto" w:fill="C6EFCE"/>
            <w:noWrap/>
            <w:vAlign w:val="center"/>
          </w:tcPr>
          <w:p w14:paraId="06C547AC" w14:textId="45878D49" w:rsidR="00702291" w:rsidRDefault="00712B31">
            <w:pPr>
              <w:pStyle w:val="P68B1DB1-Normal66"/>
              <w:spacing w:after="120" w:line="240" w:lineRule="auto"/>
              <w:rPr>
                <w:noProof/>
              </w:rPr>
            </w:pPr>
            <w:r>
              <w:rPr>
                <w:noProof/>
              </w:rPr>
              <w:t>Reforma sistemului de împrumuturi subvenționate și reforma garanțiilor guvernamentale</w:t>
            </w:r>
          </w:p>
        </w:tc>
        <w:tc>
          <w:tcPr>
            <w:tcW w:w="1275" w:type="dxa"/>
            <w:tcBorders>
              <w:top w:val="nil"/>
              <w:left w:val="nil"/>
              <w:bottom w:val="single" w:sz="4" w:space="0" w:color="auto"/>
              <w:right w:val="single" w:sz="4" w:space="0" w:color="auto"/>
            </w:tcBorders>
            <w:shd w:val="clear" w:color="auto" w:fill="C6EFCE"/>
            <w:noWrap/>
            <w:vAlign w:val="center"/>
          </w:tcPr>
          <w:p w14:paraId="595B4BB4" w14:textId="5ADC7817" w:rsidR="00702291" w:rsidRDefault="00712B31">
            <w:pPr>
              <w:pStyle w:val="P68B1DB1-Normal66"/>
              <w:spacing w:after="120" w:line="240" w:lineRule="auto"/>
              <w:rPr>
                <w:noProof/>
              </w:rPr>
            </w:pPr>
            <w:r>
              <w:rPr>
                <w:noProof/>
              </w:rPr>
              <w:t>Dispoziții din actul (actele) juridic (e) care indică intrarea lor în vigoare și publicarea unei (unor) rezoluții a (ale) guvernului</w:t>
            </w:r>
          </w:p>
        </w:tc>
        <w:tc>
          <w:tcPr>
            <w:tcW w:w="1134" w:type="dxa"/>
            <w:tcBorders>
              <w:top w:val="nil"/>
              <w:left w:val="nil"/>
              <w:bottom w:val="single" w:sz="4" w:space="0" w:color="auto"/>
              <w:right w:val="single" w:sz="4" w:space="0" w:color="auto"/>
            </w:tcBorders>
            <w:shd w:val="clear" w:color="auto" w:fill="C6EFCE"/>
            <w:noWrap/>
            <w:vAlign w:val="center"/>
          </w:tcPr>
          <w:p w14:paraId="1E741767"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6B28A2E" w14:textId="77777777" w:rsidR="00702291" w:rsidRDefault="00702291">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6A6BF6A7"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AE24CBE" w14:textId="05FE0E21" w:rsidR="00702291" w:rsidRDefault="00F233DB">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6A6FA53" w14:textId="1C4FE876" w:rsidR="00702291" w:rsidRDefault="00712B31">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095BA01" w14:textId="5933273B" w:rsidR="00702291" w:rsidRDefault="00712B31">
            <w:pPr>
              <w:pStyle w:val="P68B1DB1-Normal32"/>
              <w:spacing w:after="120" w:line="240" w:lineRule="auto"/>
              <w:rPr>
                <w:noProof/>
              </w:rPr>
            </w:pPr>
            <w:r>
              <w:rPr>
                <w:noProof/>
              </w:rPr>
              <w:t>Publicarea unei rezoluții a guvernului prin care se lansează o revizuire a subvențiilor și garanțiilor guvernamentale pentru împrumuturile acordate sectorului privat, în vederea reducerii semnificative a nivelului de partajare a riscurilor de către stat, a consolidării rolului evaluării riscului de credit de către bănci și a optimizării ratelor de acoperire a garanției de-a lungul timpului.</w:t>
            </w:r>
          </w:p>
          <w:p w14:paraId="4B0D889C" w14:textId="77777777" w:rsidR="00702291" w:rsidRDefault="00712B31">
            <w:pPr>
              <w:pStyle w:val="P68B1DB1-Normal32"/>
              <w:spacing w:after="120" w:line="240" w:lineRule="auto"/>
              <w:rPr>
                <w:noProof/>
              </w:rPr>
            </w:pPr>
            <w:r>
              <w:rPr>
                <w:noProof/>
              </w:rPr>
              <w:t xml:space="preserve">Intrarea în vigoare a actului (actelor) juridic (e) privind reforma creditului pentru contul curent al cardului Széchenyi MAX +, a cardului de turism Széchenyi MAX + și a creditului de lichiditate Széchenyi MAX + în cadrul programului privind cardul Széchenyi: </w:t>
            </w:r>
          </w:p>
          <w:p w14:paraId="613EB71D" w14:textId="622DF556" w:rsidR="00702291" w:rsidRDefault="00712B31">
            <w:pPr>
              <w:pStyle w:val="P68B1DB1-ListParagraph43"/>
              <w:numPr>
                <w:ilvl w:val="0"/>
                <w:numId w:val="151"/>
              </w:numPr>
              <w:spacing w:after="120" w:line="240" w:lineRule="auto"/>
              <w:ind w:left="810"/>
              <w:contextualSpacing w:val="0"/>
              <w:rPr>
                <w:noProof/>
              </w:rPr>
            </w:pPr>
            <w:r>
              <w:rPr>
                <w:noProof/>
              </w:rPr>
              <w:t>creșterea ratei dobânzii la nivelul BUBOR pe 3 luni;</w:t>
            </w:r>
          </w:p>
          <w:p w14:paraId="3F92A418" w14:textId="0624C711" w:rsidR="00702291" w:rsidRDefault="00712B31">
            <w:pPr>
              <w:pStyle w:val="P68B1DB1-ListParagraph43"/>
              <w:numPr>
                <w:ilvl w:val="0"/>
                <w:numId w:val="151"/>
              </w:numPr>
              <w:spacing w:after="120" w:line="240" w:lineRule="auto"/>
              <w:ind w:left="810"/>
              <w:contextualSpacing w:val="0"/>
              <w:rPr>
                <w:noProof/>
              </w:rPr>
            </w:pPr>
            <w:r>
              <w:rPr>
                <w:noProof/>
              </w:rPr>
              <w:t xml:space="preserve">asigurarea caracterului opțional al garanțiilor obligatorii asociate. </w:t>
            </w:r>
          </w:p>
          <w:p w14:paraId="49C8373A" w14:textId="0C233BF6" w:rsidR="00702291" w:rsidRDefault="00712B31">
            <w:pPr>
              <w:pStyle w:val="P68B1DB1-Normal32"/>
              <w:spacing w:after="120" w:line="240" w:lineRule="auto"/>
              <w:rPr>
                <w:noProof/>
              </w:rPr>
            </w:pPr>
            <w:r>
              <w:rPr>
                <w:noProof/>
              </w:rPr>
              <w:t>Să efectueze o revizuire de către guvern a calendarului de amortizare pentru toate contragaranțiile de stat, cu scopul de a alinia reducerea garanțiilor la acest calendar și de a limita emiterea de noi garanții.</w:t>
            </w:r>
          </w:p>
          <w:p w14:paraId="6A49ED1A" w14:textId="77777777" w:rsidR="00702291" w:rsidRDefault="00712B31">
            <w:pPr>
              <w:pStyle w:val="P68B1DB1-Normal32"/>
              <w:spacing w:after="120" w:line="240" w:lineRule="auto"/>
              <w:rPr>
                <w:noProof/>
              </w:rPr>
            </w:pPr>
            <w:r>
              <w:rPr>
                <w:noProof/>
              </w:rPr>
              <w:t>Publicarea unei rezoluții a guvernului bazate pe revizuirea calendarului de amortizare pentru toate contragaranțiile de stat:</w:t>
            </w:r>
          </w:p>
          <w:p w14:paraId="3119EDDD" w14:textId="6F41B841" w:rsidR="00702291" w:rsidRDefault="00712B31">
            <w:pPr>
              <w:pStyle w:val="P68B1DB1-ListParagraph43"/>
              <w:numPr>
                <w:ilvl w:val="0"/>
                <w:numId w:val="162"/>
              </w:numPr>
              <w:spacing w:after="120" w:line="240" w:lineRule="auto"/>
              <w:rPr>
                <w:noProof/>
              </w:rPr>
            </w:pPr>
            <w:r>
              <w:rPr>
                <w:noProof/>
              </w:rPr>
              <w:t>angajamentul de a reduce ponderea garanțiilor guvernamentale în PIB la medie în toate statele membre ale UE și stabilirea unei traiectorii pentru această reducere prin reducerea plafoanelor maxime anuale pentru fiecare instrument și pentru fiecare an până la atingerea obiectivului;</w:t>
            </w:r>
          </w:p>
          <w:p w14:paraId="6D434735" w14:textId="100ED7F2" w:rsidR="00702291" w:rsidRDefault="00712B31">
            <w:pPr>
              <w:pStyle w:val="P68B1DB1-ListParagraph43"/>
              <w:numPr>
                <w:ilvl w:val="0"/>
                <w:numId w:val="162"/>
              </w:numPr>
              <w:spacing w:after="120" w:line="240" w:lineRule="auto"/>
              <w:rPr>
                <w:noProof/>
              </w:rPr>
            </w:pPr>
            <w:r>
              <w:rPr>
                <w:noProof/>
              </w:rPr>
              <w:t xml:space="preserve">Rezoluția precizează că rezultatul revizuirii va sta la baza traiectoriei de reducere stabilite pe durata de viață a următorului plan bugetar-structural pe termen mediu al Ungariei. </w:t>
            </w:r>
          </w:p>
          <w:p w14:paraId="2EDE322C" w14:textId="7A56A428" w:rsidR="00702291" w:rsidRDefault="00712B31">
            <w:pPr>
              <w:pStyle w:val="P68B1DB1-Normal32"/>
              <w:spacing w:after="120" w:line="240" w:lineRule="auto"/>
              <w:rPr>
                <w:noProof/>
              </w:rPr>
            </w:pPr>
            <w:r>
              <w:rPr>
                <w:noProof/>
              </w:rPr>
              <w:t>Intrarea în vigoare a actului (actelor) juridic (e) de reducere a plafonului maxim pentru contragaranțiile din partea statului în 2026 de la suma totală de 12 800 miliarde HUF la un nivel mai scăzut, calibrat pe baza revizuirii.</w:t>
            </w:r>
          </w:p>
        </w:tc>
      </w:tr>
    </w:tbl>
    <w:p w14:paraId="7D583FD5" w14:textId="77777777" w:rsidR="00702291" w:rsidRDefault="00702291">
      <w:pPr>
        <w:keepNext/>
        <w:spacing w:after="120" w:line="240" w:lineRule="auto"/>
        <w:jc w:val="both"/>
        <w:rPr>
          <w:rFonts w:ascii="Times New Roman" w:eastAsiaTheme="minorHAnsi" w:hAnsi="Times New Roman" w:cs="Times New Roman"/>
          <w:b/>
          <w:noProof/>
          <w:sz w:val="24"/>
        </w:rPr>
        <w:sectPr w:rsidR="00702291" w:rsidSect="005E3417">
          <w:headerReference w:type="default" r:id="rId104"/>
          <w:footerReference w:type="default" r:id="rId105"/>
          <w:pgSz w:w="16839" w:h="11907" w:orient="landscape"/>
          <w:pgMar w:top="1134" w:right="1134" w:bottom="1134" w:left="1134" w:header="567" w:footer="567" w:gutter="0"/>
          <w:cols w:space="708"/>
          <w:docGrid w:linePitch="326"/>
        </w:sectPr>
      </w:pPr>
    </w:p>
    <w:p w14:paraId="7D2F9954" w14:textId="2EE7295D" w:rsidR="00702291" w:rsidRDefault="00712B31">
      <w:pPr>
        <w:pStyle w:val="P68B1DB1-Normal44"/>
        <w:keepNext/>
        <w:spacing w:after="120" w:line="240" w:lineRule="auto"/>
        <w:jc w:val="both"/>
        <w:outlineLvl w:val="1"/>
        <w:rPr>
          <w:noProof/>
        </w:rPr>
      </w:pPr>
      <w:r>
        <w:rPr>
          <w:noProof/>
        </w:rPr>
        <w:t>I. COMPONENTA 9: REPOWEREU</w:t>
      </w:r>
    </w:p>
    <w:p w14:paraId="70F0BF16" w14:textId="275B8ADB" w:rsidR="00702291" w:rsidRDefault="00712B31">
      <w:pPr>
        <w:pStyle w:val="P68B1DB1-Normal61"/>
        <w:keepNext/>
        <w:spacing w:after="120" w:line="240" w:lineRule="auto"/>
        <w:jc w:val="both"/>
        <w:rPr>
          <w:noProof/>
        </w:rPr>
      </w:pPr>
      <w:r>
        <w:rPr>
          <w:noProof/>
        </w:rPr>
        <w:t xml:space="preserve">Obiectivul componentei REPowerEU a planului de redresare și reziliență al Ungariei este de a spori securitatea energetică și de a sprijini tranziția energetică prin stimulente pentru adoptarea stocării energiei, prin creșterea flexibilității pieței energiei electrice și prin sprijinirea cercetării geotermale. Componenta este de a reduce consumul de combustibili fosili prin creșterea eficienței energetice și prin îmbunătățirea eficienței energetice a clădirilor. Componenta urmărește, de asemenea, să sporească eficiența și flexibilitatea pieței energiei electrice prin sprijinirea flexibilității și a digitalizării rețelei de energie electrică și prin promovarea instituirii și a conectării comunităților energetice, precum și a conectării agregatorilor și a instalațiilor de stocare a energiei la rețea. </w:t>
      </w:r>
    </w:p>
    <w:p w14:paraId="5EDF9A83" w14:textId="33388658" w:rsidR="00702291" w:rsidRDefault="00712B31">
      <w:pPr>
        <w:pStyle w:val="P68B1DB1-Normal61"/>
        <w:keepNext/>
        <w:spacing w:after="120" w:line="240" w:lineRule="auto"/>
        <w:jc w:val="both"/>
        <w:rPr>
          <w:noProof/>
        </w:rPr>
      </w:pPr>
      <w:r>
        <w:rPr>
          <w:noProof/>
        </w:rPr>
        <w:t xml:space="preserve">Componenta REPowerEU contribuie la abordarea recomandărilor specifice fiecărei țări, în special a recomandărilor specifice fiecărei țări 2022 5, 2022 6, 2023 4 și 2025 4 [Accelerarea diversificării aprovizionării cu combustibili fosili pentru a elimina treptat dependența de sursele rusești [...]. Îmbunătățirea flexibilității și a concurenței în sectorul energiei electrice, prin consolidarea pieței de echilibrare și prin stimularea comerțului transfrontalier cu energie electrică). </w:t>
      </w:r>
    </w:p>
    <w:p w14:paraId="4337869B" w14:textId="2973AF2E" w:rsidR="00702291" w:rsidRDefault="00712B31">
      <w:pPr>
        <w:pStyle w:val="P68B1DB1-Normal61"/>
        <w:keepNext/>
        <w:spacing w:after="120" w:line="240" w:lineRule="auto"/>
        <w:jc w:val="both"/>
        <w:rPr>
          <w:noProof/>
        </w:rPr>
      </w:pPr>
      <w:r>
        <w:rPr>
          <w:noProof/>
        </w:rPr>
        <w:t>Mai multe măsuri urmează să aibă un impact transfrontalier, inclusiv investițiile în dezvoltarea rețelei de energie electrică și instrumentul financiar pentru creșterea eficienței energetice a clădirilor rezidențiale.</w:t>
      </w:r>
    </w:p>
    <w:p w14:paraId="639D014B" w14:textId="02A7E62F" w:rsidR="00702291" w:rsidRDefault="00712B31">
      <w:pPr>
        <w:pStyle w:val="P68B1DB1-Normal61"/>
        <w:keepNext/>
        <w:spacing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5F56BD07" w14:textId="6C8DBEDD" w:rsidR="00702291" w:rsidRDefault="00712B31">
      <w:pPr>
        <w:pStyle w:val="P68B1DB1-Heading310"/>
        <w:spacing w:before="0" w:after="120"/>
        <w:rPr>
          <w:bCs/>
          <w:noProof/>
        </w:rPr>
      </w:pPr>
      <w:r>
        <w:rPr>
          <w:noProof/>
        </w:rPr>
        <w:t>I.1. Descrierea reformelor și a investițiilor pentru sprijinul financiar nerambursabil</w:t>
      </w:r>
    </w:p>
    <w:p w14:paraId="1D9E9E85" w14:textId="6139A463" w:rsidR="00702291" w:rsidRDefault="00712B31">
      <w:pPr>
        <w:pStyle w:val="P68B1DB1-Heading469"/>
        <w:spacing w:before="0" w:after="120" w:line="240" w:lineRule="auto"/>
        <w:rPr>
          <w:rFonts w:eastAsia="Times New Roman"/>
          <w:b/>
          <w:noProof/>
        </w:rPr>
      </w:pPr>
      <w:r>
        <w:rPr>
          <w:noProof/>
        </w:rPr>
        <w:t>C</w:t>
      </w:r>
      <w:r>
        <w:rPr>
          <w:b/>
          <w:noProof/>
        </w:rPr>
        <w:t xml:space="preserve"> 9.R1: Stabilirea tarifelor de rețea</w:t>
      </w:r>
    </w:p>
    <w:p w14:paraId="69341A26" w14:textId="77777777" w:rsidR="00702291" w:rsidRDefault="00712B31">
      <w:pPr>
        <w:pStyle w:val="P68B1DB1-Normal34"/>
        <w:spacing w:after="120" w:line="240" w:lineRule="auto"/>
        <w:jc w:val="both"/>
        <w:rPr>
          <w:noProof/>
        </w:rPr>
      </w:pPr>
      <w:r>
        <w:rPr>
          <w:noProof/>
        </w:rPr>
        <w:t>Obiectivul acestei măsuri este de a stabili un nou cadru pentru stabilirea tarifelor de rețea pentru energia electrică, cu scopul de a asigura echitatea și eficiența financiară în întreaga rețea.</w:t>
      </w:r>
    </w:p>
    <w:p w14:paraId="0EDC08BD" w14:textId="39248177" w:rsidR="00702291" w:rsidRDefault="00712B31">
      <w:pPr>
        <w:pStyle w:val="P68B1DB1-Normal34"/>
        <w:spacing w:after="120" w:line="240" w:lineRule="auto"/>
        <w:jc w:val="both"/>
        <w:rPr>
          <w:rFonts w:eastAsia="Times New Roman"/>
          <w:noProof/>
        </w:rPr>
      </w:pPr>
      <w:r>
        <w:rPr>
          <w:noProof/>
        </w:rPr>
        <w:t xml:space="preserve">Această măsură constă în intrarea în vigoare a actului (actelor) juridic (e) de adoptare a noii metodologii de calculare a tarifelor de rețea. </w:t>
      </w:r>
    </w:p>
    <w:p w14:paraId="2A47E17A" w14:textId="53AC036D" w:rsidR="00702291" w:rsidRDefault="00712B31">
      <w:pPr>
        <w:pStyle w:val="P68B1DB1-Heading469"/>
        <w:spacing w:before="0" w:after="120" w:line="240" w:lineRule="auto"/>
        <w:rPr>
          <w:b/>
          <w:noProof/>
        </w:rPr>
      </w:pPr>
      <w:r>
        <w:rPr>
          <w:noProof/>
        </w:rPr>
        <w:t>C</w:t>
      </w:r>
      <w:r>
        <w:rPr>
          <w:b/>
          <w:noProof/>
        </w:rPr>
        <w:t xml:space="preserve"> 9.R2: Adaptarea actului (actelor) juridic (e) privind contoarele inteligente</w:t>
      </w:r>
    </w:p>
    <w:p w14:paraId="22A1BC3F" w14:textId="77777777" w:rsidR="00702291" w:rsidRDefault="00712B31">
      <w:pPr>
        <w:pStyle w:val="P68B1DB1-Normal34"/>
        <w:tabs>
          <w:tab w:val="num" w:pos="720"/>
        </w:tabs>
        <w:spacing w:after="120" w:line="240" w:lineRule="auto"/>
        <w:jc w:val="both"/>
        <w:rPr>
          <w:rFonts w:eastAsia="Times New Roman"/>
          <w:noProof/>
        </w:rPr>
      </w:pPr>
      <w:r>
        <w:rPr>
          <w:noProof/>
        </w:rPr>
        <w:t>Obiectivul acestei măsuri este de a spori utilizarea contoarelor inteligente.</w:t>
      </w:r>
    </w:p>
    <w:p w14:paraId="31BF75D5" w14:textId="77777777" w:rsidR="00702291" w:rsidRDefault="00712B31">
      <w:pPr>
        <w:pStyle w:val="P68B1DB1-Normal34"/>
        <w:tabs>
          <w:tab w:val="num" w:pos="720"/>
        </w:tabs>
        <w:spacing w:after="120" w:line="240" w:lineRule="auto"/>
        <w:jc w:val="both"/>
        <w:rPr>
          <w:rFonts w:eastAsia="Times New Roman"/>
          <w:noProof/>
        </w:rPr>
      </w:pPr>
      <w:r>
        <w:rPr>
          <w:noProof/>
        </w:rPr>
        <w:t xml:space="preserve">Această măsură constă în intrarea în vigoare a unui (unor) act (e) juridic (e) care extinde domeniul de aplicare al utilizatorilor obligați să instaleze contoare inteligente. </w:t>
      </w:r>
    </w:p>
    <w:p w14:paraId="19184805" w14:textId="3713C711" w:rsidR="00702291" w:rsidRDefault="00712B31">
      <w:pPr>
        <w:pStyle w:val="P68B1DB1-Heading469"/>
        <w:spacing w:before="0" w:after="120" w:line="240" w:lineRule="auto"/>
        <w:rPr>
          <w:rFonts w:eastAsia="Times New Roman"/>
          <w:b/>
          <w:noProof/>
        </w:rPr>
      </w:pPr>
      <w:r>
        <w:rPr>
          <w:noProof/>
        </w:rPr>
        <w:t>C</w:t>
      </w:r>
      <w:r>
        <w:rPr>
          <w:b/>
          <w:noProof/>
        </w:rPr>
        <w:t xml:space="preserve"> 9.R3: Consolidarea rolului agregatorilor</w:t>
      </w:r>
    </w:p>
    <w:p w14:paraId="538FA0E9" w14:textId="77777777" w:rsidR="00702291" w:rsidRDefault="00712B31">
      <w:pPr>
        <w:pStyle w:val="P68B1DB1-Normal34"/>
        <w:tabs>
          <w:tab w:val="num" w:pos="720"/>
        </w:tabs>
        <w:spacing w:after="120" w:line="240" w:lineRule="auto"/>
        <w:jc w:val="both"/>
        <w:rPr>
          <w:noProof/>
        </w:rPr>
      </w:pPr>
      <w:r>
        <w:rPr>
          <w:noProof/>
        </w:rPr>
        <w:t xml:space="preserve">Obiectivul acestei măsuri este de a consolida rolul agregatorilor. </w:t>
      </w:r>
    </w:p>
    <w:p w14:paraId="481CF438" w14:textId="7196D91B" w:rsidR="00702291" w:rsidRDefault="00712B31">
      <w:pPr>
        <w:pStyle w:val="P68B1DB1-Normal34"/>
        <w:tabs>
          <w:tab w:val="num" w:pos="720"/>
        </w:tabs>
        <w:spacing w:after="120" w:line="240" w:lineRule="auto"/>
        <w:jc w:val="both"/>
        <w:rPr>
          <w:rFonts w:eastAsia="Calibri"/>
          <w:noProof/>
        </w:rPr>
      </w:pPr>
      <w:r>
        <w:rPr>
          <w:noProof/>
        </w:rPr>
        <w:t xml:space="preserve">Această măsură constă în adoptarea și publicarea în Jurnalul Oficial a actului (actelor) juridic (e) care consolidează rolul agregatorilor. </w:t>
      </w:r>
    </w:p>
    <w:p w14:paraId="19D1DF90" w14:textId="09BD3DD2" w:rsidR="00702291" w:rsidRDefault="00712B31">
      <w:pPr>
        <w:pStyle w:val="P68B1DB1-Heading469"/>
        <w:spacing w:before="0" w:after="120" w:line="240" w:lineRule="auto"/>
        <w:rPr>
          <w:rFonts w:eastAsia="Times New Roman"/>
          <w:b/>
          <w:noProof/>
        </w:rPr>
      </w:pPr>
      <w:r>
        <w:rPr>
          <w:noProof/>
        </w:rPr>
        <w:t>C</w:t>
      </w:r>
      <w:r>
        <w:rPr>
          <w:b/>
          <w:noProof/>
        </w:rPr>
        <w:t xml:space="preserve"> 9.R4: Utilizarea pe scară mai largă a prețurilor dinamice în contractele de achiziție de energie electrică</w:t>
      </w:r>
    </w:p>
    <w:p w14:paraId="237A5B46" w14:textId="77777777" w:rsidR="00702291" w:rsidRDefault="00712B31">
      <w:pPr>
        <w:pStyle w:val="P68B1DB1-Normal34"/>
        <w:tabs>
          <w:tab w:val="num" w:pos="720"/>
        </w:tabs>
        <w:spacing w:after="120" w:line="240" w:lineRule="auto"/>
        <w:jc w:val="both"/>
        <w:rPr>
          <w:noProof/>
        </w:rPr>
      </w:pPr>
      <w:r>
        <w:rPr>
          <w:noProof/>
        </w:rPr>
        <w:t>Obiectivul reformei este de a încuraja utilizarea contractelor cu prețuri dinamice.</w:t>
      </w:r>
    </w:p>
    <w:p w14:paraId="280C5C9B" w14:textId="621AD8AE" w:rsidR="00702291" w:rsidRDefault="00712B31">
      <w:pPr>
        <w:pStyle w:val="P68B1DB1-Normal34"/>
        <w:tabs>
          <w:tab w:val="num" w:pos="720"/>
        </w:tabs>
        <w:spacing w:after="120" w:line="240" w:lineRule="auto"/>
        <w:jc w:val="both"/>
        <w:rPr>
          <w:rFonts w:eastAsia="Times New Roman"/>
          <w:noProof/>
        </w:rPr>
      </w:pPr>
      <w:r>
        <w:rPr>
          <w:noProof/>
        </w:rPr>
        <w:t xml:space="preserve">Această reformă constă în intrarea în vigoare a actului (actelor) juridic (e) care permite (permit) consumatorilor casnici și microîntreprinderilor să încheie contracte voluntare de achiziție de energie electrică cu prețuri dinamice. </w:t>
      </w:r>
    </w:p>
    <w:p w14:paraId="7D49676B" w14:textId="659207C1" w:rsidR="00702291" w:rsidRDefault="00712B31">
      <w:pPr>
        <w:pStyle w:val="P68B1DB1-Heading469"/>
        <w:spacing w:before="0" w:after="120" w:line="240" w:lineRule="auto"/>
        <w:rPr>
          <w:b/>
          <w:noProof/>
        </w:rPr>
      </w:pPr>
      <w:r>
        <w:rPr>
          <w:noProof/>
        </w:rPr>
        <w:t>C</w:t>
      </w:r>
      <w:r>
        <w:rPr>
          <w:b/>
          <w:noProof/>
        </w:rPr>
        <w:t xml:space="preserve"> 9.R5: Deschiderea piețelor rezervelor minime obligatorii pentru a încuraja concurența</w:t>
      </w:r>
    </w:p>
    <w:p w14:paraId="04116E28" w14:textId="77777777" w:rsidR="00702291" w:rsidRDefault="00712B31">
      <w:pPr>
        <w:pStyle w:val="P68B1DB1-Normal34"/>
        <w:spacing w:after="120" w:line="240" w:lineRule="auto"/>
        <w:jc w:val="both"/>
        <w:rPr>
          <w:noProof/>
        </w:rPr>
      </w:pPr>
      <w:r>
        <w:rPr>
          <w:noProof/>
        </w:rPr>
        <w:t xml:space="preserve">Obiectivul măsurii este de a deschide piețele de echilibrare pentru concurență. </w:t>
      </w:r>
    </w:p>
    <w:p w14:paraId="2BBBB8CB" w14:textId="77777777" w:rsidR="00702291" w:rsidRDefault="00712B31">
      <w:pPr>
        <w:pStyle w:val="P68B1DB1-Normal34"/>
        <w:spacing w:after="120" w:line="240" w:lineRule="auto"/>
        <w:jc w:val="both"/>
        <w:rPr>
          <w:rFonts w:eastAsia="Times New Roman"/>
          <w:strike/>
          <w:noProof/>
        </w:rPr>
      </w:pPr>
      <w:r>
        <w:rPr>
          <w:noProof/>
        </w:rPr>
        <w:t xml:space="preserve">Măsura constă în intrarea în vigoare a unui (unor) act (e) juridic (e) care încurajează concurența pe piața de echilibrare. </w:t>
      </w:r>
    </w:p>
    <w:p w14:paraId="5BAD096E" w14:textId="784B45D2" w:rsidR="00702291" w:rsidRDefault="00712B31">
      <w:pPr>
        <w:pStyle w:val="P68B1DB1-Heading469"/>
        <w:spacing w:before="0" w:after="120" w:line="240" w:lineRule="auto"/>
        <w:rPr>
          <w:rFonts w:eastAsia="Times New Roman"/>
          <w:b/>
          <w:noProof/>
        </w:rPr>
      </w:pPr>
      <w:r>
        <w:rPr>
          <w:noProof/>
        </w:rPr>
        <w:t>C</w:t>
      </w:r>
      <w:r>
        <w:rPr>
          <w:b/>
          <w:noProof/>
        </w:rPr>
        <w:t xml:space="preserve"> 9.R6: Extinderea comunităților energetice</w:t>
      </w:r>
    </w:p>
    <w:p w14:paraId="184F97F5" w14:textId="77777777" w:rsidR="00702291" w:rsidRDefault="00712B31">
      <w:pPr>
        <w:pStyle w:val="P68B1DB1-Normal34"/>
        <w:spacing w:after="120" w:line="240" w:lineRule="auto"/>
        <w:jc w:val="both"/>
        <w:rPr>
          <w:rFonts w:eastAsia="Times New Roman"/>
          <w:noProof/>
        </w:rPr>
      </w:pPr>
      <w:r>
        <w:rPr>
          <w:noProof/>
        </w:rPr>
        <w:t xml:space="preserve">Obiectivul acestei măsuri este de a extinde înființarea de „comunități energetice” în rândul gospodăriilor și al întreprinderilor. </w:t>
      </w:r>
    </w:p>
    <w:p w14:paraId="4085410F" w14:textId="247F1B4F" w:rsidR="00702291" w:rsidRDefault="00712B31">
      <w:pPr>
        <w:pStyle w:val="P68B1DB1-Normal34"/>
        <w:spacing w:after="120" w:line="240" w:lineRule="auto"/>
        <w:rPr>
          <w:rFonts w:eastAsia="Times New Roman"/>
          <w:noProof/>
        </w:rPr>
      </w:pPr>
      <w:r>
        <w:rPr>
          <w:noProof/>
        </w:rPr>
        <w:t>Măsura constă în intrarea în vigoare a actului (actelor) juridic (e) privind comunitățile de energie pentru a-și extinde operațiunile.</w:t>
      </w:r>
    </w:p>
    <w:p w14:paraId="531DB8FC" w14:textId="14553632" w:rsidR="00702291" w:rsidRDefault="00712B31">
      <w:pPr>
        <w:pStyle w:val="P68B1DB1-Heading469"/>
        <w:spacing w:before="0" w:after="120" w:line="240" w:lineRule="auto"/>
        <w:rPr>
          <w:rFonts w:eastAsia="Times New Roman"/>
          <w:b/>
          <w:noProof/>
        </w:rPr>
      </w:pPr>
      <w:r>
        <w:rPr>
          <w:noProof/>
        </w:rPr>
        <w:t>C</w:t>
      </w:r>
      <w:r>
        <w:rPr>
          <w:b/>
          <w:noProof/>
        </w:rPr>
        <w:t xml:space="preserve"> 9.R7: Stimulente juridice pentru adoptarea stocării energiei</w:t>
      </w:r>
    </w:p>
    <w:p w14:paraId="364E81E6" w14:textId="77777777" w:rsidR="00702291" w:rsidRDefault="00712B31">
      <w:pPr>
        <w:pStyle w:val="P68B1DB1-Normal34"/>
        <w:spacing w:after="120" w:line="240" w:lineRule="auto"/>
        <w:jc w:val="both"/>
        <w:rPr>
          <w:noProof/>
        </w:rPr>
      </w:pPr>
      <w:r>
        <w:rPr>
          <w:noProof/>
        </w:rPr>
        <w:t xml:space="preserve">Obiectivul măsurii este adoptarea unui cadru de reglementare cuprinzător pentru stocarea energiei. </w:t>
      </w:r>
    </w:p>
    <w:p w14:paraId="7CDA3309" w14:textId="3D850A61" w:rsidR="00702291" w:rsidRDefault="00712B31">
      <w:pPr>
        <w:pStyle w:val="P68B1DB1-Normal34"/>
        <w:spacing w:after="120" w:line="240" w:lineRule="auto"/>
        <w:jc w:val="both"/>
        <w:rPr>
          <w:rFonts w:eastAsia="Times New Roman"/>
          <w:noProof/>
        </w:rPr>
      </w:pPr>
      <w:r>
        <w:rPr>
          <w:noProof/>
        </w:rPr>
        <w:t>Reforma constă în intrarea în vigoare a actului (actelor) juridic (e) privind stocarea energiei pentru a stimula adoptarea acestora.</w:t>
      </w:r>
    </w:p>
    <w:p w14:paraId="59E4E258" w14:textId="1BE5487A" w:rsidR="00702291" w:rsidRDefault="00712B31">
      <w:pPr>
        <w:pStyle w:val="P68B1DB1-Heading469"/>
        <w:spacing w:before="0" w:after="120" w:line="240" w:lineRule="auto"/>
        <w:rPr>
          <w:rFonts w:eastAsia="Times New Roman"/>
          <w:b/>
          <w:noProof/>
        </w:rPr>
      </w:pPr>
      <w:r>
        <w:rPr>
          <w:noProof/>
        </w:rPr>
        <w:t>C</w:t>
      </w:r>
      <w:r>
        <w:rPr>
          <w:b/>
          <w:noProof/>
        </w:rPr>
        <w:t xml:space="preserve"> 9.R8: Modificări ale actului (actelor) juridic (e) privind energia geotermală </w:t>
      </w:r>
    </w:p>
    <w:p w14:paraId="3CCC3065" w14:textId="77777777" w:rsidR="00702291" w:rsidRDefault="00712B31">
      <w:pPr>
        <w:pStyle w:val="P68B1DB1-Normal34"/>
        <w:spacing w:after="120" w:line="240" w:lineRule="auto"/>
        <w:jc w:val="both"/>
        <w:rPr>
          <w:noProof/>
        </w:rPr>
      </w:pPr>
      <w:r>
        <w:rPr>
          <w:noProof/>
        </w:rPr>
        <w:t xml:space="preserve">Obiectivul acestei măsuri este de a modifica cadrul de reglementare pentru explorarea și utilizarea energiei geotermale prin eliminarea barierelor juridice și administrative din calea activităților de explorare și exploatare geotermală. </w:t>
      </w:r>
    </w:p>
    <w:p w14:paraId="00697826" w14:textId="77777777" w:rsidR="00702291" w:rsidRDefault="00712B31">
      <w:pPr>
        <w:pStyle w:val="P68B1DB1-Normal34"/>
        <w:spacing w:after="120" w:line="240" w:lineRule="auto"/>
        <w:jc w:val="both"/>
        <w:rPr>
          <w:rFonts w:eastAsia="Times New Roman"/>
          <w:noProof/>
        </w:rPr>
      </w:pPr>
      <w:r>
        <w:rPr>
          <w:noProof/>
        </w:rPr>
        <w:t xml:space="preserve">Măsura constă în intrarea în vigoare a modificărilor aduse actului (actelor) juridic (e) pentru optimizarea explorării și exploatării energiei geotermale. </w:t>
      </w:r>
    </w:p>
    <w:p w14:paraId="6932FB08" w14:textId="4E879BB5" w:rsidR="00702291" w:rsidRDefault="00712B31">
      <w:pPr>
        <w:pStyle w:val="P68B1DB1-Heading469"/>
        <w:spacing w:before="0" w:after="120" w:line="240" w:lineRule="auto"/>
        <w:rPr>
          <w:b/>
          <w:noProof/>
        </w:rPr>
      </w:pPr>
      <w:r>
        <w:rPr>
          <w:noProof/>
        </w:rPr>
        <w:t>C</w:t>
      </w:r>
      <w:r>
        <w:rPr>
          <w:b/>
          <w:noProof/>
        </w:rPr>
        <w:t xml:space="preserve"> 9.I1: Schemă de granturi pentru dezvoltarea rețelei de energie electrică (extindere)</w:t>
      </w:r>
    </w:p>
    <w:p w14:paraId="61C822E6" w14:textId="44D6A9A4" w:rsidR="00702291" w:rsidRDefault="00712B31">
      <w:pPr>
        <w:pStyle w:val="P68B1DB1-Normal34"/>
        <w:spacing w:after="120" w:line="240" w:lineRule="auto"/>
        <w:jc w:val="both"/>
        <w:rPr>
          <w:noProof/>
        </w:rPr>
      </w:pPr>
      <w:r>
        <w:rPr>
          <w:noProof/>
        </w:rPr>
        <w:t>Această investiție extinde investiția C6.I6: „Schemă de granturi pentru dezvoltarea rețelei de energie electrică”. Acesta constă într-un transfer suplimentar de 643 243 836,64 EUR către MFB.</w:t>
      </w:r>
    </w:p>
    <w:p w14:paraId="2F0B3F70" w14:textId="7781CA87" w:rsidR="00702291" w:rsidRDefault="00712B31">
      <w:pPr>
        <w:pStyle w:val="P68B1DB1-Normal34"/>
        <w:spacing w:after="120" w:line="240" w:lineRule="auto"/>
        <w:jc w:val="both"/>
        <w:rPr>
          <w:noProof/>
        </w:rPr>
      </w:pPr>
      <w:r>
        <w:rPr>
          <w:noProof/>
        </w:rPr>
        <w:t>Îndeplinirea satisfăcătoare a tuturor jaloanelor din cadrul acestei măsuri este condiționată de îndeplinirea satisfăcătoare a jalonului 47 din cadrul componentei 6 („Acordul de punere în aplicare”).</w:t>
      </w:r>
    </w:p>
    <w:p w14:paraId="790C0C28" w14:textId="057B729C" w:rsidR="00702291" w:rsidRDefault="00712B31">
      <w:pPr>
        <w:pStyle w:val="P68B1DB1-Heading469"/>
        <w:spacing w:before="0" w:after="120" w:line="240" w:lineRule="auto"/>
        <w:rPr>
          <w:rFonts w:eastAsia="Calibri"/>
          <w:b/>
          <w:noProof/>
        </w:rPr>
      </w:pPr>
      <w:r>
        <w:rPr>
          <w:noProof/>
        </w:rPr>
        <w:t>C</w:t>
      </w:r>
      <w:r>
        <w:rPr>
          <w:b/>
          <w:noProof/>
        </w:rPr>
        <w:t xml:space="preserve"> 9.I2: De instituire a unui instrument financiar pentru îmbunătățirea eficienței energetice a clădirilor rezidențiale</w:t>
      </w:r>
    </w:p>
    <w:p w14:paraId="5E3B4993" w14:textId="77777777" w:rsidR="00702291" w:rsidRDefault="00712B31">
      <w:pPr>
        <w:pStyle w:val="P68B1DB1-Normal34"/>
        <w:spacing w:after="120" w:line="240" w:lineRule="auto"/>
        <w:jc w:val="both"/>
        <w:rPr>
          <w:rFonts w:eastAsia="Calibri"/>
          <w:noProof/>
        </w:rPr>
      </w:pPr>
      <w:r>
        <w:rPr>
          <w:noProof/>
        </w:rPr>
        <w:t>Măsura constă într-o investiție publică într-un mecanism, pentru a stimula investițiile private și a îmbunătăți accesul la finanțare în sectorul energetic al Ungariei pentru clădirile rezidențiale. Mecanismul funcționează prin furnizarea de sprijin combinat sub formă de împrumuturi și granturi prin intermediari către sectorul privat, în special către gospodării.</w:t>
      </w:r>
    </w:p>
    <w:p w14:paraId="23826DBC" w14:textId="77777777" w:rsidR="00702291" w:rsidRDefault="00712B31">
      <w:pPr>
        <w:pStyle w:val="P68B1DB1-Normal34"/>
        <w:spacing w:after="120" w:line="240" w:lineRule="auto"/>
        <w:jc w:val="both"/>
        <w:rPr>
          <w:rFonts w:eastAsia="Calibri"/>
          <w:noProof/>
        </w:rPr>
      </w:pPr>
      <w:r>
        <w:rPr>
          <w:noProof/>
        </w:rPr>
        <w:t>Facilitatea este gestionată de Banca Ungară de Dezvoltare (</w:t>
      </w:r>
      <w:r>
        <w:rPr>
          <w:i/>
          <w:noProof/>
        </w:rPr>
        <w:t>Magyar Fejlesztési Bank Zrt.</w:t>
      </w:r>
      <w:r>
        <w:rPr>
          <w:noProof/>
        </w:rPr>
        <w:t xml:space="preserve"> MFB) în calitate de partener de implementare. Mecanismul include următoarele linii de produse:</w:t>
      </w:r>
    </w:p>
    <w:p w14:paraId="5DB89D43" w14:textId="16BB47C0" w:rsidR="00702291" w:rsidRDefault="00712B31">
      <w:pPr>
        <w:pStyle w:val="P68B1DB1-Normal34"/>
        <w:keepNext/>
        <w:numPr>
          <w:ilvl w:val="0"/>
          <w:numId w:val="52"/>
        </w:numPr>
        <w:spacing w:after="120" w:line="240" w:lineRule="auto"/>
        <w:jc w:val="both"/>
        <w:rPr>
          <w:rFonts w:eastAsia="Calibri"/>
          <w:noProof/>
        </w:rPr>
      </w:pPr>
      <w:r>
        <w:rPr>
          <w:noProof/>
        </w:rPr>
        <w:t>Sprijin combinat sub formă de împrumuturi și granturi pentru îmbunătățirea eficienței energetice a clădirilor rezidențiale.</w:t>
      </w:r>
    </w:p>
    <w:p w14:paraId="0E75F6A0" w14:textId="77777777" w:rsidR="00702291" w:rsidRDefault="00712B31">
      <w:pPr>
        <w:pStyle w:val="P68B1DB1-Normal34"/>
        <w:spacing w:after="120" w:line="240" w:lineRule="auto"/>
        <w:jc w:val="both"/>
        <w:rPr>
          <w:rFonts w:eastAsia="Calibri"/>
          <w:noProof/>
        </w:rPr>
      </w:pPr>
      <w:r>
        <w:rPr>
          <w:noProof/>
        </w:rPr>
        <w:t>Pentru a pune în aplicare investiția în instrument, Ungaria și MFB semnează un acord de punere în aplicare care include următorul conținut:</w:t>
      </w:r>
    </w:p>
    <w:p w14:paraId="5E82FF16" w14:textId="77777777" w:rsidR="00702291" w:rsidRDefault="00712B31">
      <w:pPr>
        <w:pStyle w:val="P68B1DB1-Normal34"/>
        <w:numPr>
          <w:ilvl w:val="0"/>
          <w:numId w:val="72"/>
        </w:numPr>
        <w:spacing w:after="120" w:line="240" w:lineRule="auto"/>
        <w:jc w:val="both"/>
        <w:rPr>
          <w:rFonts w:eastAsia="Times New Roman"/>
          <w:noProof/>
        </w:rPr>
      </w:pPr>
      <w:r>
        <w:rPr>
          <w:noProof/>
        </w:rPr>
        <w:t>Descrierea procesului decizional al instrumentului: Decizia finală de atribuire a facilității este luată de un comitet pentru investiții sau de un alt organ de conducere echivalent relevant și este aprobată cu majoritatea voturilor membrilor care sunt independenți de guvern.</w:t>
      </w:r>
    </w:p>
    <w:p w14:paraId="6280DA36" w14:textId="77777777" w:rsidR="00702291" w:rsidRDefault="00712B31">
      <w:pPr>
        <w:pStyle w:val="P68B1DB1-ListParagraph35"/>
        <w:numPr>
          <w:ilvl w:val="0"/>
          <w:numId w:val="72"/>
        </w:numPr>
        <w:spacing w:after="120" w:line="240" w:lineRule="auto"/>
        <w:contextualSpacing w:val="0"/>
        <w:jc w:val="both"/>
        <w:rPr>
          <w:rFonts w:eastAsia="Calibri"/>
          <w:noProof/>
        </w:rPr>
      </w:pPr>
      <w:r>
        <w:rPr>
          <w:noProof/>
        </w:rPr>
        <w:t>Cerințele-cheie ale politicii de investiții asociate,</w:t>
      </w:r>
      <w:r>
        <w:rPr>
          <w:b/>
          <w:noProof/>
        </w:rPr>
        <w:t xml:space="preserve"> </w:t>
      </w:r>
      <w:r>
        <w:rPr>
          <w:noProof/>
        </w:rPr>
        <w:t>care includ:</w:t>
      </w:r>
    </w:p>
    <w:p w14:paraId="0440470D" w14:textId="77777777" w:rsidR="00702291" w:rsidRDefault="00712B31">
      <w:pPr>
        <w:pStyle w:val="P68B1DB1-ListParagraph35"/>
        <w:numPr>
          <w:ilvl w:val="1"/>
          <w:numId w:val="72"/>
        </w:numPr>
        <w:spacing w:after="120" w:line="240" w:lineRule="auto"/>
        <w:contextualSpacing w:val="0"/>
        <w:jc w:val="both"/>
        <w:rPr>
          <w:rFonts w:eastAsia="Calibri"/>
          <w:noProof/>
        </w:rPr>
      </w:pPr>
      <w:r>
        <w:rPr>
          <w:noProof/>
        </w:rPr>
        <w:t>Descrierea produsului financiar și a beneficiarilor finali eligibili.</w:t>
      </w:r>
    </w:p>
    <w:p w14:paraId="30F273BF" w14:textId="77777777" w:rsidR="00702291" w:rsidRDefault="00712B31">
      <w:pPr>
        <w:pStyle w:val="P68B1DB1-ListParagraph35"/>
        <w:numPr>
          <w:ilvl w:val="1"/>
          <w:numId w:val="72"/>
        </w:numPr>
        <w:spacing w:after="120" w:line="240" w:lineRule="auto"/>
        <w:contextualSpacing w:val="0"/>
        <w:jc w:val="both"/>
        <w:rPr>
          <w:rFonts w:eastAsia="Calibri"/>
          <w:noProof/>
        </w:rPr>
      </w:pPr>
      <w:r>
        <w:rPr>
          <w:noProof/>
        </w:rPr>
        <w:t>Cerința ca toate investițiile care beneficiază de sprijin să fie viabile din punct de vedere economic.</w:t>
      </w:r>
    </w:p>
    <w:p w14:paraId="604F3ECD" w14:textId="77777777" w:rsidR="00702291" w:rsidRDefault="00712B31">
      <w:pPr>
        <w:pStyle w:val="P68B1DB1-ListParagraph35"/>
        <w:numPr>
          <w:ilvl w:val="1"/>
          <w:numId w:val="72"/>
        </w:numPr>
        <w:spacing w:after="120" w:line="240" w:lineRule="auto"/>
        <w:contextualSpacing w:val="0"/>
        <w:jc w:val="both"/>
        <w:rPr>
          <w:rFonts w:eastAsia="Calibri"/>
          <w:noProof/>
        </w:rPr>
      </w:pPr>
      <w:r>
        <w:rPr>
          <w:noProof/>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noProof/>
        </w:rPr>
        <w:footnoteReference w:id="13"/>
      </w:r>
      <w:r>
        <w:rPr>
          <w:noProof/>
        </w:rPr>
        <w:t>, (ii) activitățile și activele din cadrul schemei UE de comercializare a certificatelor de emisii (ETS) care realizează emisii preconizate de gaze cu efect de seră care nu sunt mai mici decât valorile de referință aplicabile</w:t>
      </w:r>
      <w:r>
        <w:rPr>
          <w:noProof/>
        </w:rPr>
        <w:footnoteReference w:id="14"/>
      </w:r>
      <w:r>
        <w:rPr>
          <w:noProof/>
        </w:rPr>
        <w:t>, (iii) activitățile și activele legate de depozitele de deșeuri, incineratoare</w:t>
      </w:r>
      <w:r>
        <w:rPr>
          <w:noProof/>
        </w:rPr>
        <w:footnoteReference w:id="15"/>
      </w:r>
      <w:r>
        <w:rPr>
          <w:noProof/>
        </w:rPr>
        <w:t xml:space="preserve"> și stațiile de tratare mecano-biologică</w:t>
      </w:r>
      <w:r>
        <w:rPr>
          <w:noProof/>
        </w:rPr>
        <w:footnoteReference w:id="16"/>
      </w:r>
      <w:r>
        <w:rPr>
          <w:noProof/>
        </w:rPr>
        <w:t>. În plus, sprijinul pentru sistemele de încălzire pe bază de gaze naturale se ridică la maximum 20 % din pachetul financiar total pentru această măsură.</w:t>
      </w:r>
    </w:p>
    <w:p w14:paraId="5B292533" w14:textId="77777777" w:rsidR="00702291" w:rsidRDefault="00712B31">
      <w:pPr>
        <w:pStyle w:val="P68B1DB1-ListParagraph35"/>
        <w:numPr>
          <w:ilvl w:val="1"/>
          <w:numId w:val="72"/>
        </w:numPr>
        <w:spacing w:after="120" w:line="240" w:lineRule="auto"/>
        <w:contextualSpacing w:val="0"/>
        <w:jc w:val="both"/>
        <w:rPr>
          <w:rFonts w:eastAsia="Calibri"/>
          <w:noProof/>
        </w:rPr>
      </w:pPr>
      <w:r>
        <w:rPr>
          <w:noProof/>
        </w:rPr>
        <w:t>Cerința ca beneficiarii finali ai mecanismului să nu primească sprijin din partea altor instrumente ale Uniunii pentru a acoperi aceleași costuri.</w:t>
      </w:r>
    </w:p>
    <w:p w14:paraId="5484F07D" w14:textId="29BC5B9B" w:rsidR="00702291" w:rsidRDefault="00712B31">
      <w:pPr>
        <w:pStyle w:val="P68B1DB1-ListParagraph35"/>
        <w:numPr>
          <w:ilvl w:val="0"/>
          <w:numId w:val="72"/>
        </w:numPr>
        <w:spacing w:after="120" w:line="240" w:lineRule="auto"/>
        <w:contextualSpacing w:val="0"/>
        <w:jc w:val="both"/>
        <w:rPr>
          <w:rFonts w:eastAsia="Calibri"/>
          <w:noProof/>
        </w:rPr>
      </w:pPr>
      <w:r>
        <w:rPr>
          <w:noProof/>
        </w:rPr>
        <w:t>Suma care face obiectul acordului de punere în aplicare, structura comisioanelor pentru partenerul de implementare și intermediarii financiari și cerința de a reinvesti orice restituiri în conformitate cu politica de investiții a facilității.</w:t>
      </w:r>
    </w:p>
    <w:p w14:paraId="0B0AD8E2" w14:textId="77777777" w:rsidR="00702291" w:rsidRDefault="00712B31">
      <w:pPr>
        <w:pStyle w:val="P68B1DB1-ListParagraph35"/>
        <w:numPr>
          <w:ilvl w:val="0"/>
          <w:numId w:val="72"/>
        </w:numPr>
        <w:spacing w:after="120" w:line="240" w:lineRule="auto"/>
        <w:contextualSpacing w:val="0"/>
        <w:jc w:val="both"/>
        <w:rPr>
          <w:rFonts w:eastAsia="Calibri"/>
          <w:noProof/>
        </w:rPr>
      </w:pPr>
      <w:r>
        <w:rPr>
          <w:noProof/>
        </w:rPr>
        <w:t>Cerințe de monitorizare, audit și control, inclusiv:</w:t>
      </w:r>
    </w:p>
    <w:p w14:paraId="3A2F180A" w14:textId="77777777" w:rsidR="00702291" w:rsidRDefault="00712B31">
      <w:pPr>
        <w:pStyle w:val="P68B1DB1-Normal34"/>
        <w:numPr>
          <w:ilvl w:val="0"/>
          <w:numId w:val="53"/>
        </w:numPr>
        <w:spacing w:after="120" w:line="240" w:lineRule="auto"/>
        <w:jc w:val="both"/>
        <w:rPr>
          <w:rFonts w:eastAsia="Calibri"/>
          <w:noProof/>
        </w:rPr>
      </w:pPr>
      <w:r>
        <w:rPr>
          <w:noProof/>
        </w:rPr>
        <w:t>Descrierea sistemului de monitorizare al partenerului de implementare pentru raportarea cu privire la investițiile mobilizate.</w:t>
      </w:r>
    </w:p>
    <w:p w14:paraId="3BBA0B7A" w14:textId="77777777" w:rsidR="00702291" w:rsidRDefault="00712B31">
      <w:pPr>
        <w:pStyle w:val="P68B1DB1-Normal34"/>
        <w:numPr>
          <w:ilvl w:val="0"/>
          <w:numId w:val="53"/>
        </w:numPr>
        <w:spacing w:after="120" w:line="240" w:lineRule="auto"/>
        <w:jc w:val="both"/>
        <w:rPr>
          <w:rFonts w:eastAsia="Calibri"/>
          <w:noProof/>
        </w:rPr>
      </w:pPr>
      <w:r>
        <w:rPr>
          <w:noProof/>
        </w:rPr>
        <w:t xml:space="preserve">Descrierea procedurilor partenerului de implementare care asigură prevenirea, detectarea și corectarea fraudei, a corupției și a conflictelor de interese. </w:t>
      </w:r>
    </w:p>
    <w:p w14:paraId="6B572AF9" w14:textId="77777777" w:rsidR="00702291" w:rsidRDefault="00712B31">
      <w:pPr>
        <w:pStyle w:val="P68B1DB1-Normal34"/>
        <w:numPr>
          <w:ilvl w:val="0"/>
          <w:numId w:val="53"/>
        </w:numPr>
        <w:spacing w:after="120" w:line="240" w:lineRule="auto"/>
        <w:jc w:val="both"/>
        <w:rPr>
          <w:rFonts w:eastAsia="Calibri"/>
          <w:noProof/>
        </w:rPr>
      </w:pPr>
      <w:r>
        <w:rPr>
          <w:noProof/>
        </w:rPr>
        <w:t>Obligația de a verifica eligibilitatea fiecărei operațiuni în conformitate cu cerințele prevăzute în acordul de punere în aplicare înainte de a se angaja să finanțeze o operațiune.</w:t>
      </w:r>
    </w:p>
    <w:p w14:paraId="0A1882A1" w14:textId="77777777" w:rsidR="00702291" w:rsidRDefault="00712B31">
      <w:pPr>
        <w:pStyle w:val="P68B1DB1-Normal34"/>
        <w:numPr>
          <w:ilvl w:val="0"/>
          <w:numId w:val="53"/>
        </w:numPr>
        <w:spacing w:after="120" w:line="240" w:lineRule="auto"/>
        <w:jc w:val="both"/>
        <w:rPr>
          <w:rFonts w:eastAsia="Calibri"/>
          <w:noProof/>
        </w:rPr>
      </w:pPr>
      <w:r>
        <w:rPr>
          <w:noProof/>
        </w:rPr>
        <w:t xml:space="preserve">Obligația de a efectua audituri ex post bazate pe riscuri, în conformitate cu un plan de audit al MFB.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și din acordurile de finanțare aplicabile. </w:t>
      </w:r>
    </w:p>
    <w:p w14:paraId="69580AD1" w14:textId="54A55F2C" w:rsidR="00702291" w:rsidRDefault="00712B31">
      <w:pPr>
        <w:pStyle w:val="ListParagraph"/>
        <w:numPr>
          <w:ilvl w:val="0"/>
          <w:numId w:val="53"/>
        </w:numP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Cerințe pentru investițiile în domeniul climei efectuate de partenerul de implementare: Cel puțin 61 266 991 EUR din investițiile MRR în mecanism contribuie la obiectivele legate de schimbările climatice, în conformitate cu anexa VI la Regulamentul privind MRR.</w:t>
      </w:r>
      <w:r>
        <w:rPr>
          <w:rStyle w:val="FootnoteReference"/>
          <w:rFonts w:ascii="Times New Roman" w:hAnsi="Times New Roman" w:cs="Times New Roman"/>
          <w:b w:val="0"/>
          <w:noProof/>
          <w:sz w:val="24"/>
          <w:szCs w:val="24"/>
        </w:rPr>
        <w:footnoteReference w:id="17"/>
      </w:r>
      <w:r>
        <w:rPr>
          <w:rFonts w:ascii="Times New Roman" w:hAnsi="Times New Roman" w:cs="Times New Roman"/>
          <w:noProof/>
          <w:sz w:val="24"/>
          <w:szCs w:val="24"/>
        </w:rPr>
        <w:t xml:space="preserve"> </w:t>
      </w:r>
    </w:p>
    <w:p w14:paraId="510C83CC" w14:textId="26334E40" w:rsidR="00702291" w:rsidRDefault="00702291">
      <w:pPr>
        <w:pStyle w:val="P68B1DB1-Normal34"/>
        <w:rPr>
          <w:noProof/>
        </w:rPr>
      </w:pPr>
    </w:p>
    <w:p w14:paraId="71A3D3D5" w14:textId="53A59F86" w:rsidR="00702291" w:rsidRDefault="00712B31">
      <w:pPr>
        <w:pStyle w:val="P68B1DB1-ListParagraph35"/>
        <w:numPr>
          <w:ilvl w:val="0"/>
          <w:numId w:val="53"/>
        </w:numPr>
        <w:spacing w:after="120" w:line="240" w:lineRule="auto"/>
        <w:ind w:left="426" w:hanging="426"/>
        <w:contextualSpacing w:val="0"/>
        <w:jc w:val="both"/>
        <w:rPr>
          <w:rFonts w:eastAsia="Calibri"/>
          <w:noProof/>
        </w:rPr>
      </w:pPr>
      <w:r>
        <w:rPr>
          <w:noProof/>
        </w:rPr>
        <w:t>Cerințe pentru selectarea intermediarilor financiari: MFB selectează intermediarii financiari într</w:t>
      </w:r>
      <w:r w:rsidR="00494F0E">
        <w:rPr>
          <w:noProof/>
        </w:rPr>
        <w:t>­</w:t>
      </w:r>
      <w:r>
        <w:rPr>
          <w:noProof/>
        </w:rPr>
        <w:t xml:space="preserve">un mod deschis, transparent și nediscriminatoriu. Controalele privind absența conflictelor de interese în ceea ce privește intermediarii financiari au loc și se efectuează ex ante pentru toți actorii financiari implicați. </w:t>
      </w:r>
    </w:p>
    <w:p w14:paraId="35027F67" w14:textId="77777777" w:rsidR="00702291" w:rsidRDefault="00712B31">
      <w:pPr>
        <w:pStyle w:val="P68B1DB1-ListParagraph35"/>
        <w:numPr>
          <w:ilvl w:val="0"/>
          <w:numId w:val="53"/>
        </w:numPr>
        <w:spacing w:after="120" w:line="240" w:lineRule="auto"/>
        <w:ind w:left="426" w:hanging="426"/>
        <w:contextualSpacing w:val="0"/>
        <w:jc w:val="both"/>
        <w:rPr>
          <w:rFonts w:eastAsia="Calibri"/>
          <w:noProof/>
        </w:rPr>
      </w:pPr>
      <w:r>
        <w:rPr>
          <w:noProof/>
        </w:rPr>
        <w:t xml:space="preserve">Cerința de a semna acorduri de finanțare: MFB semnează acorduri de finanțare cu intermediarii financiari în conformitate cu cerințele-cheie care vor fi furnizate ca anexă la acordul de punere în aplicare. Cerințele-cheie ale acordului de finanțare includ toate cerințele în temeiul cărora funcționează mecanismul, inclusiv: </w:t>
      </w:r>
    </w:p>
    <w:p w14:paraId="3BDE50FC" w14:textId="77777777" w:rsidR="00702291" w:rsidRDefault="00712B31">
      <w:pPr>
        <w:pStyle w:val="P68B1DB1-Normal34"/>
        <w:numPr>
          <w:ilvl w:val="0"/>
          <w:numId w:val="73"/>
        </w:numPr>
        <w:spacing w:after="120" w:line="240" w:lineRule="auto"/>
        <w:jc w:val="both"/>
        <w:rPr>
          <w:rFonts w:eastAsia="Calibri"/>
          <w:noProof/>
        </w:rPr>
      </w:pPr>
      <w:r>
        <w:rPr>
          <w:noProof/>
        </w:rPr>
        <w:t xml:space="preserve">Obligația intermediarului financiar de a lua decizii în conformitate </w:t>
      </w:r>
      <w:r>
        <w:rPr>
          <w:i/>
          <w:noProof/>
        </w:rPr>
        <w:t>mutatis mutandis</w:t>
      </w:r>
      <w:r>
        <w:rPr>
          <w:noProof/>
        </w:rPr>
        <w:t xml:space="preserve"> cu cerințele de luare a deciziilor și de politică de investiții specificate mai sus, inclusiv în ceea ce privește respectarea principiului DNSH.</w:t>
      </w:r>
    </w:p>
    <w:p w14:paraId="5AD5A0B9" w14:textId="77777777" w:rsidR="00702291" w:rsidRDefault="00712B31">
      <w:pPr>
        <w:pStyle w:val="P68B1DB1-Normal34"/>
        <w:numPr>
          <w:ilvl w:val="0"/>
          <w:numId w:val="73"/>
        </w:numPr>
        <w:spacing w:after="120" w:line="240" w:lineRule="auto"/>
        <w:jc w:val="both"/>
        <w:rPr>
          <w:rFonts w:eastAsia="Calibri"/>
          <w:noProof/>
        </w:rPr>
      </w:pPr>
      <w:r>
        <w:rPr>
          <w:noProof/>
        </w:rPr>
        <w:t xml:space="preserve">Descrierea cadrului de monitorizare, audit și control pe care intermediarul financiar trebuie să îl instituie și care, </w:t>
      </w:r>
      <w:r>
        <w:rPr>
          <w:i/>
          <w:noProof/>
        </w:rPr>
        <w:t>mutatis mutandis</w:t>
      </w:r>
      <w:r>
        <w:rPr>
          <w:noProof/>
        </w:rPr>
        <w:t xml:space="preserve">, face obiectul tuturor cerințelor de monitorizare, audit și control specificate mai sus. </w:t>
      </w:r>
    </w:p>
    <w:p w14:paraId="4F517C9A" w14:textId="77777777" w:rsidR="00702291" w:rsidRDefault="00702291">
      <w:pPr>
        <w:keepNext/>
        <w:spacing w:after="120" w:line="240" w:lineRule="auto"/>
        <w:jc w:val="both"/>
        <w:rPr>
          <w:rFonts w:ascii="Times New Roman" w:eastAsia="Times New Roman" w:hAnsi="Times New Roman" w:cs="Times New Roman"/>
          <w:noProof/>
          <w:sz w:val="24"/>
          <w:szCs w:val="24"/>
        </w:rPr>
        <w:sectPr w:rsidR="00702291" w:rsidSect="001A6BAF">
          <w:headerReference w:type="default" r:id="rId106"/>
          <w:footerReference w:type="default" r:id="rId107"/>
          <w:pgSz w:w="11907" w:h="16839"/>
          <w:pgMar w:top="1134" w:right="1134" w:bottom="1134" w:left="1134" w:header="567" w:footer="567" w:gutter="0"/>
          <w:cols w:space="708"/>
          <w:docGrid w:linePitch="326"/>
        </w:sectPr>
      </w:pPr>
    </w:p>
    <w:p w14:paraId="35EA9020" w14:textId="72BA05A0" w:rsidR="00702291" w:rsidRDefault="00712B31">
      <w:pPr>
        <w:pStyle w:val="P68B1DB1-Heading310"/>
        <w:spacing w:before="0" w:after="120"/>
        <w:rPr>
          <w:noProof/>
        </w:rPr>
      </w:pPr>
      <w:r>
        <w:rPr>
          <w:noProof/>
        </w:rPr>
        <w:t xml:space="preserve">I.2. </w:t>
      </w:r>
      <w:r>
        <w:rPr>
          <w:noProof/>
        </w:rPr>
        <w:tab/>
        <w:t>Jaloane, ținte, indicatori și calendarul de monitorizare și implementare aplicabile sprijinului financiar nerambursabil</w:t>
      </w:r>
    </w:p>
    <w:tbl>
      <w:tblPr>
        <w:tblW w:w="15730" w:type="dxa"/>
        <w:jc w:val="center"/>
        <w:tblLayout w:type="fixed"/>
        <w:tblLook w:val="04A0" w:firstRow="1" w:lastRow="0" w:firstColumn="1" w:lastColumn="0" w:noHBand="0" w:noVBand="1"/>
      </w:tblPr>
      <w:tblGrid>
        <w:gridCol w:w="948"/>
        <w:gridCol w:w="1712"/>
        <w:gridCol w:w="1021"/>
        <w:gridCol w:w="1559"/>
        <w:gridCol w:w="1701"/>
        <w:gridCol w:w="1134"/>
        <w:gridCol w:w="1276"/>
        <w:gridCol w:w="992"/>
        <w:gridCol w:w="1134"/>
        <w:gridCol w:w="709"/>
        <w:gridCol w:w="3544"/>
      </w:tblGrid>
      <w:tr w:rsidR="00702291" w14:paraId="1A8ABB1C" w14:textId="77777777" w:rsidTr="00494F0E">
        <w:trPr>
          <w:trHeight w:val="587"/>
          <w:tblHeader/>
          <w:jc w:val="center"/>
        </w:trPr>
        <w:tc>
          <w:tcPr>
            <w:tcW w:w="9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567F45" w14:textId="77777777" w:rsidR="00702291" w:rsidRDefault="00712B31">
            <w:pPr>
              <w:pStyle w:val="P68B1DB1-Normal37"/>
              <w:spacing w:after="120" w:line="240" w:lineRule="auto"/>
              <w:jc w:val="both"/>
              <w:rPr>
                <w:rFonts w:eastAsia="MS Mincho"/>
                <w:bCs/>
                <w:noProof/>
              </w:rPr>
            </w:pPr>
            <w:r>
              <w:rPr>
                <w:noProof/>
              </w:rPr>
              <w:t>Număr Număr</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5D4212" w14:textId="77777777" w:rsidR="00702291" w:rsidRDefault="00712B31">
            <w:pPr>
              <w:pStyle w:val="P68B1DB1-Normal37"/>
              <w:spacing w:after="120" w:line="240" w:lineRule="auto"/>
              <w:jc w:val="center"/>
              <w:rPr>
                <w:rFonts w:eastAsia="Calibri"/>
                <w:noProof/>
              </w:rPr>
            </w:pPr>
            <w:r>
              <w:rPr>
                <w:noProof/>
              </w:rPr>
              <w:t>Măsură conexă (reformă sau investiții)</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BC9BBB" w14:textId="13E5BBF0" w:rsidR="00702291" w:rsidRDefault="00712B31">
            <w:pPr>
              <w:pStyle w:val="P68B1DB1-Normal37"/>
              <w:spacing w:after="120" w:line="240" w:lineRule="auto"/>
              <w:rPr>
                <w:rFonts w:eastAsia="Calibri"/>
                <w:bCs/>
                <w:noProof/>
              </w:rPr>
            </w:pPr>
            <w:r>
              <w:rPr>
                <w:noProof/>
              </w:rPr>
              <w:t>Etapă/</w:t>
            </w:r>
            <w:r w:rsidR="00494F0E">
              <w:rPr>
                <w:noProof/>
              </w:rPr>
              <w:t xml:space="preserve"> </w:t>
            </w:r>
            <w:r>
              <w:rPr>
                <w:noProof/>
              </w:rPr>
              <w:t>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AF440E" w14:textId="77777777" w:rsidR="00702291" w:rsidRDefault="00712B31">
            <w:pPr>
              <w:pStyle w:val="P68B1DB1-Normal37"/>
              <w:spacing w:after="120" w:line="240" w:lineRule="auto"/>
              <w:jc w:val="center"/>
              <w:rPr>
                <w:rFonts w:eastAsia="Calibri"/>
                <w:bCs/>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28EF3" w14:textId="10524007" w:rsidR="00702291" w:rsidRDefault="00712B31">
            <w:pPr>
              <w:pStyle w:val="P68B1DB1-Normal37"/>
              <w:spacing w:after="120" w:line="240" w:lineRule="auto"/>
              <w:jc w:val="center"/>
              <w:rPr>
                <w:rFonts w:eastAsia="Calibri"/>
                <w:bCs/>
                <w:noProof/>
              </w:rPr>
            </w:pPr>
            <w:r>
              <w:rPr>
                <w:noProof/>
              </w:rPr>
              <w:t xml:space="preserve">Indicatori calitativi </w:t>
            </w:r>
            <w:r>
              <w:rPr>
                <w:noProof/>
              </w:rPr>
              <w:br/>
              <w:t>(pentru jaloane)</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AC2CD27" w14:textId="45C1F612" w:rsidR="00702291" w:rsidRDefault="00712B31">
            <w:pPr>
              <w:pStyle w:val="P68B1DB1-Normal37"/>
              <w:spacing w:after="120" w:line="240" w:lineRule="auto"/>
              <w:jc w:val="center"/>
              <w:rPr>
                <w:rFonts w:eastAsia="Calibri"/>
                <w:bCs/>
                <w:noProof/>
              </w:rPr>
            </w:pPr>
            <w:r>
              <w:rPr>
                <w:noProof/>
              </w:rPr>
              <w:t xml:space="preserve">Indicatori cantitativi </w:t>
            </w:r>
            <w:r>
              <w:rPr>
                <w:noProof/>
              </w:rPr>
              <w:br/>
              <w:t>(pentru obiective)</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4E4538F1" w14:textId="77777777" w:rsidR="00702291" w:rsidRDefault="00712B31">
            <w:pPr>
              <w:pStyle w:val="P68B1DB1-Normal37"/>
              <w:spacing w:after="120" w:line="240" w:lineRule="auto"/>
              <w:jc w:val="center"/>
              <w:rPr>
                <w:rFonts w:eastAsia="Calibri"/>
                <w:bCs/>
                <w:noProof/>
              </w:rPr>
            </w:pPr>
            <w:r>
              <w:rPr>
                <w:noProof/>
              </w:rPr>
              <w:t xml:space="preserve">Calendar orientativ pentru finalizare </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A66558" w14:textId="77777777" w:rsidR="00702291" w:rsidRDefault="00712B31">
            <w:pPr>
              <w:pStyle w:val="P68B1DB1-Normal37"/>
              <w:spacing w:after="120" w:line="240" w:lineRule="auto"/>
              <w:jc w:val="center"/>
              <w:rPr>
                <w:rFonts w:eastAsia="Calibri"/>
                <w:noProof/>
              </w:rPr>
            </w:pPr>
            <w:r>
              <w:rPr>
                <w:noProof/>
              </w:rPr>
              <w:t>Descrierea fiecărui jalon și a fiecărei ținte</w:t>
            </w:r>
          </w:p>
        </w:tc>
      </w:tr>
      <w:tr w:rsidR="00702291" w14:paraId="0EB09EEE" w14:textId="77777777" w:rsidTr="00494F0E">
        <w:trPr>
          <w:trHeight w:val="516"/>
          <w:tblHeader/>
          <w:jc w:val="center"/>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5738E85A"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3D36B3F7"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76A2DA73"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0A3782B"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A45F657" w14:textId="77777777" w:rsidR="00702291" w:rsidRDefault="00702291">
            <w:pPr>
              <w:spacing w:after="120" w:line="240" w:lineRule="auto"/>
              <w:jc w:val="both"/>
              <w:rPr>
                <w:rFonts w:ascii="Times New Roman" w:eastAsia="Times New Roman" w:hAnsi="Times New Roman" w:cs="Times New Roman"/>
                <w:b/>
                <w:noProof/>
                <w:sz w:val="18"/>
                <w:szCs w:val="18"/>
              </w:rPr>
            </w:pPr>
          </w:p>
        </w:tc>
        <w:tc>
          <w:tcPr>
            <w:tcW w:w="1134" w:type="dxa"/>
            <w:tcBorders>
              <w:top w:val="nil"/>
              <w:left w:val="single" w:sz="4" w:space="0" w:color="auto"/>
              <w:bottom w:val="single" w:sz="4" w:space="0" w:color="auto"/>
              <w:right w:val="single" w:sz="4" w:space="0" w:color="auto"/>
            </w:tcBorders>
            <w:shd w:val="clear" w:color="auto" w:fill="BDD7EE"/>
            <w:vAlign w:val="center"/>
            <w:hideMark/>
          </w:tcPr>
          <w:p w14:paraId="690856F2" w14:textId="77777777" w:rsidR="00702291" w:rsidRDefault="00712B31">
            <w:pPr>
              <w:pStyle w:val="P68B1DB1-Normal37"/>
              <w:spacing w:after="120" w:line="240" w:lineRule="auto"/>
              <w:jc w:val="center"/>
              <w:rPr>
                <w:rFonts w:eastAsia="Calibri"/>
                <w:bCs/>
                <w:noProof/>
              </w:rPr>
            </w:pPr>
            <w:r>
              <w:rPr>
                <w:noProof/>
              </w:rPr>
              <w:t>Unitatea de măsură</w:t>
            </w:r>
          </w:p>
        </w:tc>
        <w:tc>
          <w:tcPr>
            <w:tcW w:w="1276" w:type="dxa"/>
            <w:tcBorders>
              <w:top w:val="nil"/>
              <w:left w:val="nil"/>
              <w:bottom w:val="single" w:sz="4" w:space="0" w:color="auto"/>
              <w:right w:val="single" w:sz="4" w:space="0" w:color="auto"/>
            </w:tcBorders>
            <w:shd w:val="clear" w:color="auto" w:fill="BDD7EE"/>
            <w:vAlign w:val="center"/>
            <w:hideMark/>
          </w:tcPr>
          <w:p w14:paraId="7FFC7F1E" w14:textId="77777777" w:rsidR="00702291" w:rsidRDefault="00712B31">
            <w:pPr>
              <w:pStyle w:val="P68B1DB1-Normal37"/>
              <w:spacing w:after="120" w:line="240" w:lineRule="auto"/>
              <w:jc w:val="center"/>
              <w:rPr>
                <w:rFonts w:eastAsia="Calibri"/>
                <w:bCs/>
                <w:noProof/>
              </w:rPr>
            </w:pPr>
            <w:r>
              <w:rPr>
                <w:noProof/>
              </w:rPr>
              <w:t xml:space="preserve">Situația de referință </w:t>
            </w:r>
          </w:p>
        </w:tc>
        <w:tc>
          <w:tcPr>
            <w:tcW w:w="992" w:type="dxa"/>
            <w:tcBorders>
              <w:top w:val="nil"/>
              <w:left w:val="nil"/>
              <w:bottom w:val="single" w:sz="4" w:space="0" w:color="auto"/>
              <w:right w:val="single" w:sz="4" w:space="0" w:color="auto"/>
            </w:tcBorders>
            <w:shd w:val="clear" w:color="auto" w:fill="BDD7EE"/>
            <w:vAlign w:val="center"/>
            <w:hideMark/>
          </w:tcPr>
          <w:p w14:paraId="14A58FBF" w14:textId="77777777" w:rsidR="00702291" w:rsidRDefault="00712B31">
            <w:pPr>
              <w:pStyle w:val="P68B1DB1-Normal37"/>
              <w:spacing w:after="120" w:line="240" w:lineRule="auto"/>
              <w:jc w:val="center"/>
              <w:rPr>
                <w:rFonts w:eastAsia="Calibri"/>
                <w:bCs/>
                <w:noProof/>
              </w:rPr>
            </w:pPr>
            <w:r>
              <w:rPr>
                <w:noProof/>
              </w:rPr>
              <w:t xml:space="preserve">Obiectiv </w:t>
            </w:r>
          </w:p>
        </w:tc>
        <w:tc>
          <w:tcPr>
            <w:tcW w:w="1134" w:type="dxa"/>
            <w:tcBorders>
              <w:top w:val="nil"/>
              <w:left w:val="nil"/>
              <w:bottom w:val="single" w:sz="4" w:space="0" w:color="auto"/>
              <w:right w:val="single" w:sz="4" w:space="0" w:color="auto"/>
            </w:tcBorders>
            <w:shd w:val="clear" w:color="auto" w:fill="BDD7EE"/>
            <w:vAlign w:val="center"/>
            <w:hideMark/>
          </w:tcPr>
          <w:p w14:paraId="2E8850F4" w14:textId="4B486D65" w:rsidR="00702291" w:rsidRDefault="00494F0E">
            <w:pPr>
              <w:pStyle w:val="P68B1DB1-Normal37"/>
              <w:spacing w:after="120" w:line="240" w:lineRule="auto"/>
              <w:jc w:val="center"/>
              <w:rPr>
                <w:rFonts w:eastAsia="Calibri"/>
                <w:bCs/>
                <w:noProof/>
              </w:rPr>
            </w:pPr>
            <w:r>
              <w:rPr>
                <w:noProof/>
              </w:rPr>
              <w:t>Trimestru</w:t>
            </w:r>
          </w:p>
        </w:tc>
        <w:tc>
          <w:tcPr>
            <w:tcW w:w="709" w:type="dxa"/>
            <w:tcBorders>
              <w:top w:val="nil"/>
              <w:left w:val="nil"/>
              <w:bottom w:val="single" w:sz="4" w:space="0" w:color="auto"/>
              <w:right w:val="single" w:sz="4" w:space="0" w:color="auto"/>
            </w:tcBorders>
            <w:shd w:val="clear" w:color="auto" w:fill="BDD7EE"/>
            <w:vAlign w:val="center"/>
            <w:hideMark/>
          </w:tcPr>
          <w:p w14:paraId="3E966DD1" w14:textId="77777777" w:rsidR="00702291" w:rsidRDefault="00712B31">
            <w:pPr>
              <w:pStyle w:val="P68B1DB1-Normal37"/>
              <w:spacing w:after="120" w:line="240" w:lineRule="auto"/>
              <w:jc w:val="center"/>
              <w:rPr>
                <w:rFonts w:eastAsia="Calibri"/>
                <w:bCs/>
                <w:noProof/>
              </w:rPr>
            </w:pPr>
            <w:r>
              <w:rPr>
                <w:noProof/>
              </w:rPr>
              <w:t>Anul</w:t>
            </w:r>
          </w:p>
        </w:tc>
        <w:tc>
          <w:tcPr>
            <w:tcW w:w="3544" w:type="dxa"/>
            <w:vMerge/>
            <w:tcBorders>
              <w:top w:val="single" w:sz="4" w:space="0" w:color="auto"/>
              <w:bottom w:val="single" w:sz="4" w:space="0" w:color="auto"/>
              <w:right w:val="single" w:sz="4" w:space="0" w:color="auto"/>
            </w:tcBorders>
            <w:vAlign w:val="center"/>
            <w:hideMark/>
          </w:tcPr>
          <w:p w14:paraId="2BFFC837" w14:textId="77777777" w:rsidR="00702291" w:rsidRDefault="00702291">
            <w:pPr>
              <w:spacing w:after="120" w:line="240" w:lineRule="auto"/>
              <w:jc w:val="both"/>
              <w:rPr>
                <w:rFonts w:ascii="Times New Roman" w:eastAsia="Times New Roman" w:hAnsi="Times New Roman" w:cs="Times New Roman"/>
                <w:b/>
                <w:bCs/>
                <w:noProof/>
                <w:sz w:val="18"/>
                <w:szCs w:val="18"/>
              </w:rPr>
            </w:pPr>
          </w:p>
        </w:tc>
      </w:tr>
      <w:tr w:rsidR="00702291" w14:paraId="3EADC766" w14:textId="77777777" w:rsidTr="00494F0E">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DC5BD" w14:textId="0651DC8A" w:rsidR="00702291" w:rsidRDefault="00712B31">
            <w:pPr>
              <w:pStyle w:val="P68B1DB1-Normal32"/>
              <w:spacing w:after="120" w:line="240" w:lineRule="auto"/>
              <w:rPr>
                <w:rFonts w:eastAsia="Calibri"/>
                <w:noProof/>
              </w:rPr>
            </w:pPr>
            <w:r>
              <w:rPr>
                <w:noProof/>
              </w:rPr>
              <w:t>104</w:t>
            </w:r>
          </w:p>
        </w:tc>
        <w:tc>
          <w:tcPr>
            <w:tcW w:w="1712" w:type="dxa"/>
            <w:tcBorders>
              <w:top w:val="single" w:sz="4" w:space="0" w:color="auto"/>
              <w:left w:val="nil"/>
              <w:bottom w:val="single" w:sz="4" w:space="0" w:color="auto"/>
              <w:right w:val="single" w:sz="4" w:space="0" w:color="auto"/>
            </w:tcBorders>
            <w:shd w:val="clear" w:color="auto" w:fill="C6EFCE"/>
            <w:noWrap/>
            <w:vAlign w:val="center"/>
          </w:tcPr>
          <w:p w14:paraId="79279CC1" w14:textId="612FB1F1" w:rsidR="00702291" w:rsidRDefault="00712B31">
            <w:pPr>
              <w:pStyle w:val="P68B1DB1-Normal32"/>
              <w:spacing w:after="120" w:line="240" w:lineRule="auto"/>
              <w:rPr>
                <w:rFonts w:eastAsia="Calibri"/>
                <w:noProof/>
              </w:rPr>
            </w:pPr>
            <w:r>
              <w:rPr>
                <w:noProof/>
              </w:rPr>
              <w:t>C9.R1: Stabilirea tarifelor de rețea</w:t>
            </w:r>
          </w:p>
        </w:tc>
        <w:tc>
          <w:tcPr>
            <w:tcW w:w="1021" w:type="dxa"/>
            <w:tcBorders>
              <w:top w:val="single" w:sz="4" w:space="0" w:color="auto"/>
              <w:left w:val="nil"/>
              <w:bottom w:val="single" w:sz="4" w:space="0" w:color="auto"/>
              <w:right w:val="single" w:sz="4" w:space="0" w:color="auto"/>
            </w:tcBorders>
            <w:shd w:val="clear" w:color="auto" w:fill="C6EFCE"/>
            <w:noWrap/>
            <w:vAlign w:val="center"/>
          </w:tcPr>
          <w:p w14:paraId="7FB581AF" w14:textId="77777777" w:rsidR="00702291" w:rsidRDefault="00712B31">
            <w:pPr>
              <w:pStyle w:val="P68B1DB1-Normal32"/>
              <w:spacing w:after="120" w:line="240" w:lineRule="auto"/>
              <w:rPr>
                <w:rFonts w:eastAsia="Calibri"/>
                <w:noProof/>
              </w:rPr>
            </w:pPr>
            <w:r>
              <w:rPr>
                <w:noProof/>
              </w:rPr>
              <w:t>Etapă</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713D143A" w14:textId="77777777" w:rsidR="00702291" w:rsidRDefault="00712B31">
            <w:pPr>
              <w:pStyle w:val="P68B1DB1-Normal32"/>
              <w:spacing w:after="120" w:line="240" w:lineRule="auto"/>
              <w:rPr>
                <w:rFonts w:eastAsia="Times New Roman"/>
                <w:noProof/>
              </w:rPr>
            </w:pPr>
            <w:r>
              <w:rPr>
                <w:noProof/>
              </w:rPr>
              <w:t>Noua metodologie de calculare a tarifelor de rețea</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4F3DE670" w14:textId="77777777" w:rsidR="00702291" w:rsidRDefault="00712B31">
            <w:pPr>
              <w:pStyle w:val="P68B1DB1-Normal32"/>
              <w:spacing w:after="120" w:line="240" w:lineRule="auto"/>
              <w:rPr>
                <w:rFonts w:eastAsia="Calibri"/>
                <w:noProof/>
              </w:rPr>
            </w:pPr>
            <w:r>
              <w:rPr>
                <w:noProof/>
              </w:rPr>
              <w:t xml:space="preserve">Dispoziție din decretul de adoptare care indică intrarea în vigoare a metodologiei </w:t>
            </w:r>
          </w:p>
        </w:tc>
        <w:tc>
          <w:tcPr>
            <w:tcW w:w="1134" w:type="dxa"/>
            <w:tcBorders>
              <w:top w:val="nil"/>
              <w:left w:val="nil"/>
              <w:bottom w:val="single" w:sz="4" w:space="0" w:color="auto"/>
              <w:right w:val="single" w:sz="4" w:space="0" w:color="auto"/>
            </w:tcBorders>
            <w:shd w:val="clear" w:color="auto" w:fill="C6EFCE"/>
            <w:noWrap/>
            <w:vAlign w:val="center"/>
          </w:tcPr>
          <w:p w14:paraId="14BE29C9" w14:textId="77777777" w:rsidR="00702291" w:rsidRDefault="00702291">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5E55C85A" w14:textId="77777777" w:rsidR="00702291" w:rsidRDefault="00702291">
            <w:pPr>
              <w:spacing w:after="120" w:line="240" w:lineRule="auto"/>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1BF417B6"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E3E73FC" w14:textId="4530BD46" w:rsidR="00702291" w:rsidRDefault="00F233DB">
            <w:pPr>
              <w:pStyle w:val="P68B1DB1-Normal20"/>
              <w:spacing w:after="120" w:line="240" w:lineRule="auto"/>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3CF486B4" w14:textId="0F6D4954" w:rsidR="00702291" w:rsidRDefault="00712B31">
            <w:pPr>
              <w:pStyle w:val="P68B1DB1-Normal20"/>
              <w:spacing w:after="120" w:line="240" w:lineRule="auto"/>
              <w:rPr>
                <w:rFonts w:eastAsia="Calibri" w:cs="Times New Roman"/>
                <w:noProof/>
                <w:szCs w:val="18"/>
              </w:rPr>
            </w:pPr>
            <w:r>
              <w:rPr>
                <w:noProof/>
              </w:rPr>
              <w:t>2026</w:t>
            </w:r>
          </w:p>
        </w:tc>
        <w:tc>
          <w:tcPr>
            <w:tcW w:w="3544" w:type="dxa"/>
            <w:tcBorders>
              <w:top w:val="single" w:sz="4" w:space="0" w:color="auto"/>
              <w:left w:val="nil"/>
              <w:bottom w:val="single" w:sz="4" w:space="0" w:color="auto"/>
              <w:right w:val="single" w:sz="4" w:space="0" w:color="auto"/>
            </w:tcBorders>
            <w:shd w:val="clear" w:color="auto" w:fill="C6EFCE"/>
            <w:noWrap/>
            <w:vAlign w:val="center"/>
          </w:tcPr>
          <w:p w14:paraId="0BE0807C" w14:textId="5F266DEB" w:rsidR="00702291" w:rsidRDefault="00712B31">
            <w:pPr>
              <w:pStyle w:val="P68B1DB1-Normal32"/>
              <w:spacing w:after="120" w:line="240" w:lineRule="auto"/>
              <w:rPr>
                <w:rFonts w:eastAsia="Times New Roman"/>
                <w:noProof/>
              </w:rPr>
            </w:pPr>
            <w:r>
              <w:rPr>
                <w:noProof/>
              </w:rPr>
              <w:t>Adoptarea de către autoritatea de reglementare (MEKH) și intrarea în vigoare a unei noi metodologii de calculare a tarifelor de rețea care reflectă costurile și sunt nediscriminatorii.</w:t>
            </w:r>
          </w:p>
        </w:tc>
      </w:tr>
      <w:tr w:rsidR="00702291" w14:paraId="073095DB"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BC7704B" w14:textId="7203665F" w:rsidR="00702291" w:rsidRDefault="00712B31">
            <w:pPr>
              <w:pStyle w:val="P68B1DB1-Normal32"/>
              <w:spacing w:after="120" w:line="240" w:lineRule="auto"/>
              <w:rPr>
                <w:rFonts w:eastAsia="Calibri"/>
                <w:noProof/>
              </w:rPr>
            </w:pPr>
            <w:r>
              <w:rPr>
                <w:noProof/>
              </w:rPr>
              <w:t>105</w:t>
            </w:r>
          </w:p>
        </w:tc>
        <w:tc>
          <w:tcPr>
            <w:tcW w:w="1712" w:type="dxa"/>
            <w:tcBorders>
              <w:top w:val="nil"/>
              <w:left w:val="nil"/>
              <w:bottom w:val="single" w:sz="4" w:space="0" w:color="auto"/>
              <w:right w:val="single" w:sz="4" w:space="0" w:color="auto"/>
            </w:tcBorders>
            <w:shd w:val="clear" w:color="auto" w:fill="C6EFCE"/>
            <w:noWrap/>
            <w:vAlign w:val="center"/>
          </w:tcPr>
          <w:p w14:paraId="1D2BB7BA" w14:textId="7B5315DD" w:rsidR="00702291" w:rsidRDefault="00712B31">
            <w:pPr>
              <w:pStyle w:val="P68B1DB1-Normal32"/>
              <w:spacing w:after="120" w:line="240" w:lineRule="auto"/>
              <w:rPr>
                <w:rFonts w:eastAsia="Times New Roman"/>
                <w:noProof/>
              </w:rPr>
            </w:pPr>
            <w:r>
              <w:rPr>
                <w:noProof/>
              </w:rPr>
              <w:t xml:space="preserve">C9.R2: Adaptarea actului (actelor) juridic (e) privind contoarele inteligente </w:t>
            </w:r>
          </w:p>
          <w:p w14:paraId="3134232D" w14:textId="77777777" w:rsidR="00702291" w:rsidRDefault="00702291">
            <w:pPr>
              <w:spacing w:after="120" w:line="240" w:lineRule="auto"/>
              <w:rPr>
                <w:rFonts w:ascii="Times New Roman" w:eastAsia="Calibr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38364F90" w14:textId="77777777" w:rsidR="00702291" w:rsidRDefault="00712B31">
            <w:pPr>
              <w:pStyle w:val="P68B1DB1-Normal32"/>
              <w:spacing w:after="120" w:line="240" w:lineRule="auto"/>
              <w:rPr>
                <w:rFonts w:eastAsia="Calibri"/>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16971577" w14:textId="77777777" w:rsidR="00702291" w:rsidRDefault="00712B31">
            <w:pPr>
              <w:pStyle w:val="P68B1DB1-Normal32"/>
              <w:spacing w:after="120" w:line="240" w:lineRule="auto"/>
              <w:rPr>
                <w:rFonts w:eastAsia="Times New Roman"/>
                <w:noProof/>
              </w:rPr>
            </w:pPr>
            <w:r>
              <w:rPr>
                <w:noProof/>
              </w:rPr>
              <w:t>Intrarea în vigoare a actului (actelor) juridic (e)</w:t>
            </w:r>
          </w:p>
        </w:tc>
        <w:tc>
          <w:tcPr>
            <w:tcW w:w="1701" w:type="dxa"/>
            <w:tcBorders>
              <w:top w:val="nil"/>
              <w:left w:val="nil"/>
              <w:bottom w:val="single" w:sz="4" w:space="0" w:color="auto"/>
              <w:right w:val="single" w:sz="4" w:space="0" w:color="auto"/>
            </w:tcBorders>
            <w:shd w:val="clear" w:color="auto" w:fill="C6EFCE"/>
            <w:noWrap/>
            <w:vAlign w:val="center"/>
          </w:tcPr>
          <w:p w14:paraId="3D1F3B04" w14:textId="77777777" w:rsidR="00702291" w:rsidRDefault="00712B31">
            <w:pPr>
              <w:pStyle w:val="P68B1DB1-Normal32"/>
              <w:spacing w:after="120" w:line="240" w:lineRule="auto"/>
              <w:rPr>
                <w:rFonts w:eastAsia="Calibri"/>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7227D88C" w14:textId="77777777" w:rsidR="00702291" w:rsidRDefault="00702291">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7DAB79BA" w14:textId="77777777" w:rsidR="00702291" w:rsidRDefault="00702291">
            <w:pPr>
              <w:spacing w:after="120" w:line="240" w:lineRule="auto"/>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669D2FA"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4CF84C9" w14:textId="3BEFE13D" w:rsidR="00702291" w:rsidRDefault="00F233DB">
            <w:pPr>
              <w:pStyle w:val="P68B1DB1-Normal20"/>
              <w:spacing w:after="120" w:line="240" w:lineRule="auto"/>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7825BCD4" w14:textId="76E03876" w:rsidR="00702291" w:rsidRDefault="00712B31">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5AC9F87E" w14:textId="77777777" w:rsidR="00702291" w:rsidRDefault="00712B31">
            <w:pPr>
              <w:pStyle w:val="P68B1DB1-Normal32"/>
              <w:spacing w:after="120" w:line="240" w:lineRule="auto"/>
              <w:rPr>
                <w:noProof/>
              </w:rPr>
            </w:pPr>
            <w:r>
              <w:rPr>
                <w:noProof/>
              </w:rPr>
              <w:t>Intrarea în vigoare a actului (actelor) juridic (e) care:</w:t>
            </w:r>
          </w:p>
          <w:p w14:paraId="114ECDC5" w14:textId="6244841A" w:rsidR="00702291" w:rsidRDefault="00712B31">
            <w:pPr>
              <w:pStyle w:val="P68B1DB1-ListParagraph43"/>
              <w:numPr>
                <w:ilvl w:val="1"/>
                <w:numId w:val="53"/>
              </w:numPr>
              <w:spacing w:after="120" w:line="240" w:lineRule="auto"/>
              <w:ind w:left="229" w:hanging="229"/>
              <w:contextualSpacing w:val="0"/>
              <w:rPr>
                <w:rFonts w:eastAsia="Times New Roman"/>
                <w:noProof/>
              </w:rPr>
            </w:pPr>
            <w:r>
              <w:rPr>
                <w:noProof/>
              </w:rPr>
              <w:t xml:space="preserve">Reducerea pragului obligatoriu de instalare a contoarelor inteligente de la 5 000 kWh/an la 4 000 kWh/an pentru consumatorii racordați la rețeaua de joasă tensiune cu o conexiune de maximum 3x80A. În plus, actul (actele) juridic (e) stabilește (stabilesc) că OSD acoperă costurile de instalare pentru acești consumatori; </w:t>
            </w:r>
          </w:p>
          <w:p w14:paraId="78A258AB" w14:textId="4433B253" w:rsidR="00702291" w:rsidRDefault="00712B31">
            <w:pPr>
              <w:pStyle w:val="P68B1DB1-ListParagraph68"/>
              <w:numPr>
                <w:ilvl w:val="1"/>
                <w:numId w:val="53"/>
              </w:numPr>
              <w:spacing w:after="120" w:line="240" w:lineRule="auto"/>
              <w:ind w:left="229" w:hanging="229"/>
              <w:contextualSpacing w:val="0"/>
              <w:rPr>
                <w:noProof/>
              </w:rPr>
            </w:pPr>
            <w:r>
              <w:rPr>
                <w:noProof/>
              </w:rPr>
              <w:t xml:space="preserve">Să stabilească faptul că OD acoperă costurile de instalare a primului contor inteligent pentru toți consumatorii racordați la rețeaua de joasă tensiune cu o conexiune care furnizează maximum 3x80A și care solicită un contor inteligent. </w:t>
            </w:r>
          </w:p>
        </w:tc>
      </w:tr>
      <w:tr w:rsidR="00702291" w14:paraId="1B77EFB8"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DF19E3D" w14:textId="1CB52545" w:rsidR="00702291" w:rsidRDefault="00712B31">
            <w:pPr>
              <w:pStyle w:val="P68B1DB1-Normal32"/>
              <w:spacing w:after="120" w:line="240" w:lineRule="auto"/>
              <w:rPr>
                <w:rFonts w:eastAsia="Calibri"/>
                <w:noProof/>
              </w:rPr>
            </w:pPr>
            <w:r>
              <w:rPr>
                <w:noProof/>
              </w:rPr>
              <w:t>106</w:t>
            </w:r>
          </w:p>
        </w:tc>
        <w:tc>
          <w:tcPr>
            <w:tcW w:w="1712" w:type="dxa"/>
            <w:tcBorders>
              <w:top w:val="nil"/>
              <w:left w:val="nil"/>
              <w:bottom w:val="single" w:sz="4" w:space="0" w:color="auto"/>
              <w:right w:val="single" w:sz="4" w:space="0" w:color="auto"/>
            </w:tcBorders>
            <w:shd w:val="clear" w:color="auto" w:fill="C6EFCE"/>
            <w:noWrap/>
            <w:vAlign w:val="center"/>
          </w:tcPr>
          <w:p w14:paraId="69508664" w14:textId="0C20E664" w:rsidR="00702291" w:rsidRDefault="00712B31">
            <w:pPr>
              <w:pStyle w:val="P68B1DB1-Normal32"/>
              <w:spacing w:after="120" w:line="240" w:lineRule="auto"/>
              <w:rPr>
                <w:rFonts w:eastAsia="Calibri"/>
                <w:noProof/>
              </w:rPr>
            </w:pPr>
            <w:r>
              <w:rPr>
                <w:noProof/>
              </w:rPr>
              <w:t>C9.R3: Consolidarea rolului agregatorilor</w:t>
            </w:r>
          </w:p>
        </w:tc>
        <w:tc>
          <w:tcPr>
            <w:tcW w:w="1021" w:type="dxa"/>
            <w:tcBorders>
              <w:top w:val="nil"/>
              <w:left w:val="nil"/>
              <w:bottom w:val="single" w:sz="4" w:space="0" w:color="auto"/>
              <w:right w:val="single" w:sz="4" w:space="0" w:color="auto"/>
            </w:tcBorders>
            <w:shd w:val="clear" w:color="auto" w:fill="C6EFCE"/>
            <w:noWrap/>
            <w:vAlign w:val="center"/>
          </w:tcPr>
          <w:p w14:paraId="51408A76" w14:textId="77777777" w:rsidR="00702291" w:rsidRDefault="00712B31">
            <w:pPr>
              <w:pStyle w:val="P68B1DB1-Normal32"/>
              <w:spacing w:after="120" w:line="240" w:lineRule="auto"/>
              <w:rPr>
                <w:rFonts w:eastAsia="Calibri"/>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340CAC6E" w14:textId="1CE07F28" w:rsidR="00702291" w:rsidRDefault="00712B31">
            <w:pPr>
              <w:pStyle w:val="P68B1DB1-Normal32"/>
              <w:spacing w:after="120" w:line="240" w:lineRule="auto"/>
              <w:rPr>
                <w:rFonts w:eastAsia="Calibri"/>
                <w:noProof/>
              </w:rPr>
            </w:pPr>
            <w:r>
              <w:rPr>
                <w:noProof/>
              </w:rPr>
              <w:t>Adoptarea actului (actelor) juridic (e)</w:t>
            </w:r>
          </w:p>
          <w:p w14:paraId="653FD073" w14:textId="77777777" w:rsidR="00702291" w:rsidRDefault="00702291">
            <w:pPr>
              <w:spacing w:after="120" w:line="240" w:lineRule="auto"/>
              <w:rPr>
                <w:rFonts w:ascii="Times New Roman" w:eastAsia="Times New Roman" w:hAnsi="Times New Roman" w:cs="Times New Roman"/>
                <w:noProof/>
                <w:sz w:val="18"/>
                <w:szCs w:val="18"/>
              </w:rPr>
            </w:pPr>
          </w:p>
        </w:tc>
        <w:tc>
          <w:tcPr>
            <w:tcW w:w="1701" w:type="dxa"/>
            <w:tcBorders>
              <w:top w:val="nil"/>
              <w:left w:val="nil"/>
              <w:bottom w:val="single" w:sz="4" w:space="0" w:color="auto"/>
              <w:right w:val="single" w:sz="4" w:space="0" w:color="auto"/>
            </w:tcBorders>
            <w:shd w:val="clear" w:color="auto" w:fill="C6EFCE"/>
            <w:noWrap/>
            <w:vAlign w:val="center"/>
          </w:tcPr>
          <w:p w14:paraId="5C2CB979" w14:textId="5A5E399D" w:rsidR="00702291" w:rsidRDefault="00712B31">
            <w:pPr>
              <w:pStyle w:val="P68B1DB1-Normal49"/>
              <w:spacing w:after="120" w:line="240" w:lineRule="auto"/>
              <w:rPr>
                <w:noProof/>
              </w:rPr>
            </w:pPr>
            <w:r>
              <w:rPr>
                <w:noProof/>
              </w:rPr>
              <w:t>Publicarea în Jurnalul Oficial</w:t>
            </w:r>
          </w:p>
        </w:tc>
        <w:tc>
          <w:tcPr>
            <w:tcW w:w="1134" w:type="dxa"/>
            <w:tcBorders>
              <w:top w:val="nil"/>
              <w:left w:val="nil"/>
              <w:bottom w:val="single" w:sz="4" w:space="0" w:color="auto"/>
              <w:right w:val="single" w:sz="4" w:space="0" w:color="auto"/>
            </w:tcBorders>
            <w:shd w:val="clear" w:color="auto" w:fill="C6EFCE"/>
            <w:noWrap/>
            <w:vAlign w:val="center"/>
          </w:tcPr>
          <w:p w14:paraId="3AD42DCD" w14:textId="77777777" w:rsidR="00702291" w:rsidRDefault="00702291">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78EDD8F3" w14:textId="77777777" w:rsidR="00702291" w:rsidRDefault="00702291">
            <w:pPr>
              <w:spacing w:after="120" w:line="240" w:lineRule="auto"/>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7A8ED6B"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6A9078D" w14:textId="3BCE50B5" w:rsidR="00702291" w:rsidRDefault="00F233DB">
            <w:pPr>
              <w:pStyle w:val="P68B1DB1-Normal20"/>
              <w:spacing w:after="120" w:line="240" w:lineRule="auto"/>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1D93725C" w14:textId="39DA21B4" w:rsidR="00702291" w:rsidRDefault="00712B31">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3C96E77F" w14:textId="279AE3D1" w:rsidR="00702291" w:rsidRDefault="00712B31">
            <w:pPr>
              <w:pStyle w:val="P68B1DB1-Normal32"/>
              <w:spacing w:after="120" w:line="240" w:lineRule="auto"/>
              <w:rPr>
                <w:noProof/>
              </w:rPr>
            </w:pPr>
            <w:r>
              <w:rPr>
                <w:noProof/>
              </w:rPr>
              <w:t>Adoptarea și publicarea în Jurnalul Oficial a actului (actelor) juridic (e) care:</w:t>
            </w:r>
          </w:p>
          <w:p w14:paraId="043BD632" w14:textId="77777777" w:rsidR="00702291" w:rsidRDefault="00712B31">
            <w:pPr>
              <w:pStyle w:val="P68B1DB1-ListParagraph43"/>
              <w:numPr>
                <w:ilvl w:val="0"/>
                <w:numId w:val="135"/>
              </w:numPr>
              <w:spacing w:after="120" w:line="240" w:lineRule="auto"/>
              <w:ind w:left="226" w:hanging="226"/>
              <w:contextualSpacing w:val="0"/>
              <w:rPr>
                <w:noProof/>
              </w:rPr>
            </w:pPr>
            <w:r>
              <w:rPr>
                <w:noProof/>
              </w:rPr>
              <w:t>Să permită utilizatorilor activi să încheie contracte cu agregatorii pentru a-și pune la dispoziție energia electrică autoprodusă;</w:t>
            </w:r>
          </w:p>
          <w:p w14:paraId="0694F497" w14:textId="0541CFBC" w:rsidR="00702291" w:rsidRDefault="00712B31">
            <w:pPr>
              <w:pStyle w:val="P68B1DB1-ListParagraph43"/>
              <w:numPr>
                <w:ilvl w:val="0"/>
                <w:numId w:val="135"/>
              </w:numPr>
              <w:spacing w:after="120" w:line="240" w:lineRule="auto"/>
              <w:ind w:left="226" w:hanging="226"/>
              <w:contextualSpacing w:val="0"/>
              <w:rPr>
                <w:noProof/>
              </w:rPr>
            </w:pPr>
            <w:r>
              <w:rPr>
                <w:noProof/>
              </w:rPr>
              <w:t>definirea modelului utilizat pentru a determina normele de compensare și responsabilitatea pentru dezechilibre a serviciilor de echilibrare ale agregatorilor.</w:t>
            </w:r>
          </w:p>
        </w:tc>
      </w:tr>
      <w:tr w:rsidR="00702291" w14:paraId="269C7595"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334156C" w14:textId="443BBEFB" w:rsidR="00702291" w:rsidRDefault="00712B31">
            <w:pPr>
              <w:pStyle w:val="P68B1DB1-Normal32"/>
              <w:spacing w:after="120" w:line="240" w:lineRule="auto"/>
              <w:rPr>
                <w:rFonts w:eastAsia="Calibri"/>
                <w:noProof/>
              </w:rPr>
            </w:pPr>
            <w:r>
              <w:rPr>
                <w:noProof/>
              </w:rPr>
              <w:t>107</w:t>
            </w:r>
          </w:p>
        </w:tc>
        <w:tc>
          <w:tcPr>
            <w:tcW w:w="1712" w:type="dxa"/>
            <w:tcBorders>
              <w:top w:val="nil"/>
              <w:left w:val="nil"/>
              <w:bottom w:val="single" w:sz="4" w:space="0" w:color="auto"/>
              <w:right w:val="single" w:sz="4" w:space="0" w:color="auto"/>
            </w:tcBorders>
            <w:shd w:val="clear" w:color="auto" w:fill="C6EFCE"/>
            <w:noWrap/>
            <w:vAlign w:val="center"/>
          </w:tcPr>
          <w:p w14:paraId="6026B72F" w14:textId="46531EE0" w:rsidR="00702291" w:rsidRDefault="00712B31">
            <w:pPr>
              <w:pStyle w:val="P68B1DB1-Normal32"/>
              <w:spacing w:after="120" w:line="240" w:lineRule="auto"/>
              <w:rPr>
                <w:rFonts w:eastAsia="MS Mincho"/>
                <w:noProof/>
              </w:rPr>
            </w:pPr>
            <w:r>
              <w:rPr>
                <w:noProof/>
              </w:rPr>
              <w:t>C9.R4: Utilizarea pe scară mai largă a prețurilor dinamice în contractele de achiziție de energie electrică</w:t>
            </w:r>
          </w:p>
          <w:p w14:paraId="484E75F1" w14:textId="77777777" w:rsidR="00702291" w:rsidRDefault="00702291">
            <w:pPr>
              <w:spacing w:after="120" w:line="240" w:lineRule="auto"/>
              <w:rPr>
                <w:rFonts w:ascii="Times New Roman" w:eastAsia="Calibr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050F7FA9" w14:textId="77777777" w:rsidR="00702291" w:rsidRDefault="00712B31">
            <w:pPr>
              <w:pStyle w:val="P68B1DB1-Normal32"/>
              <w:spacing w:after="120" w:line="240" w:lineRule="auto"/>
              <w:rPr>
                <w:rFonts w:eastAsia="Calibri"/>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3EA13975" w14:textId="77777777" w:rsidR="00702291" w:rsidRDefault="00712B31">
            <w:pPr>
              <w:pStyle w:val="P68B1DB1-Normal32"/>
              <w:spacing w:after="120" w:line="240" w:lineRule="auto"/>
              <w:rPr>
                <w:rFonts w:eastAsia="Times New Roman"/>
                <w:noProof/>
              </w:rPr>
            </w:pPr>
            <w:r>
              <w:rPr>
                <w:noProof/>
              </w:rPr>
              <w:t>Intrarea în vigoare a actului (actelor) juridic (e)</w:t>
            </w:r>
          </w:p>
        </w:tc>
        <w:tc>
          <w:tcPr>
            <w:tcW w:w="1701" w:type="dxa"/>
            <w:tcBorders>
              <w:top w:val="nil"/>
              <w:left w:val="nil"/>
              <w:bottom w:val="single" w:sz="4" w:space="0" w:color="auto"/>
              <w:right w:val="single" w:sz="4" w:space="0" w:color="auto"/>
            </w:tcBorders>
            <w:shd w:val="clear" w:color="auto" w:fill="C6EFCE"/>
            <w:noWrap/>
            <w:vAlign w:val="center"/>
          </w:tcPr>
          <w:p w14:paraId="4A2606C9" w14:textId="77777777" w:rsidR="00702291" w:rsidRDefault="00712B31">
            <w:pPr>
              <w:pStyle w:val="P68B1DB1-Normal32"/>
              <w:spacing w:after="120" w:line="240" w:lineRule="auto"/>
              <w:rPr>
                <w:rFonts w:eastAsia="Calibri"/>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2FDF1939" w14:textId="77777777" w:rsidR="00702291" w:rsidRDefault="00702291">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1CD76F22" w14:textId="77777777" w:rsidR="00702291" w:rsidRDefault="00702291">
            <w:pPr>
              <w:spacing w:after="120" w:line="240" w:lineRule="auto"/>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0FCF3383"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AF7D8FF" w14:textId="5F77C932" w:rsidR="00702291" w:rsidRDefault="00F233DB">
            <w:pPr>
              <w:pStyle w:val="P68B1DB1-Normal20"/>
              <w:spacing w:after="120" w:line="240" w:lineRule="auto"/>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314C6F27" w14:textId="31400BBE" w:rsidR="00702291" w:rsidRDefault="00712B31">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5C50EDB4" w14:textId="77777777" w:rsidR="00702291" w:rsidRDefault="00712B31">
            <w:pPr>
              <w:pStyle w:val="P68B1DB1-Normal32"/>
              <w:spacing w:after="120" w:line="240" w:lineRule="auto"/>
              <w:rPr>
                <w:noProof/>
              </w:rPr>
            </w:pPr>
            <w:r>
              <w:rPr>
                <w:noProof/>
              </w:rPr>
              <w:t>Intrarea în vigoare a actului (actelor) juridic (e) care:</w:t>
            </w:r>
          </w:p>
          <w:p w14:paraId="27BBF79F" w14:textId="1F4E11F0" w:rsidR="00702291" w:rsidRDefault="00712B31">
            <w:pPr>
              <w:pStyle w:val="P68B1DB1-ListParagraph43"/>
              <w:numPr>
                <w:ilvl w:val="0"/>
                <w:numId w:val="133"/>
              </w:numPr>
              <w:spacing w:after="120" w:line="240" w:lineRule="auto"/>
              <w:ind w:left="220" w:hanging="220"/>
              <w:contextualSpacing w:val="0"/>
              <w:rPr>
                <w:noProof/>
              </w:rPr>
            </w:pPr>
            <w:r>
              <w:rPr>
                <w:noProof/>
              </w:rPr>
              <w:t>să permită consumatorilor rezidențiali și microîntreprinderilor să încheie contracte voluntare de achiziție de energie electrică cu prețuri dinamice;</w:t>
            </w:r>
          </w:p>
          <w:p w14:paraId="71175172" w14:textId="77777777" w:rsidR="00702291" w:rsidRDefault="00712B31">
            <w:pPr>
              <w:pStyle w:val="P68B1DB1-ListParagraph43"/>
              <w:numPr>
                <w:ilvl w:val="0"/>
                <w:numId w:val="133"/>
              </w:numPr>
              <w:spacing w:after="120" w:line="240" w:lineRule="auto"/>
              <w:ind w:left="220" w:hanging="220"/>
              <w:contextualSpacing w:val="0"/>
              <w:rPr>
                <w:rFonts w:eastAsia="Times New Roman"/>
                <w:noProof/>
              </w:rPr>
            </w:pPr>
            <w:r>
              <w:rPr>
                <w:noProof/>
              </w:rPr>
              <w:t>să permită consumatorilor rezidențiali și microîntreprinderilor care au optat pentru contracte cu prețuri dinamice să revină la sistemul de serviciu universal.</w:t>
            </w:r>
          </w:p>
        </w:tc>
      </w:tr>
      <w:tr w:rsidR="00702291" w14:paraId="1D1CB527"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B578FA6" w14:textId="6A1E6224" w:rsidR="00702291" w:rsidRDefault="00712B31">
            <w:pPr>
              <w:pStyle w:val="P68B1DB1-Normal32"/>
              <w:spacing w:after="120" w:line="240" w:lineRule="auto"/>
              <w:rPr>
                <w:rFonts w:eastAsia="Calibri"/>
                <w:noProof/>
              </w:rPr>
            </w:pPr>
            <w:r>
              <w:rPr>
                <w:noProof/>
              </w:rPr>
              <w:t>108</w:t>
            </w:r>
          </w:p>
        </w:tc>
        <w:tc>
          <w:tcPr>
            <w:tcW w:w="1712" w:type="dxa"/>
            <w:tcBorders>
              <w:top w:val="nil"/>
              <w:left w:val="nil"/>
              <w:bottom w:val="single" w:sz="4" w:space="0" w:color="auto"/>
              <w:right w:val="single" w:sz="4" w:space="0" w:color="auto"/>
            </w:tcBorders>
            <w:shd w:val="clear" w:color="auto" w:fill="C6EFCE"/>
            <w:noWrap/>
            <w:vAlign w:val="center"/>
          </w:tcPr>
          <w:p w14:paraId="492EA7D3" w14:textId="1B1E78CF" w:rsidR="00702291" w:rsidRDefault="00712B31">
            <w:pPr>
              <w:pStyle w:val="P68B1DB1-Normal32"/>
              <w:spacing w:after="120" w:line="240" w:lineRule="auto"/>
              <w:rPr>
                <w:rFonts w:eastAsia="Times New Roman"/>
                <w:noProof/>
              </w:rPr>
            </w:pPr>
            <w:r>
              <w:rPr>
                <w:noProof/>
              </w:rPr>
              <w:t>C9.R5: Deschiderea piețelor rezervelor minime obligatorii pentru a încuraja concurența</w:t>
            </w:r>
          </w:p>
        </w:tc>
        <w:tc>
          <w:tcPr>
            <w:tcW w:w="1021" w:type="dxa"/>
            <w:tcBorders>
              <w:top w:val="nil"/>
              <w:left w:val="nil"/>
              <w:bottom w:val="single" w:sz="4" w:space="0" w:color="auto"/>
              <w:right w:val="single" w:sz="4" w:space="0" w:color="auto"/>
            </w:tcBorders>
            <w:shd w:val="clear" w:color="auto" w:fill="C6EFCE"/>
            <w:noWrap/>
            <w:vAlign w:val="center"/>
          </w:tcPr>
          <w:p w14:paraId="1DE91F4C" w14:textId="77777777" w:rsidR="00702291" w:rsidRDefault="00712B31">
            <w:pPr>
              <w:pStyle w:val="P68B1DB1-Normal32"/>
              <w:spacing w:after="120" w:line="240" w:lineRule="auto"/>
              <w:rPr>
                <w:rFonts w:eastAsia="Calibri"/>
                <w:noProof/>
              </w:rPr>
            </w:pPr>
            <w:r>
              <w:rPr>
                <w:noProof/>
              </w:rPr>
              <w:t xml:space="preserve">Etapă </w:t>
            </w:r>
          </w:p>
        </w:tc>
        <w:tc>
          <w:tcPr>
            <w:tcW w:w="1559" w:type="dxa"/>
            <w:tcBorders>
              <w:top w:val="nil"/>
              <w:left w:val="nil"/>
              <w:bottom w:val="single" w:sz="4" w:space="0" w:color="auto"/>
              <w:right w:val="single" w:sz="4" w:space="0" w:color="auto"/>
            </w:tcBorders>
            <w:shd w:val="clear" w:color="auto" w:fill="C6EFCE"/>
            <w:noWrap/>
            <w:vAlign w:val="center"/>
          </w:tcPr>
          <w:p w14:paraId="136271B1" w14:textId="010F3BD6" w:rsidR="00702291" w:rsidRDefault="00712B31">
            <w:pPr>
              <w:pStyle w:val="P68B1DB1-Normal32"/>
              <w:spacing w:after="120" w:line="240" w:lineRule="auto"/>
              <w:rPr>
                <w:rFonts w:eastAsia="Calibri"/>
                <w:noProof/>
              </w:rPr>
            </w:pPr>
            <w:r>
              <w:rPr>
                <w:noProof/>
              </w:rPr>
              <w:t>Intrarea în vigoare a deciziei MEKH de aprobare a codului de rețea modificat</w:t>
            </w:r>
          </w:p>
        </w:tc>
        <w:tc>
          <w:tcPr>
            <w:tcW w:w="1701" w:type="dxa"/>
            <w:tcBorders>
              <w:top w:val="nil"/>
              <w:left w:val="nil"/>
              <w:bottom w:val="single" w:sz="4" w:space="0" w:color="auto"/>
              <w:right w:val="single" w:sz="4" w:space="0" w:color="auto"/>
            </w:tcBorders>
            <w:shd w:val="clear" w:color="auto" w:fill="C6EFCE"/>
            <w:noWrap/>
            <w:vAlign w:val="center"/>
          </w:tcPr>
          <w:p w14:paraId="42B046ED" w14:textId="3A51608A" w:rsidR="00702291" w:rsidRDefault="00712B31">
            <w:pPr>
              <w:pStyle w:val="P68B1DB1-Normal32"/>
              <w:spacing w:after="120" w:line="240" w:lineRule="auto"/>
              <w:rPr>
                <w:rFonts w:eastAsia="Calibri"/>
                <w:noProof/>
              </w:rPr>
            </w:pPr>
            <w:r>
              <w:rPr>
                <w:noProof/>
              </w:rPr>
              <w:t>Dispoziție din decizia MEKH care indică intrarea în vigoare a codului de rețea modificat</w:t>
            </w:r>
          </w:p>
        </w:tc>
        <w:tc>
          <w:tcPr>
            <w:tcW w:w="1134" w:type="dxa"/>
            <w:tcBorders>
              <w:top w:val="nil"/>
              <w:left w:val="nil"/>
              <w:bottom w:val="single" w:sz="4" w:space="0" w:color="auto"/>
              <w:right w:val="single" w:sz="4" w:space="0" w:color="auto"/>
            </w:tcBorders>
            <w:shd w:val="clear" w:color="auto" w:fill="C6EFCE"/>
            <w:noWrap/>
            <w:vAlign w:val="center"/>
          </w:tcPr>
          <w:p w14:paraId="7F9DD1B4" w14:textId="77777777" w:rsidR="00702291" w:rsidRDefault="00702291">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6482DDE6" w14:textId="77777777" w:rsidR="00702291" w:rsidRDefault="00702291">
            <w:pPr>
              <w:spacing w:after="120" w:line="240" w:lineRule="auto"/>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0B87B5F9"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05CB6C5" w14:textId="56930BC0" w:rsidR="00702291" w:rsidRDefault="00F233DB">
            <w:pPr>
              <w:pStyle w:val="P68B1DB1-Normal20"/>
              <w:spacing w:after="120" w:line="240" w:lineRule="auto"/>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2FDC8EF1" w14:textId="6EE684D9" w:rsidR="00702291" w:rsidRDefault="00712B31">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3B647244" w14:textId="1C837D62" w:rsidR="00702291" w:rsidRDefault="00712B31">
            <w:pPr>
              <w:pStyle w:val="P68B1DB1-Normal32"/>
              <w:spacing w:after="120" w:line="240" w:lineRule="auto"/>
              <w:rPr>
                <w:noProof/>
              </w:rPr>
            </w:pPr>
            <w:r>
              <w:rPr>
                <w:noProof/>
              </w:rPr>
              <w:t>Intrarea în vigoare a deciziei MEKH de aprobare a codului de rețea modificat. Codul de rețea:</w:t>
            </w:r>
          </w:p>
          <w:p w14:paraId="178075D2" w14:textId="7B6DD883" w:rsidR="00702291" w:rsidRDefault="00712B31">
            <w:pPr>
              <w:pStyle w:val="P68B1DB1-ListParagraph43"/>
              <w:numPr>
                <w:ilvl w:val="0"/>
                <w:numId w:val="134"/>
              </w:numPr>
              <w:spacing w:after="120" w:line="240" w:lineRule="auto"/>
              <w:ind w:left="224" w:hanging="224"/>
              <w:contextualSpacing w:val="0"/>
              <w:rPr>
                <w:rFonts w:eastAsia="Calibri"/>
                <w:noProof/>
              </w:rPr>
            </w:pPr>
            <w:r>
              <w:rPr>
                <w:noProof/>
              </w:rPr>
              <w:t>Să stabilească un prag de cel puțin 1 MW pentru licitarea pe piața de echilibrare;</w:t>
            </w:r>
          </w:p>
          <w:p w14:paraId="3634A7F8" w14:textId="40181778" w:rsidR="00702291" w:rsidRDefault="00712B31">
            <w:pPr>
              <w:pStyle w:val="P68B1DB1-ListParagraph43"/>
              <w:numPr>
                <w:ilvl w:val="0"/>
                <w:numId w:val="134"/>
              </w:numPr>
              <w:spacing w:after="120" w:line="240" w:lineRule="auto"/>
              <w:ind w:left="224" w:hanging="224"/>
              <w:contextualSpacing w:val="0"/>
              <w:rPr>
                <w:rFonts w:eastAsia="Calibri"/>
                <w:noProof/>
              </w:rPr>
            </w:pPr>
            <w:r>
              <w:rPr>
                <w:noProof/>
              </w:rPr>
              <w:t>Să elimine barierele din calea integrării producătorilor dependenți de condițiile meteorologice și a instalațiilor de stocare a energiei electrice pe piața capacității de echilibrare și pe piața energiei de echilibrare.</w:t>
            </w:r>
          </w:p>
        </w:tc>
      </w:tr>
      <w:tr w:rsidR="00702291" w14:paraId="69DB622E"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15E6DC2" w14:textId="1CC77E7F" w:rsidR="00702291" w:rsidRDefault="00712B31">
            <w:pPr>
              <w:pStyle w:val="P68B1DB1-Normal32"/>
              <w:spacing w:after="120" w:line="240" w:lineRule="auto"/>
              <w:rPr>
                <w:noProof/>
              </w:rPr>
            </w:pPr>
            <w:r>
              <w:rPr>
                <w:noProof/>
              </w:rPr>
              <w:t>109</w:t>
            </w:r>
          </w:p>
        </w:tc>
        <w:tc>
          <w:tcPr>
            <w:tcW w:w="1712" w:type="dxa"/>
            <w:tcBorders>
              <w:top w:val="nil"/>
              <w:left w:val="nil"/>
              <w:bottom w:val="single" w:sz="4" w:space="0" w:color="auto"/>
              <w:right w:val="single" w:sz="4" w:space="0" w:color="auto"/>
            </w:tcBorders>
            <w:shd w:val="clear" w:color="auto" w:fill="C6EFCE"/>
            <w:noWrap/>
            <w:vAlign w:val="center"/>
          </w:tcPr>
          <w:p w14:paraId="4EA5AE73" w14:textId="67515B7A" w:rsidR="00702291" w:rsidRDefault="00712B31">
            <w:pPr>
              <w:pStyle w:val="P68B1DB1-Normal32"/>
              <w:spacing w:after="120" w:line="240" w:lineRule="auto"/>
              <w:rPr>
                <w:noProof/>
              </w:rPr>
            </w:pPr>
            <w:r>
              <w:rPr>
                <w:noProof/>
              </w:rPr>
              <w:t>C9.R6: Extinderea comunităților energetice</w:t>
            </w:r>
          </w:p>
        </w:tc>
        <w:tc>
          <w:tcPr>
            <w:tcW w:w="1021" w:type="dxa"/>
            <w:tcBorders>
              <w:top w:val="nil"/>
              <w:left w:val="nil"/>
              <w:bottom w:val="single" w:sz="4" w:space="0" w:color="auto"/>
              <w:right w:val="single" w:sz="4" w:space="0" w:color="auto"/>
            </w:tcBorders>
            <w:shd w:val="clear" w:color="auto" w:fill="C6EFCE"/>
            <w:noWrap/>
            <w:vAlign w:val="center"/>
          </w:tcPr>
          <w:p w14:paraId="45225F19" w14:textId="77777777" w:rsidR="00702291" w:rsidRDefault="00712B31">
            <w:pPr>
              <w:pStyle w:val="P68B1DB1-Normal32"/>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52A71C72" w14:textId="77777777" w:rsidR="00702291" w:rsidRDefault="00712B31">
            <w:pPr>
              <w:pStyle w:val="P68B1DB1-Normal32"/>
              <w:spacing w:after="120" w:line="240" w:lineRule="auto"/>
              <w:rPr>
                <w:noProof/>
              </w:rPr>
            </w:pPr>
            <w:r>
              <w:rPr>
                <w:noProof/>
              </w:rPr>
              <w:t>Intrarea în vigoare a actului (actelor) juridic (e)</w:t>
            </w:r>
          </w:p>
        </w:tc>
        <w:tc>
          <w:tcPr>
            <w:tcW w:w="1701" w:type="dxa"/>
            <w:tcBorders>
              <w:top w:val="nil"/>
              <w:left w:val="nil"/>
              <w:bottom w:val="single" w:sz="4" w:space="0" w:color="auto"/>
              <w:right w:val="single" w:sz="4" w:space="0" w:color="auto"/>
            </w:tcBorders>
            <w:shd w:val="clear" w:color="auto" w:fill="C6EFCE"/>
            <w:noWrap/>
            <w:vAlign w:val="center"/>
          </w:tcPr>
          <w:p w14:paraId="6FFB1D80" w14:textId="77777777" w:rsidR="00702291" w:rsidRDefault="00712B31">
            <w:pPr>
              <w:pStyle w:val="P68B1DB1-Normal32"/>
              <w:spacing w:after="120" w:line="240" w:lineRule="auto"/>
              <w:rPr>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0FA79A69" w14:textId="77777777" w:rsidR="00702291" w:rsidRDefault="00702291">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2BDB58A1" w14:textId="77777777" w:rsidR="00702291" w:rsidRDefault="00702291">
            <w:pPr>
              <w:spacing w:after="120" w:line="240" w:lineRule="auto"/>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18E3F1F5"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BC5F2D5" w14:textId="68A1E828" w:rsidR="00702291" w:rsidRDefault="00F233DB">
            <w:pPr>
              <w:pStyle w:val="P68B1DB1-Normal20"/>
              <w:spacing w:after="120" w:line="240" w:lineRule="auto"/>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7401C35F" w14:textId="4EB9D9A6" w:rsidR="00702291" w:rsidRDefault="00712B31">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02B1063B" w14:textId="77777777" w:rsidR="00702291" w:rsidRDefault="00712B31">
            <w:pPr>
              <w:pStyle w:val="P68B1DB1-Normal32"/>
              <w:spacing w:after="120" w:line="240" w:lineRule="auto"/>
              <w:rPr>
                <w:noProof/>
              </w:rPr>
            </w:pPr>
            <w:r>
              <w:rPr>
                <w:noProof/>
              </w:rPr>
              <w:t>Intrarea în vigoare a actului (actelor) juridic (e) care:</w:t>
            </w:r>
          </w:p>
          <w:p w14:paraId="5C48BC81" w14:textId="1F2135CE" w:rsidR="00702291" w:rsidRDefault="00712B31">
            <w:pPr>
              <w:pStyle w:val="P68B1DB1-ListParagraph43"/>
              <w:numPr>
                <w:ilvl w:val="0"/>
                <w:numId w:val="131"/>
              </w:numPr>
              <w:spacing w:after="120" w:line="240" w:lineRule="auto"/>
              <w:ind w:left="218" w:hanging="218"/>
              <w:contextualSpacing w:val="0"/>
              <w:rPr>
                <w:noProof/>
              </w:rPr>
            </w:pPr>
            <w:r>
              <w:rPr>
                <w:noProof/>
              </w:rPr>
              <w:t>să extindă opțiunile privind formele juridice în care pot fi înființate comunitățile energetice și să stabilească norme care să reglementeze funcționarea acestor entități;</w:t>
            </w:r>
          </w:p>
          <w:p w14:paraId="6D748E1C" w14:textId="4ADF9E6E" w:rsidR="00702291" w:rsidRDefault="00712B31">
            <w:pPr>
              <w:pStyle w:val="P68B1DB1-ListParagraph43"/>
              <w:numPr>
                <w:ilvl w:val="0"/>
                <w:numId w:val="131"/>
              </w:numPr>
              <w:spacing w:after="120" w:line="240" w:lineRule="auto"/>
              <w:ind w:left="218" w:hanging="218"/>
              <w:contextualSpacing w:val="0"/>
              <w:rPr>
                <w:rFonts w:eastAsia="Times New Roman"/>
                <w:noProof/>
              </w:rPr>
            </w:pPr>
            <w:r>
              <w:rPr>
                <w:noProof/>
              </w:rPr>
              <w:t>să extindă serviciile pe care comunitățile energetice le pot furniza membrilor lor;</w:t>
            </w:r>
          </w:p>
          <w:p w14:paraId="2B7CB292" w14:textId="52DF992A" w:rsidR="00702291" w:rsidRDefault="00712B31">
            <w:pPr>
              <w:pStyle w:val="P68B1DB1-ListParagraph43"/>
              <w:numPr>
                <w:ilvl w:val="0"/>
                <w:numId w:val="131"/>
              </w:numPr>
              <w:spacing w:after="120" w:line="240" w:lineRule="auto"/>
              <w:ind w:left="218" w:hanging="218"/>
              <w:contextualSpacing w:val="0"/>
              <w:rPr>
                <w:noProof/>
              </w:rPr>
            </w:pPr>
            <w:r>
              <w:rPr>
                <w:noProof/>
              </w:rPr>
              <w:t xml:space="preserve"> să stabilească norme pentru decontarea și contabilizarea partajării energiei între rezidenții clădirilor cu mai multe apartamente care acționează ca o comunitate energetică rezidențială.</w:t>
            </w:r>
          </w:p>
        </w:tc>
      </w:tr>
      <w:tr w:rsidR="00702291" w14:paraId="4D7605F8"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0526211" w14:textId="12149EAC" w:rsidR="00702291" w:rsidRDefault="00712B31">
            <w:pPr>
              <w:pStyle w:val="P68B1DB1-Normal32"/>
              <w:spacing w:after="120" w:line="240" w:lineRule="auto"/>
              <w:rPr>
                <w:noProof/>
              </w:rPr>
            </w:pPr>
            <w:r>
              <w:rPr>
                <w:noProof/>
              </w:rPr>
              <w:t>110</w:t>
            </w:r>
          </w:p>
        </w:tc>
        <w:tc>
          <w:tcPr>
            <w:tcW w:w="1712" w:type="dxa"/>
            <w:tcBorders>
              <w:top w:val="nil"/>
              <w:left w:val="nil"/>
              <w:bottom w:val="single" w:sz="4" w:space="0" w:color="auto"/>
              <w:right w:val="single" w:sz="4" w:space="0" w:color="auto"/>
            </w:tcBorders>
            <w:shd w:val="clear" w:color="auto" w:fill="C6EFCE"/>
            <w:noWrap/>
            <w:vAlign w:val="center"/>
          </w:tcPr>
          <w:p w14:paraId="1388FA79" w14:textId="2691829C" w:rsidR="00702291" w:rsidRDefault="00712B31">
            <w:pPr>
              <w:pStyle w:val="P68B1DB1-Normal32"/>
              <w:spacing w:after="120" w:line="240" w:lineRule="auto"/>
              <w:rPr>
                <w:noProof/>
              </w:rPr>
            </w:pPr>
            <w:r>
              <w:rPr>
                <w:noProof/>
              </w:rPr>
              <w:t>C9.R7: Stimulente juridice pentru adoptarea stocării energiei</w:t>
            </w:r>
          </w:p>
        </w:tc>
        <w:tc>
          <w:tcPr>
            <w:tcW w:w="1021" w:type="dxa"/>
            <w:tcBorders>
              <w:top w:val="nil"/>
              <w:left w:val="nil"/>
              <w:bottom w:val="single" w:sz="4" w:space="0" w:color="auto"/>
              <w:right w:val="single" w:sz="4" w:space="0" w:color="auto"/>
            </w:tcBorders>
            <w:shd w:val="clear" w:color="auto" w:fill="C6EFCE"/>
            <w:noWrap/>
            <w:vAlign w:val="center"/>
          </w:tcPr>
          <w:p w14:paraId="08FDB4B3" w14:textId="77777777" w:rsidR="00702291" w:rsidRDefault="00712B31">
            <w:pPr>
              <w:pStyle w:val="P68B1DB1-Normal32"/>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0809E81C" w14:textId="77777777" w:rsidR="00702291" w:rsidRDefault="00712B31">
            <w:pPr>
              <w:pStyle w:val="P68B1DB1-Normal32"/>
              <w:spacing w:after="120" w:line="240" w:lineRule="auto"/>
              <w:rPr>
                <w:noProof/>
              </w:rPr>
            </w:pPr>
            <w:r>
              <w:rPr>
                <w:noProof/>
              </w:rPr>
              <w:t>Intrarea în vigoare a actului (actelor) juridic (e)</w:t>
            </w:r>
          </w:p>
        </w:tc>
        <w:tc>
          <w:tcPr>
            <w:tcW w:w="1701" w:type="dxa"/>
            <w:tcBorders>
              <w:top w:val="nil"/>
              <w:left w:val="nil"/>
              <w:bottom w:val="single" w:sz="4" w:space="0" w:color="auto"/>
              <w:right w:val="single" w:sz="4" w:space="0" w:color="auto"/>
            </w:tcBorders>
            <w:shd w:val="clear" w:color="auto" w:fill="C6EFCE"/>
            <w:noWrap/>
            <w:vAlign w:val="center"/>
          </w:tcPr>
          <w:p w14:paraId="7F1A2CAC" w14:textId="77777777" w:rsidR="00702291" w:rsidRDefault="00712B31">
            <w:pPr>
              <w:pStyle w:val="P68B1DB1-Normal32"/>
              <w:spacing w:after="120" w:line="240" w:lineRule="auto"/>
              <w:rPr>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2A30ACA9" w14:textId="77777777" w:rsidR="00702291" w:rsidRDefault="00702291">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285C91B5" w14:textId="77777777" w:rsidR="00702291" w:rsidRDefault="00702291">
            <w:pPr>
              <w:spacing w:after="120" w:line="240" w:lineRule="auto"/>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024E9D15"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CECD751" w14:textId="09167863" w:rsidR="00702291" w:rsidRDefault="00F233DB">
            <w:pPr>
              <w:pStyle w:val="P68B1DB1-Normal20"/>
              <w:spacing w:after="120" w:line="240" w:lineRule="auto"/>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450D0A1B" w14:textId="11C1A39F" w:rsidR="00702291" w:rsidRDefault="00712B31">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204989D3" w14:textId="77777777" w:rsidR="00702291" w:rsidRDefault="00712B31">
            <w:pPr>
              <w:pStyle w:val="P68B1DB1-Normal32"/>
              <w:spacing w:after="120" w:line="240" w:lineRule="auto"/>
              <w:rPr>
                <w:noProof/>
              </w:rPr>
            </w:pPr>
            <w:r>
              <w:rPr>
                <w:noProof/>
              </w:rPr>
              <w:t>Intrarea în vigoare a actului (actelor) juridic (e) care:</w:t>
            </w:r>
          </w:p>
          <w:p w14:paraId="69899B09" w14:textId="1D1B84AC" w:rsidR="00702291" w:rsidRDefault="00712B31">
            <w:pPr>
              <w:pStyle w:val="P68B1DB1-ListParagraph43"/>
              <w:numPr>
                <w:ilvl w:val="0"/>
                <w:numId w:val="132"/>
              </w:numPr>
              <w:spacing w:after="120" w:line="240" w:lineRule="auto"/>
              <w:ind w:left="218" w:hanging="218"/>
              <w:contextualSpacing w:val="0"/>
              <w:rPr>
                <w:noProof/>
              </w:rPr>
            </w:pPr>
            <w:r>
              <w:rPr>
                <w:noProof/>
              </w:rPr>
              <w:t xml:space="preserve">să permită amplasarea în același loc a instalațiilor de stocare și a generatoarelor dependente de condițiile meteorologice (eoliene și solare); </w:t>
            </w:r>
          </w:p>
          <w:p w14:paraId="29E83CEC" w14:textId="6D00D233" w:rsidR="00702291" w:rsidRDefault="00712B31">
            <w:pPr>
              <w:pStyle w:val="P68B1DB1-ListParagraph43"/>
              <w:numPr>
                <w:ilvl w:val="0"/>
                <w:numId w:val="132"/>
              </w:numPr>
              <w:spacing w:after="120" w:line="240" w:lineRule="auto"/>
              <w:ind w:left="218" w:hanging="218"/>
              <w:contextualSpacing w:val="0"/>
              <w:rPr>
                <w:noProof/>
              </w:rPr>
            </w:pPr>
            <w:r>
              <w:rPr>
                <w:noProof/>
              </w:rPr>
              <w:t>asigurarea controlabilității de la distanță a instalațiilor de stocare cu o capacitate mai mare de 0,2 MW.</w:t>
            </w:r>
          </w:p>
        </w:tc>
      </w:tr>
      <w:tr w:rsidR="00702291" w14:paraId="5F6701D8"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3CFEBF0" w14:textId="7DE5F048" w:rsidR="00702291" w:rsidRDefault="00712B31">
            <w:pPr>
              <w:pStyle w:val="P68B1DB1-Normal32"/>
              <w:spacing w:after="120" w:line="240" w:lineRule="auto"/>
              <w:rPr>
                <w:noProof/>
              </w:rPr>
            </w:pPr>
            <w:r>
              <w:rPr>
                <w:noProof/>
              </w:rPr>
              <w:t>111</w:t>
            </w:r>
          </w:p>
        </w:tc>
        <w:tc>
          <w:tcPr>
            <w:tcW w:w="1712" w:type="dxa"/>
            <w:tcBorders>
              <w:top w:val="nil"/>
              <w:left w:val="nil"/>
              <w:bottom w:val="single" w:sz="4" w:space="0" w:color="auto"/>
              <w:right w:val="single" w:sz="4" w:space="0" w:color="auto"/>
            </w:tcBorders>
            <w:shd w:val="clear" w:color="auto" w:fill="C6EFCE"/>
            <w:noWrap/>
            <w:vAlign w:val="center"/>
          </w:tcPr>
          <w:p w14:paraId="1A9B1ECC" w14:textId="4E0056B4" w:rsidR="00702291" w:rsidRDefault="00712B31">
            <w:pPr>
              <w:pStyle w:val="P68B1DB1-Normal32"/>
              <w:spacing w:after="120" w:line="240" w:lineRule="auto"/>
              <w:rPr>
                <w:noProof/>
              </w:rPr>
            </w:pPr>
            <w:r>
              <w:rPr>
                <w:noProof/>
              </w:rPr>
              <w:t xml:space="preserve">C10.R8: Modificări ale actului (actelor) juridic (e) care integrează energia geotermală </w:t>
            </w:r>
          </w:p>
        </w:tc>
        <w:tc>
          <w:tcPr>
            <w:tcW w:w="1021" w:type="dxa"/>
            <w:tcBorders>
              <w:top w:val="nil"/>
              <w:left w:val="nil"/>
              <w:bottom w:val="single" w:sz="4" w:space="0" w:color="auto"/>
              <w:right w:val="single" w:sz="4" w:space="0" w:color="auto"/>
            </w:tcBorders>
            <w:shd w:val="clear" w:color="auto" w:fill="C6EFCE"/>
            <w:noWrap/>
            <w:vAlign w:val="center"/>
          </w:tcPr>
          <w:p w14:paraId="4BF92BF6" w14:textId="77777777" w:rsidR="00702291" w:rsidRDefault="00712B31">
            <w:pPr>
              <w:pStyle w:val="P68B1DB1-Normal32"/>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31184A85" w14:textId="77777777" w:rsidR="00702291" w:rsidRDefault="00712B31">
            <w:pPr>
              <w:pStyle w:val="P68B1DB1-Normal32"/>
              <w:spacing w:after="120" w:line="240" w:lineRule="auto"/>
              <w:rPr>
                <w:noProof/>
              </w:rPr>
            </w:pPr>
            <w:r>
              <w:rPr>
                <w:noProof/>
              </w:rPr>
              <w:t xml:space="preserve">Intrarea în vigoare a modificării (modificărilor) actului (actelor) juridic (e) care integrează energia geotermală </w:t>
            </w:r>
          </w:p>
        </w:tc>
        <w:tc>
          <w:tcPr>
            <w:tcW w:w="1701" w:type="dxa"/>
            <w:tcBorders>
              <w:top w:val="nil"/>
              <w:left w:val="nil"/>
              <w:bottom w:val="single" w:sz="4" w:space="0" w:color="auto"/>
              <w:right w:val="single" w:sz="4" w:space="0" w:color="auto"/>
            </w:tcBorders>
            <w:shd w:val="clear" w:color="auto" w:fill="C6EFCE"/>
            <w:noWrap/>
            <w:vAlign w:val="center"/>
          </w:tcPr>
          <w:p w14:paraId="0137D68C" w14:textId="5B3F2987" w:rsidR="00702291" w:rsidRDefault="00712B31">
            <w:pPr>
              <w:pStyle w:val="P68B1DB1-Normal32"/>
              <w:autoSpaceDE w:val="0"/>
              <w:autoSpaceDN w:val="0"/>
              <w:adjustRightInd w:val="0"/>
              <w:spacing w:after="120" w:line="240" w:lineRule="auto"/>
              <w:rPr>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562E7301" w14:textId="77777777" w:rsidR="00702291" w:rsidRDefault="00712B31">
            <w:pPr>
              <w:pStyle w:val="P68B1DB1-Normal32"/>
              <w:spacing w:after="120" w:line="240" w:lineRule="auto"/>
              <w:rPr>
                <w:rFonts w:eastAsia="Calibri"/>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vAlign w:val="center"/>
          </w:tcPr>
          <w:p w14:paraId="4EFEC568" w14:textId="77777777" w:rsidR="00702291" w:rsidRDefault="00712B31">
            <w:pPr>
              <w:pStyle w:val="P68B1DB1-Normal32"/>
              <w:spacing w:after="120" w:line="240" w:lineRule="auto"/>
              <w:rPr>
                <w:rFonts w:eastAsia="Calibri"/>
                <w:noProof/>
              </w:rPr>
            </w:pPr>
            <w:r>
              <w:rPr>
                <w:noProof/>
              </w:rPr>
              <w:t xml:space="preserve"> </w:t>
            </w:r>
          </w:p>
        </w:tc>
        <w:tc>
          <w:tcPr>
            <w:tcW w:w="992" w:type="dxa"/>
            <w:tcBorders>
              <w:top w:val="nil"/>
              <w:left w:val="nil"/>
              <w:bottom w:val="single" w:sz="4" w:space="0" w:color="auto"/>
              <w:right w:val="single" w:sz="4" w:space="0" w:color="auto"/>
            </w:tcBorders>
            <w:shd w:val="clear" w:color="auto" w:fill="C6EFCE"/>
            <w:noWrap/>
            <w:vAlign w:val="center"/>
          </w:tcPr>
          <w:p w14:paraId="1EE7F622" w14:textId="77777777" w:rsidR="00702291" w:rsidRDefault="00712B31">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43DA378A" w14:textId="4D6B69CE" w:rsidR="00702291" w:rsidRDefault="00F233DB">
            <w:pPr>
              <w:pStyle w:val="P68B1DB1-Normal20"/>
              <w:spacing w:after="120" w:line="240" w:lineRule="auto"/>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25918406" w14:textId="731C4D07" w:rsidR="00702291" w:rsidRDefault="00712B31">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5A829A51" w14:textId="41AD8EAF" w:rsidR="00702291" w:rsidRDefault="00712B31">
            <w:pPr>
              <w:pStyle w:val="P68B1DB1-Normal32"/>
              <w:spacing w:after="120" w:line="240" w:lineRule="auto"/>
              <w:rPr>
                <w:noProof/>
              </w:rPr>
            </w:pPr>
            <w:r>
              <w:rPr>
                <w:noProof/>
              </w:rPr>
              <w:t xml:space="preserve">Intrarea în vigoare a modificării (modificărilor) actului (actelor) juridic (e) privind procedurile și condițiile de acordare a autorizațiilor de explorare și exploatare a energiei geotermale. </w:t>
            </w:r>
          </w:p>
        </w:tc>
      </w:tr>
      <w:tr w:rsidR="00702291" w14:paraId="2DFD75E5"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3DA09C7" w14:textId="262C907B" w:rsidR="00702291" w:rsidRDefault="00712B31">
            <w:pPr>
              <w:pStyle w:val="P68B1DB1-Normal27"/>
              <w:spacing w:after="120" w:line="240" w:lineRule="auto"/>
              <w:rPr>
                <w:noProof/>
              </w:rPr>
            </w:pPr>
            <w:r>
              <w:rPr>
                <w:noProof/>
              </w:rPr>
              <w:t>112</w:t>
            </w:r>
          </w:p>
        </w:tc>
        <w:tc>
          <w:tcPr>
            <w:tcW w:w="1712" w:type="dxa"/>
            <w:tcBorders>
              <w:top w:val="nil"/>
              <w:left w:val="nil"/>
              <w:bottom w:val="single" w:sz="4" w:space="0" w:color="auto"/>
              <w:right w:val="single" w:sz="4" w:space="0" w:color="auto"/>
            </w:tcBorders>
            <w:shd w:val="clear" w:color="auto" w:fill="C6EFCE"/>
            <w:noWrap/>
            <w:vAlign w:val="center"/>
          </w:tcPr>
          <w:p w14:paraId="1EB5F3C2" w14:textId="72ABBF90" w:rsidR="00702291" w:rsidRDefault="00712B31">
            <w:pPr>
              <w:pStyle w:val="P68B1DB1-Normal32"/>
              <w:spacing w:after="120" w:line="240" w:lineRule="auto"/>
              <w:rPr>
                <w:noProof/>
              </w:rPr>
            </w:pPr>
            <w:r>
              <w:rPr>
                <w:noProof/>
              </w:rPr>
              <w:t>C9.I1. Măsură extinsă: Schemă de granturi pentru dezvoltarea rețelei de energie electrică</w:t>
            </w:r>
          </w:p>
        </w:tc>
        <w:tc>
          <w:tcPr>
            <w:tcW w:w="1021" w:type="dxa"/>
            <w:tcBorders>
              <w:top w:val="nil"/>
              <w:left w:val="nil"/>
              <w:bottom w:val="single" w:sz="4" w:space="0" w:color="auto"/>
              <w:right w:val="single" w:sz="4" w:space="0" w:color="auto"/>
            </w:tcBorders>
            <w:shd w:val="clear" w:color="auto" w:fill="C6EFCE"/>
            <w:noWrap/>
            <w:vAlign w:val="center"/>
          </w:tcPr>
          <w:p w14:paraId="4555127F" w14:textId="3041757F" w:rsidR="00702291" w:rsidRDefault="00712B31">
            <w:pPr>
              <w:pStyle w:val="P68B1DB1-Normal27"/>
              <w:spacing w:after="120" w:line="240" w:lineRule="auto"/>
              <w:rPr>
                <w:noProof/>
              </w:rPr>
            </w:pPr>
            <w:r>
              <w:rPr>
                <w:noProof/>
              </w:rPr>
              <w:t>Țintă</w:t>
            </w:r>
          </w:p>
        </w:tc>
        <w:tc>
          <w:tcPr>
            <w:tcW w:w="1559" w:type="dxa"/>
            <w:tcBorders>
              <w:top w:val="nil"/>
              <w:left w:val="nil"/>
              <w:bottom w:val="single" w:sz="4" w:space="0" w:color="auto"/>
              <w:right w:val="single" w:sz="4" w:space="0" w:color="auto"/>
            </w:tcBorders>
            <w:shd w:val="clear" w:color="auto" w:fill="C6EFCE"/>
            <w:noWrap/>
            <w:vAlign w:val="center"/>
          </w:tcPr>
          <w:p w14:paraId="6BB374BD" w14:textId="77777777" w:rsidR="00702291" w:rsidRDefault="00712B31">
            <w:pPr>
              <w:pStyle w:val="P68B1DB1-Normal27"/>
              <w:spacing w:after="120" w:line="240" w:lineRule="auto"/>
              <w:rPr>
                <w:noProof/>
              </w:rPr>
            </w:pPr>
            <w:r>
              <w:rPr>
                <w:noProof/>
              </w:rPr>
              <w:t>Acorduri juridice semnate cu beneficiarii finali</w:t>
            </w:r>
          </w:p>
        </w:tc>
        <w:tc>
          <w:tcPr>
            <w:tcW w:w="1701" w:type="dxa"/>
            <w:tcBorders>
              <w:top w:val="nil"/>
              <w:left w:val="nil"/>
              <w:bottom w:val="single" w:sz="4" w:space="0" w:color="auto"/>
              <w:right w:val="single" w:sz="4" w:space="0" w:color="auto"/>
            </w:tcBorders>
            <w:shd w:val="clear" w:color="auto" w:fill="C6EFCE"/>
            <w:noWrap/>
            <w:vAlign w:val="center"/>
          </w:tcPr>
          <w:p w14:paraId="5E92785C" w14:textId="77777777" w:rsidR="00702291" w:rsidRDefault="00702291">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4204B72" w14:textId="77777777" w:rsidR="00702291" w:rsidRDefault="00712B31">
            <w:pPr>
              <w:pStyle w:val="P68B1DB1-Normal27"/>
              <w:spacing w:after="120" w:line="240" w:lineRule="auto"/>
              <w:rPr>
                <w:noProof/>
              </w:rPr>
            </w:pPr>
            <w:r>
              <w:rPr>
                <w:noProof/>
              </w:rPr>
              <w:t>Procentul (%)</w:t>
            </w:r>
          </w:p>
        </w:tc>
        <w:tc>
          <w:tcPr>
            <w:tcW w:w="1276" w:type="dxa"/>
            <w:tcBorders>
              <w:top w:val="nil"/>
              <w:left w:val="nil"/>
              <w:bottom w:val="single" w:sz="4" w:space="0" w:color="auto"/>
              <w:right w:val="single" w:sz="4" w:space="0" w:color="auto"/>
            </w:tcBorders>
            <w:shd w:val="clear" w:color="auto" w:fill="C6EFCE"/>
            <w:noWrap/>
            <w:vAlign w:val="center"/>
          </w:tcPr>
          <w:p w14:paraId="55FB2F14" w14:textId="77777777" w:rsidR="00702291" w:rsidRDefault="00712B31">
            <w:pPr>
              <w:pStyle w:val="P68B1DB1-Normal27"/>
              <w:spacing w:after="120" w:line="240" w:lineRule="auto"/>
              <w:rPr>
                <w:noProof/>
              </w:rPr>
            </w:pPr>
            <w:r>
              <w:rPr>
                <w:noProof/>
              </w:rPr>
              <w:t>0</w:t>
            </w:r>
          </w:p>
        </w:tc>
        <w:tc>
          <w:tcPr>
            <w:tcW w:w="992" w:type="dxa"/>
            <w:tcBorders>
              <w:top w:val="nil"/>
              <w:left w:val="nil"/>
              <w:bottom w:val="single" w:sz="4" w:space="0" w:color="auto"/>
              <w:right w:val="single" w:sz="4" w:space="0" w:color="auto"/>
            </w:tcBorders>
            <w:shd w:val="clear" w:color="auto" w:fill="C6EFCE"/>
            <w:noWrap/>
            <w:vAlign w:val="center"/>
          </w:tcPr>
          <w:p w14:paraId="2049E3DD" w14:textId="77777777" w:rsidR="00702291" w:rsidRDefault="00712B31">
            <w:pPr>
              <w:pStyle w:val="P68B1DB1-Normal27"/>
              <w:spacing w:after="120" w:line="240" w:lineRule="auto"/>
              <w:rPr>
                <w:noProof/>
              </w:rPr>
            </w:pPr>
            <w:r>
              <w:rPr>
                <w:noProof/>
              </w:rPr>
              <w:t>100</w:t>
            </w:r>
          </w:p>
        </w:tc>
        <w:tc>
          <w:tcPr>
            <w:tcW w:w="1134" w:type="dxa"/>
            <w:tcBorders>
              <w:top w:val="nil"/>
              <w:left w:val="nil"/>
              <w:bottom w:val="single" w:sz="4" w:space="0" w:color="auto"/>
              <w:right w:val="single" w:sz="4" w:space="0" w:color="auto"/>
            </w:tcBorders>
            <w:shd w:val="clear" w:color="auto" w:fill="C6EFCE"/>
            <w:noWrap/>
            <w:vAlign w:val="center"/>
          </w:tcPr>
          <w:p w14:paraId="4DB767B5" w14:textId="66C26A08" w:rsidR="00702291" w:rsidRDefault="00F233DB">
            <w:pPr>
              <w:pStyle w:val="P68B1DB1-Normal20"/>
              <w:spacing w:after="120" w:line="240" w:lineRule="auto"/>
              <w:rPr>
                <w:rFonts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10125D1A" w14:textId="3C9373ED" w:rsidR="00702291" w:rsidRDefault="00712B31">
            <w:pPr>
              <w:pStyle w:val="P68B1DB1-Normal20"/>
              <w:spacing w:after="120" w:line="240" w:lineRule="auto"/>
              <w:rPr>
                <w:rFonts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44989E4B" w14:textId="4B4748FF" w:rsidR="00702291" w:rsidRDefault="00712B31">
            <w:pPr>
              <w:pStyle w:val="P68B1DB1-Normal27"/>
              <w:spacing w:after="120" w:line="240" w:lineRule="auto"/>
              <w:rPr>
                <w:noProof/>
              </w:rPr>
            </w:pPr>
            <w:r>
              <w:rPr>
                <w:noProof/>
              </w:rPr>
              <w:t>MFB trebuie să fi încheiat acorduri legale de grant cu beneficiarii pentru o sumă necesară pentru a utiliza 100 % din investițiile MRR în schemă (ținând seama de comisioanele de gestionare).</w:t>
            </w:r>
          </w:p>
        </w:tc>
      </w:tr>
      <w:tr w:rsidR="00702291" w14:paraId="10546E47"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FA09314" w14:textId="63F4DDFA" w:rsidR="00702291" w:rsidRDefault="00712B31">
            <w:pPr>
              <w:pStyle w:val="P68B1DB1-Normal27"/>
              <w:spacing w:after="120" w:line="240" w:lineRule="auto"/>
              <w:rPr>
                <w:noProof/>
              </w:rPr>
            </w:pPr>
            <w:r>
              <w:rPr>
                <w:noProof/>
              </w:rPr>
              <w:t>113</w:t>
            </w:r>
          </w:p>
        </w:tc>
        <w:tc>
          <w:tcPr>
            <w:tcW w:w="1712" w:type="dxa"/>
            <w:tcBorders>
              <w:top w:val="nil"/>
              <w:left w:val="nil"/>
              <w:bottom w:val="single" w:sz="4" w:space="0" w:color="auto"/>
              <w:right w:val="single" w:sz="4" w:space="0" w:color="auto"/>
            </w:tcBorders>
            <w:shd w:val="clear" w:color="auto" w:fill="C6EFCE"/>
            <w:noWrap/>
            <w:vAlign w:val="center"/>
          </w:tcPr>
          <w:p w14:paraId="7E374BA4" w14:textId="0E61B57A" w:rsidR="00702291" w:rsidRDefault="00712B31">
            <w:pPr>
              <w:pStyle w:val="P68B1DB1-Normal32"/>
              <w:spacing w:after="120" w:line="240" w:lineRule="auto"/>
              <w:rPr>
                <w:noProof/>
              </w:rPr>
            </w:pPr>
            <w:r>
              <w:rPr>
                <w:noProof/>
              </w:rPr>
              <w:t>C9.I1. Măsură extinsă: Schemă de granturi pentru dezvoltarea rețelei de energie electrică</w:t>
            </w:r>
          </w:p>
        </w:tc>
        <w:tc>
          <w:tcPr>
            <w:tcW w:w="1021" w:type="dxa"/>
            <w:tcBorders>
              <w:top w:val="nil"/>
              <w:left w:val="nil"/>
              <w:bottom w:val="single" w:sz="4" w:space="0" w:color="auto"/>
              <w:right w:val="single" w:sz="4" w:space="0" w:color="auto"/>
            </w:tcBorders>
            <w:shd w:val="clear" w:color="auto" w:fill="C6EFCE"/>
            <w:noWrap/>
            <w:vAlign w:val="center"/>
          </w:tcPr>
          <w:p w14:paraId="2A5DC9A4" w14:textId="0DE4C0A5" w:rsidR="00702291" w:rsidRDefault="00712B31">
            <w:pPr>
              <w:pStyle w:val="P68B1DB1-Normal27"/>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6B0D642E" w14:textId="77777777" w:rsidR="00702291" w:rsidRDefault="00712B31">
            <w:pPr>
              <w:pStyle w:val="P68B1DB1-Normal27"/>
              <w:spacing w:after="120" w:line="240" w:lineRule="auto"/>
              <w:rPr>
                <w:noProof/>
              </w:rPr>
            </w:pPr>
            <w:r>
              <w:rPr>
                <w:noProof/>
              </w:rPr>
              <w:t>Ministerul a finalizat investiția</w:t>
            </w:r>
          </w:p>
        </w:tc>
        <w:tc>
          <w:tcPr>
            <w:tcW w:w="1701" w:type="dxa"/>
            <w:tcBorders>
              <w:top w:val="nil"/>
              <w:left w:val="nil"/>
              <w:bottom w:val="single" w:sz="4" w:space="0" w:color="auto"/>
              <w:right w:val="single" w:sz="4" w:space="0" w:color="auto"/>
            </w:tcBorders>
            <w:shd w:val="clear" w:color="auto" w:fill="C6EFCE"/>
            <w:noWrap/>
            <w:vAlign w:val="center"/>
          </w:tcPr>
          <w:p w14:paraId="7BC91D1D" w14:textId="77777777" w:rsidR="00702291" w:rsidRDefault="00712B31">
            <w:pPr>
              <w:pStyle w:val="P68B1DB1-Normal27"/>
              <w:spacing w:after="120" w:line="240" w:lineRule="auto"/>
              <w:rPr>
                <w:noProof/>
              </w:rPr>
            </w:pPr>
            <w:r>
              <w:rPr>
                <w:noProof/>
              </w:rPr>
              <w:t xml:space="preserve">Certificatul de transfer </w:t>
            </w:r>
          </w:p>
        </w:tc>
        <w:tc>
          <w:tcPr>
            <w:tcW w:w="1134" w:type="dxa"/>
            <w:tcBorders>
              <w:top w:val="nil"/>
              <w:left w:val="nil"/>
              <w:bottom w:val="single" w:sz="4" w:space="0" w:color="auto"/>
              <w:right w:val="single" w:sz="4" w:space="0" w:color="auto"/>
            </w:tcBorders>
            <w:shd w:val="clear" w:color="auto" w:fill="C6EFCE"/>
            <w:noWrap/>
            <w:vAlign w:val="center"/>
          </w:tcPr>
          <w:p w14:paraId="6D6ECAA8" w14:textId="6999B3F2" w:rsidR="00702291" w:rsidRDefault="00702291">
            <w:pPr>
              <w:spacing w:after="120" w:line="240" w:lineRule="auto"/>
              <w:rPr>
                <w:rFonts w:ascii="Times New Roman"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4E61893D" w14:textId="659F2CBA" w:rsidR="00702291" w:rsidRDefault="00712B31">
            <w:pPr>
              <w:pStyle w:val="P68B1DB1-Normal70"/>
              <w:spacing w:after="120" w:line="240" w:lineRule="auto"/>
              <w:rPr>
                <w:noProof/>
              </w:rPr>
            </w:pPr>
            <w:r>
              <w:rPr>
                <w:noProof/>
              </w:rPr>
              <w:t>856 756 163.36</w:t>
            </w:r>
          </w:p>
        </w:tc>
        <w:tc>
          <w:tcPr>
            <w:tcW w:w="992" w:type="dxa"/>
            <w:tcBorders>
              <w:top w:val="nil"/>
              <w:left w:val="nil"/>
              <w:bottom w:val="single" w:sz="4" w:space="0" w:color="auto"/>
              <w:right w:val="single" w:sz="4" w:space="0" w:color="auto"/>
            </w:tcBorders>
            <w:shd w:val="clear" w:color="auto" w:fill="C6EFCE"/>
            <w:noWrap/>
            <w:vAlign w:val="center"/>
          </w:tcPr>
          <w:p w14:paraId="0EDACCE5" w14:textId="1478FA70" w:rsidR="00702291" w:rsidRDefault="00712B31">
            <w:pPr>
              <w:pStyle w:val="P68B1DB1-Normal70"/>
              <w:spacing w:after="120" w:line="240" w:lineRule="auto"/>
              <w:rPr>
                <w:noProof/>
              </w:rPr>
            </w:pPr>
            <w:r>
              <w:rPr>
                <w:noProof/>
              </w:rPr>
              <w:t>1 500 000 000</w:t>
            </w:r>
          </w:p>
        </w:tc>
        <w:tc>
          <w:tcPr>
            <w:tcW w:w="1134" w:type="dxa"/>
            <w:tcBorders>
              <w:top w:val="nil"/>
              <w:left w:val="nil"/>
              <w:bottom w:val="single" w:sz="4" w:space="0" w:color="auto"/>
              <w:right w:val="single" w:sz="4" w:space="0" w:color="auto"/>
            </w:tcBorders>
            <w:shd w:val="clear" w:color="auto" w:fill="C6EFCE"/>
            <w:noWrap/>
            <w:vAlign w:val="center"/>
          </w:tcPr>
          <w:p w14:paraId="7AF31799" w14:textId="54CD2635" w:rsidR="00702291" w:rsidRDefault="00F233DB">
            <w:pPr>
              <w:pStyle w:val="P68B1DB1-Normal20"/>
              <w:spacing w:after="120" w:line="240" w:lineRule="auto"/>
              <w:rPr>
                <w:rFonts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5ADD4171" w14:textId="62A17855" w:rsidR="00702291" w:rsidRDefault="00712B31">
            <w:pPr>
              <w:pStyle w:val="P68B1DB1-Normal20"/>
              <w:spacing w:after="120" w:line="240" w:lineRule="auto"/>
              <w:rPr>
                <w:rFonts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75246570" w14:textId="49A986E8" w:rsidR="00702291" w:rsidRDefault="00712B31">
            <w:pPr>
              <w:pStyle w:val="P68B1DB1-Normal27"/>
              <w:spacing w:after="120" w:line="240" w:lineRule="auto"/>
              <w:rPr>
                <w:noProof/>
              </w:rPr>
            </w:pPr>
            <w:r>
              <w:rPr>
                <w:noProof/>
              </w:rPr>
              <w:t>Ungaria transferă 643 243 836,64 EUR către MFB pentru facilitate (luând în considerare comisioanele de gestionare).</w:t>
            </w:r>
          </w:p>
        </w:tc>
      </w:tr>
      <w:tr w:rsidR="00702291" w14:paraId="66A1BB2D"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217658C" w14:textId="1E8BC275" w:rsidR="00702291" w:rsidRDefault="00712B31">
            <w:pPr>
              <w:pStyle w:val="P68B1DB1-Normal32"/>
              <w:spacing w:after="120" w:line="240" w:lineRule="auto"/>
              <w:rPr>
                <w:noProof/>
              </w:rPr>
            </w:pPr>
            <w:r>
              <w:rPr>
                <w:noProof/>
              </w:rPr>
              <w:t>114</w:t>
            </w:r>
          </w:p>
        </w:tc>
        <w:tc>
          <w:tcPr>
            <w:tcW w:w="1712" w:type="dxa"/>
            <w:tcBorders>
              <w:top w:val="nil"/>
              <w:left w:val="nil"/>
              <w:bottom w:val="single" w:sz="4" w:space="0" w:color="auto"/>
              <w:right w:val="single" w:sz="4" w:space="0" w:color="auto"/>
            </w:tcBorders>
            <w:shd w:val="clear" w:color="auto" w:fill="C6EFCE"/>
            <w:noWrap/>
            <w:vAlign w:val="center"/>
          </w:tcPr>
          <w:p w14:paraId="269F77D7" w14:textId="72A54844" w:rsidR="00702291" w:rsidRDefault="00712B31">
            <w:pPr>
              <w:pStyle w:val="P68B1DB1-Normal32"/>
              <w:spacing w:after="120" w:line="240" w:lineRule="auto"/>
              <w:rPr>
                <w:noProof/>
              </w:rPr>
            </w:pPr>
            <w:r>
              <w:rPr>
                <w:noProof/>
              </w:rPr>
              <w:t>C9.I2: De instituire a unui instrument financiar pentru îmbunătățirea eficienței energetice a clădirilor rezidențiale</w:t>
            </w:r>
          </w:p>
        </w:tc>
        <w:tc>
          <w:tcPr>
            <w:tcW w:w="1021" w:type="dxa"/>
            <w:tcBorders>
              <w:top w:val="nil"/>
              <w:left w:val="nil"/>
              <w:bottom w:val="single" w:sz="4" w:space="0" w:color="auto"/>
              <w:right w:val="single" w:sz="4" w:space="0" w:color="auto"/>
            </w:tcBorders>
            <w:shd w:val="clear" w:color="auto" w:fill="C6EFCE"/>
            <w:noWrap/>
            <w:vAlign w:val="center"/>
          </w:tcPr>
          <w:p w14:paraId="4EC52DA0" w14:textId="77777777" w:rsidR="00702291" w:rsidRDefault="00712B31">
            <w:pPr>
              <w:pStyle w:val="P68B1DB1-Normal32"/>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7D7427A4" w14:textId="77777777" w:rsidR="00702291" w:rsidRDefault="00712B31">
            <w:pPr>
              <w:pStyle w:val="P68B1DB1-Normal32"/>
              <w:spacing w:after="120" w:line="240" w:lineRule="auto"/>
              <w:rPr>
                <w:noProof/>
              </w:rPr>
            </w:pPr>
            <w:r>
              <w:rPr>
                <w:noProof/>
              </w:rPr>
              <w:t>Acord de punere în aplicare</w:t>
            </w:r>
          </w:p>
        </w:tc>
        <w:tc>
          <w:tcPr>
            <w:tcW w:w="1701" w:type="dxa"/>
            <w:tcBorders>
              <w:top w:val="nil"/>
              <w:left w:val="nil"/>
              <w:bottom w:val="single" w:sz="4" w:space="0" w:color="auto"/>
              <w:right w:val="single" w:sz="4" w:space="0" w:color="auto"/>
            </w:tcBorders>
            <w:shd w:val="clear" w:color="auto" w:fill="C6EFCE"/>
            <w:noWrap/>
            <w:vAlign w:val="center"/>
          </w:tcPr>
          <w:p w14:paraId="6C21BA95" w14:textId="77777777" w:rsidR="00702291" w:rsidRDefault="00712B31">
            <w:pPr>
              <w:pStyle w:val="P68B1DB1-Normal32"/>
              <w:spacing w:after="120" w:line="240" w:lineRule="auto"/>
              <w:rPr>
                <w:noProof/>
              </w:rPr>
            </w:pPr>
            <w:r>
              <w:rPr>
                <w:noProof/>
              </w:rPr>
              <w:t>Intrarea în vigoare a acordului de punere în aplicare</w:t>
            </w:r>
          </w:p>
        </w:tc>
        <w:tc>
          <w:tcPr>
            <w:tcW w:w="1134" w:type="dxa"/>
            <w:tcBorders>
              <w:top w:val="nil"/>
              <w:left w:val="nil"/>
              <w:bottom w:val="single" w:sz="4" w:space="0" w:color="auto"/>
              <w:right w:val="single" w:sz="4" w:space="0" w:color="auto"/>
            </w:tcBorders>
            <w:shd w:val="clear" w:color="auto" w:fill="C6EFCE"/>
            <w:noWrap/>
            <w:vAlign w:val="center"/>
          </w:tcPr>
          <w:p w14:paraId="64FFD7A5" w14:textId="77777777" w:rsidR="00702291" w:rsidRDefault="00712B31">
            <w:pPr>
              <w:pStyle w:val="P68B1DB1-Normal32"/>
              <w:spacing w:after="120" w:line="240" w:lineRule="auto"/>
              <w:rPr>
                <w:rFonts w:eastAsia="Calibri"/>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vAlign w:val="center"/>
          </w:tcPr>
          <w:p w14:paraId="4600B5F9" w14:textId="77777777" w:rsidR="00702291" w:rsidRDefault="00712B31">
            <w:pPr>
              <w:pStyle w:val="P68B1DB1-Normal32"/>
              <w:spacing w:after="120" w:line="240" w:lineRule="auto"/>
              <w:rPr>
                <w:rFonts w:eastAsia="Calibri"/>
                <w:noProof/>
              </w:rPr>
            </w:pPr>
            <w:r>
              <w:rPr>
                <w:noProof/>
              </w:rPr>
              <w:t xml:space="preserve"> </w:t>
            </w:r>
          </w:p>
        </w:tc>
        <w:tc>
          <w:tcPr>
            <w:tcW w:w="992" w:type="dxa"/>
            <w:tcBorders>
              <w:top w:val="nil"/>
              <w:left w:val="nil"/>
              <w:bottom w:val="single" w:sz="4" w:space="0" w:color="auto"/>
              <w:right w:val="single" w:sz="4" w:space="0" w:color="auto"/>
            </w:tcBorders>
            <w:shd w:val="clear" w:color="auto" w:fill="C6EFCE"/>
            <w:noWrap/>
            <w:vAlign w:val="center"/>
          </w:tcPr>
          <w:p w14:paraId="2451F3EA" w14:textId="77777777" w:rsidR="00702291" w:rsidRDefault="00712B31">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77072568" w14:textId="6FEBD0D5" w:rsidR="00702291" w:rsidRDefault="00F233DB">
            <w:pPr>
              <w:pStyle w:val="P68B1DB1-Normal20"/>
              <w:spacing w:after="120" w:line="240" w:lineRule="auto"/>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6832F8F8" w14:textId="375CDD32" w:rsidR="00702291" w:rsidRDefault="00712B31">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06863B68" w14:textId="77777777" w:rsidR="00702291" w:rsidRDefault="00712B31">
            <w:pPr>
              <w:pStyle w:val="P68B1DB1-Normal32"/>
              <w:spacing w:after="120" w:line="240" w:lineRule="auto"/>
              <w:rPr>
                <w:noProof/>
              </w:rPr>
            </w:pPr>
            <w:r>
              <w:rPr>
                <w:noProof/>
              </w:rPr>
              <w:t>Intrarea în vigoare a Acordului de punere în aplicare dintre Ungaria și Banca Ungară de Dezvoltare (Magyar Fejlesztési Bank Zrt. MFB).</w:t>
            </w:r>
          </w:p>
        </w:tc>
      </w:tr>
      <w:tr w:rsidR="00702291" w14:paraId="5B3518CA"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596A89A" w14:textId="5E79FB17" w:rsidR="00702291" w:rsidRDefault="00712B31">
            <w:pPr>
              <w:pStyle w:val="P68B1DB1-Normal32"/>
              <w:spacing w:after="120" w:line="240" w:lineRule="auto"/>
              <w:rPr>
                <w:noProof/>
              </w:rPr>
            </w:pPr>
            <w:r>
              <w:rPr>
                <w:noProof/>
              </w:rPr>
              <w:t>115</w:t>
            </w:r>
          </w:p>
        </w:tc>
        <w:tc>
          <w:tcPr>
            <w:tcW w:w="1712" w:type="dxa"/>
            <w:tcBorders>
              <w:top w:val="nil"/>
              <w:left w:val="nil"/>
              <w:bottom w:val="single" w:sz="4" w:space="0" w:color="auto"/>
              <w:right w:val="single" w:sz="4" w:space="0" w:color="auto"/>
            </w:tcBorders>
            <w:shd w:val="clear" w:color="auto" w:fill="C6EFCE"/>
            <w:noWrap/>
            <w:vAlign w:val="center"/>
          </w:tcPr>
          <w:p w14:paraId="5FCF146E" w14:textId="3C96DF34" w:rsidR="00702291" w:rsidRDefault="00712B31">
            <w:pPr>
              <w:pStyle w:val="P68B1DB1-Normal32"/>
              <w:spacing w:after="120" w:line="240" w:lineRule="auto"/>
              <w:rPr>
                <w:noProof/>
              </w:rPr>
            </w:pPr>
            <w:r>
              <w:rPr>
                <w:noProof/>
              </w:rPr>
              <w:t>C9.I2: De instituire a unui instrument financiar pentru îmbunătățirea eficienței energetice a clădirilor rezidențiale</w:t>
            </w:r>
          </w:p>
        </w:tc>
        <w:tc>
          <w:tcPr>
            <w:tcW w:w="1021" w:type="dxa"/>
            <w:tcBorders>
              <w:top w:val="nil"/>
              <w:left w:val="nil"/>
              <w:bottom w:val="single" w:sz="4" w:space="0" w:color="auto"/>
              <w:right w:val="single" w:sz="4" w:space="0" w:color="auto"/>
            </w:tcBorders>
            <w:shd w:val="clear" w:color="auto" w:fill="C6EFCE"/>
            <w:noWrap/>
            <w:vAlign w:val="center"/>
          </w:tcPr>
          <w:p w14:paraId="264F9CCD" w14:textId="77777777" w:rsidR="00702291" w:rsidRDefault="00712B31">
            <w:pPr>
              <w:pStyle w:val="P68B1DB1-Normal32"/>
              <w:spacing w:after="120" w:line="240" w:lineRule="auto"/>
              <w:rPr>
                <w:noProof/>
              </w:rPr>
            </w:pPr>
            <w:r>
              <w:rPr>
                <w:noProof/>
              </w:rPr>
              <w:t>Țintă</w:t>
            </w:r>
          </w:p>
        </w:tc>
        <w:tc>
          <w:tcPr>
            <w:tcW w:w="1559" w:type="dxa"/>
            <w:tcBorders>
              <w:top w:val="nil"/>
              <w:left w:val="nil"/>
              <w:bottom w:val="single" w:sz="4" w:space="0" w:color="auto"/>
              <w:right w:val="single" w:sz="4" w:space="0" w:color="auto"/>
            </w:tcBorders>
            <w:shd w:val="clear" w:color="auto" w:fill="C6EFCE"/>
            <w:noWrap/>
            <w:vAlign w:val="center"/>
          </w:tcPr>
          <w:p w14:paraId="573F19F8" w14:textId="77777777" w:rsidR="00702291" w:rsidRDefault="00712B31">
            <w:pPr>
              <w:pStyle w:val="P68B1DB1-Normal32"/>
              <w:spacing w:after="120" w:line="240" w:lineRule="auto"/>
              <w:rPr>
                <w:noProof/>
              </w:rPr>
            </w:pPr>
            <w:r>
              <w:rPr>
                <w:noProof/>
              </w:rPr>
              <w:t>Acorduri juridice semnate cu beneficiarii finali</w:t>
            </w:r>
          </w:p>
        </w:tc>
        <w:tc>
          <w:tcPr>
            <w:tcW w:w="1701" w:type="dxa"/>
            <w:tcBorders>
              <w:top w:val="nil"/>
              <w:left w:val="nil"/>
              <w:bottom w:val="single" w:sz="4" w:space="0" w:color="auto"/>
              <w:right w:val="single" w:sz="4" w:space="0" w:color="auto"/>
            </w:tcBorders>
            <w:shd w:val="clear" w:color="auto" w:fill="C6EFCE"/>
            <w:noWrap/>
            <w:vAlign w:val="center"/>
          </w:tcPr>
          <w:p w14:paraId="2AD43376" w14:textId="77777777" w:rsidR="00702291" w:rsidRDefault="00702291">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9C6ECB7" w14:textId="77777777" w:rsidR="00702291" w:rsidRDefault="00712B31">
            <w:pPr>
              <w:pStyle w:val="P68B1DB1-Normal32"/>
              <w:spacing w:after="120" w:line="240" w:lineRule="auto"/>
              <w:rPr>
                <w:rFonts w:eastAsia="Calibri"/>
                <w:noProof/>
              </w:rPr>
            </w:pPr>
            <w:r>
              <w:rPr>
                <w:noProof/>
              </w:rPr>
              <w:t>%</w:t>
            </w:r>
          </w:p>
        </w:tc>
        <w:tc>
          <w:tcPr>
            <w:tcW w:w="1276" w:type="dxa"/>
            <w:tcBorders>
              <w:top w:val="nil"/>
              <w:left w:val="nil"/>
              <w:bottom w:val="single" w:sz="4" w:space="0" w:color="auto"/>
              <w:right w:val="single" w:sz="4" w:space="0" w:color="auto"/>
            </w:tcBorders>
            <w:shd w:val="clear" w:color="auto" w:fill="C6EFCE"/>
            <w:noWrap/>
            <w:vAlign w:val="center"/>
          </w:tcPr>
          <w:p w14:paraId="4F7400D2" w14:textId="77777777" w:rsidR="00702291" w:rsidRDefault="00712B31">
            <w:pPr>
              <w:pStyle w:val="P68B1DB1-Normal32"/>
              <w:spacing w:after="120" w:line="240" w:lineRule="auto"/>
              <w:rPr>
                <w:rFonts w:eastAsia="Calibri"/>
                <w:noProof/>
              </w:rPr>
            </w:pPr>
            <w:r>
              <w:rPr>
                <w:noProof/>
              </w:rPr>
              <w:t>0</w:t>
            </w:r>
          </w:p>
        </w:tc>
        <w:tc>
          <w:tcPr>
            <w:tcW w:w="992" w:type="dxa"/>
            <w:tcBorders>
              <w:top w:val="nil"/>
              <w:left w:val="nil"/>
              <w:bottom w:val="single" w:sz="4" w:space="0" w:color="auto"/>
              <w:right w:val="single" w:sz="4" w:space="0" w:color="auto"/>
            </w:tcBorders>
            <w:shd w:val="clear" w:color="auto" w:fill="C6EFCE"/>
            <w:noWrap/>
            <w:vAlign w:val="center"/>
          </w:tcPr>
          <w:p w14:paraId="3050580C" w14:textId="77777777" w:rsidR="00702291" w:rsidRDefault="00712B31">
            <w:pPr>
              <w:pStyle w:val="P68B1DB1-Normal32"/>
              <w:spacing w:after="120" w:line="240" w:lineRule="auto"/>
              <w:rPr>
                <w:rFonts w:eastAsia="Calibri"/>
                <w:noProof/>
              </w:rPr>
            </w:pPr>
            <w:r>
              <w:rPr>
                <w:noProof/>
              </w:rPr>
              <w:t>100</w:t>
            </w:r>
          </w:p>
        </w:tc>
        <w:tc>
          <w:tcPr>
            <w:tcW w:w="1134" w:type="dxa"/>
            <w:tcBorders>
              <w:top w:val="nil"/>
              <w:left w:val="nil"/>
              <w:bottom w:val="single" w:sz="4" w:space="0" w:color="auto"/>
              <w:right w:val="single" w:sz="4" w:space="0" w:color="auto"/>
            </w:tcBorders>
            <w:shd w:val="clear" w:color="auto" w:fill="C6EFCE"/>
            <w:noWrap/>
            <w:vAlign w:val="center"/>
          </w:tcPr>
          <w:p w14:paraId="154EA372" w14:textId="4A1EC224" w:rsidR="00702291" w:rsidRDefault="00F233DB">
            <w:pPr>
              <w:pStyle w:val="P68B1DB1-Normal32"/>
              <w:spacing w:after="120" w:line="240" w:lineRule="auto"/>
              <w:rPr>
                <w:rFonts w:eastAsia="Calibri"/>
                <w:noProof/>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04E11326" w14:textId="77777777" w:rsidR="00702291" w:rsidRDefault="00712B31">
            <w:pPr>
              <w:pStyle w:val="P68B1DB1-Normal32"/>
              <w:spacing w:after="120" w:line="240" w:lineRule="auto"/>
              <w:rPr>
                <w:rFonts w:eastAsia="Calibri"/>
                <w:noProof/>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49A85E43" w14:textId="77777777" w:rsidR="00702291" w:rsidRDefault="00712B31">
            <w:pPr>
              <w:pStyle w:val="P68B1DB1-Normal32"/>
              <w:spacing w:after="120" w:line="240" w:lineRule="auto"/>
              <w:rPr>
                <w:noProof/>
              </w:rPr>
            </w:pPr>
            <w:r>
              <w:rPr>
                <w:noProof/>
              </w:rPr>
              <w:t xml:space="preserve">MFB trebuie să fi încheiat acorduri juridice de finanțare cu beneficiarii finali pentru o sumă necesară pentru a utiliza 100 % din investițiile MRR în mecanism (ținând seama de comisioanele de gestionare). 100 % din această finanțare contribuie la obiectivele climatice utilizând metodologia din anexa VI la Regulamentul privind MRR. </w:t>
            </w:r>
          </w:p>
        </w:tc>
      </w:tr>
      <w:tr w:rsidR="00702291" w14:paraId="0F6CE261" w14:textId="77777777" w:rsidTr="00494F0E">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F04DF2B" w14:textId="5D4E73F9" w:rsidR="00702291" w:rsidRDefault="00712B31">
            <w:pPr>
              <w:pStyle w:val="P68B1DB1-Normal32"/>
              <w:spacing w:after="120" w:line="240" w:lineRule="auto"/>
              <w:rPr>
                <w:noProof/>
              </w:rPr>
            </w:pPr>
            <w:r>
              <w:rPr>
                <w:noProof/>
              </w:rPr>
              <w:t>116</w:t>
            </w:r>
          </w:p>
        </w:tc>
        <w:tc>
          <w:tcPr>
            <w:tcW w:w="1712" w:type="dxa"/>
            <w:tcBorders>
              <w:top w:val="nil"/>
              <w:left w:val="nil"/>
              <w:bottom w:val="single" w:sz="4" w:space="0" w:color="auto"/>
              <w:right w:val="single" w:sz="4" w:space="0" w:color="auto"/>
            </w:tcBorders>
            <w:shd w:val="clear" w:color="auto" w:fill="C6EFCE"/>
            <w:noWrap/>
            <w:vAlign w:val="center"/>
          </w:tcPr>
          <w:p w14:paraId="18F229AC" w14:textId="6ADD7402" w:rsidR="00702291" w:rsidRDefault="00712B31">
            <w:pPr>
              <w:pStyle w:val="P68B1DB1-Normal32"/>
              <w:spacing w:after="120" w:line="240" w:lineRule="auto"/>
              <w:rPr>
                <w:noProof/>
              </w:rPr>
            </w:pPr>
            <w:r>
              <w:rPr>
                <w:noProof/>
              </w:rPr>
              <w:t>C9.I2: De instituire a unui instrument financiar pentru îmbunătățirea eficienței energetice a clădirilor rezidențiale</w:t>
            </w:r>
          </w:p>
        </w:tc>
        <w:tc>
          <w:tcPr>
            <w:tcW w:w="1021" w:type="dxa"/>
            <w:tcBorders>
              <w:top w:val="nil"/>
              <w:left w:val="nil"/>
              <w:bottom w:val="single" w:sz="4" w:space="0" w:color="auto"/>
              <w:right w:val="single" w:sz="4" w:space="0" w:color="auto"/>
            </w:tcBorders>
            <w:shd w:val="clear" w:color="auto" w:fill="C6EFCE"/>
            <w:noWrap/>
            <w:vAlign w:val="center"/>
          </w:tcPr>
          <w:p w14:paraId="1D35760A" w14:textId="77777777" w:rsidR="00702291" w:rsidRDefault="00712B31">
            <w:pPr>
              <w:pStyle w:val="P68B1DB1-Normal32"/>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26FE2D35" w14:textId="77777777" w:rsidR="00702291" w:rsidRDefault="00712B31">
            <w:pPr>
              <w:pStyle w:val="P68B1DB1-Normal32"/>
              <w:spacing w:after="120" w:line="240" w:lineRule="auto"/>
              <w:rPr>
                <w:noProof/>
              </w:rPr>
            </w:pPr>
            <w:r>
              <w:rPr>
                <w:noProof/>
              </w:rPr>
              <w:t>MFB a finalizat investiția</w:t>
            </w:r>
          </w:p>
        </w:tc>
        <w:tc>
          <w:tcPr>
            <w:tcW w:w="1701" w:type="dxa"/>
            <w:tcBorders>
              <w:top w:val="nil"/>
              <w:left w:val="nil"/>
              <w:bottom w:val="single" w:sz="4" w:space="0" w:color="auto"/>
              <w:right w:val="single" w:sz="4" w:space="0" w:color="auto"/>
            </w:tcBorders>
            <w:shd w:val="clear" w:color="auto" w:fill="C6EFCE"/>
            <w:noWrap/>
            <w:vAlign w:val="center"/>
          </w:tcPr>
          <w:p w14:paraId="0019205A" w14:textId="77777777" w:rsidR="00702291" w:rsidRDefault="00712B31">
            <w:pPr>
              <w:pStyle w:val="P68B1DB1-Normal32"/>
              <w:spacing w:after="120" w:line="240" w:lineRule="auto"/>
              <w:rPr>
                <w:noProof/>
              </w:rPr>
            </w:pPr>
            <w:r>
              <w:rPr>
                <w:noProof/>
              </w:rPr>
              <w:t xml:space="preserve">Certificatul de transfer </w:t>
            </w:r>
          </w:p>
        </w:tc>
        <w:tc>
          <w:tcPr>
            <w:tcW w:w="1134" w:type="dxa"/>
            <w:tcBorders>
              <w:top w:val="nil"/>
              <w:left w:val="nil"/>
              <w:bottom w:val="single" w:sz="4" w:space="0" w:color="auto"/>
              <w:right w:val="single" w:sz="4" w:space="0" w:color="auto"/>
            </w:tcBorders>
            <w:shd w:val="clear" w:color="auto" w:fill="C6EFCE"/>
            <w:noWrap/>
            <w:vAlign w:val="center"/>
          </w:tcPr>
          <w:p w14:paraId="5EFAC4DB" w14:textId="77777777" w:rsidR="00702291" w:rsidRDefault="00702291">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555EED2F" w14:textId="77777777" w:rsidR="00702291" w:rsidRDefault="00702291">
            <w:pPr>
              <w:spacing w:after="120" w:line="240" w:lineRule="auto"/>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5BE1392" w14:textId="77777777" w:rsidR="00702291" w:rsidRDefault="00702291">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801864E" w14:textId="4A0ED06F" w:rsidR="00702291" w:rsidRDefault="00F233DB">
            <w:pPr>
              <w:pStyle w:val="P68B1DB1-Normal32"/>
              <w:spacing w:after="120" w:line="240" w:lineRule="auto"/>
              <w:rPr>
                <w:rFonts w:eastAsia="Calibri"/>
                <w:noProof/>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4D8A3600" w14:textId="77777777" w:rsidR="00702291" w:rsidRDefault="00712B31">
            <w:pPr>
              <w:pStyle w:val="P68B1DB1-Normal32"/>
              <w:spacing w:after="120" w:line="240" w:lineRule="auto"/>
              <w:rPr>
                <w:rFonts w:eastAsia="Calibri"/>
                <w:noProof/>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4A468BC5" w14:textId="17D41190" w:rsidR="00702291" w:rsidRDefault="00712B31">
            <w:pPr>
              <w:pStyle w:val="P68B1DB1-Normal32"/>
              <w:spacing w:after="120" w:line="240" w:lineRule="auto"/>
              <w:rPr>
                <w:noProof/>
              </w:rPr>
            </w:pPr>
            <w:r>
              <w:rPr>
                <w:noProof/>
              </w:rPr>
              <w:t>Ungaria transferă 61 266 991 EUR către MFB pentru mecanism.</w:t>
            </w:r>
          </w:p>
        </w:tc>
      </w:tr>
    </w:tbl>
    <w:p w14:paraId="723C291E" w14:textId="77777777" w:rsidR="00702291" w:rsidRDefault="00702291">
      <w:pPr>
        <w:keepNext/>
        <w:spacing w:after="120" w:line="240" w:lineRule="auto"/>
        <w:jc w:val="both"/>
        <w:rPr>
          <w:rFonts w:ascii="Times New Roman" w:eastAsia="Times New Roman" w:hAnsi="Times New Roman" w:cs="Times New Roman"/>
          <w:noProof/>
          <w:sz w:val="24"/>
          <w:szCs w:val="24"/>
        </w:rPr>
        <w:sectPr w:rsidR="00702291" w:rsidSect="00673131">
          <w:headerReference w:type="default" r:id="rId108"/>
          <w:footerReference w:type="default" r:id="rId109"/>
          <w:pgSz w:w="16839" w:h="11907" w:orient="landscape"/>
          <w:pgMar w:top="1134" w:right="1134" w:bottom="1134" w:left="1134" w:header="567" w:footer="567" w:gutter="0"/>
          <w:cols w:space="708"/>
          <w:docGrid w:linePitch="326"/>
        </w:sectPr>
      </w:pPr>
    </w:p>
    <w:p w14:paraId="6BD54456" w14:textId="164CAAC1" w:rsidR="00702291" w:rsidRDefault="00712B31">
      <w:pPr>
        <w:pStyle w:val="P68B1DB1-Normal44"/>
        <w:keepNext/>
        <w:spacing w:after="120" w:line="240" w:lineRule="auto"/>
        <w:jc w:val="both"/>
        <w:outlineLvl w:val="1"/>
        <w:rPr>
          <w:noProof/>
        </w:rPr>
      </w:pPr>
      <w:r>
        <w:rPr>
          <w:noProof/>
        </w:rPr>
        <w:t>J. COMPONENTA 10: MEDIUL DE AFACERI</w:t>
      </w:r>
    </w:p>
    <w:p w14:paraId="0998E7E4" w14:textId="73B7B765" w:rsidR="00702291" w:rsidRDefault="00712B31">
      <w:pPr>
        <w:pStyle w:val="P68B1DB1-Normal6"/>
        <w:autoSpaceDE w:val="0"/>
        <w:autoSpaceDN w:val="0"/>
        <w:adjustRightInd w:val="0"/>
        <w:spacing w:after="120" w:line="240" w:lineRule="auto"/>
        <w:jc w:val="both"/>
        <w:rPr>
          <w:noProof/>
        </w:rPr>
      </w:pPr>
      <w:r>
        <w:rPr>
          <w:noProof/>
        </w:rPr>
        <w:t>Obiectivul acestei componente este de a consolida capacitatea Băncii Ungare de Dezvoltare (Magyar Fejlesztési Bank, MFB) de a remedia disfuncționalitățile pieței și de a sprijini dezvoltarea economică a Ungariei, prin combinarea unei reforme a guvernanței cu o injecție semnificativă de capital. Reforma guvernanței urmărește să consolideze independența, cadrul operațional și structurile de responsabilitate ale MFB. Injecția de capital va permite MFB să își intensifice activitatea de finanțare în cadrul a trei linii strategice ale programului: Competitivitatea IMM</w:t>
      </w:r>
      <w:r w:rsidR="00494F0E">
        <w:rPr>
          <w:rFonts w:cs="Times New Roman"/>
          <w:noProof/>
        </w:rPr>
        <w:t>­</w:t>
      </w:r>
      <w:r>
        <w:rPr>
          <w:noProof/>
        </w:rPr>
        <w:t>urilor, locuințele de închiriat și studențești la prețuri accesibile, precum și capitalul de risc pentru întreprinderile aflate în faza de început și cu creștere puternică.</w:t>
      </w:r>
    </w:p>
    <w:p w14:paraId="4DD4FE44" w14:textId="1CC46AF1" w:rsidR="00702291" w:rsidRDefault="00712B31">
      <w:pPr>
        <w:pStyle w:val="P68B1DB1-Normal34"/>
        <w:spacing w:after="120" w:line="240" w:lineRule="auto"/>
        <w:jc w:val="both"/>
        <w:rPr>
          <w:noProof/>
        </w:rPr>
      </w:pPr>
      <w:r>
        <w:rPr>
          <w:noProof/>
        </w:rPr>
        <w:t>Componenta contribuie la punerea în aplicare a recomandărilor specifice fiecărei țări, în special a CSR 2022.5 (promovarea investițiilor în cercetare și inovare), CSR 2023.1 (măsuri-țintă de sprijin în sectorul locuințelor pentru gospodăriile cu venituri mici), CSR 2024.1 (măsuri-țintă de sprijin în sectorul locuințelor pentru gospodăriile cu venituri mici), CSR 2025.1, 3 și 6 (eliminarea treptată a plafoanelor rămase pentru prețuri și dobânzi și a măsurilor echivalente; Să stimuleze dezvoltarea piețelor de capital prin creșterea stimulentelor fiscale și de reglementare; Să consolideze cadrul de inovare pentru sectorul public și întreprinderi prin îmbunătățirea previzibilității cheltuielilor publice pentru C &amp; D și printr-o mai bună direcționare a măsurilor existente către IMM-uri; Să direcționeze măsurile de sprijin din sectorul locuințelor către gospodăriile cu venituri mici și să sporească oferta de locuințe, inclusiv pentru locuințele sociale).</w:t>
      </w:r>
    </w:p>
    <w:p w14:paraId="44CFAB7E" w14:textId="203ACD63" w:rsidR="00702291" w:rsidRDefault="00712B31">
      <w:pPr>
        <w:pStyle w:val="P68B1DB1-Normal34"/>
        <w:spacing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6F8EAA6C" w14:textId="1B9AAC7C" w:rsidR="00702291" w:rsidRDefault="00712B31">
      <w:pPr>
        <w:pStyle w:val="P68B1DB1-Heading310"/>
        <w:spacing w:before="0" w:after="120"/>
        <w:rPr>
          <w:noProof/>
        </w:rPr>
      </w:pPr>
      <w:r>
        <w:rPr>
          <w:noProof/>
        </w:rPr>
        <w:t>J.1. Descrierea reformelor și a investițiilor pentru sprijinul financiar nerambursabil</w:t>
      </w:r>
    </w:p>
    <w:p w14:paraId="561B97E9" w14:textId="432B5195" w:rsidR="00702291" w:rsidRDefault="00712B31">
      <w:pPr>
        <w:pStyle w:val="P68B1DB1-Heading411"/>
        <w:spacing w:before="0" w:after="120" w:line="240" w:lineRule="auto"/>
        <w:rPr>
          <w:noProof/>
        </w:rPr>
      </w:pPr>
      <w:r>
        <w:rPr>
          <w:noProof/>
        </w:rPr>
        <w:t>C10.R1: Reforma guvernanței Magyar Fejlesztési Bank</w:t>
      </w:r>
    </w:p>
    <w:p w14:paraId="7B9F9C2F" w14:textId="7A38C37F" w:rsidR="00702291" w:rsidRDefault="00712B31">
      <w:pPr>
        <w:pStyle w:val="P68B1DB1-Normal34"/>
        <w:spacing w:after="120" w:line="240" w:lineRule="auto"/>
        <w:jc w:val="both"/>
        <w:rPr>
          <w:noProof/>
        </w:rPr>
      </w:pPr>
      <w:r>
        <w:rPr>
          <w:noProof/>
        </w:rPr>
        <w:t>Obiectivul acestei măsuri este de a reforma Banca Ungară de Dezvoltare a Societății cu răspundere limitată (</w:t>
      </w:r>
      <w:r>
        <w:rPr>
          <w:i/>
          <w:noProof/>
        </w:rPr>
        <w:t>Magyar Fejlesztési Bank Zrt.</w:t>
      </w:r>
      <w:r>
        <w:rPr>
          <w:noProof/>
        </w:rPr>
        <w:t xml:space="preserve"> (MFB)], pentru a-și consolida independența, guvernanța și cadrul operațional. </w:t>
      </w:r>
    </w:p>
    <w:p w14:paraId="299FBF5C" w14:textId="6EA147BD" w:rsidR="00702291" w:rsidRDefault="00712B31">
      <w:pPr>
        <w:pStyle w:val="P68B1DB1-Normal34"/>
        <w:spacing w:after="120" w:line="240" w:lineRule="auto"/>
        <w:jc w:val="both"/>
        <w:rPr>
          <w:noProof/>
        </w:rPr>
      </w:pPr>
      <w:r>
        <w:rPr>
          <w:noProof/>
        </w:rPr>
        <w:t>Reforma constă în adoptarea unei legislații de modificare a cadrului de guvernanță și operațional al MFB și a modalităților de numire a Consiliului de administrație, precum și a Consiliului de supraveghere și a Comitetului de audit.</w:t>
      </w:r>
    </w:p>
    <w:p w14:paraId="58B3ED1F" w14:textId="294EA3F3" w:rsidR="00702291" w:rsidRDefault="00712B31">
      <w:pPr>
        <w:pStyle w:val="P68B1DB1-Heading411"/>
        <w:spacing w:before="0" w:after="120" w:line="240" w:lineRule="auto"/>
        <w:rPr>
          <w:noProof/>
        </w:rPr>
      </w:pPr>
      <w:r>
        <w:rPr>
          <w:noProof/>
        </w:rPr>
        <w:t>C10.I1: Injecție de capital în Magyar Fejlesztési Bank (MFB)</w:t>
      </w:r>
    </w:p>
    <w:p w14:paraId="099C9243" w14:textId="545A0D88" w:rsidR="00702291" w:rsidRDefault="00712B31">
      <w:pPr>
        <w:pStyle w:val="P68B1DB1-Normal34"/>
        <w:spacing w:after="120" w:line="240" w:lineRule="auto"/>
        <w:jc w:val="both"/>
        <w:rPr>
          <w:noProof/>
        </w:rPr>
      </w:pPr>
      <w:r>
        <w:rPr>
          <w:noProof/>
        </w:rPr>
        <w:t xml:space="preserve">Obiectivul acestei măsuri este de a sprijini potențialul de creștere al economiei maghiare prin ajustarea structurală a nivelului sprijinului public disponibil pentru a remedia disfuncționalitățile pieței și ineficiențele din cadrul economiei. Măsura constă într-o injecție de capital în valoare de 1 126 815 025 EUR în societatea cu răspundere limitată Magyar Fejlesztési Bank Zrt. (MFB)]. </w:t>
      </w:r>
    </w:p>
    <w:p w14:paraId="144DCFAF" w14:textId="24CDAE65" w:rsidR="00702291" w:rsidRDefault="00712B31">
      <w:pPr>
        <w:pStyle w:val="P68B1DB1-Normal34"/>
        <w:spacing w:after="120" w:line="240" w:lineRule="auto"/>
        <w:jc w:val="both"/>
        <w:rPr>
          <w:noProof/>
        </w:rPr>
      </w:pPr>
      <w:r>
        <w:rPr>
          <w:noProof/>
        </w:rPr>
        <w:t>MFB adoptă o nouă politică de investiții pentru utilizarea capitalului propriu suplimentar. Politica de investiții stabilește alocarea capitalurilor proprii între trei linii de program, și anume (i)</w:t>
      </w:r>
      <w:r w:rsidR="00494F0E">
        <w:rPr>
          <w:noProof/>
        </w:rPr>
        <w:t> </w:t>
      </w:r>
      <w:r>
        <w:rPr>
          <w:noProof/>
        </w:rPr>
        <w:t xml:space="preserve">competitivitatea IMM-urilor, (ii) locuințe de închiriat la prețuri accesibile și dezvoltarea căminelor studențești pentru gospodăriile cu venituri mici și studenți, (iii) capitalul de risc și capitalul de creștere. Acesta include, de asemenea, descrierea produsului (produselor) financiar (e), inclusiv tipul preconizat de beneficiari finali eligibili pe care se preconizează </w:t>
      </w:r>
      <w:bookmarkStart w:id="5" w:name="_Hlk198572061"/>
      <w:r>
        <w:rPr>
          <w:noProof/>
        </w:rPr>
        <w:t>că îi va sprijini inițial capitalul propriu suplimentar</w:t>
      </w:r>
      <w:bookmarkEnd w:id="5"/>
      <w:r>
        <w:rPr>
          <w:noProof/>
        </w:rPr>
        <w:t xml:space="preserve">, calendarul </w:t>
      </w:r>
      <w:bookmarkStart w:id="6" w:name="_Hlk198538454"/>
      <w:r>
        <w:rPr>
          <w:noProof/>
        </w:rPr>
        <w:t xml:space="preserve">de punere în aplicare preconizat și sumele alocate fiecărui </w:t>
      </w:r>
      <w:bookmarkEnd w:id="6"/>
      <w:r>
        <w:rPr>
          <w:noProof/>
        </w:rPr>
        <w:t xml:space="preserve">program financiar, precum și multiplicatorul efectului de levier preconizat pentru fiecare program de investiții. </w:t>
      </w:r>
    </w:p>
    <w:p w14:paraId="2F05FC4C" w14:textId="77777777" w:rsidR="00702291" w:rsidRDefault="00712B31">
      <w:pPr>
        <w:pStyle w:val="P68B1DB1-Normal34"/>
        <w:spacing w:after="120" w:line="240" w:lineRule="auto"/>
        <w:jc w:val="both"/>
        <w:rPr>
          <w:noProof/>
        </w:rPr>
      </w:pPr>
      <w:r>
        <w:rPr>
          <w:noProof/>
        </w:rPr>
        <w:t xml:space="preserve">MFB utilizează pentru capitalul propriu suplimentar același sistem de audit și control care a fost evaluat pozitiv de Comisie în conformitate cu articolul 157 din Regulamentul (UE, Euratom) 2024/2509. </w:t>
      </w:r>
    </w:p>
    <w:p w14:paraId="720C5FBE" w14:textId="77777777" w:rsidR="00702291" w:rsidRDefault="00712B31">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Politica de investiții impune ca produsul (produsele) financiar (financiare) pe care îl (le) sprijină capitalurile proprii suplimentare să respecte principiul de „a nu prejudicia în mod semnificativ”, astfel cum este prevăzut în Orientările tehnice privind aplicarea principiului de „a nu prejudicia în mod semnificativ” (2021/C58/01). În special, politica de investiții exclude de la eligibilitate următoarea listă de activități și active: (I) activitățile și activele legate de combustibilii fosili, inclusiv utilizarea în aval</w:t>
      </w:r>
      <w:r>
        <w:rPr>
          <w:rFonts w:ascii="Times New Roman" w:hAnsi="Times New Roman" w:cs="Times New Roman"/>
          <w:noProof/>
          <w:sz w:val="24"/>
          <w:szCs w:val="24"/>
        </w:rPr>
        <w:footnoteReference w:id="18"/>
      </w:r>
      <w:r>
        <w:rPr>
          <w:rFonts w:ascii="Times New Roman" w:hAnsi="Times New Roman" w:cs="Times New Roman"/>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sz w:val="24"/>
          <w:szCs w:val="24"/>
        </w:rPr>
        <w:footnoteReference w:id="19"/>
      </w:r>
      <w:r>
        <w:rPr>
          <w:rFonts w:ascii="Times New Roman" w:hAnsi="Times New Roman" w:cs="Times New Roman"/>
          <w:noProof/>
          <w:sz w:val="24"/>
          <w:szCs w:val="24"/>
        </w:rPr>
        <w:t>, (iii) activitățile și activele legate de depozitele de deșeuri, incineratoare</w:t>
      </w:r>
      <w:r>
        <w:rPr>
          <w:rStyle w:val="FootnoteReference"/>
          <w:rFonts w:ascii="Times New Roman" w:hAnsi="Times New Roman" w:cs="Times New Roman"/>
          <w:b w:val="0"/>
          <w:noProof/>
          <w:sz w:val="24"/>
          <w:szCs w:val="24"/>
        </w:rPr>
        <w:footnoteReference w:id="20"/>
      </w:r>
      <w:r>
        <w:rPr>
          <w:rFonts w:ascii="Times New Roman" w:hAnsi="Times New Roman" w:cs="Times New Roman"/>
          <w:noProof/>
          <w:sz w:val="24"/>
          <w:szCs w:val="24"/>
        </w:rPr>
        <w:t xml:space="preserve"> și stațiile de tratare mecano-biologică</w:t>
      </w:r>
      <w:r>
        <w:rPr>
          <w:rStyle w:val="FootnoteReference"/>
          <w:rFonts w:ascii="Times New Roman" w:hAnsi="Times New Roman" w:cs="Times New Roman"/>
          <w:b w:val="0"/>
          <w:noProof/>
          <w:sz w:val="24"/>
          <w:szCs w:val="24"/>
        </w:rPr>
        <w:footnoteReference w:id="21"/>
      </w:r>
      <w:r>
        <w:rPr>
          <w:rFonts w:ascii="Times New Roman" w:hAnsi="Times New Roman" w:cs="Times New Roman"/>
          <w:noProof/>
          <w:sz w:val="24"/>
          <w:szCs w:val="24"/>
        </w:rPr>
        <w:t>. În plus, în cazul sprijinului general acordat întreprinderilor, politica de investiții va exclude întreprinderile cu un accent considerabil</w:t>
      </w:r>
      <w:r>
        <w:rPr>
          <w:rFonts w:ascii="Times New Roman" w:hAnsi="Times New Roman" w:cs="Times New Roman"/>
          <w:noProof/>
          <w:sz w:val="24"/>
          <w:szCs w:val="24"/>
        </w:rPr>
        <w:footnoteReference w:id="22"/>
      </w:r>
      <w:r>
        <w:rPr>
          <w:rFonts w:ascii="Times New Roman" w:hAnsi="Times New Roman" w:cs="Times New Roman"/>
          <w:noProof/>
          <w:sz w:val="24"/>
          <w:szCs w:val="24"/>
        </w:rPr>
        <w:t xml:space="preserve"> în următoarele sectoare: (I) producția de energie pe bază de combustibili fosili și activitățile conexe</w:t>
      </w:r>
      <w:r>
        <w:rPr>
          <w:rFonts w:ascii="Times New Roman" w:hAnsi="Times New Roman" w:cs="Times New Roman"/>
          <w:noProof/>
          <w:sz w:val="24"/>
          <w:szCs w:val="24"/>
        </w:rPr>
        <w:footnoteReference w:id="23"/>
      </w:r>
      <w:r>
        <w:rPr>
          <w:rFonts w:ascii="Times New Roman" w:hAnsi="Times New Roman" w:cs="Times New Roman"/>
          <w:noProof/>
          <w:sz w:val="24"/>
          <w:szCs w:val="24"/>
        </w:rPr>
        <w:t>; (II) industriile mari consumatoare de energie și/sau cu emisii ridicate de CO2</w:t>
      </w:r>
      <w:r>
        <w:rPr>
          <w:rFonts w:ascii="Times New Roman" w:hAnsi="Times New Roman" w:cs="Times New Roman"/>
          <w:noProof/>
          <w:sz w:val="24"/>
          <w:szCs w:val="24"/>
        </w:rPr>
        <w:footnoteReference w:id="24"/>
      </w:r>
      <w:r>
        <w:rPr>
          <w:rFonts w:ascii="Times New Roman" w:hAnsi="Times New Roman" w:cs="Times New Roman"/>
          <w:noProof/>
          <w:sz w:val="24"/>
          <w:szCs w:val="24"/>
        </w:rPr>
        <w:t>; (III) producția, închirierea sau vânzarea de vehicule poluante</w:t>
      </w:r>
      <w:r>
        <w:rPr>
          <w:rFonts w:ascii="Times New Roman" w:hAnsi="Times New Roman" w:cs="Times New Roman"/>
          <w:noProof/>
          <w:sz w:val="24"/>
          <w:szCs w:val="24"/>
        </w:rPr>
        <w:footnoteReference w:id="25"/>
      </w:r>
      <w:r>
        <w:rPr>
          <w:rFonts w:ascii="Times New Roman" w:hAnsi="Times New Roman" w:cs="Times New Roman"/>
          <w:noProof/>
          <w:sz w:val="24"/>
          <w:szCs w:val="24"/>
        </w:rPr>
        <w:t>; (IV) colectarea deșeurilor, tratarea și eliminarea deșeurilor</w:t>
      </w:r>
      <w:r>
        <w:rPr>
          <w:rFonts w:ascii="Times New Roman" w:hAnsi="Times New Roman" w:cs="Times New Roman"/>
          <w:noProof/>
          <w:sz w:val="24"/>
          <w:szCs w:val="24"/>
        </w:rPr>
        <w:footnoteReference w:id="26"/>
      </w:r>
      <w:r>
        <w:rPr>
          <w:rFonts w:ascii="Times New Roman" w:hAnsi="Times New Roman" w:cs="Times New Roman"/>
          <w:noProof/>
          <w:sz w:val="24"/>
          <w:szCs w:val="24"/>
        </w:rPr>
        <w:t xml:space="preserve">, (v) prelucrarea combustibilului nuclear, producția de energie nucleară. </w:t>
      </w:r>
    </w:p>
    <w:p w14:paraId="5B740BF3" w14:textId="5FC1E4D9" w:rsidR="00702291" w:rsidRDefault="00712B31">
      <w:pPr>
        <w:pStyle w:val="P68B1DB1-Normal34"/>
        <w:spacing w:after="120" w:line="240" w:lineRule="auto"/>
        <w:jc w:val="both"/>
        <w:rPr>
          <w:noProof/>
        </w:rPr>
      </w:pPr>
      <w:r>
        <w:rPr>
          <w:noProof/>
        </w:rPr>
        <w:t>În plus, politica în materie de investiții impune</w:t>
      </w:r>
      <w:r>
        <w:rPr>
          <w:b/>
          <w:noProof/>
        </w:rPr>
        <w:t xml:space="preserve"> </w:t>
      </w:r>
      <w:r>
        <w:rPr>
          <w:noProof/>
        </w:rPr>
        <w:t>respectarea legislației UE și naționale relevante în domeniul mediului a beneficiarilor finali.</w:t>
      </w:r>
    </w:p>
    <w:p w14:paraId="19BD84AA" w14:textId="4F4EE808" w:rsidR="00702291" w:rsidRDefault="00712B31">
      <w:pPr>
        <w:pStyle w:val="P68B1DB1-Normal34"/>
        <w:spacing w:after="120" w:line="240" w:lineRule="auto"/>
        <w:jc w:val="both"/>
        <w:rPr>
          <w:noProof/>
        </w:rPr>
      </w:pPr>
      <w:r>
        <w:rPr>
          <w:noProof/>
        </w:rPr>
        <w:t>Îndeplinirea satisfăcătoare a jaloanelor din cadrul acestei măsuri este condiționată de îndeplinirea satisfăcătoare a jaloanelor reformei 1 – Reforma guvernanței Magyar Fejlesztési Bank.</w:t>
      </w:r>
    </w:p>
    <w:p w14:paraId="6204E7D0" w14:textId="25138860" w:rsidR="00702291" w:rsidRDefault="00702291">
      <w:pPr>
        <w:spacing w:after="120" w:line="240" w:lineRule="auto"/>
        <w:jc w:val="both"/>
        <w:rPr>
          <w:rFonts w:ascii="Times New Roman" w:hAnsi="Times New Roman" w:cs="Times New Roman"/>
          <w:noProof/>
          <w:sz w:val="24"/>
          <w:szCs w:val="24"/>
        </w:rPr>
        <w:sectPr w:rsidR="00702291" w:rsidSect="004E6195">
          <w:headerReference w:type="even" r:id="rId110"/>
          <w:headerReference w:type="default" r:id="rId111"/>
          <w:footerReference w:type="even" r:id="rId112"/>
          <w:footerReference w:type="default" r:id="rId113"/>
          <w:headerReference w:type="first" r:id="rId114"/>
          <w:footerReference w:type="first" r:id="rId115"/>
          <w:pgSz w:w="12240" w:h="15840"/>
          <w:pgMar w:top="1440" w:right="1440" w:bottom="1440" w:left="1440" w:header="708" w:footer="708" w:gutter="0"/>
          <w:cols w:space="708"/>
          <w:docGrid w:linePitch="360"/>
        </w:sectPr>
      </w:pPr>
    </w:p>
    <w:p w14:paraId="1757975B" w14:textId="4AE60280" w:rsidR="00702291" w:rsidRDefault="00712B31">
      <w:pPr>
        <w:pStyle w:val="P68B1DB1-Heading310"/>
        <w:spacing w:before="0" w:after="120"/>
        <w:rPr>
          <w:noProof/>
        </w:rPr>
      </w:pPr>
      <w:r>
        <w:rPr>
          <w:noProof/>
        </w:rPr>
        <w:t xml:space="preserve">J.2. </w:t>
      </w:r>
      <w:r>
        <w:rPr>
          <w:noProof/>
        </w:rPr>
        <w:tab/>
        <w:t>Jaloane, ținte, indicatori și calendarul de monitorizare și implementare aplicabile sprijinului financiar nerambursabil</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6"/>
        <w:gridCol w:w="1134"/>
        <w:gridCol w:w="960"/>
        <w:gridCol w:w="2128"/>
        <w:gridCol w:w="1752"/>
        <w:gridCol w:w="959"/>
        <w:gridCol w:w="1005"/>
        <w:gridCol w:w="709"/>
        <w:gridCol w:w="992"/>
        <w:gridCol w:w="618"/>
        <w:gridCol w:w="4204"/>
      </w:tblGrid>
      <w:tr w:rsidR="00702291" w14:paraId="33185365" w14:textId="77777777" w:rsidTr="00494F0E">
        <w:trPr>
          <w:trHeight w:val="300"/>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EB38CB" w14:textId="77777777" w:rsidR="00702291" w:rsidRDefault="00712B31">
            <w:pPr>
              <w:pStyle w:val="P68B1DB1-Normal71"/>
              <w:spacing w:after="120" w:line="240" w:lineRule="auto"/>
              <w:jc w:val="center"/>
              <w:textAlignment w:val="baseline"/>
              <w:rPr>
                <w:noProof/>
              </w:rPr>
            </w:pPr>
            <w:r>
              <w:rPr>
                <w:noProof/>
              </w:rPr>
              <w:t>Număr Număr</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EEB449" w14:textId="77777777" w:rsidR="00702291" w:rsidRDefault="00712B31">
            <w:pPr>
              <w:pStyle w:val="P68B1DB1-Normal71"/>
              <w:spacing w:after="120" w:line="240" w:lineRule="auto"/>
              <w:jc w:val="center"/>
              <w:textAlignment w:val="baseline"/>
              <w:rPr>
                <w:rFonts w:eastAsiaTheme="minorHAnsi"/>
                <w:noProof/>
              </w:rPr>
            </w:pPr>
            <w:r>
              <w:rPr>
                <w:noProof/>
              </w:rPr>
              <w:t>Măsură conexă (reformă sau investiții)</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874DFA" w14:textId="01A825DF" w:rsidR="00702291" w:rsidRDefault="00712B31">
            <w:pPr>
              <w:pStyle w:val="P68B1DB1-Normal71"/>
              <w:spacing w:after="120" w:line="240" w:lineRule="auto"/>
              <w:jc w:val="center"/>
              <w:textAlignment w:val="baseline"/>
              <w:rPr>
                <w:rFonts w:eastAsiaTheme="minorHAnsi"/>
                <w:noProof/>
              </w:rPr>
            </w:pPr>
            <w:r>
              <w:rPr>
                <w:noProof/>
              </w:rPr>
              <w:t>Etapă/</w:t>
            </w:r>
            <w:r w:rsidR="00494F0E">
              <w:rPr>
                <w:noProof/>
              </w:rPr>
              <w:t xml:space="preserve"> </w:t>
            </w:r>
            <w:r>
              <w:rPr>
                <w:noProof/>
              </w:rPr>
              <w:t>Obiectiv</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C75A97" w14:textId="77777777" w:rsidR="00702291" w:rsidRDefault="00712B31">
            <w:pPr>
              <w:pStyle w:val="P68B1DB1-Normal71"/>
              <w:spacing w:after="120" w:line="240" w:lineRule="auto"/>
              <w:jc w:val="center"/>
              <w:textAlignment w:val="baseline"/>
              <w:rPr>
                <w:rFonts w:eastAsiaTheme="minorHAnsi"/>
                <w:noProof/>
              </w:rPr>
            </w:pPr>
            <w:r>
              <w:rPr>
                <w:noProof/>
              </w:rPr>
              <w:t>Nume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9EB4CD7" w14:textId="11101C30" w:rsidR="00702291" w:rsidRDefault="00712B31">
            <w:pPr>
              <w:pStyle w:val="P68B1DB1-Normal72"/>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67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2EFA2DB" w14:textId="53970DCB" w:rsidR="00702291" w:rsidRDefault="00712B31">
            <w:pPr>
              <w:pStyle w:val="P68B1DB1-Normal72"/>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61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E4781B9" w14:textId="421D11B4" w:rsidR="00702291" w:rsidRDefault="00712B31">
            <w:pPr>
              <w:pStyle w:val="P68B1DB1-Normal71"/>
              <w:spacing w:after="120" w:line="240" w:lineRule="auto"/>
              <w:jc w:val="center"/>
              <w:textAlignment w:val="baseline"/>
              <w:rPr>
                <w:rFonts w:eastAsiaTheme="minorHAnsi"/>
                <w:noProof/>
              </w:rPr>
            </w:pPr>
            <w:r>
              <w:rPr>
                <w:noProof/>
              </w:rPr>
              <w:t xml:space="preserve">Calendar orientativ pentru finalizare </w:t>
            </w:r>
          </w:p>
        </w:tc>
        <w:tc>
          <w:tcPr>
            <w:tcW w:w="4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489211" w14:textId="77777777" w:rsidR="00702291" w:rsidRDefault="00712B31">
            <w:pPr>
              <w:pStyle w:val="P68B1DB1-Normal71"/>
              <w:spacing w:after="120" w:line="240" w:lineRule="auto"/>
              <w:jc w:val="center"/>
              <w:textAlignment w:val="baseline"/>
              <w:rPr>
                <w:rFonts w:eastAsiaTheme="minorHAnsi"/>
                <w:noProof/>
              </w:rPr>
            </w:pPr>
            <w:r>
              <w:rPr>
                <w:noProof/>
              </w:rPr>
              <w:t>Descrierea fiecărui jalon și a fiecărei ținte</w:t>
            </w:r>
          </w:p>
        </w:tc>
      </w:tr>
      <w:tr w:rsidR="00702291" w14:paraId="1F99499C" w14:textId="77777777" w:rsidTr="00494F0E">
        <w:trPr>
          <w:trHeight w:val="79"/>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7440C87" w14:textId="77777777" w:rsidR="00702291" w:rsidRDefault="00702291">
            <w:pPr>
              <w:spacing w:after="120" w:line="240" w:lineRule="auto"/>
              <w:jc w:val="center"/>
              <w:rPr>
                <w:rFonts w:ascii="Times New Roman" w:hAnsi="Times New Roman" w:cs="Times New Roman"/>
                <w:noProof/>
                <w:sz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8A171C9" w14:textId="77777777" w:rsidR="00702291" w:rsidRDefault="00702291">
            <w:pPr>
              <w:spacing w:after="120" w:line="240" w:lineRule="auto"/>
              <w:jc w:val="center"/>
              <w:rPr>
                <w:rFonts w:ascii="Times New Roman" w:hAnsi="Times New Roman" w:cs="Times New Roman"/>
                <w:noProof/>
                <w:sz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496DE3A" w14:textId="77777777" w:rsidR="00702291" w:rsidRDefault="00702291">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2AD7FF02" w14:textId="77777777" w:rsidR="00702291" w:rsidRDefault="00702291">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3B5EC273" w14:textId="77777777" w:rsidR="00702291" w:rsidRDefault="00702291">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567DA2" w14:textId="77777777" w:rsidR="00702291" w:rsidRDefault="00712B31">
            <w:pPr>
              <w:pStyle w:val="P68B1DB1-Normal71"/>
              <w:spacing w:after="120" w:line="240" w:lineRule="auto"/>
              <w:jc w:val="center"/>
              <w:textAlignment w:val="baseline"/>
              <w:rPr>
                <w:rFonts w:eastAsiaTheme="minorHAnsi"/>
                <w:noProof/>
              </w:rPr>
            </w:pPr>
            <w:r>
              <w:rPr>
                <w:noProof/>
              </w:rPr>
              <w:t>Unitatea de măsură</w:t>
            </w:r>
          </w:p>
        </w:tc>
        <w:tc>
          <w:tcPr>
            <w:tcW w:w="10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A1E911C" w14:textId="77777777" w:rsidR="00702291" w:rsidRDefault="00712B31">
            <w:pPr>
              <w:pStyle w:val="P68B1DB1-Normal71"/>
              <w:spacing w:after="120" w:line="240" w:lineRule="auto"/>
              <w:jc w:val="center"/>
              <w:textAlignment w:val="baseline"/>
              <w:rPr>
                <w:rFonts w:eastAsiaTheme="minorHAnsi"/>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B1B02B" w14:textId="77777777" w:rsidR="00702291" w:rsidRDefault="00712B31">
            <w:pPr>
              <w:pStyle w:val="P68B1DB1-Normal71"/>
              <w:spacing w:after="120" w:line="240" w:lineRule="auto"/>
              <w:jc w:val="center"/>
              <w:textAlignment w:val="baseline"/>
              <w:rPr>
                <w:rFonts w:eastAsiaTheme="minorHAnsi"/>
                <w:noProof/>
              </w:rPr>
            </w:pPr>
            <w:r>
              <w:rPr>
                <w:noProof/>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8C04905" w14:textId="77777777" w:rsidR="00702291" w:rsidRDefault="00712B31">
            <w:pPr>
              <w:pStyle w:val="P68B1DB1-Normal71"/>
              <w:spacing w:after="120" w:line="240" w:lineRule="auto"/>
              <w:jc w:val="center"/>
              <w:textAlignment w:val="baseline"/>
              <w:rPr>
                <w:rFonts w:eastAsiaTheme="minorHAnsi"/>
                <w:noProof/>
              </w:rPr>
            </w:pPr>
            <w:r>
              <w:rPr>
                <w:noProof/>
              </w:rPr>
              <w:t>Trimestru</w:t>
            </w:r>
          </w:p>
        </w:tc>
        <w:tc>
          <w:tcPr>
            <w:tcW w:w="6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3BE3821" w14:textId="77777777" w:rsidR="00702291" w:rsidRDefault="00712B31">
            <w:pPr>
              <w:pStyle w:val="P68B1DB1-Normal71"/>
              <w:spacing w:after="120" w:line="240" w:lineRule="auto"/>
              <w:jc w:val="center"/>
              <w:textAlignment w:val="baseline"/>
              <w:rPr>
                <w:rFonts w:eastAsiaTheme="minorHAnsi"/>
                <w:noProof/>
              </w:rPr>
            </w:pPr>
            <w:r>
              <w:rPr>
                <w:noProof/>
              </w:rPr>
              <w:t>Anul</w:t>
            </w:r>
          </w:p>
        </w:tc>
        <w:tc>
          <w:tcPr>
            <w:tcW w:w="4204" w:type="dxa"/>
            <w:vMerge/>
            <w:vAlign w:val="center"/>
            <w:hideMark/>
          </w:tcPr>
          <w:p w14:paraId="137C38BC" w14:textId="77777777" w:rsidR="00702291" w:rsidRDefault="00702291">
            <w:pPr>
              <w:spacing w:after="120" w:line="240" w:lineRule="auto"/>
              <w:rPr>
                <w:rFonts w:ascii="Times New Roman" w:hAnsi="Times New Roman" w:cs="Times New Roman"/>
                <w:noProof/>
                <w:sz w:val="18"/>
              </w:rPr>
            </w:pPr>
          </w:p>
        </w:tc>
      </w:tr>
      <w:tr w:rsidR="00702291" w14:paraId="542F635B" w14:textId="77777777" w:rsidTr="00494F0E">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56A999D2" w14:textId="68D9049B" w:rsidR="00702291" w:rsidRDefault="00712B31">
            <w:pPr>
              <w:pStyle w:val="P68B1DB1-Normal72"/>
              <w:spacing w:after="120" w:line="240" w:lineRule="auto"/>
              <w:rPr>
                <w:noProof/>
              </w:rPr>
            </w:pPr>
            <w:r>
              <w:rPr>
                <w:noProof/>
              </w:rPr>
              <w:t>117</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37EF750" w14:textId="711BE8D2" w:rsidR="00702291" w:rsidRDefault="00712B31">
            <w:pPr>
              <w:pStyle w:val="P68B1DB1-Normal32"/>
              <w:spacing w:after="120" w:line="240" w:lineRule="auto"/>
              <w:rPr>
                <w:rFonts w:eastAsiaTheme="minorHAnsi"/>
                <w:noProof/>
              </w:rPr>
            </w:pPr>
            <w:r>
              <w:rPr>
                <w:noProof/>
              </w:rPr>
              <w:t>C10.R1 Reforma guvernanței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78E292B9" w14:textId="191B6D25" w:rsidR="00702291" w:rsidRDefault="00712B31">
            <w:pPr>
              <w:pStyle w:val="P68B1DB1-Normal27"/>
              <w:spacing w:after="120" w:line="240" w:lineRule="auto"/>
              <w:rPr>
                <w:rFonts w:eastAsiaTheme="minorHAnsi"/>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0D0331F" w14:textId="20ADD25A" w:rsidR="00702291" w:rsidRDefault="00712B31">
            <w:pPr>
              <w:pStyle w:val="P68B1DB1-Normal32"/>
              <w:spacing w:after="120" w:line="240" w:lineRule="auto"/>
              <w:rPr>
                <w:rFonts w:eastAsiaTheme="minorHAnsi"/>
                <w:noProof/>
              </w:rPr>
            </w:pPr>
            <w:r>
              <w:rPr>
                <w:noProof/>
              </w:rPr>
              <w:t>Legislație de modificare a guvernanței Magyar Fejlesztési Bank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6E45DF36" w14:textId="20560490" w:rsidR="00702291" w:rsidRDefault="00712B31">
            <w:pPr>
              <w:pStyle w:val="P68B1DB1-Normal27"/>
              <w:spacing w:after="120" w:line="240" w:lineRule="auto"/>
              <w:rPr>
                <w:rFonts w:eastAsiaTheme="minorHAnsi"/>
                <w:noProof/>
              </w:rPr>
            </w:pPr>
            <w:r>
              <w:rPr>
                <w:noProof/>
              </w:rPr>
              <w:t xml:space="preserve">Dispoziție legală care indică data de intrare în vigoare a legislației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0991083E" w14:textId="71BC56FA" w:rsidR="00702291" w:rsidRDefault="00712B31">
            <w:pPr>
              <w:pStyle w:val="P68B1DB1-Normal27"/>
              <w:spacing w:after="120" w:line="240" w:lineRule="auto"/>
              <w:rPr>
                <w:rFonts w:eastAsiaTheme="minorHAnsi"/>
                <w:noProof/>
              </w:rPr>
            </w:pPr>
            <w:r>
              <w:rPr>
                <w:noProof/>
              </w:rPr>
              <w:t xml:space="preserve"> </w:t>
            </w:r>
          </w:p>
        </w:tc>
        <w:tc>
          <w:tcPr>
            <w:tcW w:w="1005" w:type="dxa"/>
            <w:tcBorders>
              <w:top w:val="single" w:sz="4" w:space="0" w:color="auto"/>
              <w:left w:val="single" w:sz="4" w:space="0" w:color="auto"/>
              <w:bottom w:val="single" w:sz="4" w:space="0" w:color="auto"/>
              <w:right w:val="single" w:sz="4" w:space="0" w:color="auto"/>
            </w:tcBorders>
            <w:shd w:val="clear" w:color="auto" w:fill="C6EFCE"/>
          </w:tcPr>
          <w:p w14:paraId="1BF5DC1C" w14:textId="7BC3C06D" w:rsidR="00702291" w:rsidRDefault="00712B31">
            <w:pPr>
              <w:pStyle w:val="P68B1DB1-Normal27"/>
              <w:spacing w:after="120" w:line="240" w:lineRule="auto"/>
              <w:rPr>
                <w:rFonts w:eastAsiaTheme="minorHAnsi"/>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209F0BE" w14:textId="3D70B2D9" w:rsidR="00702291" w:rsidRDefault="00712B31">
            <w:pPr>
              <w:pStyle w:val="P68B1DB1-Normal27"/>
              <w:spacing w:after="120" w:line="240" w:lineRule="auto"/>
              <w:rPr>
                <w:rFonts w:eastAsiaTheme="minorHAnsi"/>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65894F" w14:textId="19122810" w:rsidR="00702291" w:rsidRDefault="00F233DB">
            <w:pPr>
              <w:pStyle w:val="P68B1DB1-Normal27"/>
              <w:spacing w:after="120" w:line="240" w:lineRule="auto"/>
              <w:jc w:val="center"/>
              <w:rPr>
                <w:rFonts w:eastAsiaTheme="minorHAnsi"/>
                <w:noProof/>
              </w:rPr>
            </w:pPr>
            <w:r>
              <w:rPr>
                <w:noProof/>
              </w:rPr>
              <w:t>T2</w:t>
            </w:r>
          </w:p>
        </w:tc>
        <w:tc>
          <w:tcPr>
            <w:tcW w:w="618" w:type="dxa"/>
            <w:tcBorders>
              <w:top w:val="single" w:sz="4" w:space="0" w:color="auto"/>
              <w:left w:val="single" w:sz="4" w:space="0" w:color="auto"/>
              <w:bottom w:val="single" w:sz="4" w:space="0" w:color="auto"/>
              <w:right w:val="single" w:sz="4" w:space="0" w:color="auto"/>
            </w:tcBorders>
            <w:shd w:val="clear" w:color="auto" w:fill="C6EFCE"/>
          </w:tcPr>
          <w:p w14:paraId="5C515ED5" w14:textId="70587383" w:rsidR="00702291" w:rsidRDefault="00712B31">
            <w:pPr>
              <w:pStyle w:val="P68B1DB1-Normal27"/>
              <w:spacing w:after="120" w:line="240" w:lineRule="auto"/>
              <w:rPr>
                <w:rFonts w:eastAsiaTheme="minorHAnsi"/>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49B7CB51" w14:textId="77777777" w:rsidR="00702291" w:rsidRDefault="00712B31">
            <w:pPr>
              <w:pStyle w:val="P68B1DB1-Normal27"/>
              <w:spacing w:after="120" w:line="240" w:lineRule="auto"/>
              <w:jc w:val="both"/>
              <w:rPr>
                <w:noProof/>
              </w:rPr>
            </w:pPr>
            <w:r>
              <w:rPr>
                <w:noProof/>
              </w:rPr>
              <w:t>Intră în vigoare acte legislative de modificare a guvernanței MFB. Legislația impune:</w:t>
            </w:r>
          </w:p>
          <w:p w14:paraId="2AFFBA18" w14:textId="5456A27C" w:rsidR="00702291" w:rsidRDefault="00712B31">
            <w:pPr>
              <w:pStyle w:val="P68B1DB1-ListParagraph68"/>
              <w:numPr>
                <w:ilvl w:val="0"/>
                <w:numId w:val="136"/>
              </w:numPr>
              <w:spacing w:after="120" w:line="240" w:lineRule="auto"/>
              <w:contextualSpacing w:val="0"/>
              <w:jc w:val="both"/>
              <w:rPr>
                <w:noProof/>
              </w:rPr>
            </w:pPr>
            <w:r>
              <w:rPr>
                <w:noProof/>
              </w:rPr>
              <w:t>Interdicția impusă persoanelor care dețin o funcție politică de rang înalt, persoanelor care dețin o funcție de conducere în administrația guvernamentală (inclusiv secretar de stat administrativ, secretar de stat adjunct, șef de departament, șef de departament adjunct) și persoanelor implicate în activități profesionale de lobby (astfel cum sunt definite în Legea privind MFB) de a deține funcții în Consiliul de administrație, Consiliul de supraveghere sau Comitetul de audit al MFB, completată de o perioadă de incompatibilitate de șase luni.</w:t>
            </w:r>
          </w:p>
          <w:p w14:paraId="2F92F220" w14:textId="3E12D019" w:rsidR="00702291" w:rsidRDefault="00712B31">
            <w:pPr>
              <w:pStyle w:val="P68B1DB1-ListParagraph68"/>
              <w:numPr>
                <w:ilvl w:val="0"/>
                <w:numId w:val="136"/>
              </w:numPr>
              <w:spacing w:after="120" w:line="240" w:lineRule="auto"/>
              <w:contextualSpacing w:val="0"/>
              <w:jc w:val="both"/>
              <w:rPr>
                <w:noProof/>
              </w:rPr>
            </w:pPr>
            <w:r>
              <w:rPr>
                <w:noProof/>
              </w:rPr>
              <w:t>Stabilirea procedurilor de numire a membrilor Consiliului de administrație, ai Consiliului de supraveghere și ai Comitetului de audit, inclusiv a unor criterii obiective de adecvare și profesionale, a unor garanții privind conflictele de interese, a unor declarații obligatorii de interese și a unor limite privind renumirile.</w:t>
            </w:r>
          </w:p>
          <w:p w14:paraId="335F9370" w14:textId="72C62698" w:rsidR="00702291" w:rsidRDefault="00712B31">
            <w:pPr>
              <w:pStyle w:val="P68B1DB1-ListParagraph68"/>
              <w:numPr>
                <w:ilvl w:val="0"/>
                <w:numId w:val="136"/>
              </w:numPr>
              <w:spacing w:after="120" w:line="240" w:lineRule="auto"/>
              <w:contextualSpacing w:val="0"/>
              <w:jc w:val="both"/>
              <w:rPr>
                <w:noProof/>
              </w:rPr>
            </w:pPr>
            <w:r>
              <w:rPr>
                <w:noProof/>
              </w:rPr>
              <w:t>Membrii Consiliului de administrație, ai Consiliului de supraveghere și ai Comitetului de audit pot fi demiși numai din motive obiective, care sunt specificate în lege.</w:t>
            </w:r>
          </w:p>
          <w:p w14:paraId="74A7F30C" w14:textId="69C2545C" w:rsidR="00702291" w:rsidRDefault="00712B31">
            <w:pPr>
              <w:pStyle w:val="P68B1DB1-ListParagraph68"/>
              <w:numPr>
                <w:ilvl w:val="0"/>
                <w:numId w:val="136"/>
              </w:numPr>
              <w:spacing w:after="120" w:line="240" w:lineRule="auto"/>
              <w:contextualSpacing w:val="0"/>
              <w:jc w:val="both"/>
              <w:rPr>
                <w:noProof/>
              </w:rPr>
            </w:pPr>
            <w:r>
              <w:rPr>
                <w:noProof/>
              </w:rPr>
              <w:t>Înființarea unei întreprinderi de risc și a unui comitet de gestionare a riscurilor responsabil cu furnizarea de avize și recomandări fără caracter obligatoriu Consiliului de administrație responsabil cu evaluările tehnice și de reglementare ale operațiunilor de investiții propuse și cu verificarea conformității cu politica de investiții, cu normele MRR și cu alte cerințe de reglementare aplicabile;</w:t>
            </w:r>
          </w:p>
          <w:p w14:paraId="6A23F883" w14:textId="77777777" w:rsidR="00702291" w:rsidRDefault="00712B31">
            <w:pPr>
              <w:pStyle w:val="P68B1DB1-ListParagraph43"/>
              <w:numPr>
                <w:ilvl w:val="0"/>
                <w:numId w:val="136"/>
              </w:numPr>
              <w:spacing w:after="120" w:line="240" w:lineRule="auto"/>
              <w:contextualSpacing w:val="0"/>
              <w:jc w:val="both"/>
              <w:rPr>
                <w:noProof/>
              </w:rPr>
            </w:pPr>
            <w:r>
              <w:rPr>
                <w:noProof/>
              </w:rPr>
              <w:t>Interdicția ca MFB să finanțeze entități ai căror beneficiari reali nu pot fi verificați.</w:t>
            </w:r>
          </w:p>
          <w:p w14:paraId="01019BD3" w14:textId="4F79E01E" w:rsidR="00702291" w:rsidRDefault="00712B31">
            <w:pPr>
              <w:pStyle w:val="P68B1DB1-ListParagraph43"/>
              <w:numPr>
                <w:ilvl w:val="0"/>
                <w:numId w:val="136"/>
              </w:numPr>
              <w:spacing w:after="120" w:line="240" w:lineRule="auto"/>
              <w:contextualSpacing w:val="0"/>
              <w:jc w:val="both"/>
              <w:rPr>
                <w:noProof/>
              </w:rPr>
            </w:pPr>
            <w:r>
              <w:rPr>
                <w:noProof/>
              </w:rPr>
              <w:t>Verificarea obligatorie a beneficiarilor reali înainte de deciziile de finanțare, precum și publicarea anuală a informațiilor privind fondurile finanțate, vehiculele investiționale gestionate de MFB.</w:t>
            </w:r>
          </w:p>
          <w:p w14:paraId="35C3A626" w14:textId="7830FA02" w:rsidR="00702291" w:rsidRDefault="00712B31">
            <w:pPr>
              <w:pStyle w:val="P68B1DB1-ListParagraph43"/>
              <w:numPr>
                <w:ilvl w:val="0"/>
                <w:numId w:val="136"/>
              </w:numPr>
              <w:spacing w:after="120" w:line="240" w:lineRule="auto"/>
              <w:contextualSpacing w:val="0"/>
              <w:jc w:val="both"/>
              <w:rPr>
                <w:noProof/>
              </w:rPr>
            </w:pPr>
            <w:r>
              <w:rPr>
                <w:noProof/>
              </w:rPr>
              <w:t>Selectarea tuturor intermediarilor financiari prin cereri de propuneri deschise, competitive și neexclusive</w:t>
            </w:r>
          </w:p>
          <w:p w14:paraId="38B007FE" w14:textId="1E21D790" w:rsidR="00702291" w:rsidRDefault="00712B31">
            <w:pPr>
              <w:pStyle w:val="P68B1DB1-ListParagraph43"/>
              <w:numPr>
                <w:ilvl w:val="0"/>
                <w:numId w:val="136"/>
              </w:numPr>
              <w:spacing w:after="120" w:line="240" w:lineRule="auto"/>
              <w:contextualSpacing w:val="0"/>
              <w:jc w:val="both"/>
              <w:rPr>
                <w:noProof/>
              </w:rPr>
            </w:pPr>
            <w:r>
              <w:rPr>
                <w:noProof/>
              </w:rPr>
              <w:t>Cerința de a publica un raport anual de conformitate întocmit de auditori independenți care să verifice respectarea criteriilor enumerate mai sus. Auditul evaluează, de asemenea, procedurile privind integritatea și conflictele de interese, conformitatea procedurală, transparența structurilor taxelor și mecanismele existente pentru a preveni dubla finanțare din surse alocate din programele Uniunii.</w:t>
            </w:r>
          </w:p>
        </w:tc>
      </w:tr>
      <w:tr w:rsidR="00702291" w14:paraId="53E26D0F" w14:textId="77777777" w:rsidTr="00494F0E">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46A406A9" w14:textId="5DCAAE6F" w:rsidR="00702291" w:rsidRDefault="00712B31">
            <w:pPr>
              <w:pStyle w:val="P68B1DB1-Normal27"/>
              <w:autoSpaceDE w:val="0"/>
              <w:autoSpaceDN w:val="0"/>
              <w:adjustRightInd w:val="0"/>
              <w:spacing w:after="120" w:line="240" w:lineRule="auto"/>
              <w:jc w:val="both"/>
              <w:rPr>
                <w:noProof/>
              </w:rPr>
            </w:pPr>
            <w:r>
              <w:rPr>
                <w:noProof/>
              </w:rPr>
              <w:t>118</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DA06355" w14:textId="1545BF28" w:rsidR="00702291" w:rsidRDefault="00712B31">
            <w:pPr>
              <w:pStyle w:val="P68B1DB1-Normal32"/>
              <w:spacing w:after="120" w:line="240" w:lineRule="auto"/>
              <w:rPr>
                <w:noProof/>
              </w:rPr>
            </w:pPr>
            <w:r>
              <w:rPr>
                <w:noProof/>
              </w:rPr>
              <w:t>C10.R1 Reforma guvernanței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D0F6782" w14:textId="5668D2AB" w:rsidR="00702291" w:rsidRDefault="00712B31">
            <w:pPr>
              <w:pStyle w:val="P68B1DB1-Normal27"/>
              <w:spacing w:after="120" w:line="240" w:lineRule="auto"/>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43029F79" w14:textId="0E66E0F6" w:rsidR="00702291" w:rsidRDefault="00712B31">
            <w:pPr>
              <w:pStyle w:val="P68B1DB1-Normal27"/>
              <w:spacing w:after="120" w:line="240" w:lineRule="auto"/>
              <w:rPr>
                <w:noProof/>
              </w:rPr>
            </w:pPr>
            <w:r>
              <w:rPr>
                <w:noProof/>
              </w:rPr>
              <w:t>Numirea organismelor de guvernanță ale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56ACB61A" w14:textId="3A2D1AB6" w:rsidR="00702291" w:rsidRDefault="00712B31">
            <w:pPr>
              <w:pStyle w:val="P68B1DB1-Normal27"/>
              <w:spacing w:after="120" w:line="240" w:lineRule="auto"/>
              <w:rPr>
                <w:noProof/>
              </w:rPr>
            </w:pPr>
            <w:r>
              <w:rPr>
                <w:noProof/>
              </w:rPr>
              <w:t xml:space="preserve">Numirea oficială a organismelor de guvernanță ale MFB, în conformitate cu noul cadru de guvernanță.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3AD2F8C9" w14:textId="77777777" w:rsidR="00702291" w:rsidRDefault="00702291">
            <w:pPr>
              <w:spacing w:after="120" w:line="240" w:lineRule="auto"/>
              <w:rPr>
                <w:rFonts w:ascii="Times New Roman" w:eastAsia="Times New Roman" w:hAnsi="Times New Roman" w:cs="Times New Roman"/>
                <w:noProof/>
                <w:sz w:val="18"/>
                <w:szCs w:val="18"/>
              </w:rPr>
            </w:pPr>
          </w:p>
        </w:tc>
        <w:tc>
          <w:tcPr>
            <w:tcW w:w="1005" w:type="dxa"/>
            <w:tcBorders>
              <w:top w:val="single" w:sz="4" w:space="0" w:color="auto"/>
              <w:left w:val="single" w:sz="4" w:space="0" w:color="auto"/>
              <w:bottom w:val="single" w:sz="4" w:space="0" w:color="auto"/>
              <w:right w:val="single" w:sz="4" w:space="0" w:color="auto"/>
            </w:tcBorders>
            <w:shd w:val="clear" w:color="auto" w:fill="C6EFCE"/>
          </w:tcPr>
          <w:p w14:paraId="4A9EFBBA" w14:textId="77777777" w:rsidR="00702291" w:rsidRDefault="00702291">
            <w:pPr>
              <w:spacing w:after="120" w:line="240" w:lineRule="auto"/>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2BFE10" w14:textId="77777777" w:rsidR="00702291" w:rsidRDefault="00702291">
            <w:pPr>
              <w:spacing w:after="120" w:line="240" w:lineRule="auto"/>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2BE9071" w14:textId="1F46A0B3" w:rsidR="00702291" w:rsidRDefault="00F233DB">
            <w:pPr>
              <w:pStyle w:val="P68B1DB1-Normal27"/>
              <w:spacing w:after="120" w:line="240" w:lineRule="auto"/>
              <w:jc w:val="center"/>
              <w:rPr>
                <w:noProof/>
              </w:rPr>
            </w:pPr>
            <w:r>
              <w:rPr>
                <w:noProof/>
              </w:rPr>
              <w:t>T2</w:t>
            </w:r>
          </w:p>
        </w:tc>
        <w:tc>
          <w:tcPr>
            <w:tcW w:w="618" w:type="dxa"/>
            <w:tcBorders>
              <w:top w:val="single" w:sz="4" w:space="0" w:color="auto"/>
              <w:left w:val="single" w:sz="4" w:space="0" w:color="auto"/>
              <w:bottom w:val="single" w:sz="4" w:space="0" w:color="auto"/>
              <w:right w:val="single" w:sz="4" w:space="0" w:color="auto"/>
            </w:tcBorders>
            <w:shd w:val="clear" w:color="auto" w:fill="C6EFCE"/>
          </w:tcPr>
          <w:p w14:paraId="23B816B8" w14:textId="7A4646C8" w:rsidR="00702291" w:rsidRDefault="00712B31">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84C5840" w14:textId="7516679B" w:rsidR="00702291" w:rsidRDefault="00712B31">
            <w:pPr>
              <w:pStyle w:val="P68B1DB1-Normal27"/>
              <w:spacing w:after="120" w:line="240" w:lineRule="auto"/>
              <w:jc w:val="both"/>
              <w:rPr>
                <w:noProof/>
              </w:rPr>
            </w:pPr>
            <w:r>
              <w:rPr>
                <w:noProof/>
              </w:rPr>
              <w:t xml:space="preserve">Numirea Consiliului de administrație, a Consiliului de supraveghere și a Comitetului de audit al MFB în conformitate cu legislația de modificare a guvernanței MFB. </w:t>
            </w:r>
          </w:p>
        </w:tc>
      </w:tr>
      <w:tr w:rsidR="00702291" w14:paraId="3B724F0B" w14:textId="77777777" w:rsidTr="00494F0E">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35791335" w14:textId="22265045" w:rsidR="00702291" w:rsidRDefault="00712B31">
            <w:pPr>
              <w:pStyle w:val="P68B1DB1-Normal27"/>
              <w:spacing w:after="120" w:line="240" w:lineRule="auto"/>
              <w:rPr>
                <w:noProof/>
              </w:rPr>
            </w:pPr>
            <w:r>
              <w:rPr>
                <w:noProof/>
              </w:rPr>
              <w:t>119</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0E2AA74" w14:textId="4F104755" w:rsidR="00702291" w:rsidRDefault="00712B31">
            <w:pPr>
              <w:pStyle w:val="P68B1DB1-Normal32"/>
              <w:spacing w:after="120" w:line="240" w:lineRule="auto"/>
              <w:rPr>
                <w:noProof/>
              </w:rPr>
            </w:pPr>
            <w:r>
              <w:rPr>
                <w:noProof/>
              </w:rPr>
              <w:t xml:space="preserve">C10.R1 Reforma guvernanței Magyar Fejlesztési Bank </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12B1E196" w14:textId="585ECFF6" w:rsidR="00702291" w:rsidRDefault="00712B31">
            <w:pPr>
              <w:pStyle w:val="P68B1DB1-Normal27"/>
              <w:spacing w:after="120" w:line="240" w:lineRule="auto"/>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4D27E8DF" w14:textId="485CED34" w:rsidR="00702291" w:rsidRDefault="00712B31">
            <w:pPr>
              <w:pStyle w:val="P68B1DB1-Normal27"/>
              <w:spacing w:after="120" w:line="240" w:lineRule="auto"/>
              <w:rPr>
                <w:noProof/>
              </w:rPr>
            </w:pPr>
            <w:r>
              <w:rPr>
                <w:noProof/>
              </w:rPr>
              <w:t>Revizuirea schemelor de creditare subvenționate de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0F1D8CE4" w14:textId="3004BFC1" w:rsidR="00702291" w:rsidRDefault="00712B31">
            <w:pPr>
              <w:pStyle w:val="P68B1DB1-Normal27"/>
              <w:spacing w:after="120" w:line="240" w:lineRule="auto"/>
              <w:rPr>
                <w:noProof/>
              </w:rPr>
            </w:pPr>
            <w:r>
              <w:rPr>
                <w:noProof/>
              </w:rPr>
              <w:t xml:space="preserve"> Revizuirea schemelor de creditare subvenționate de MFB.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7BB2C8C3" w14:textId="77777777" w:rsidR="00702291" w:rsidRDefault="00702291">
            <w:pPr>
              <w:spacing w:after="120" w:line="240" w:lineRule="auto"/>
              <w:rPr>
                <w:rFonts w:ascii="Times New Roman" w:eastAsia="Times New Roman" w:hAnsi="Times New Roman" w:cs="Times New Roman"/>
                <w:noProof/>
                <w:sz w:val="18"/>
                <w:szCs w:val="18"/>
              </w:rPr>
            </w:pPr>
          </w:p>
        </w:tc>
        <w:tc>
          <w:tcPr>
            <w:tcW w:w="1005" w:type="dxa"/>
            <w:tcBorders>
              <w:top w:val="single" w:sz="4" w:space="0" w:color="auto"/>
              <w:left w:val="single" w:sz="4" w:space="0" w:color="auto"/>
              <w:bottom w:val="single" w:sz="4" w:space="0" w:color="auto"/>
              <w:right w:val="single" w:sz="4" w:space="0" w:color="auto"/>
            </w:tcBorders>
            <w:shd w:val="clear" w:color="auto" w:fill="C6EFCE"/>
          </w:tcPr>
          <w:p w14:paraId="14CCDB0D" w14:textId="77777777" w:rsidR="00702291" w:rsidRDefault="00702291">
            <w:pPr>
              <w:spacing w:after="120" w:line="240" w:lineRule="auto"/>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1FC3F18" w14:textId="77777777" w:rsidR="00702291" w:rsidRDefault="00702291">
            <w:pPr>
              <w:spacing w:after="120" w:line="240" w:lineRule="auto"/>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0D2622" w14:textId="6B187BD5" w:rsidR="00702291" w:rsidRDefault="00F233DB">
            <w:pPr>
              <w:pStyle w:val="P68B1DB1-Normal27"/>
              <w:spacing w:after="120" w:line="240" w:lineRule="auto"/>
              <w:jc w:val="center"/>
              <w:rPr>
                <w:noProof/>
              </w:rPr>
            </w:pPr>
            <w:r>
              <w:rPr>
                <w:noProof/>
              </w:rPr>
              <w:t>T2</w:t>
            </w:r>
          </w:p>
        </w:tc>
        <w:tc>
          <w:tcPr>
            <w:tcW w:w="618" w:type="dxa"/>
            <w:tcBorders>
              <w:top w:val="single" w:sz="4" w:space="0" w:color="auto"/>
              <w:left w:val="single" w:sz="4" w:space="0" w:color="auto"/>
              <w:bottom w:val="single" w:sz="4" w:space="0" w:color="auto"/>
              <w:right w:val="single" w:sz="4" w:space="0" w:color="auto"/>
            </w:tcBorders>
            <w:shd w:val="clear" w:color="auto" w:fill="C6EFCE"/>
          </w:tcPr>
          <w:p w14:paraId="347C927C" w14:textId="0C602855" w:rsidR="00702291" w:rsidRDefault="00712B31">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A273684" w14:textId="0DDC4B72" w:rsidR="00702291" w:rsidRDefault="00712B31">
            <w:pPr>
              <w:pStyle w:val="P68B1DB1-Normal27"/>
              <w:spacing w:after="120" w:line="240" w:lineRule="auto"/>
              <w:jc w:val="both"/>
              <w:rPr>
                <w:noProof/>
              </w:rPr>
            </w:pPr>
            <w:r>
              <w:rPr>
                <w:noProof/>
              </w:rPr>
              <w:t>Un raport de revizuire al MFB privind sistemele de creditare subvenționate existente ale MFB, care identifică sistemele care nu au o adiționalitate clară sau care elimină finanțarea de pe piața privată și oferă recomandări Consiliului de administrație al MFB cu privire la o strategie de eliminare a acestor sisteme.</w:t>
            </w:r>
          </w:p>
          <w:p w14:paraId="2A0C785D" w14:textId="037774C5" w:rsidR="00702291" w:rsidRDefault="00712B31">
            <w:pPr>
              <w:pStyle w:val="P68B1DB1-Normal27"/>
              <w:spacing w:after="120" w:line="240" w:lineRule="auto"/>
              <w:jc w:val="both"/>
              <w:rPr>
                <w:noProof/>
              </w:rPr>
            </w:pPr>
            <w:r>
              <w:rPr>
                <w:noProof/>
              </w:rPr>
              <w:t xml:space="preserve">Se adoptă o rezoluție a Consiliului de administrație al MFB prin care se angajează să acționeze pe baza recomandărilor din raport. </w:t>
            </w:r>
          </w:p>
        </w:tc>
      </w:tr>
      <w:tr w:rsidR="00702291" w14:paraId="0BEC3AE1" w14:textId="77777777" w:rsidTr="00494F0E">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65804E6C" w14:textId="2B120AC7" w:rsidR="00702291" w:rsidRDefault="00712B31">
            <w:pPr>
              <w:pStyle w:val="P68B1DB1-Normal27"/>
              <w:spacing w:after="120" w:line="240" w:lineRule="auto"/>
              <w:rPr>
                <w:noProof/>
              </w:rPr>
            </w:pPr>
            <w:r>
              <w:rPr>
                <w:noProof/>
              </w:rPr>
              <w:t>120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64D6213" w14:textId="21A9DE84" w:rsidR="00702291" w:rsidRDefault="00712B31">
            <w:pPr>
              <w:pStyle w:val="P68B1DB1-Normal32"/>
              <w:spacing w:after="120" w:line="240" w:lineRule="auto"/>
              <w:rPr>
                <w:noProof/>
              </w:rPr>
            </w:pPr>
            <w:r>
              <w:rPr>
                <w:noProof/>
              </w:rPr>
              <w:t>C10.R1 Reforma guvernanței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61B82866" w14:textId="5483BBFA" w:rsidR="00702291" w:rsidRDefault="00712B31">
            <w:pPr>
              <w:pStyle w:val="P68B1DB1-Normal27"/>
              <w:spacing w:after="120" w:line="240" w:lineRule="auto"/>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70F2C56A" w14:textId="5CCF408F" w:rsidR="00702291" w:rsidRDefault="00712B31">
            <w:pPr>
              <w:pStyle w:val="P68B1DB1-Normal27"/>
              <w:spacing w:after="120" w:line="240" w:lineRule="auto"/>
              <w:rPr>
                <w:noProof/>
              </w:rPr>
            </w:pPr>
            <w:r>
              <w:rPr>
                <w:noProof/>
              </w:rPr>
              <w:t>Revizuirea garanțiilor de stat și a altor măsuri de sprijin din partea statului care acoperă operațiunile MFB</w:t>
            </w:r>
          </w:p>
        </w:tc>
        <w:tc>
          <w:tcPr>
            <w:tcW w:w="1752" w:type="dxa"/>
            <w:tcBorders>
              <w:top w:val="single" w:sz="4" w:space="0" w:color="auto"/>
              <w:left w:val="single" w:sz="4" w:space="0" w:color="auto"/>
              <w:bottom w:val="single" w:sz="4" w:space="0" w:color="auto"/>
              <w:right w:val="single" w:sz="4" w:space="0" w:color="auto"/>
            </w:tcBorders>
            <w:shd w:val="clear" w:color="auto" w:fill="C6EFCE"/>
            <w:vAlign w:val="center"/>
          </w:tcPr>
          <w:p w14:paraId="2C8C7715" w14:textId="15EC8684" w:rsidR="00702291" w:rsidRDefault="00712B31">
            <w:pPr>
              <w:pStyle w:val="P68B1DB1-Normal27"/>
              <w:spacing w:after="120" w:line="240" w:lineRule="auto"/>
              <w:rPr>
                <w:noProof/>
              </w:rPr>
            </w:pPr>
            <w:r>
              <w:rPr>
                <w:noProof/>
              </w:rPr>
              <w:t xml:space="preserve"> Revizuirea garanțiilor de stat și a altor măsuri de sprijin din partea statului care acoperă operațiunile MFB.</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23C138F9" w14:textId="77777777" w:rsidR="00702291" w:rsidRDefault="00702291">
            <w:pPr>
              <w:spacing w:after="120" w:line="240" w:lineRule="auto"/>
              <w:rPr>
                <w:rFonts w:ascii="Times New Roman" w:eastAsia="Times New Roman" w:hAnsi="Times New Roman" w:cs="Times New Roman"/>
                <w:noProof/>
                <w:sz w:val="18"/>
                <w:szCs w:val="18"/>
              </w:rPr>
            </w:pPr>
          </w:p>
        </w:tc>
        <w:tc>
          <w:tcPr>
            <w:tcW w:w="1005" w:type="dxa"/>
            <w:tcBorders>
              <w:top w:val="single" w:sz="4" w:space="0" w:color="auto"/>
              <w:left w:val="single" w:sz="4" w:space="0" w:color="auto"/>
              <w:bottom w:val="single" w:sz="4" w:space="0" w:color="auto"/>
              <w:right w:val="single" w:sz="4" w:space="0" w:color="auto"/>
            </w:tcBorders>
            <w:shd w:val="clear" w:color="auto" w:fill="C6EFCE"/>
          </w:tcPr>
          <w:p w14:paraId="46B361DA" w14:textId="77777777" w:rsidR="00702291" w:rsidRDefault="00702291">
            <w:pPr>
              <w:spacing w:after="120" w:line="240" w:lineRule="auto"/>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ABDC747" w14:textId="77777777" w:rsidR="00702291" w:rsidRDefault="00702291">
            <w:pPr>
              <w:spacing w:after="120" w:line="240" w:lineRule="auto"/>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D92DBE4" w14:textId="1055FACC" w:rsidR="00702291" w:rsidRDefault="00F233DB">
            <w:pPr>
              <w:pStyle w:val="P68B1DB1-Normal27"/>
              <w:spacing w:after="120" w:line="240" w:lineRule="auto"/>
              <w:jc w:val="center"/>
              <w:rPr>
                <w:noProof/>
              </w:rPr>
            </w:pPr>
            <w:r>
              <w:rPr>
                <w:noProof/>
              </w:rPr>
              <w:t>T2</w:t>
            </w:r>
          </w:p>
        </w:tc>
        <w:tc>
          <w:tcPr>
            <w:tcW w:w="618" w:type="dxa"/>
            <w:tcBorders>
              <w:top w:val="single" w:sz="4" w:space="0" w:color="auto"/>
              <w:left w:val="single" w:sz="4" w:space="0" w:color="auto"/>
              <w:bottom w:val="single" w:sz="4" w:space="0" w:color="auto"/>
              <w:right w:val="single" w:sz="4" w:space="0" w:color="auto"/>
            </w:tcBorders>
            <w:shd w:val="clear" w:color="auto" w:fill="C6EFCE"/>
          </w:tcPr>
          <w:p w14:paraId="560A7F49" w14:textId="1BD44456" w:rsidR="00702291" w:rsidRDefault="00712B31">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BC1FBF8" w14:textId="2AAFC03E" w:rsidR="00702291" w:rsidRDefault="00712B31">
            <w:pPr>
              <w:pStyle w:val="P68B1DB1-Normal27"/>
              <w:spacing w:after="120" w:line="240" w:lineRule="auto"/>
              <w:jc w:val="both"/>
              <w:rPr>
                <w:noProof/>
              </w:rPr>
            </w:pPr>
            <w:r>
              <w:rPr>
                <w:noProof/>
              </w:rPr>
              <w:t xml:space="preserve">Un raport guvernamental de revizuire a garanțiilor de stat privind creditarea MFB și partajarea riscurilor de stat (schema de egalizare a capitalului, sistemul de egalizare a dobânzii și sistemul de acoperire a ratei de schimb), cu recomandări adresate Consiliului de administrație al MFB pentru limitarea expunerii directe a bugetului public general la operațiunile MFB și strategia de eliminare treptată a garanțiilor de stat inutile (inclusiv sistemul de egalizare a dobânzii). O scrisoare oficială din partea ministrului de finanțe prin care acesta se angajează să dea curs recomandărilor din raport se transmite Comisiei. </w:t>
            </w:r>
          </w:p>
        </w:tc>
      </w:tr>
      <w:tr w:rsidR="00702291" w14:paraId="044447A0" w14:textId="77777777" w:rsidTr="00494F0E">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7F37CE2A" w14:textId="63874F7C" w:rsidR="00702291" w:rsidRDefault="00712B31">
            <w:pPr>
              <w:pStyle w:val="P68B1DB1-Normal27"/>
              <w:spacing w:after="120" w:line="240" w:lineRule="auto"/>
              <w:rPr>
                <w:noProof/>
              </w:rPr>
            </w:pPr>
            <w:r>
              <w:rPr>
                <w:noProof/>
              </w:rPr>
              <w:t>121</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AED2C8D" w14:textId="714EC08C" w:rsidR="00702291" w:rsidRDefault="00712B31">
            <w:pPr>
              <w:pStyle w:val="P68B1DB1-Normal32"/>
              <w:spacing w:after="120" w:line="240" w:lineRule="auto"/>
              <w:rPr>
                <w:noProof/>
              </w:rPr>
            </w:pPr>
            <w:r>
              <w:rPr>
                <w:noProof/>
              </w:rPr>
              <w:t>C10.I1 Injecție de capital în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17D2EA7A" w14:textId="07922D13" w:rsidR="00702291" w:rsidRDefault="00712B31">
            <w:pPr>
              <w:pStyle w:val="P68B1DB1-Normal27"/>
              <w:spacing w:after="120" w:line="240" w:lineRule="auto"/>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117A0837" w14:textId="77683769" w:rsidR="00702291" w:rsidRDefault="00712B31">
            <w:pPr>
              <w:pStyle w:val="P68B1DB1-Normal27"/>
              <w:spacing w:after="120" w:line="240" w:lineRule="auto"/>
              <w:rPr>
                <w:noProof/>
              </w:rPr>
            </w:pPr>
            <w:r>
              <w:rPr>
                <w:noProof/>
              </w:rPr>
              <w:t>Politică de investiții</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1199DACF" w14:textId="7422A6DC" w:rsidR="00702291" w:rsidRDefault="00712B31">
            <w:pPr>
              <w:pStyle w:val="P68B1DB1-Normal27"/>
              <w:spacing w:after="120" w:line="240" w:lineRule="auto"/>
              <w:rPr>
                <w:noProof/>
              </w:rPr>
            </w:pPr>
            <w:r>
              <w:rPr>
                <w:noProof/>
              </w:rPr>
              <w:t>Adoptarea unei politici de investiții</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566BECD9" w14:textId="70683F87" w:rsidR="00702291" w:rsidRDefault="00712B31">
            <w:pPr>
              <w:pStyle w:val="P68B1DB1-Normal27"/>
              <w:spacing w:after="120" w:line="240" w:lineRule="auto"/>
              <w:rPr>
                <w:noProof/>
              </w:rPr>
            </w:pPr>
            <w:r>
              <w:rPr>
                <w:noProof/>
              </w:rPr>
              <w:t xml:space="preserve"> </w:t>
            </w:r>
          </w:p>
        </w:tc>
        <w:tc>
          <w:tcPr>
            <w:tcW w:w="1005" w:type="dxa"/>
            <w:tcBorders>
              <w:top w:val="single" w:sz="4" w:space="0" w:color="auto"/>
              <w:left w:val="single" w:sz="4" w:space="0" w:color="auto"/>
              <w:bottom w:val="single" w:sz="4" w:space="0" w:color="auto"/>
              <w:right w:val="single" w:sz="4" w:space="0" w:color="auto"/>
            </w:tcBorders>
            <w:shd w:val="clear" w:color="auto" w:fill="C6EFCE"/>
          </w:tcPr>
          <w:p w14:paraId="056A1CC6" w14:textId="6A5A16C0" w:rsidR="00702291" w:rsidRDefault="00712B31">
            <w:pPr>
              <w:pStyle w:val="P68B1DB1-Normal27"/>
              <w:spacing w:after="120" w:line="240" w:lineRule="auto"/>
              <w:rPr>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DE8689" w14:textId="1D27B592" w:rsidR="00702291" w:rsidRDefault="00712B31">
            <w:pPr>
              <w:pStyle w:val="P68B1DB1-Normal27"/>
              <w:spacing w:after="120" w:line="240" w:lineRule="auto"/>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DDC0EDC" w14:textId="3A2C7BA8" w:rsidR="00702291" w:rsidRDefault="00F233DB">
            <w:pPr>
              <w:pStyle w:val="P68B1DB1-Normal27"/>
              <w:spacing w:after="120" w:line="240" w:lineRule="auto"/>
              <w:jc w:val="center"/>
              <w:rPr>
                <w:noProof/>
              </w:rPr>
            </w:pPr>
            <w:r>
              <w:rPr>
                <w:noProof/>
              </w:rPr>
              <w:t>T2</w:t>
            </w:r>
          </w:p>
        </w:tc>
        <w:tc>
          <w:tcPr>
            <w:tcW w:w="618" w:type="dxa"/>
            <w:tcBorders>
              <w:top w:val="single" w:sz="4" w:space="0" w:color="auto"/>
              <w:left w:val="single" w:sz="4" w:space="0" w:color="auto"/>
              <w:bottom w:val="single" w:sz="4" w:space="0" w:color="auto"/>
              <w:right w:val="single" w:sz="4" w:space="0" w:color="auto"/>
            </w:tcBorders>
            <w:shd w:val="clear" w:color="auto" w:fill="C6EFCE"/>
          </w:tcPr>
          <w:p w14:paraId="3E32E6A3" w14:textId="57F52072" w:rsidR="00702291" w:rsidRDefault="00712B31">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41C6D774" w14:textId="63B21042" w:rsidR="00702291" w:rsidRDefault="00712B31">
            <w:pPr>
              <w:pStyle w:val="P68B1DB1-Normal27"/>
              <w:spacing w:after="120" w:line="240" w:lineRule="auto"/>
              <w:jc w:val="both"/>
              <w:rPr>
                <w:noProof/>
              </w:rPr>
            </w:pPr>
            <w:r>
              <w:rPr>
                <w:noProof/>
              </w:rPr>
              <w:t>Adoptarea unei noi politici de investiții pentru MFB pentru utilizarea capitalului propriu suplimentar, în conformitate cu descrierea măsurii.</w:t>
            </w:r>
          </w:p>
        </w:tc>
      </w:tr>
      <w:tr w:rsidR="00702291" w14:paraId="094585E2" w14:textId="77777777" w:rsidTr="00494F0E">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36588A3E" w14:textId="42F7A805" w:rsidR="00702291" w:rsidRDefault="00712B31">
            <w:pPr>
              <w:pStyle w:val="P68B1DB1-Normal27"/>
              <w:spacing w:after="120" w:line="240" w:lineRule="auto"/>
              <w:rPr>
                <w:noProof/>
              </w:rPr>
            </w:pPr>
            <w:r>
              <w:rPr>
                <w:noProof/>
              </w:rPr>
              <w:t>122</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DBC2CBC" w14:textId="235D70EF" w:rsidR="00702291" w:rsidRDefault="00712B31">
            <w:pPr>
              <w:pStyle w:val="P68B1DB1-Normal32"/>
              <w:spacing w:after="120" w:line="240" w:lineRule="auto"/>
              <w:rPr>
                <w:noProof/>
              </w:rPr>
            </w:pPr>
            <w:r>
              <w:rPr>
                <w:noProof/>
              </w:rPr>
              <w:t>C10.I1 Injecție de capital în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370D1BB0" w14:textId="027C6064" w:rsidR="00702291" w:rsidRDefault="00712B31">
            <w:pPr>
              <w:pStyle w:val="P68B1DB1-Normal27"/>
              <w:spacing w:after="120" w:line="240" w:lineRule="auto"/>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0CEBFE4A" w14:textId="39D1C1CC" w:rsidR="00702291" w:rsidRDefault="00712B31">
            <w:pPr>
              <w:pStyle w:val="P68B1DB1-Normal27"/>
              <w:spacing w:after="120" w:line="240" w:lineRule="auto"/>
              <w:rPr>
                <w:noProof/>
              </w:rPr>
            </w:pPr>
            <w:r>
              <w:rPr>
                <w:noProof/>
              </w:rPr>
              <w:t>Injecție de capital</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54871E12" w14:textId="3F04855A" w:rsidR="00702291" w:rsidRDefault="00712B31">
            <w:pPr>
              <w:pStyle w:val="P68B1DB1-Normal27"/>
              <w:spacing w:after="120" w:line="240" w:lineRule="auto"/>
              <w:rPr>
                <w:noProof/>
              </w:rPr>
            </w:pPr>
            <w:r>
              <w:rPr>
                <w:noProof/>
              </w:rPr>
              <w:t xml:space="preserve">Certificatul de transfer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5E99736D" w14:textId="77777777" w:rsidR="00702291" w:rsidRDefault="00702291">
            <w:pPr>
              <w:spacing w:after="120" w:line="240" w:lineRule="auto"/>
              <w:rPr>
                <w:rFonts w:ascii="Times New Roman" w:eastAsia="Times New Roman" w:hAnsi="Times New Roman" w:cs="Times New Roman"/>
                <w:noProof/>
                <w:sz w:val="18"/>
                <w:szCs w:val="18"/>
              </w:rPr>
            </w:pPr>
          </w:p>
        </w:tc>
        <w:tc>
          <w:tcPr>
            <w:tcW w:w="1005" w:type="dxa"/>
            <w:tcBorders>
              <w:top w:val="single" w:sz="4" w:space="0" w:color="auto"/>
              <w:left w:val="single" w:sz="4" w:space="0" w:color="auto"/>
              <w:bottom w:val="single" w:sz="4" w:space="0" w:color="auto"/>
              <w:right w:val="single" w:sz="4" w:space="0" w:color="auto"/>
            </w:tcBorders>
            <w:shd w:val="clear" w:color="auto" w:fill="C6EFCE"/>
          </w:tcPr>
          <w:p w14:paraId="3FEE031A" w14:textId="77777777" w:rsidR="00702291" w:rsidRDefault="00702291">
            <w:pPr>
              <w:spacing w:after="120" w:line="240" w:lineRule="auto"/>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8F9C281" w14:textId="77777777" w:rsidR="00702291" w:rsidRDefault="00702291">
            <w:pPr>
              <w:spacing w:after="120" w:line="240" w:lineRule="auto"/>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0A7A256" w14:textId="6253C393" w:rsidR="00702291" w:rsidRDefault="00F233DB">
            <w:pPr>
              <w:pStyle w:val="P68B1DB1-Normal27"/>
              <w:spacing w:after="120" w:line="240" w:lineRule="auto"/>
              <w:jc w:val="center"/>
              <w:rPr>
                <w:noProof/>
              </w:rPr>
            </w:pPr>
            <w:r>
              <w:rPr>
                <w:noProof/>
              </w:rPr>
              <w:t>T2</w:t>
            </w:r>
          </w:p>
        </w:tc>
        <w:tc>
          <w:tcPr>
            <w:tcW w:w="618" w:type="dxa"/>
            <w:tcBorders>
              <w:top w:val="single" w:sz="4" w:space="0" w:color="auto"/>
              <w:left w:val="single" w:sz="4" w:space="0" w:color="auto"/>
              <w:bottom w:val="single" w:sz="4" w:space="0" w:color="auto"/>
              <w:right w:val="single" w:sz="4" w:space="0" w:color="auto"/>
            </w:tcBorders>
            <w:shd w:val="clear" w:color="auto" w:fill="C6EFCE"/>
          </w:tcPr>
          <w:p w14:paraId="0A0B7E0F" w14:textId="68989FEA" w:rsidR="00702291" w:rsidRDefault="00712B31">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423BB69D" w14:textId="28798966" w:rsidR="00702291" w:rsidRDefault="00712B31">
            <w:pPr>
              <w:pStyle w:val="P68B1DB1-Normal27"/>
              <w:spacing w:after="120" w:line="240" w:lineRule="auto"/>
              <w:jc w:val="both"/>
              <w:rPr>
                <w:noProof/>
              </w:rPr>
            </w:pPr>
            <w:r>
              <w:rPr>
                <w:noProof/>
              </w:rPr>
              <w:t>Ungaria transferă 1 126 815 025 EUR către MFB pentru a-și majora capitalul propriu.</w:t>
            </w:r>
          </w:p>
          <w:p w14:paraId="75EFBD7E" w14:textId="07D98060" w:rsidR="00702291" w:rsidRDefault="00712B31">
            <w:pPr>
              <w:pStyle w:val="P68B1DB1-Normal32"/>
              <w:spacing w:after="120" w:line="240" w:lineRule="auto"/>
              <w:jc w:val="both"/>
              <w:rPr>
                <w:rFonts w:eastAsia="Times New Roman"/>
                <w:noProof/>
              </w:rPr>
            </w:pPr>
            <w:r>
              <w:rPr>
                <w:noProof/>
              </w:rPr>
              <w:t>Pe lângă injecția de capital în MFB, care constituie investiția MRR, Ungaria transmite un raport în care prezintă acțiunile întreprinse de MFB până la 31 august 2026 pentru a pune în aplicare politica de investiții, inclusiv măsurile luate pentru punerea în aplicare a produselor financiare pe care se preconizează că le va sprijini inițial capitalul propriu suplimentar, precum și măsurile preconizate a fi luate pentru punerea în aplicare în continuare a produselor respective.</w:t>
            </w:r>
          </w:p>
        </w:tc>
      </w:tr>
    </w:tbl>
    <w:p w14:paraId="13278655" w14:textId="77777777" w:rsidR="00702291" w:rsidRDefault="00702291">
      <w:pPr>
        <w:spacing w:after="120" w:line="240" w:lineRule="auto"/>
        <w:jc w:val="both"/>
        <w:rPr>
          <w:rFonts w:ascii="Times New Roman" w:hAnsi="Times New Roman" w:cs="Times New Roman"/>
          <w:noProof/>
          <w:sz w:val="24"/>
          <w:szCs w:val="24"/>
        </w:rPr>
      </w:pPr>
    </w:p>
    <w:p w14:paraId="3537AF69" w14:textId="77777777" w:rsidR="00702291" w:rsidRDefault="00702291">
      <w:pPr>
        <w:spacing w:after="120" w:line="240" w:lineRule="auto"/>
        <w:jc w:val="both"/>
        <w:rPr>
          <w:rFonts w:ascii="Times New Roman" w:hAnsi="Times New Roman" w:cs="Times New Roman"/>
          <w:noProof/>
          <w:sz w:val="24"/>
          <w:szCs w:val="24"/>
        </w:rPr>
        <w:sectPr w:rsidR="00702291" w:rsidSect="00632EA4">
          <w:headerReference w:type="default" r:id="rId116"/>
          <w:footerReference w:type="default" r:id="rId117"/>
          <w:pgSz w:w="15840" w:h="12240" w:orient="landscape"/>
          <w:pgMar w:top="1440" w:right="1440" w:bottom="1440" w:left="1440" w:header="708" w:footer="708" w:gutter="0"/>
          <w:cols w:space="708"/>
          <w:docGrid w:linePitch="360"/>
        </w:sectPr>
      </w:pPr>
    </w:p>
    <w:p w14:paraId="385A22F8" w14:textId="51970571" w:rsidR="00702291" w:rsidRDefault="00712B31">
      <w:pPr>
        <w:pStyle w:val="P68B1DB1-Heading310"/>
        <w:spacing w:before="0" w:after="120"/>
        <w:rPr>
          <w:noProof/>
        </w:rPr>
      </w:pPr>
      <w:r>
        <w:rPr>
          <w:noProof/>
        </w:rPr>
        <w:t>J.3. Descrierea reformelor și a investițiilor pentru împrumut</w:t>
      </w:r>
    </w:p>
    <w:p w14:paraId="74FC64D3" w14:textId="2CD34971" w:rsidR="00702291" w:rsidRDefault="00712B31">
      <w:pPr>
        <w:pStyle w:val="P68B1DB1-Heading411"/>
        <w:spacing w:before="0" w:after="120" w:line="240" w:lineRule="auto"/>
        <w:rPr>
          <w:noProof/>
        </w:rPr>
      </w:pPr>
      <w:r>
        <w:rPr>
          <w:noProof/>
        </w:rPr>
        <w:t>C10.I2: Supliment la injecția de capital în Magyar Fejlesztési Bank (MFB)</w:t>
      </w:r>
    </w:p>
    <w:p w14:paraId="11B4DF9A" w14:textId="77777777" w:rsidR="00702291" w:rsidRDefault="00712B31">
      <w:pPr>
        <w:pStyle w:val="P68B1DB1-Normal34"/>
        <w:spacing w:after="120" w:line="240" w:lineRule="auto"/>
        <w:jc w:val="both"/>
        <w:rPr>
          <w:noProof/>
        </w:rPr>
      </w:pPr>
      <w:r>
        <w:rPr>
          <w:noProof/>
        </w:rPr>
        <w:t xml:space="preserve">Obiectivul acestei măsuri este de a sprijini potențialul de creștere al economiei maghiare prin ajustarea structurală a nivelului sprijinului public disponibil pentru a remedia disfuncționalitățile pieței și ineficiențele din cadrul economiei. </w:t>
      </w:r>
    </w:p>
    <w:p w14:paraId="62F2CE9D" w14:textId="06706B33" w:rsidR="00702291" w:rsidRDefault="00712B31">
      <w:pPr>
        <w:pStyle w:val="P68B1DB1-Normal34"/>
        <w:spacing w:after="120" w:line="240" w:lineRule="auto"/>
        <w:jc w:val="both"/>
        <w:rPr>
          <w:noProof/>
        </w:rPr>
      </w:pPr>
      <w:r>
        <w:rPr>
          <w:noProof/>
        </w:rPr>
        <w:t>Măsura constă într-o injecție de capital în valoare de 688 338 565 EUR în societatea cu răspundere limitată Magyar Fejlesztési Bank Zrt. (MFB)]. Această sumă se adaugă la orice sumă prevăzută în cadrul măsurii C10.I1. Această injecție de capital în valoare de 688 de milioane EUR va fi utilizată pentru cofinanțarea investițiilor cu BEI în economia Ungariei. Îndeplinirea satisfăcătoare a jaloanelor din cadrul acestei măsuri este condiționată de îndeplinirea satisfăcătoare a jaloanelor reformei 1 – Reforma guvernanței Magyar Fejlesztési Bank.</w:t>
      </w:r>
    </w:p>
    <w:p w14:paraId="74580686" w14:textId="77777777" w:rsidR="00702291" w:rsidRDefault="00702291">
      <w:pPr>
        <w:spacing w:after="120" w:line="240" w:lineRule="auto"/>
        <w:rPr>
          <w:rFonts w:ascii="Times New Roman" w:hAnsi="Times New Roman" w:cs="Times New Roman"/>
          <w:noProof/>
          <w:sz w:val="24"/>
          <w:szCs w:val="24"/>
        </w:rPr>
        <w:sectPr w:rsidR="00702291" w:rsidSect="002E313A">
          <w:headerReference w:type="default" r:id="rId118"/>
          <w:footerReference w:type="default" r:id="rId119"/>
          <w:pgSz w:w="11907" w:h="16839"/>
          <w:pgMar w:top="1134" w:right="1134" w:bottom="1134" w:left="1134" w:header="567" w:footer="567" w:gutter="0"/>
          <w:cols w:space="708"/>
          <w:docGrid w:linePitch="326"/>
        </w:sectPr>
      </w:pPr>
    </w:p>
    <w:p w14:paraId="55B53F1F" w14:textId="2C5BB5D3" w:rsidR="00702291" w:rsidRDefault="00712B31">
      <w:pPr>
        <w:pStyle w:val="P68B1DB1-Heading310"/>
        <w:spacing w:before="0" w:after="120"/>
        <w:rPr>
          <w:noProof/>
        </w:rPr>
      </w:pPr>
      <w:r>
        <w:rPr>
          <w:noProof/>
        </w:rPr>
        <w:t xml:space="preserve">J.4. </w:t>
      </w:r>
      <w:r>
        <w:rPr>
          <w:noProof/>
        </w:rPr>
        <w:tab/>
        <w:t>Jaloane, ținte, indicatori și calendarul de monitorizare și implementare aplicabile împrumutului</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1"/>
        <w:gridCol w:w="1178"/>
        <w:gridCol w:w="1111"/>
        <w:gridCol w:w="2128"/>
        <w:gridCol w:w="1752"/>
        <w:gridCol w:w="959"/>
        <w:gridCol w:w="1005"/>
        <w:gridCol w:w="850"/>
        <w:gridCol w:w="863"/>
        <w:gridCol w:w="834"/>
        <w:gridCol w:w="3976"/>
      </w:tblGrid>
      <w:tr w:rsidR="00702291" w14:paraId="41B006DC" w14:textId="77777777" w:rsidTr="00494F0E">
        <w:trPr>
          <w:trHeight w:val="300"/>
          <w:tblHeader/>
          <w:jc w:val="center"/>
        </w:trPr>
        <w:tc>
          <w:tcPr>
            <w:tcW w:w="6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771FFF" w14:textId="77777777" w:rsidR="00702291" w:rsidRDefault="00712B31">
            <w:pPr>
              <w:pStyle w:val="P68B1DB1-Normal71"/>
              <w:spacing w:after="120" w:line="240" w:lineRule="auto"/>
              <w:jc w:val="center"/>
              <w:textAlignment w:val="baseline"/>
              <w:rPr>
                <w:noProof/>
              </w:rPr>
            </w:pPr>
            <w:r>
              <w:rPr>
                <w:noProof/>
              </w:rPr>
              <w:t>Număr Număr</w:t>
            </w:r>
          </w:p>
        </w:tc>
        <w:tc>
          <w:tcPr>
            <w:tcW w:w="11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132925" w14:textId="77777777" w:rsidR="00702291" w:rsidRDefault="00712B31">
            <w:pPr>
              <w:pStyle w:val="P68B1DB1-Normal71"/>
              <w:spacing w:after="120" w:line="240" w:lineRule="auto"/>
              <w:jc w:val="center"/>
              <w:textAlignment w:val="baseline"/>
              <w:rPr>
                <w:rFonts w:eastAsiaTheme="minorHAnsi"/>
                <w:noProof/>
              </w:rPr>
            </w:pPr>
            <w:r>
              <w:rPr>
                <w:noProof/>
              </w:rPr>
              <w:t>Măsură conexă (reformă sau investiții)</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2993E7" w14:textId="77777777" w:rsidR="00702291" w:rsidRDefault="00712B31">
            <w:pPr>
              <w:pStyle w:val="P68B1DB1-Normal71"/>
              <w:spacing w:after="120" w:line="240" w:lineRule="auto"/>
              <w:jc w:val="center"/>
              <w:textAlignment w:val="baseline"/>
              <w:rPr>
                <w:noProof/>
              </w:rPr>
            </w:pPr>
            <w:r>
              <w:rPr>
                <w:noProof/>
              </w:rPr>
              <w:t>Kilometraje/</w:t>
            </w:r>
          </w:p>
          <w:p w14:paraId="1C1E2A10" w14:textId="3B73DE72" w:rsidR="00702291" w:rsidRDefault="00712B31">
            <w:pPr>
              <w:pStyle w:val="P68B1DB1-Normal71"/>
              <w:spacing w:after="120" w:line="240" w:lineRule="auto"/>
              <w:jc w:val="center"/>
              <w:textAlignment w:val="baseline"/>
              <w:rPr>
                <w:rFonts w:eastAsiaTheme="minorHAnsi"/>
                <w:noProof/>
              </w:rPr>
            </w:pPr>
            <w:r>
              <w:rPr>
                <w:noProof/>
              </w:rPr>
              <w:t>Țintă</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407570" w14:textId="77777777" w:rsidR="00702291" w:rsidRDefault="00712B31">
            <w:pPr>
              <w:pStyle w:val="P68B1DB1-Normal71"/>
              <w:spacing w:after="120" w:line="240" w:lineRule="auto"/>
              <w:jc w:val="center"/>
              <w:textAlignment w:val="baseline"/>
              <w:rPr>
                <w:rFonts w:eastAsiaTheme="minorHAnsi"/>
                <w:noProof/>
              </w:rPr>
            </w:pPr>
            <w:r>
              <w:rPr>
                <w:noProof/>
              </w:rPr>
              <w:t>Nume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E62A6B" w14:textId="7A36C5FD" w:rsidR="00702291" w:rsidRDefault="00712B31">
            <w:pPr>
              <w:pStyle w:val="P68B1DB1-Normal72"/>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81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BF637D2" w14:textId="14A299BA" w:rsidR="00702291" w:rsidRDefault="00712B31">
            <w:pPr>
              <w:pStyle w:val="P68B1DB1-Normal72"/>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697"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FC82ACF" w14:textId="66878BA6" w:rsidR="00702291" w:rsidRDefault="00712B31">
            <w:pPr>
              <w:pStyle w:val="P68B1DB1-Normal71"/>
              <w:spacing w:after="120" w:line="240" w:lineRule="auto"/>
              <w:jc w:val="center"/>
              <w:textAlignment w:val="baseline"/>
              <w:rPr>
                <w:rFonts w:eastAsiaTheme="minorHAnsi"/>
                <w:noProof/>
              </w:rPr>
            </w:pPr>
            <w:r>
              <w:rPr>
                <w:noProof/>
              </w:rPr>
              <w:t xml:space="preserve">Calendar orientativ pentru finalizare </w:t>
            </w:r>
          </w:p>
        </w:tc>
        <w:tc>
          <w:tcPr>
            <w:tcW w:w="39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1F37E4" w14:textId="77777777" w:rsidR="00702291" w:rsidRDefault="00712B31">
            <w:pPr>
              <w:pStyle w:val="P68B1DB1-Normal71"/>
              <w:spacing w:after="120" w:line="240" w:lineRule="auto"/>
              <w:jc w:val="center"/>
              <w:textAlignment w:val="baseline"/>
              <w:rPr>
                <w:rFonts w:eastAsiaTheme="minorHAnsi"/>
                <w:noProof/>
              </w:rPr>
            </w:pPr>
            <w:r>
              <w:rPr>
                <w:noProof/>
              </w:rPr>
              <w:t>Descrierea fiecărui jalon și a fiecărei ținte</w:t>
            </w:r>
          </w:p>
        </w:tc>
      </w:tr>
      <w:tr w:rsidR="00702291" w14:paraId="59BF2C1E" w14:textId="77777777" w:rsidTr="00494F0E">
        <w:trPr>
          <w:trHeight w:val="975"/>
          <w:tblHeader/>
          <w:jc w:val="center"/>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19040861" w14:textId="77777777" w:rsidR="00702291" w:rsidRDefault="00702291">
            <w:pPr>
              <w:spacing w:after="120" w:line="240" w:lineRule="auto"/>
              <w:jc w:val="center"/>
              <w:rPr>
                <w:rFonts w:ascii="Times New Roman" w:hAnsi="Times New Roman" w:cs="Times New Roman"/>
                <w:noProof/>
                <w:sz w:val="18"/>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14:paraId="4AC23EA4" w14:textId="77777777" w:rsidR="00702291" w:rsidRDefault="00702291">
            <w:pPr>
              <w:spacing w:after="120" w:line="240" w:lineRule="auto"/>
              <w:jc w:val="center"/>
              <w:rPr>
                <w:rFonts w:ascii="Times New Roman" w:hAnsi="Times New Roman" w:cs="Times New Roman"/>
                <w:noProof/>
                <w:sz w:val="18"/>
              </w:rPr>
            </w:pPr>
          </w:p>
        </w:tc>
        <w:tc>
          <w:tcPr>
            <w:tcW w:w="1111" w:type="dxa"/>
            <w:vMerge/>
            <w:tcBorders>
              <w:top w:val="single" w:sz="4" w:space="0" w:color="auto"/>
              <w:left w:val="single" w:sz="4" w:space="0" w:color="auto"/>
              <w:bottom w:val="single" w:sz="4" w:space="0" w:color="auto"/>
              <w:right w:val="single" w:sz="4" w:space="0" w:color="auto"/>
            </w:tcBorders>
            <w:vAlign w:val="center"/>
            <w:hideMark/>
          </w:tcPr>
          <w:p w14:paraId="18E9E569" w14:textId="77777777" w:rsidR="00702291" w:rsidRDefault="00702291">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601299BA" w14:textId="77777777" w:rsidR="00702291" w:rsidRDefault="00702291">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44A05155" w14:textId="77777777" w:rsidR="00702291" w:rsidRDefault="00702291">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55CFEC6" w14:textId="77777777" w:rsidR="00702291" w:rsidRDefault="00712B31">
            <w:pPr>
              <w:pStyle w:val="P68B1DB1-Normal71"/>
              <w:spacing w:after="120" w:line="240" w:lineRule="auto"/>
              <w:jc w:val="center"/>
              <w:textAlignment w:val="baseline"/>
              <w:rPr>
                <w:rFonts w:eastAsiaTheme="minorHAnsi"/>
                <w:noProof/>
              </w:rPr>
            </w:pPr>
            <w:r>
              <w:rPr>
                <w:noProof/>
              </w:rPr>
              <w:t>Unitatea de măsură</w:t>
            </w:r>
          </w:p>
        </w:tc>
        <w:tc>
          <w:tcPr>
            <w:tcW w:w="10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BA6C40C" w14:textId="77777777" w:rsidR="00702291" w:rsidRDefault="00712B31">
            <w:pPr>
              <w:pStyle w:val="P68B1DB1-Normal71"/>
              <w:spacing w:after="120" w:line="240" w:lineRule="auto"/>
              <w:jc w:val="center"/>
              <w:textAlignment w:val="baseline"/>
              <w:rPr>
                <w:rFonts w:eastAsiaTheme="minorHAnsi"/>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BC038E" w14:textId="77777777" w:rsidR="00702291" w:rsidRDefault="00712B31">
            <w:pPr>
              <w:pStyle w:val="P68B1DB1-Normal71"/>
              <w:spacing w:after="120" w:line="240" w:lineRule="auto"/>
              <w:jc w:val="center"/>
              <w:textAlignment w:val="baseline"/>
              <w:rPr>
                <w:rFonts w:eastAsiaTheme="minorHAnsi"/>
                <w:noProof/>
              </w:rPr>
            </w:pPr>
            <w:r>
              <w:rPr>
                <w:noProof/>
              </w:rPr>
              <w:t>Obiectiv</w:t>
            </w:r>
          </w:p>
        </w:tc>
        <w:tc>
          <w:tcPr>
            <w:tcW w:w="86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E160E4" w14:textId="77777777" w:rsidR="00702291" w:rsidRDefault="00712B31">
            <w:pPr>
              <w:pStyle w:val="P68B1DB1-Normal71"/>
              <w:spacing w:after="120" w:line="240" w:lineRule="auto"/>
              <w:jc w:val="center"/>
              <w:textAlignment w:val="baseline"/>
              <w:rPr>
                <w:rFonts w:eastAsiaTheme="minorHAnsi"/>
                <w:noProof/>
              </w:rPr>
            </w:pPr>
            <w:r>
              <w:rPr>
                <w:noProof/>
              </w:rPr>
              <w:t>Trimestru</w:t>
            </w:r>
          </w:p>
        </w:tc>
        <w:tc>
          <w:tcPr>
            <w:tcW w:w="8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4EB983" w14:textId="77777777" w:rsidR="00702291" w:rsidRDefault="00712B31">
            <w:pPr>
              <w:pStyle w:val="P68B1DB1-Normal71"/>
              <w:spacing w:after="120" w:line="240" w:lineRule="auto"/>
              <w:jc w:val="center"/>
              <w:textAlignment w:val="baseline"/>
              <w:rPr>
                <w:rFonts w:eastAsiaTheme="minorHAnsi"/>
                <w:noProof/>
              </w:rPr>
            </w:pPr>
            <w:r>
              <w:rPr>
                <w:noProof/>
              </w:rPr>
              <w:t>Anul</w:t>
            </w:r>
          </w:p>
        </w:tc>
        <w:tc>
          <w:tcPr>
            <w:tcW w:w="3976" w:type="dxa"/>
            <w:vMerge/>
            <w:vAlign w:val="center"/>
            <w:hideMark/>
          </w:tcPr>
          <w:p w14:paraId="362F904A" w14:textId="77777777" w:rsidR="00702291" w:rsidRDefault="00702291">
            <w:pPr>
              <w:spacing w:after="120" w:line="240" w:lineRule="auto"/>
              <w:rPr>
                <w:rFonts w:ascii="Times New Roman" w:hAnsi="Times New Roman" w:cs="Times New Roman"/>
                <w:noProof/>
                <w:sz w:val="18"/>
              </w:rPr>
            </w:pPr>
          </w:p>
        </w:tc>
      </w:tr>
      <w:tr w:rsidR="00702291" w14:paraId="236018B2" w14:textId="77777777" w:rsidTr="00494F0E">
        <w:trPr>
          <w:trHeight w:val="915"/>
          <w:jc w:val="center"/>
        </w:trPr>
        <w:tc>
          <w:tcPr>
            <w:tcW w:w="651" w:type="dxa"/>
            <w:tcBorders>
              <w:top w:val="single" w:sz="4" w:space="0" w:color="auto"/>
              <w:left w:val="single" w:sz="4" w:space="0" w:color="auto"/>
              <w:bottom w:val="single" w:sz="4" w:space="0" w:color="auto"/>
              <w:right w:val="single" w:sz="4" w:space="0" w:color="auto"/>
            </w:tcBorders>
            <w:shd w:val="clear" w:color="auto" w:fill="C6EFCE"/>
          </w:tcPr>
          <w:p w14:paraId="2CA63624" w14:textId="0F56D1F0" w:rsidR="00702291" w:rsidRDefault="00712B31">
            <w:pPr>
              <w:pStyle w:val="P68B1DB1-Normal27"/>
              <w:spacing w:after="120" w:line="240" w:lineRule="auto"/>
              <w:rPr>
                <w:noProof/>
              </w:rPr>
            </w:pPr>
            <w:r>
              <w:rPr>
                <w:noProof/>
              </w:rPr>
              <w:t>123</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7F77C084" w14:textId="79A9D215" w:rsidR="00702291" w:rsidRDefault="00712B31">
            <w:pPr>
              <w:pStyle w:val="P68B1DB1-Normal32"/>
              <w:spacing w:after="120" w:line="240" w:lineRule="auto"/>
              <w:rPr>
                <w:noProof/>
              </w:rPr>
            </w:pPr>
            <w:r>
              <w:rPr>
                <w:noProof/>
              </w:rPr>
              <w:t>C10.I2 Injecție de capital în Magyar Fejlesztési Bank (MFB</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3021860F" w14:textId="0A366C21" w:rsidR="00702291" w:rsidRDefault="00712B31">
            <w:pPr>
              <w:pStyle w:val="P68B1DB1-Normal27"/>
              <w:spacing w:after="120" w:line="240" w:lineRule="auto"/>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1120BBE7" w14:textId="4443D6D0" w:rsidR="00702291" w:rsidRDefault="00712B31">
            <w:pPr>
              <w:pStyle w:val="P68B1DB1-Normal27"/>
              <w:spacing w:after="120" w:line="240" w:lineRule="auto"/>
              <w:rPr>
                <w:noProof/>
              </w:rPr>
            </w:pPr>
            <w:r>
              <w:rPr>
                <w:noProof/>
              </w:rPr>
              <w:t>Act juridic privind injecția de capital din partea MFB și alocarea BEI</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2FD54737" w14:textId="33438416" w:rsidR="00702291" w:rsidRDefault="00712B31">
            <w:pPr>
              <w:pStyle w:val="P68B1DB1-Normal27"/>
              <w:spacing w:after="120" w:line="240" w:lineRule="auto"/>
              <w:rPr>
                <w:noProof/>
              </w:rPr>
            </w:pPr>
            <w:r>
              <w:rPr>
                <w:noProof/>
              </w:rPr>
              <w:t>Intrarea în vigoare a unui act juridic</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2419C899" w14:textId="77777777" w:rsidR="00702291" w:rsidRDefault="00702291">
            <w:pPr>
              <w:spacing w:after="120" w:line="240" w:lineRule="auto"/>
              <w:rPr>
                <w:rFonts w:ascii="Times New Roman" w:eastAsia="Times New Roman" w:hAnsi="Times New Roman" w:cs="Times New Roman"/>
                <w:noProof/>
                <w:sz w:val="18"/>
                <w:szCs w:val="18"/>
              </w:rPr>
            </w:pPr>
          </w:p>
        </w:tc>
        <w:tc>
          <w:tcPr>
            <w:tcW w:w="1005" w:type="dxa"/>
            <w:tcBorders>
              <w:top w:val="single" w:sz="4" w:space="0" w:color="auto"/>
              <w:left w:val="single" w:sz="4" w:space="0" w:color="auto"/>
              <w:bottom w:val="single" w:sz="4" w:space="0" w:color="auto"/>
              <w:right w:val="single" w:sz="4" w:space="0" w:color="auto"/>
            </w:tcBorders>
            <w:shd w:val="clear" w:color="auto" w:fill="C6EFCE"/>
          </w:tcPr>
          <w:p w14:paraId="0C31513A" w14:textId="77777777" w:rsidR="00702291" w:rsidRDefault="00702291">
            <w:pPr>
              <w:spacing w:after="120" w:line="240" w:lineRule="auto"/>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B05E806" w14:textId="77777777" w:rsidR="00702291" w:rsidRDefault="00702291">
            <w:pPr>
              <w:spacing w:after="120" w:line="240" w:lineRule="auto"/>
              <w:rPr>
                <w:rFonts w:ascii="Times New Roman" w:eastAsia="Times New Roman" w:hAnsi="Times New Roman" w:cs="Times New Roman"/>
                <w:noProof/>
                <w:sz w:val="18"/>
                <w:szCs w:val="18"/>
              </w:rPr>
            </w:pPr>
          </w:p>
        </w:tc>
        <w:tc>
          <w:tcPr>
            <w:tcW w:w="863" w:type="dxa"/>
            <w:tcBorders>
              <w:top w:val="single" w:sz="4" w:space="0" w:color="auto"/>
              <w:left w:val="single" w:sz="4" w:space="0" w:color="auto"/>
              <w:bottom w:val="single" w:sz="4" w:space="0" w:color="auto"/>
              <w:right w:val="single" w:sz="4" w:space="0" w:color="auto"/>
            </w:tcBorders>
            <w:shd w:val="clear" w:color="auto" w:fill="C6EFCE"/>
          </w:tcPr>
          <w:p w14:paraId="0CA312BD" w14:textId="2E8C358C" w:rsidR="00702291" w:rsidRDefault="00F233DB">
            <w:pPr>
              <w:pStyle w:val="P68B1DB1-Normal27"/>
              <w:spacing w:after="120" w:line="240" w:lineRule="auto"/>
              <w:jc w:val="center"/>
              <w:rPr>
                <w:noProof/>
              </w:rPr>
            </w:pPr>
            <w:r>
              <w:rPr>
                <w:noProof/>
              </w:rPr>
              <w:t>T2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671286FE" w14:textId="2BADF0BF" w:rsidR="00702291" w:rsidRDefault="00712B31">
            <w:pPr>
              <w:pStyle w:val="P68B1DB1-Normal27"/>
              <w:spacing w:after="120" w:line="240" w:lineRule="auto"/>
              <w:rPr>
                <w:noProof/>
              </w:rPr>
            </w:pPr>
            <w:r>
              <w:rPr>
                <w:noProof/>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4CD1B02A" w14:textId="15126153" w:rsidR="00702291" w:rsidRDefault="00712B31">
            <w:pPr>
              <w:pStyle w:val="P68B1DB1-Normal27"/>
              <w:spacing w:after="120" w:line="240" w:lineRule="auto"/>
              <w:jc w:val="both"/>
              <w:rPr>
                <w:noProof/>
              </w:rPr>
            </w:pPr>
            <w:r>
              <w:rPr>
                <w:noProof/>
              </w:rPr>
              <w:t>Intrarea în vigoare a unui act juridic prin care se alocă 688 338 565 EUR dintr-o injecție de capital a MFB care urmează să fie utilizată de MFB pentru un acord de coinvestiții cu BEI.</w:t>
            </w:r>
          </w:p>
        </w:tc>
      </w:tr>
      <w:tr w:rsidR="00702291" w14:paraId="73D28E20" w14:textId="77777777" w:rsidTr="00494F0E">
        <w:trPr>
          <w:trHeight w:val="915"/>
          <w:jc w:val="center"/>
        </w:trPr>
        <w:tc>
          <w:tcPr>
            <w:tcW w:w="651" w:type="dxa"/>
            <w:tcBorders>
              <w:top w:val="single" w:sz="4" w:space="0" w:color="auto"/>
              <w:left w:val="single" w:sz="4" w:space="0" w:color="auto"/>
              <w:bottom w:val="single" w:sz="4" w:space="0" w:color="auto"/>
              <w:right w:val="single" w:sz="4" w:space="0" w:color="auto"/>
            </w:tcBorders>
            <w:shd w:val="clear" w:color="auto" w:fill="C6EFCE"/>
          </w:tcPr>
          <w:p w14:paraId="06BCD8CB" w14:textId="75F835B9" w:rsidR="00702291" w:rsidRDefault="00712B31">
            <w:pPr>
              <w:pStyle w:val="P68B1DB1-Normal27"/>
              <w:spacing w:after="120" w:line="240" w:lineRule="auto"/>
              <w:rPr>
                <w:noProof/>
              </w:rPr>
            </w:pPr>
            <w:r>
              <w:rPr>
                <w:noProof/>
              </w:rPr>
              <w:t>124</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15D5962D" w14:textId="705BE70A" w:rsidR="00702291" w:rsidRDefault="00712B31">
            <w:pPr>
              <w:pStyle w:val="P68B1DB1-Normal32"/>
              <w:spacing w:after="120" w:line="240" w:lineRule="auto"/>
              <w:rPr>
                <w:noProof/>
              </w:rPr>
            </w:pPr>
            <w:r>
              <w:rPr>
                <w:noProof/>
              </w:rPr>
              <w:t>C10.I2 Injecție de capital în Magyar Fejlesztési Bank (MFB)</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3DEEF931" w14:textId="23F4FCA7" w:rsidR="00702291" w:rsidRDefault="00712B31">
            <w:pPr>
              <w:pStyle w:val="P68B1DB1-Normal27"/>
              <w:spacing w:after="120" w:line="240" w:lineRule="auto"/>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13DA9329" w14:textId="36A8BC36" w:rsidR="00702291" w:rsidRDefault="00712B31">
            <w:pPr>
              <w:pStyle w:val="P68B1DB1-Normal27"/>
              <w:spacing w:after="120" w:line="240" w:lineRule="auto"/>
              <w:rPr>
                <w:noProof/>
              </w:rPr>
            </w:pPr>
            <w:r>
              <w:rPr>
                <w:noProof/>
              </w:rPr>
              <w:t>Injecția de capital și semnarea unui memorandum de înțelegere între Ungaria și BEI</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434C54E0" w14:textId="4D8BFBB2" w:rsidR="00702291" w:rsidRDefault="00712B31">
            <w:pPr>
              <w:pStyle w:val="P68B1DB1-Normal27"/>
              <w:spacing w:after="120" w:line="240" w:lineRule="auto"/>
              <w:rPr>
                <w:noProof/>
              </w:rPr>
            </w:pPr>
            <w:r>
              <w:rPr>
                <w:noProof/>
              </w:rPr>
              <w:t>Certificat de transfer și semnarea unui memorandum de înțelegere între Ungaria și BEI</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6260EC11" w14:textId="77777777" w:rsidR="00702291" w:rsidRDefault="00712B31">
            <w:pPr>
              <w:pStyle w:val="P68B1DB1-Normal27"/>
              <w:spacing w:after="120" w:line="240" w:lineRule="auto"/>
              <w:rPr>
                <w:noProof/>
              </w:rPr>
            </w:pPr>
            <w:r>
              <w:rPr>
                <w:noProof/>
              </w:rPr>
              <w:t xml:space="preserve"> </w:t>
            </w:r>
          </w:p>
        </w:tc>
        <w:tc>
          <w:tcPr>
            <w:tcW w:w="1005" w:type="dxa"/>
            <w:tcBorders>
              <w:top w:val="single" w:sz="4" w:space="0" w:color="auto"/>
              <w:left w:val="single" w:sz="4" w:space="0" w:color="auto"/>
              <w:bottom w:val="single" w:sz="4" w:space="0" w:color="auto"/>
              <w:right w:val="single" w:sz="4" w:space="0" w:color="auto"/>
            </w:tcBorders>
            <w:shd w:val="clear" w:color="auto" w:fill="C6EFCE"/>
          </w:tcPr>
          <w:p w14:paraId="3B4D2816" w14:textId="77777777" w:rsidR="00702291" w:rsidRDefault="00712B31">
            <w:pPr>
              <w:pStyle w:val="P68B1DB1-Normal27"/>
              <w:spacing w:after="120" w:line="240" w:lineRule="auto"/>
              <w:rPr>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A079AA7" w14:textId="77777777" w:rsidR="00702291" w:rsidRDefault="00712B31">
            <w:pPr>
              <w:pStyle w:val="P68B1DB1-Normal27"/>
              <w:spacing w:after="120" w:line="240" w:lineRule="auto"/>
              <w:rPr>
                <w:noProof/>
              </w:rPr>
            </w:pPr>
            <w:r>
              <w:rPr>
                <w:noProof/>
              </w:rPr>
              <w:t xml:space="preserve"> </w:t>
            </w:r>
          </w:p>
        </w:tc>
        <w:tc>
          <w:tcPr>
            <w:tcW w:w="863" w:type="dxa"/>
            <w:tcBorders>
              <w:top w:val="single" w:sz="4" w:space="0" w:color="auto"/>
              <w:left w:val="single" w:sz="4" w:space="0" w:color="auto"/>
              <w:bottom w:val="single" w:sz="4" w:space="0" w:color="auto"/>
              <w:right w:val="single" w:sz="4" w:space="0" w:color="auto"/>
            </w:tcBorders>
            <w:shd w:val="clear" w:color="auto" w:fill="C6EFCE"/>
          </w:tcPr>
          <w:p w14:paraId="30C4B729" w14:textId="136B84DF" w:rsidR="00702291" w:rsidRDefault="00F233DB">
            <w:pPr>
              <w:pStyle w:val="P68B1DB1-Normal27"/>
              <w:spacing w:after="120" w:line="240" w:lineRule="auto"/>
              <w:jc w:val="center"/>
              <w:rPr>
                <w:noProof/>
              </w:rPr>
            </w:pPr>
            <w:r>
              <w:rPr>
                <w:noProof/>
              </w:rPr>
              <w:t>T2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05B3661B" w14:textId="387C9CC6" w:rsidR="00702291" w:rsidRDefault="00712B31">
            <w:pPr>
              <w:pStyle w:val="P68B1DB1-Normal27"/>
              <w:spacing w:after="120" w:line="240" w:lineRule="auto"/>
              <w:rPr>
                <w:noProof/>
              </w:rPr>
            </w:pPr>
            <w:r>
              <w:rPr>
                <w:noProof/>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1EEB4B65" w14:textId="5E6476D8" w:rsidR="00702291" w:rsidRDefault="00712B31">
            <w:pPr>
              <w:pStyle w:val="P68B1DB1-Normal27"/>
              <w:spacing w:after="120" w:line="240" w:lineRule="auto"/>
              <w:jc w:val="both"/>
              <w:rPr>
                <w:noProof/>
              </w:rPr>
            </w:pPr>
            <w:r>
              <w:rPr>
                <w:noProof/>
              </w:rPr>
              <w:t>Ungaria transferă 688 338 565 EUR către MFB pentru a-și majora capitalul propriu.</w:t>
            </w:r>
          </w:p>
          <w:p w14:paraId="4E60D4DA" w14:textId="2BD3CFFC" w:rsidR="00702291" w:rsidRDefault="00712B31">
            <w:pPr>
              <w:spacing w:after="120"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 xml:space="preserve">Semnarea unui memorandum de înțelegere între Ungaria și BEI cu privire la un acord de coinvestiții pentru utilizarea capitalului propriu respectiv. Memorandumul de înțelegere respectiv include o înțelegere conform căreia MFB urmează să coinvestească în proiecte finanțate de BEI în Ungaria în </w:t>
            </w:r>
            <w:r>
              <w:rPr>
                <w:rFonts w:ascii="Times New Roman" w:eastAsia="Times New Roman" w:hAnsi="Times New Roman" w:cs="Times New Roman"/>
                <w:i/>
                <w:noProof/>
                <w:sz w:val="18"/>
                <w:szCs w:val="18"/>
              </w:rPr>
              <w:t xml:space="preserve">condiții pari passu </w:t>
            </w:r>
            <w:r>
              <w:rPr>
                <w:rFonts w:ascii="Times New Roman" w:eastAsia="Times New Roman" w:hAnsi="Times New Roman" w:cs="Times New Roman"/>
                <w:noProof/>
                <w:sz w:val="18"/>
                <w:szCs w:val="18"/>
              </w:rPr>
              <w:t>cu BEI (cu excepția stabilirii prețurilor), tipurile de produse, domeniile, beneficiarii,</w:t>
            </w:r>
            <w:r>
              <w:rPr>
                <w:noProof/>
              </w:rPr>
              <w:t xml:space="preserve"> </w:t>
            </w:r>
            <w:r>
              <w:rPr>
                <w:rFonts w:ascii="Times New Roman" w:eastAsia="Times New Roman" w:hAnsi="Times New Roman" w:cs="Times New Roman"/>
                <w:noProof/>
                <w:sz w:val="18"/>
                <w:szCs w:val="18"/>
              </w:rPr>
              <w:t>guvernanța și calendarul de punere în aplicare, inclusiv semnarea unui acord juridic până la 30 noiembrie 2026.</w:t>
            </w:r>
          </w:p>
        </w:tc>
      </w:tr>
    </w:tbl>
    <w:p w14:paraId="4FB799D1" w14:textId="77777777" w:rsidR="00702291" w:rsidRDefault="00702291">
      <w:pPr>
        <w:spacing w:after="120" w:line="240" w:lineRule="auto"/>
        <w:rPr>
          <w:rFonts w:ascii="Times New Roman" w:hAnsi="Times New Roman" w:cs="Times New Roman"/>
          <w:noProof/>
          <w:sz w:val="24"/>
          <w:szCs w:val="24"/>
        </w:rPr>
        <w:sectPr w:rsidR="00702291" w:rsidSect="00FB49A7">
          <w:headerReference w:type="default" r:id="rId120"/>
          <w:footerReference w:type="default" r:id="rId121"/>
          <w:pgSz w:w="16839" w:h="11907" w:orient="landscape"/>
          <w:pgMar w:top="1134" w:right="1134" w:bottom="1134" w:left="1134" w:header="567" w:footer="567" w:gutter="0"/>
          <w:cols w:space="708"/>
          <w:docGrid w:linePitch="326"/>
        </w:sectPr>
      </w:pPr>
    </w:p>
    <w:p w14:paraId="1D2B7376" w14:textId="27B96872" w:rsidR="00702291" w:rsidRDefault="00712B31">
      <w:pPr>
        <w:pStyle w:val="P68B1DB1-Normal44"/>
        <w:keepNext/>
        <w:spacing w:after="120" w:line="240" w:lineRule="auto"/>
        <w:jc w:val="both"/>
        <w:outlineLvl w:val="1"/>
        <w:rPr>
          <w:noProof/>
        </w:rPr>
      </w:pPr>
      <w:r>
        <w:rPr>
          <w:noProof/>
        </w:rPr>
        <w:t>K. COMPONENTA 11: INOVAREA DIGITALĂ</w:t>
      </w:r>
    </w:p>
    <w:p w14:paraId="1BE76133" w14:textId="54C9277F" w:rsidR="00702291" w:rsidRDefault="00712B31">
      <w:pPr>
        <w:pStyle w:val="P68B1DB1-Normal36"/>
        <w:autoSpaceDE w:val="0"/>
        <w:autoSpaceDN w:val="0"/>
        <w:adjustRightInd w:val="0"/>
        <w:spacing w:after="120" w:line="240" w:lineRule="auto"/>
        <w:jc w:val="both"/>
        <w:rPr>
          <w:noProof/>
        </w:rPr>
      </w:pPr>
      <w:r>
        <w:rPr>
          <w:noProof/>
        </w:rPr>
        <w:t>Obiectivul acestei componente este de a consolida infrastructura și capacitățile digitale ale Ungariei în trei dimensiuni complementare. Prin contribuții la programele consacrate ale UE, Ungaria urmărește să asigure accesul la capacitatea de calcul de frontieră în domeniul inteligenței artificiale prin intermediul unei gigafabrici de IA sau al unei tehnologii cuantice echivalente în cadrul întreprinderii comune EuroHPC și să își consolideze infrastructura de conectivitate securizată prin participarea la programul de sateliți IRIS2. La nivel național, componenta sprijină modernizarea serviciilor de e-guvernare, inclusiv modernizarea sistemelor digitale de gestionare a identității și a accesului și introducerea unui portofel digital, pentru a îmbunătăți accesibilitatea și securitatea serviciilor publice pentru cetățeni și întreprinderi.</w:t>
      </w:r>
    </w:p>
    <w:p w14:paraId="0BD986FD" w14:textId="3234497F" w:rsidR="00702291" w:rsidRDefault="00712B31">
      <w:pPr>
        <w:pStyle w:val="P68B1DB1-Normal36"/>
        <w:autoSpaceDE w:val="0"/>
        <w:autoSpaceDN w:val="0"/>
        <w:adjustRightInd w:val="0"/>
        <w:spacing w:after="120" w:line="240" w:lineRule="auto"/>
        <w:jc w:val="both"/>
        <w:rPr>
          <w:noProof/>
          <w:highlight w:val="yellow"/>
        </w:rPr>
      </w:pPr>
      <w:r>
        <w:rPr>
          <w:noProof/>
        </w:rPr>
        <w:t>Componenta contribuie la abordarea recomandărilor specifice fiecărei țări, în special a CSR 2025.3. (Consolidarea cadrului de inovare pentru sectorul public și întreprinderi prin îmbunătățirea previzibilității cheltuielilor publice pentru C &amp; D și printr-o mai bună direcționare a măsurilor existente către IMM-uri).</w:t>
      </w:r>
    </w:p>
    <w:p w14:paraId="31F4A1D8" w14:textId="77777777" w:rsidR="00702291" w:rsidRDefault="00712B31">
      <w:pPr>
        <w:pStyle w:val="P68B1DB1-Normal61"/>
        <w:keepNext/>
        <w:spacing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008A1F12" w14:textId="10B9CB10" w:rsidR="00702291" w:rsidRDefault="00712B31">
      <w:pPr>
        <w:pStyle w:val="P68B1DB1-Heading310"/>
        <w:spacing w:before="0" w:after="120"/>
        <w:rPr>
          <w:noProof/>
        </w:rPr>
      </w:pPr>
      <w:r>
        <w:rPr>
          <w:noProof/>
        </w:rPr>
        <w:t>K.1. Descrierea reformelor și a investițiilor pentru sprijinul financiar nerambursabil</w:t>
      </w:r>
    </w:p>
    <w:p w14:paraId="5215D2AA" w14:textId="32C5C3FA" w:rsidR="00702291" w:rsidRDefault="00712B31">
      <w:pPr>
        <w:pStyle w:val="P68B1DB1-Heading411"/>
        <w:spacing w:before="0" w:after="120" w:line="240" w:lineRule="auto"/>
        <w:rPr>
          <w:noProof/>
        </w:rPr>
      </w:pPr>
      <w:r>
        <w:rPr>
          <w:noProof/>
        </w:rPr>
        <w:t>C11.I1: Serviciile de guvernare electronică</w:t>
      </w:r>
    </w:p>
    <w:p w14:paraId="41B4F6F9" w14:textId="77777777" w:rsidR="00702291" w:rsidRDefault="00712B31">
      <w:pPr>
        <w:pStyle w:val="P68B1DB1-Normal34"/>
        <w:spacing w:after="120" w:line="240" w:lineRule="auto"/>
        <w:jc w:val="both"/>
        <w:rPr>
          <w:noProof/>
        </w:rPr>
      </w:pPr>
      <w:r>
        <w:rPr>
          <w:noProof/>
        </w:rPr>
        <w:t xml:space="preserve">Obiectivul măsurii este de a promova adoptarea serviciilor de e-guvernare în domeniul identificării electronice și al serviciilor de încredere. </w:t>
      </w:r>
    </w:p>
    <w:p w14:paraId="692C1388" w14:textId="2955CD55" w:rsidR="00702291" w:rsidRDefault="00712B31">
      <w:pPr>
        <w:pStyle w:val="P68B1DB1-Normal34"/>
        <w:autoSpaceDE w:val="0"/>
        <w:autoSpaceDN w:val="0"/>
        <w:adjustRightInd w:val="0"/>
        <w:spacing w:after="120" w:line="240" w:lineRule="auto"/>
        <w:jc w:val="both"/>
        <w:rPr>
          <w:noProof/>
          <w:highlight w:val="yellow"/>
        </w:rPr>
        <w:sectPr w:rsidR="00702291" w:rsidSect="009935A8">
          <w:headerReference w:type="default" r:id="rId122"/>
          <w:footerReference w:type="default" r:id="rId123"/>
          <w:pgSz w:w="11907" w:h="16839"/>
          <w:pgMar w:top="1134" w:right="1134" w:bottom="1134" w:left="1134" w:header="567" w:footer="567" w:gutter="0"/>
          <w:cols w:space="708"/>
          <w:docGrid w:linePitch="326"/>
        </w:sectPr>
      </w:pPr>
      <w:r>
        <w:rPr>
          <w:noProof/>
        </w:rPr>
        <w:t xml:space="preserve">Măsura constă în: (I) modernizarea sistemului (sistemelor) de identificare și de gestionare a accesului în cadrul guvernării electronice; (II) punerea la dispoziția utilizatorilor a identității digitale pentru dispozitivele portabile și portofelul digital; și (iii) crearea de noi funcționalități de e-guvernare sau modernizarea celor existente. </w:t>
      </w:r>
    </w:p>
    <w:p w14:paraId="34862F61" w14:textId="72ACB6A6" w:rsidR="00702291" w:rsidRDefault="00712B31">
      <w:pPr>
        <w:pStyle w:val="P68B1DB1-Heading310"/>
        <w:spacing w:before="0" w:after="120"/>
        <w:rPr>
          <w:noProof/>
        </w:rPr>
      </w:pPr>
      <w:r>
        <w:rPr>
          <w:noProof/>
        </w:rPr>
        <w:t xml:space="preserve">K.2. </w:t>
      </w:r>
      <w:r>
        <w:rPr>
          <w:noProof/>
        </w:rPr>
        <w:tab/>
        <w:t>Jaloane, ținte, indicatori și calendarul de monitorizare și implementare aplicabile sprijinului financiar nerambursabil</w:t>
      </w:r>
    </w:p>
    <w:tbl>
      <w:tblPr>
        <w:tblW w:w="1545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7"/>
        <w:gridCol w:w="1174"/>
        <w:gridCol w:w="1170"/>
        <w:gridCol w:w="2116"/>
        <w:gridCol w:w="1746"/>
        <w:gridCol w:w="957"/>
        <w:gridCol w:w="966"/>
        <w:gridCol w:w="850"/>
        <w:gridCol w:w="897"/>
        <w:gridCol w:w="830"/>
        <w:gridCol w:w="3951"/>
      </w:tblGrid>
      <w:tr w:rsidR="00702291" w14:paraId="6B198108" w14:textId="77777777" w:rsidTr="00494F0E">
        <w:trPr>
          <w:trHeight w:val="300"/>
          <w:tblHeader/>
          <w:jc w:val="center"/>
        </w:trPr>
        <w:tc>
          <w:tcPr>
            <w:tcW w:w="7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68AE67" w14:textId="77777777" w:rsidR="00702291" w:rsidRDefault="00712B31">
            <w:pPr>
              <w:pStyle w:val="P68B1DB1-Normal71"/>
              <w:spacing w:after="120" w:line="240" w:lineRule="auto"/>
              <w:jc w:val="center"/>
              <w:textAlignment w:val="baseline"/>
              <w:rPr>
                <w:noProof/>
              </w:rPr>
            </w:pPr>
            <w:r>
              <w:rPr>
                <w:noProof/>
              </w:rPr>
              <w:t>Număr Număr</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F76BDA" w14:textId="77777777" w:rsidR="00702291" w:rsidRDefault="00712B31">
            <w:pPr>
              <w:pStyle w:val="P68B1DB1-Normal71"/>
              <w:spacing w:after="120" w:line="240" w:lineRule="auto"/>
              <w:jc w:val="center"/>
              <w:textAlignment w:val="baseline"/>
              <w:rPr>
                <w:rFonts w:eastAsiaTheme="minorHAnsi"/>
                <w:noProof/>
              </w:rPr>
            </w:pPr>
            <w:r>
              <w:rPr>
                <w:noProof/>
              </w:rPr>
              <w:t>Măsură conexă (reformă sau investiții)</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F15A25" w14:textId="7959F362" w:rsidR="00702291" w:rsidRDefault="00712B31">
            <w:pPr>
              <w:pStyle w:val="P68B1DB1-Normal71"/>
              <w:spacing w:after="120" w:line="240" w:lineRule="auto"/>
              <w:jc w:val="center"/>
              <w:textAlignment w:val="baseline"/>
              <w:rPr>
                <w:rFonts w:eastAsiaTheme="minorHAnsi"/>
                <w:noProof/>
              </w:rPr>
            </w:pPr>
            <w:r>
              <w:rPr>
                <w:noProof/>
              </w:rPr>
              <w:t>Etapă/Obiectiv</w:t>
            </w:r>
          </w:p>
        </w:tc>
        <w:tc>
          <w:tcPr>
            <w:tcW w:w="21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1C1003" w14:textId="77777777" w:rsidR="00702291" w:rsidRDefault="00712B31">
            <w:pPr>
              <w:pStyle w:val="P68B1DB1-Normal71"/>
              <w:spacing w:after="120" w:line="240" w:lineRule="auto"/>
              <w:jc w:val="center"/>
              <w:textAlignment w:val="baseline"/>
              <w:rPr>
                <w:rFonts w:eastAsiaTheme="minorHAnsi"/>
                <w:noProof/>
              </w:rPr>
            </w:pPr>
            <w:r>
              <w:rPr>
                <w:noProof/>
              </w:rPr>
              <w:t>Nume</w:t>
            </w:r>
          </w:p>
        </w:tc>
        <w:tc>
          <w:tcPr>
            <w:tcW w:w="17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9F2360" w14:textId="7993049F" w:rsidR="00702291" w:rsidRDefault="00712B31">
            <w:pPr>
              <w:pStyle w:val="P68B1DB1-Normal72"/>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77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E1CDD03" w14:textId="1ABF2908" w:rsidR="00702291" w:rsidRDefault="00712B31">
            <w:pPr>
              <w:pStyle w:val="P68B1DB1-Normal72"/>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727"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24578C58" w14:textId="3882B672" w:rsidR="00702291" w:rsidRDefault="00712B31">
            <w:pPr>
              <w:pStyle w:val="P68B1DB1-Normal71"/>
              <w:spacing w:after="120" w:line="240" w:lineRule="auto"/>
              <w:jc w:val="center"/>
              <w:textAlignment w:val="baseline"/>
              <w:rPr>
                <w:rFonts w:eastAsiaTheme="minorHAnsi"/>
                <w:noProof/>
              </w:rPr>
            </w:pPr>
            <w:r>
              <w:rPr>
                <w:noProof/>
              </w:rPr>
              <w:t xml:space="preserve">Calendar orientativ pentru finalizare </w:t>
            </w:r>
          </w:p>
        </w:tc>
        <w:tc>
          <w:tcPr>
            <w:tcW w:w="39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AFC4B0" w14:textId="77777777" w:rsidR="00702291" w:rsidRDefault="00712B31">
            <w:pPr>
              <w:pStyle w:val="P68B1DB1-Normal71"/>
              <w:spacing w:after="120" w:line="240" w:lineRule="auto"/>
              <w:jc w:val="center"/>
              <w:textAlignment w:val="baseline"/>
              <w:rPr>
                <w:rFonts w:eastAsiaTheme="minorHAnsi"/>
                <w:noProof/>
              </w:rPr>
            </w:pPr>
            <w:r>
              <w:rPr>
                <w:noProof/>
              </w:rPr>
              <w:t>Descrierea fiecărui jalon și a fiecărei ținte</w:t>
            </w:r>
          </w:p>
        </w:tc>
      </w:tr>
      <w:tr w:rsidR="00702291" w14:paraId="3614F0A1" w14:textId="77777777" w:rsidTr="00494F0E">
        <w:trPr>
          <w:trHeight w:val="975"/>
          <w:tblHeader/>
          <w:jc w:val="center"/>
        </w:trPr>
        <w:tc>
          <w:tcPr>
            <w:tcW w:w="797" w:type="dxa"/>
            <w:vMerge/>
            <w:tcBorders>
              <w:top w:val="single" w:sz="4" w:space="0" w:color="auto"/>
              <w:left w:val="single" w:sz="4" w:space="0" w:color="auto"/>
              <w:bottom w:val="single" w:sz="4" w:space="0" w:color="auto"/>
              <w:right w:val="single" w:sz="4" w:space="0" w:color="auto"/>
            </w:tcBorders>
            <w:vAlign w:val="center"/>
            <w:hideMark/>
          </w:tcPr>
          <w:p w14:paraId="4C77FBBA" w14:textId="77777777" w:rsidR="00702291" w:rsidRDefault="00702291">
            <w:pPr>
              <w:spacing w:after="120" w:line="240" w:lineRule="auto"/>
              <w:jc w:val="center"/>
              <w:rPr>
                <w:rFonts w:ascii="Times New Roman" w:hAnsi="Times New Roman" w:cs="Times New Roman"/>
                <w:noProof/>
                <w:sz w:val="18"/>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200F719" w14:textId="77777777" w:rsidR="00702291" w:rsidRDefault="00702291">
            <w:pPr>
              <w:spacing w:after="120" w:line="240" w:lineRule="auto"/>
              <w:jc w:val="center"/>
              <w:rPr>
                <w:rFonts w:ascii="Times New Roman" w:hAnsi="Times New Roman" w:cs="Times New Roman"/>
                <w:noProof/>
                <w:sz w:val="18"/>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6A143C77" w14:textId="77777777" w:rsidR="00702291" w:rsidRDefault="00702291">
            <w:pPr>
              <w:spacing w:after="120" w:line="240" w:lineRule="auto"/>
              <w:jc w:val="center"/>
              <w:rPr>
                <w:rFonts w:ascii="Times New Roman" w:hAnsi="Times New Roman" w:cs="Times New Roman"/>
                <w:noProof/>
                <w:sz w:val="18"/>
              </w:rPr>
            </w:pPr>
          </w:p>
        </w:tc>
        <w:tc>
          <w:tcPr>
            <w:tcW w:w="2116" w:type="dxa"/>
            <w:vMerge/>
            <w:tcBorders>
              <w:top w:val="single" w:sz="4" w:space="0" w:color="auto"/>
              <w:left w:val="single" w:sz="4" w:space="0" w:color="auto"/>
              <w:bottom w:val="single" w:sz="4" w:space="0" w:color="auto"/>
              <w:right w:val="single" w:sz="4" w:space="0" w:color="auto"/>
            </w:tcBorders>
            <w:vAlign w:val="center"/>
            <w:hideMark/>
          </w:tcPr>
          <w:p w14:paraId="25609EE3" w14:textId="77777777" w:rsidR="00702291" w:rsidRDefault="00702291">
            <w:pPr>
              <w:spacing w:after="120" w:line="240" w:lineRule="auto"/>
              <w:jc w:val="center"/>
              <w:rPr>
                <w:rFonts w:ascii="Times New Roman" w:hAnsi="Times New Roman" w:cs="Times New Roman"/>
                <w:noProof/>
                <w:sz w:val="18"/>
              </w:rPr>
            </w:pPr>
          </w:p>
        </w:tc>
        <w:tc>
          <w:tcPr>
            <w:tcW w:w="1746" w:type="dxa"/>
            <w:vMerge/>
            <w:tcBorders>
              <w:top w:val="single" w:sz="4" w:space="0" w:color="auto"/>
              <w:left w:val="single" w:sz="4" w:space="0" w:color="auto"/>
              <w:bottom w:val="single" w:sz="4" w:space="0" w:color="auto"/>
              <w:right w:val="single" w:sz="4" w:space="0" w:color="auto"/>
            </w:tcBorders>
            <w:vAlign w:val="center"/>
            <w:hideMark/>
          </w:tcPr>
          <w:p w14:paraId="06BC3566" w14:textId="77777777" w:rsidR="00702291" w:rsidRDefault="00702291">
            <w:pPr>
              <w:spacing w:after="120" w:line="240" w:lineRule="auto"/>
              <w:jc w:val="center"/>
              <w:rPr>
                <w:rFonts w:ascii="Times New Roman" w:hAnsi="Times New Roman" w:cs="Times New Roman"/>
                <w:noProof/>
                <w:sz w:val="18"/>
              </w:rPr>
            </w:pPr>
          </w:p>
        </w:tc>
        <w:tc>
          <w:tcPr>
            <w:tcW w:w="9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D592FBD" w14:textId="77777777" w:rsidR="00702291" w:rsidRDefault="00712B31">
            <w:pPr>
              <w:pStyle w:val="P68B1DB1-Normal71"/>
              <w:spacing w:after="120" w:line="240" w:lineRule="auto"/>
              <w:jc w:val="center"/>
              <w:textAlignment w:val="baseline"/>
              <w:rPr>
                <w:rFonts w:eastAsiaTheme="minorHAnsi"/>
                <w:noProof/>
              </w:rPr>
            </w:pPr>
            <w:r>
              <w:rPr>
                <w:noProof/>
              </w:rPr>
              <w:t>Unitatea de măsură</w:t>
            </w:r>
          </w:p>
        </w:tc>
        <w:tc>
          <w:tcPr>
            <w:tcW w:w="96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18973DF" w14:textId="77777777" w:rsidR="00702291" w:rsidRDefault="00712B31">
            <w:pPr>
              <w:pStyle w:val="P68B1DB1-Normal71"/>
              <w:spacing w:after="120" w:line="240" w:lineRule="auto"/>
              <w:jc w:val="center"/>
              <w:textAlignment w:val="baseline"/>
              <w:rPr>
                <w:rFonts w:eastAsiaTheme="minorHAnsi"/>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2F28EC" w14:textId="77777777" w:rsidR="00702291" w:rsidRDefault="00712B31">
            <w:pPr>
              <w:pStyle w:val="P68B1DB1-Normal71"/>
              <w:spacing w:after="120" w:line="240" w:lineRule="auto"/>
              <w:jc w:val="center"/>
              <w:textAlignment w:val="baseline"/>
              <w:rPr>
                <w:rFonts w:eastAsiaTheme="minorHAnsi"/>
                <w:noProof/>
              </w:rPr>
            </w:pPr>
            <w:r>
              <w:rPr>
                <w:noProof/>
              </w:rPr>
              <w:t>Obiectiv</w:t>
            </w:r>
          </w:p>
        </w:tc>
        <w:tc>
          <w:tcPr>
            <w:tcW w:w="89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941C9B1" w14:textId="77777777" w:rsidR="00702291" w:rsidRDefault="00712B31">
            <w:pPr>
              <w:pStyle w:val="P68B1DB1-Normal71"/>
              <w:spacing w:after="120" w:line="240" w:lineRule="auto"/>
              <w:jc w:val="center"/>
              <w:textAlignment w:val="baseline"/>
              <w:rPr>
                <w:rFonts w:eastAsiaTheme="minorHAnsi"/>
                <w:noProof/>
              </w:rPr>
            </w:pPr>
            <w:r>
              <w:rPr>
                <w:noProof/>
              </w:rPr>
              <w:t>Trimestru</w:t>
            </w:r>
          </w:p>
        </w:tc>
        <w:tc>
          <w:tcPr>
            <w:tcW w:w="8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BE34AC4" w14:textId="77777777" w:rsidR="00702291" w:rsidRDefault="00712B31">
            <w:pPr>
              <w:pStyle w:val="P68B1DB1-Normal71"/>
              <w:spacing w:after="120" w:line="240" w:lineRule="auto"/>
              <w:jc w:val="center"/>
              <w:textAlignment w:val="baseline"/>
              <w:rPr>
                <w:rFonts w:eastAsiaTheme="minorHAnsi"/>
                <w:noProof/>
              </w:rPr>
            </w:pPr>
            <w:r>
              <w:rPr>
                <w:noProof/>
              </w:rPr>
              <w:t>Anul</w:t>
            </w:r>
          </w:p>
        </w:tc>
        <w:tc>
          <w:tcPr>
            <w:tcW w:w="3951" w:type="dxa"/>
            <w:vMerge/>
            <w:vAlign w:val="center"/>
            <w:hideMark/>
          </w:tcPr>
          <w:p w14:paraId="49B81546" w14:textId="77777777" w:rsidR="00702291" w:rsidRDefault="00702291">
            <w:pPr>
              <w:spacing w:after="120" w:line="240" w:lineRule="auto"/>
              <w:rPr>
                <w:rFonts w:ascii="Times New Roman" w:hAnsi="Times New Roman" w:cs="Times New Roman"/>
                <w:noProof/>
                <w:sz w:val="18"/>
              </w:rPr>
            </w:pPr>
          </w:p>
        </w:tc>
      </w:tr>
      <w:tr w:rsidR="00702291" w14:paraId="3E935540" w14:textId="77777777" w:rsidTr="00494F0E">
        <w:trPr>
          <w:trHeight w:val="915"/>
          <w:jc w:val="center"/>
        </w:trPr>
        <w:tc>
          <w:tcPr>
            <w:tcW w:w="797" w:type="dxa"/>
            <w:tcBorders>
              <w:top w:val="single" w:sz="4" w:space="0" w:color="auto"/>
              <w:left w:val="single" w:sz="4" w:space="0" w:color="auto"/>
              <w:bottom w:val="single" w:sz="4" w:space="0" w:color="auto"/>
              <w:right w:val="single" w:sz="4" w:space="0" w:color="auto"/>
            </w:tcBorders>
            <w:shd w:val="clear" w:color="auto" w:fill="C6EFCE"/>
          </w:tcPr>
          <w:p w14:paraId="65759B2E" w14:textId="6BD0FD60" w:rsidR="00702291" w:rsidRDefault="00712B31">
            <w:pPr>
              <w:pStyle w:val="P68B1DB1-Normal27"/>
              <w:spacing w:after="120" w:line="240" w:lineRule="auto"/>
              <w:rPr>
                <w:noProof/>
                <w:highlight w:val="yellow"/>
              </w:rPr>
            </w:pPr>
            <w:r>
              <w:rPr>
                <w:noProof/>
              </w:rPr>
              <w:t>125</w:t>
            </w:r>
          </w:p>
        </w:tc>
        <w:tc>
          <w:tcPr>
            <w:tcW w:w="1174" w:type="dxa"/>
            <w:tcBorders>
              <w:top w:val="single" w:sz="4" w:space="0" w:color="auto"/>
              <w:left w:val="single" w:sz="4" w:space="0" w:color="auto"/>
              <w:bottom w:val="single" w:sz="4" w:space="0" w:color="auto"/>
              <w:right w:val="single" w:sz="4" w:space="0" w:color="auto"/>
            </w:tcBorders>
            <w:shd w:val="clear" w:color="auto" w:fill="C6EFCE"/>
          </w:tcPr>
          <w:p w14:paraId="6BCF168A" w14:textId="59B02979" w:rsidR="00702291" w:rsidRDefault="00712B31">
            <w:pPr>
              <w:pStyle w:val="P68B1DB1-Normal32"/>
              <w:spacing w:after="120" w:line="240" w:lineRule="auto"/>
              <w:rPr>
                <w:noProof/>
              </w:rPr>
            </w:pPr>
            <w:r>
              <w:rPr>
                <w:noProof/>
              </w:rPr>
              <w:t>C11.I1 Servicii de e-guvernare</w:t>
            </w:r>
          </w:p>
        </w:tc>
        <w:tc>
          <w:tcPr>
            <w:tcW w:w="1170" w:type="dxa"/>
            <w:tcBorders>
              <w:top w:val="single" w:sz="4" w:space="0" w:color="auto"/>
              <w:left w:val="single" w:sz="4" w:space="0" w:color="auto"/>
              <w:bottom w:val="single" w:sz="4" w:space="0" w:color="auto"/>
              <w:right w:val="single" w:sz="4" w:space="0" w:color="auto"/>
            </w:tcBorders>
            <w:shd w:val="clear" w:color="auto" w:fill="C6EFCE"/>
          </w:tcPr>
          <w:p w14:paraId="02A09C61" w14:textId="77777777" w:rsidR="00702291" w:rsidRDefault="00712B31">
            <w:pPr>
              <w:pStyle w:val="P68B1DB1-Normal27"/>
              <w:spacing w:after="120" w:line="240" w:lineRule="auto"/>
              <w:rPr>
                <w:noProof/>
              </w:rPr>
            </w:pPr>
            <w:r>
              <w:rPr>
                <w:noProof/>
              </w:rPr>
              <w:t>Etapă</w:t>
            </w:r>
          </w:p>
        </w:tc>
        <w:tc>
          <w:tcPr>
            <w:tcW w:w="2116" w:type="dxa"/>
            <w:tcBorders>
              <w:top w:val="single" w:sz="4" w:space="0" w:color="auto"/>
              <w:left w:val="single" w:sz="4" w:space="0" w:color="auto"/>
              <w:bottom w:val="single" w:sz="4" w:space="0" w:color="auto"/>
              <w:right w:val="single" w:sz="4" w:space="0" w:color="auto"/>
            </w:tcBorders>
            <w:shd w:val="clear" w:color="auto" w:fill="C6EFCE"/>
          </w:tcPr>
          <w:p w14:paraId="669BEC9C" w14:textId="77777777" w:rsidR="00702291" w:rsidRDefault="00712B31">
            <w:pPr>
              <w:pStyle w:val="P68B1DB1-Default73"/>
              <w:spacing w:after="120"/>
              <w:rPr>
                <w:noProof/>
              </w:rPr>
            </w:pPr>
            <w:r>
              <w:rPr>
                <w:noProof/>
              </w:rPr>
              <w:t>Soluția pentru portofelul digital de date</w:t>
            </w:r>
          </w:p>
        </w:tc>
        <w:tc>
          <w:tcPr>
            <w:tcW w:w="1746" w:type="dxa"/>
            <w:tcBorders>
              <w:top w:val="single" w:sz="4" w:space="0" w:color="auto"/>
              <w:left w:val="single" w:sz="4" w:space="0" w:color="auto"/>
              <w:bottom w:val="single" w:sz="4" w:space="0" w:color="auto"/>
              <w:right w:val="single" w:sz="4" w:space="0" w:color="auto"/>
            </w:tcBorders>
            <w:shd w:val="clear" w:color="auto" w:fill="C6EFCE"/>
          </w:tcPr>
          <w:p w14:paraId="06D0FF6F" w14:textId="77777777" w:rsidR="00702291" w:rsidRDefault="00712B31">
            <w:pPr>
              <w:pStyle w:val="P68B1DB1-Default73"/>
              <w:spacing w:after="120"/>
              <w:rPr>
                <w:noProof/>
              </w:rPr>
            </w:pPr>
            <w:r>
              <w:rPr>
                <w:noProof/>
              </w:rPr>
              <w:t xml:space="preserve">Modernizarea sau crearea de sisteme </w:t>
            </w:r>
          </w:p>
        </w:tc>
        <w:tc>
          <w:tcPr>
            <w:tcW w:w="957" w:type="dxa"/>
            <w:tcBorders>
              <w:top w:val="single" w:sz="4" w:space="0" w:color="auto"/>
              <w:left w:val="single" w:sz="4" w:space="0" w:color="auto"/>
              <w:bottom w:val="single" w:sz="4" w:space="0" w:color="auto"/>
              <w:right w:val="single" w:sz="4" w:space="0" w:color="auto"/>
            </w:tcBorders>
            <w:shd w:val="clear" w:color="auto" w:fill="C6EFCE"/>
          </w:tcPr>
          <w:p w14:paraId="1AE3F8E1" w14:textId="77777777" w:rsidR="00702291" w:rsidRDefault="00702291">
            <w:pPr>
              <w:spacing w:after="120" w:line="240" w:lineRule="auto"/>
              <w:rPr>
                <w:rFonts w:ascii="Times New Roman" w:eastAsia="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tcPr>
          <w:p w14:paraId="36CF8204" w14:textId="77777777" w:rsidR="00702291" w:rsidRDefault="00702291">
            <w:pPr>
              <w:spacing w:after="120" w:line="240" w:lineRule="auto"/>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1BBA8B9" w14:textId="77777777" w:rsidR="00702291" w:rsidRDefault="00702291">
            <w:pPr>
              <w:spacing w:after="120" w:line="240" w:lineRule="auto"/>
              <w:rPr>
                <w:rFonts w:ascii="Times New Roman" w:eastAsia="Times New Roman" w:hAnsi="Times New Roman" w:cs="Times New Roman"/>
                <w:noProof/>
                <w:sz w:val="18"/>
                <w:szCs w:val="18"/>
              </w:rPr>
            </w:pPr>
          </w:p>
        </w:tc>
        <w:tc>
          <w:tcPr>
            <w:tcW w:w="897" w:type="dxa"/>
            <w:tcBorders>
              <w:top w:val="single" w:sz="4" w:space="0" w:color="auto"/>
              <w:left w:val="single" w:sz="4" w:space="0" w:color="auto"/>
              <w:bottom w:val="single" w:sz="4" w:space="0" w:color="auto"/>
              <w:right w:val="single" w:sz="4" w:space="0" w:color="auto"/>
            </w:tcBorders>
            <w:shd w:val="clear" w:color="auto" w:fill="C6EFCE"/>
          </w:tcPr>
          <w:p w14:paraId="27448FCF" w14:textId="6E7DFF3A" w:rsidR="00702291" w:rsidRDefault="00F233DB">
            <w:pPr>
              <w:pStyle w:val="P68B1DB1-Normal27"/>
              <w:spacing w:after="120" w:line="240" w:lineRule="auto"/>
              <w:jc w:val="center"/>
              <w:rPr>
                <w:noProof/>
              </w:rPr>
            </w:pPr>
            <w:r>
              <w:rPr>
                <w:noProof/>
              </w:rPr>
              <w:t>T2</w:t>
            </w:r>
          </w:p>
        </w:tc>
        <w:tc>
          <w:tcPr>
            <w:tcW w:w="830" w:type="dxa"/>
            <w:tcBorders>
              <w:top w:val="single" w:sz="4" w:space="0" w:color="auto"/>
              <w:left w:val="single" w:sz="4" w:space="0" w:color="auto"/>
              <w:bottom w:val="single" w:sz="4" w:space="0" w:color="auto"/>
              <w:right w:val="single" w:sz="4" w:space="0" w:color="auto"/>
            </w:tcBorders>
            <w:shd w:val="clear" w:color="auto" w:fill="C6EFCE"/>
          </w:tcPr>
          <w:p w14:paraId="0C4DC06F" w14:textId="77777777" w:rsidR="00702291" w:rsidRDefault="00712B31">
            <w:pPr>
              <w:pStyle w:val="P68B1DB1-Normal27"/>
              <w:spacing w:after="120" w:line="240" w:lineRule="auto"/>
              <w:rPr>
                <w:noProof/>
              </w:rPr>
            </w:pPr>
            <w:r>
              <w:rPr>
                <w:noProof/>
              </w:rPr>
              <w:t>2026</w:t>
            </w:r>
          </w:p>
        </w:tc>
        <w:tc>
          <w:tcPr>
            <w:tcW w:w="3951" w:type="dxa"/>
            <w:tcBorders>
              <w:top w:val="single" w:sz="4" w:space="0" w:color="auto"/>
              <w:left w:val="single" w:sz="4" w:space="0" w:color="auto"/>
              <w:bottom w:val="single" w:sz="4" w:space="0" w:color="auto"/>
              <w:right w:val="single" w:sz="4" w:space="0" w:color="auto"/>
            </w:tcBorders>
            <w:shd w:val="clear" w:color="auto" w:fill="C6EFCE"/>
          </w:tcPr>
          <w:p w14:paraId="206A3066" w14:textId="2704A11F" w:rsidR="00702291" w:rsidRDefault="00712B31">
            <w:pPr>
              <w:pStyle w:val="P68B1DB1-Default73"/>
              <w:spacing w:after="120"/>
              <w:jc w:val="both"/>
              <w:rPr>
                <w:noProof/>
              </w:rPr>
            </w:pPr>
            <w:r>
              <w:rPr>
                <w:noProof/>
              </w:rPr>
              <w:t>Intervențiile în domeniul e-guvernării:</w:t>
            </w:r>
          </w:p>
          <w:p w14:paraId="4CC5F761" w14:textId="0F16DDA6" w:rsidR="00702291" w:rsidRDefault="00712B31">
            <w:pPr>
              <w:pStyle w:val="P68B1DB1-Default73"/>
              <w:spacing w:after="120"/>
              <w:jc w:val="both"/>
              <w:rPr>
                <w:noProof/>
              </w:rPr>
            </w:pPr>
            <w:r>
              <w:rPr>
                <w:noProof/>
              </w:rPr>
              <w:t>(I) să modernizeze sistemul (sistemele) de identificare și de gestionare a accesului în cadrul guvernării electronice;</w:t>
            </w:r>
          </w:p>
          <w:p w14:paraId="61B02FD5" w14:textId="77777777" w:rsidR="00702291" w:rsidRDefault="00712B31">
            <w:pPr>
              <w:pStyle w:val="P68B1DB1-Default73"/>
              <w:spacing w:after="120"/>
              <w:jc w:val="both"/>
              <w:rPr>
                <w:noProof/>
              </w:rPr>
            </w:pPr>
            <w:r>
              <w:rPr>
                <w:noProof/>
              </w:rPr>
              <w:t>(II) pun la dispoziția utilizatorilor identitatea digitală a dispozitivelor portabile și a portofelului digital; și</w:t>
            </w:r>
          </w:p>
          <w:p w14:paraId="1BF91B27" w14:textId="1F7A37BA" w:rsidR="00702291" w:rsidRDefault="00712B31">
            <w:pPr>
              <w:pStyle w:val="P68B1DB1-Default73"/>
              <w:spacing w:after="120"/>
              <w:jc w:val="both"/>
              <w:rPr>
                <w:noProof/>
              </w:rPr>
            </w:pPr>
            <w:r>
              <w:rPr>
                <w:noProof/>
              </w:rPr>
              <w:t>(III) crearea de noi funcționalități de e-guvernare sau modernizarea celor existente.</w:t>
            </w:r>
          </w:p>
        </w:tc>
      </w:tr>
    </w:tbl>
    <w:p w14:paraId="7ED92C2A" w14:textId="77777777" w:rsidR="00702291" w:rsidRDefault="00702291">
      <w:pPr>
        <w:autoSpaceDE w:val="0"/>
        <w:autoSpaceDN w:val="0"/>
        <w:adjustRightInd w:val="0"/>
        <w:spacing w:after="120" w:line="240" w:lineRule="auto"/>
        <w:jc w:val="both"/>
        <w:rPr>
          <w:rFonts w:ascii="Times New Roman" w:hAnsi="Times New Roman"/>
          <w:noProof/>
          <w:sz w:val="24"/>
          <w:szCs w:val="24"/>
          <w:highlight w:val="yellow"/>
        </w:rPr>
      </w:pPr>
    </w:p>
    <w:p w14:paraId="78591534" w14:textId="77777777" w:rsidR="00702291" w:rsidRDefault="00702291">
      <w:pPr>
        <w:autoSpaceDE w:val="0"/>
        <w:autoSpaceDN w:val="0"/>
        <w:adjustRightInd w:val="0"/>
        <w:spacing w:after="120" w:line="240" w:lineRule="auto"/>
        <w:jc w:val="both"/>
        <w:rPr>
          <w:rFonts w:ascii="Times New Roman" w:hAnsi="Times New Roman"/>
          <w:noProof/>
          <w:sz w:val="24"/>
          <w:szCs w:val="24"/>
          <w:highlight w:val="yellow"/>
        </w:rPr>
      </w:pPr>
    </w:p>
    <w:p w14:paraId="4AF3B865" w14:textId="77777777" w:rsidR="00702291" w:rsidRDefault="00702291">
      <w:pPr>
        <w:autoSpaceDE w:val="0"/>
        <w:autoSpaceDN w:val="0"/>
        <w:adjustRightInd w:val="0"/>
        <w:spacing w:after="120" w:line="240" w:lineRule="auto"/>
        <w:jc w:val="both"/>
        <w:rPr>
          <w:rFonts w:ascii="Times New Roman" w:hAnsi="Times New Roman"/>
          <w:noProof/>
          <w:sz w:val="24"/>
          <w:szCs w:val="24"/>
          <w:highlight w:val="yellow"/>
        </w:rPr>
        <w:sectPr w:rsidR="00702291" w:rsidSect="00BE290C">
          <w:headerReference w:type="default" r:id="rId124"/>
          <w:footerReference w:type="default" r:id="rId125"/>
          <w:pgSz w:w="16839" w:h="11907" w:orient="landscape"/>
          <w:pgMar w:top="1134" w:right="1134" w:bottom="1134" w:left="1134" w:header="567" w:footer="567" w:gutter="0"/>
          <w:cols w:space="708"/>
          <w:docGrid w:linePitch="326"/>
        </w:sectPr>
      </w:pPr>
    </w:p>
    <w:p w14:paraId="7A9461DC" w14:textId="6E29C6D0" w:rsidR="00702291" w:rsidRDefault="00712B31">
      <w:pPr>
        <w:pStyle w:val="P68B1DB1-Heading310"/>
        <w:spacing w:before="0" w:after="120"/>
        <w:rPr>
          <w:noProof/>
        </w:rPr>
      </w:pPr>
      <w:r>
        <w:rPr>
          <w:noProof/>
        </w:rPr>
        <w:t>K.3. Descrierea reformelor și a investițiilor pentru împrumut</w:t>
      </w:r>
    </w:p>
    <w:p w14:paraId="633421E9" w14:textId="28F4E679" w:rsidR="00702291" w:rsidRDefault="00712B31">
      <w:pPr>
        <w:pStyle w:val="P68B1DB1-Heading411"/>
        <w:spacing w:before="0" w:after="120" w:line="240" w:lineRule="auto"/>
        <w:rPr>
          <w:noProof/>
        </w:rPr>
      </w:pPr>
      <w:r>
        <w:rPr>
          <w:noProof/>
        </w:rPr>
        <w:t>C11.I2: Gigafabrica de IA și alte infrastructuri de calcul EuroHPC</w:t>
      </w:r>
    </w:p>
    <w:p w14:paraId="37BA3DDE" w14:textId="77777777" w:rsidR="00702291" w:rsidRDefault="00712B31">
      <w:pPr>
        <w:pStyle w:val="P68B1DB1-Normal34"/>
        <w:spacing w:after="120" w:line="240" w:lineRule="auto"/>
        <w:jc w:val="both"/>
        <w:rPr>
          <w:noProof/>
        </w:rPr>
      </w:pPr>
      <w:r>
        <w:rPr>
          <w:noProof/>
        </w:rPr>
        <w:t xml:space="preserve">Obiectivul acestei măsuri este de a sprijini înființarea de către Ungaria a gigafabricilor de inteligență artificială și accesul Ungariei la acestea și la serviciile lor. </w:t>
      </w:r>
    </w:p>
    <w:p w14:paraId="65D7BDB6" w14:textId="71AA3FE1" w:rsidR="00702291" w:rsidRDefault="00712B31">
      <w:pPr>
        <w:pStyle w:val="P68B1DB1-Normal34"/>
        <w:spacing w:after="120" w:line="240" w:lineRule="auto"/>
        <w:jc w:val="both"/>
        <w:rPr>
          <w:noProof/>
        </w:rPr>
      </w:pPr>
      <w:r>
        <w:rPr>
          <w:noProof/>
        </w:rPr>
        <w:t xml:space="preserve">Măsura constă într-o contribuție voluntară de 500 de milioane EUR la întreprinderea comună EuroHPC, pentru a oferi sprijin financiar unei gigafabrici de IA și/sau unei infrastructuri avansate de IA/HPC și/sau unor inițiative în domeniul tehnologiei cuantice și/sau unei alte infrastructuri de calcul EuroHPC și/sau oricăror alte proiecte de cercetare și inovare EuroHPC care urmează să fie stabilite în Uniune. </w:t>
      </w:r>
    </w:p>
    <w:p w14:paraId="56E18667" w14:textId="7E98E01A" w:rsidR="00702291" w:rsidRDefault="00712B31">
      <w:pPr>
        <w:pStyle w:val="P68B1DB1-Heading411"/>
        <w:spacing w:before="0" w:after="120" w:line="240" w:lineRule="auto"/>
        <w:rPr>
          <w:noProof/>
        </w:rPr>
      </w:pPr>
      <w:r>
        <w:rPr>
          <w:noProof/>
        </w:rPr>
        <w:t>C11.I3: Contribuție voluntară la IRIS2</w:t>
      </w:r>
    </w:p>
    <w:p w14:paraId="2C304630" w14:textId="77777777" w:rsidR="00702291" w:rsidRDefault="00712B31">
      <w:pPr>
        <w:pStyle w:val="P68B1DB1-Normal34"/>
        <w:spacing w:after="120" w:line="240" w:lineRule="auto"/>
        <w:jc w:val="both"/>
        <w:rPr>
          <w:noProof/>
        </w:rPr>
      </w:pPr>
      <w:r>
        <w:rPr>
          <w:noProof/>
        </w:rPr>
        <w:t xml:space="preserve">Obiectivul măsurii este de a sprijini capacitățile de comunicații securizate ale Ungariei. </w:t>
      </w:r>
    </w:p>
    <w:p w14:paraId="6A396EBA" w14:textId="529B267C" w:rsidR="00702291" w:rsidRDefault="00712B31">
      <w:pPr>
        <w:pStyle w:val="P68B1DB1-Normal34"/>
        <w:spacing w:after="120" w:line="240" w:lineRule="auto"/>
        <w:jc w:val="both"/>
        <w:rPr>
          <w:noProof/>
        </w:rPr>
      </w:pPr>
      <w:r>
        <w:rPr>
          <w:noProof/>
        </w:rPr>
        <w:t>Măsura constă într-o contribuție voluntară de 500 de milioane EUR la Programul UE privind conectivitatea securizată (IRIS2). Contribuția poate sprijini, fără a se limita la acestea, achiziționarea de sateliți suplimentari, infrastructura terestră cu gateway și punct de prezență situate în Ungaria, capacitatea de comunicare a sateliților și/sau dezvoltarea de activități auxiliare de conectivitate.</w:t>
      </w:r>
    </w:p>
    <w:p w14:paraId="482AE0CE" w14:textId="77777777" w:rsidR="00702291" w:rsidRDefault="00702291">
      <w:pPr>
        <w:spacing w:after="120" w:line="240" w:lineRule="auto"/>
        <w:jc w:val="both"/>
        <w:rPr>
          <w:rFonts w:ascii="Times New Roman" w:hAnsi="Times New Roman" w:cs="Times New Roman"/>
          <w:noProof/>
          <w:sz w:val="24"/>
          <w:szCs w:val="24"/>
        </w:rPr>
      </w:pPr>
    </w:p>
    <w:p w14:paraId="0A83849A" w14:textId="42FC3405" w:rsidR="00702291" w:rsidRDefault="00702291">
      <w:pPr>
        <w:spacing w:after="120" w:line="240" w:lineRule="auto"/>
        <w:jc w:val="both"/>
        <w:rPr>
          <w:rFonts w:ascii="Times New Roman" w:hAnsi="Times New Roman" w:cs="Times New Roman"/>
          <w:noProof/>
          <w:sz w:val="24"/>
          <w:szCs w:val="24"/>
        </w:rPr>
        <w:sectPr w:rsidR="00702291" w:rsidSect="009935A8">
          <w:headerReference w:type="default" r:id="rId126"/>
          <w:footerReference w:type="default" r:id="rId127"/>
          <w:pgSz w:w="11907" w:h="16839"/>
          <w:pgMar w:top="1134" w:right="1134" w:bottom="1134" w:left="1134" w:header="567" w:footer="567" w:gutter="0"/>
          <w:cols w:space="708"/>
          <w:docGrid w:linePitch="326"/>
        </w:sectPr>
      </w:pPr>
    </w:p>
    <w:p w14:paraId="44E152D3" w14:textId="18FCA118" w:rsidR="00702291" w:rsidRDefault="00712B31">
      <w:pPr>
        <w:pStyle w:val="P68B1DB1-Heading310"/>
        <w:spacing w:before="0" w:after="120"/>
        <w:rPr>
          <w:bCs/>
          <w:noProof/>
        </w:rPr>
      </w:pPr>
      <w:r>
        <w:rPr>
          <w:noProof/>
        </w:rPr>
        <w:t xml:space="preserve">K.4. </w:t>
      </w:r>
      <w:r>
        <w:rPr>
          <w:noProof/>
        </w:rPr>
        <w:tab/>
        <w:t>Jaloane, ținte, indicatori și calendarul de monitorizare și implementare aplicabile împrumutului</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
        <w:gridCol w:w="1176"/>
        <w:gridCol w:w="1170"/>
        <w:gridCol w:w="2118"/>
        <w:gridCol w:w="1744"/>
        <w:gridCol w:w="956"/>
        <w:gridCol w:w="970"/>
        <w:gridCol w:w="850"/>
        <w:gridCol w:w="893"/>
        <w:gridCol w:w="830"/>
        <w:gridCol w:w="3950"/>
      </w:tblGrid>
      <w:tr w:rsidR="00702291" w14:paraId="2A929AD1" w14:textId="77777777" w:rsidTr="00494F0E">
        <w:trPr>
          <w:trHeight w:val="300"/>
          <w:tblHeader/>
          <w:jc w:val="center"/>
        </w:trPr>
        <w:tc>
          <w:tcPr>
            <w:tcW w:w="650" w:type="dxa"/>
            <w:vMerge w:val="restart"/>
            <w:shd w:val="clear" w:color="auto" w:fill="BDD7EE"/>
            <w:vAlign w:val="center"/>
            <w:hideMark/>
          </w:tcPr>
          <w:p w14:paraId="269DB83F" w14:textId="77777777" w:rsidR="00702291" w:rsidRDefault="00712B31">
            <w:pPr>
              <w:pStyle w:val="P68B1DB1-Normal71"/>
              <w:spacing w:after="120" w:line="240" w:lineRule="auto"/>
              <w:jc w:val="center"/>
              <w:textAlignment w:val="baseline"/>
              <w:rPr>
                <w:noProof/>
              </w:rPr>
            </w:pPr>
            <w:r>
              <w:rPr>
                <w:noProof/>
              </w:rPr>
              <w:t>Număr Număr</w:t>
            </w:r>
          </w:p>
        </w:tc>
        <w:tc>
          <w:tcPr>
            <w:tcW w:w="1176" w:type="dxa"/>
            <w:vMerge w:val="restart"/>
            <w:shd w:val="clear" w:color="auto" w:fill="BDD7EE"/>
            <w:vAlign w:val="center"/>
            <w:hideMark/>
          </w:tcPr>
          <w:p w14:paraId="0BB21BC3" w14:textId="77777777" w:rsidR="00702291" w:rsidRDefault="00712B31">
            <w:pPr>
              <w:pStyle w:val="P68B1DB1-Normal71"/>
              <w:spacing w:after="120" w:line="240" w:lineRule="auto"/>
              <w:jc w:val="center"/>
              <w:textAlignment w:val="baseline"/>
              <w:rPr>
                <w:rFonts w:eastAsiaTheme="minorHAnsi"/>
                <w:noProof/>
              </w:rPr>
            </w:pPr>
            <w:r>
              <w:rPr>
                <w:noProof/>
              </w:rPr>
              <w:t>Măsură conexă (reformă sau investiții)</w:t>
            </w:r>
          </w:p>
        </w:tc>
        <w:tc>
          <w:tcPr>
            <w:tcW w:w="1170" w:type="dxa"/>
            <w:vMerge w:val="restart"/>
            <w:shd w:val="clear" w:color="auto" w:fill="BDD7EE"/>
            <w:vAlign w:val="center"/>
            <w:hideMark/>
          </w:tcPr>
          <w:p w14:paraId="4ADFB745" w14:textId="794F0158" w:rsidR="00702291" w:rsidRDefault="00712B31">
            <w:pPr>
              <w:pStyle w:val="P68B1DB1-Normal71"/>
              <w:spacing w:after="120" w:line="240" w:lineRule="auto"/>
              <w:jc w:val="center"/>
              <w:textAlignment w:val="baseline"/>
              <w:rPr>
                <w:rFonts w:eastAsiaTheme="minorHAnsi"/>
                <w:noProof/>
              </w:rPr>
            </w:pPr>
            <w:r>
              <w:rPr>
                <w:noProof/>
              </w:rPr>
              <w:t>Etapă/Obiectiv</w:t>
            </w:r>
          </w:p>
        </w:tc>
        <w:tc>
          <w:tcPr>
            <w:tcW w:w="2118" w:type="dxa"/>
            <w:vMerge w:val="restart"/>
            <w:shd w:val="clear" w:color="auto" w:fill="BDD7EE"/>
            <w:vAlign w:val="center"/>
            <w:hideMark/>
          </w:tcPr>
          <w:p w14:paraId="0386AB16" w14:textId="77777777" w:rsidR="00702291" w:rsidRDefault="00712B31">
            <w:pPr>
              <w:pStyle w:val="P68B1DB1-Normal71"/>
              <w:spacing w:after="120" w:line="240" w:lineRule="auto"/>
              <w:jc w:val="center"/>
              <w:textAlignment w:val="baseline"/>
              <w:rPr>
                <w:rFonts w:eastAsiaTheme="minorHAnsi"/>
                <w:noProof/>
              </w:rPr>
            </w:pPr>
            <w:r>
              <w:rPr>
                <w:noProof/>
              </w:rPr>
              <w:t>Nume</w:t>
            </w:r>
          </w:p>
        </w:tc>
        <w:tc>
          <w:tcPr>
            <w:tcW w:w="1744" w:type="dxa"/>
            <w:vMerge w:val="restart"/>
            <w:shd w:val="clear" w:color="auto" w:fill="BDD7EE"/>
            <w:vAlign w:val="center"/>
            <w:hideMark/>
          </w:tcPr>
          <w:p w14:paraId="605E1660" w14:textId="0B6B1F74" w:rsidR="00702291" w:rsidRDefault="00712B31">
            <w:pPr>
              <w:pStyle w:val="P68B1DB1-Normal72"/>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776" w:type="dxa"/>
            <w:gridSpan w:val="3"/>
            <w:shd w:val="clear" w:color="auto" w:fill="BDD7EE"/>
            <w:vAlign w:val="center"/>
            <w:hideMark/>
          </w:tcPr>
          <w:p w14:paraId="148D413C" w14:textId="65AA3057" w:rsidR="00702291" w:rsidRDefault="00712B31">
            <w:pPr>
              <w:pStyle w:val="P68B1DB1-Normal72"/>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723" w:type="dxa"/>
            <w:gridSpan w:val="2"/>
            <w:shd w:val="clear" w:color="auto" w:fill="BDD7EE"/>
            <w:vAlign w:val="center"/>
            <w:hideMark/>
          </w:tcPr>
          <w:p w14:paraId="0A0C64E8" w14:textId="16942811" w:rsidR="00702291" w:rsidRDefault="00712B31">
            <w:pPr>
              <w:pStyle w:val="P68B1DB1-Normal71"/>
              <w:spacing w:after="120" w:line="240" w:lineRule="auto"/>
              <w:jc w:val="center"/>
              <w:textAlignment w:val="baseline"/>
              <w:rPr>
                <w:rFonts w:eastAsiaTheme="minorHAnsi"/>
                <w:noProof/>
              </w:rPr>
            </w:pPr>
            <w:r>
              <w:rPr>
                <w:noProof/>
              </w:rPr>
              <w:t xml:space="preserve">Calendar orientativ pentru finalizare </w:t>
            </w:r>
          </w:p>
        </w:tc>
        <w:tc>
          <w:tcPr>
            <w:tcW w:w="3950" w:type="dxa"/>
            <w:vMerge w:val="restart"/>
            <w:shd w:val="clear" w:color="auto" w:fill="BDD7EE"/>
            <w:vAlign w:val="center"/>
            <w:hideMark/>
          </w:tcPr>
          <w:p w14:paraId="1887BE0C" w14:textId="77777777" w:rsidR="00702291" w:rsidRDefault="00712B31">
            <w:pPr>
              <w:pStyle w:val="P68B1DB1-Normal71"/>
              <w:spacing w:after="120" w:line="240" w:lineRule="auto"/>
              <w:jc w:val="center"/>
              <w:textAlignment w:val="baseline"/>
              <w:rPr>
                <w:rFonts w:eastAsiaTheme="minorHAnsi"/>
                <w:noProof/>
              </w:rPr>
            </w:pPr>
            <w:r>
              <w:rPr>
                <w:noProof/>
              </w:rPr>
              <w:t>Descrierea fiecărui jalon și a fiecărei ținte</w:t>
            </w:r>
          </w:p>
        </w:tc>
      </w:tr>
      <w:tr w:rsidR="00702291" w14:paraId="2FBA61E8" w14:textId="77777777" w:rsidTr="00494F0E">
        <w:trPr>
          <w:trHeight w:val="79"/>
          <w:tblHeader/>
          <w:jc w:val="center"/>
        </w:trPr>
        <w:tc>
          <w:tcPr>
            <w:tcW w:w="650" w:type="dxa"/>
            <w:vMerge/>
            <w:vAlign w:val="center"/>
            <w:hideMark/>
          </w:tcPr>
          <w:p w14:paraId="554A1034" w14:textId="77777777" w:rsidR="00702291" w:rsidRDefault="00702291">
            <w:pPr>
              <w:spacing w:after="120" w:line="240" w:lineRule="auto"/>
              <w:jc w:val="center"/>
              <w:rPr>
                <w:rFonts w:ascii="Times New Roman" w:hAnsi="Times New Roman" w:cs="Times New Roman"/>
                <w:noProof/>
                <w:sz w:val="18"/>
              </w:rPr>
            </w:pPr>
          </w:p>
        </w:tc>
        <w:tc>
          <w:tcPr>
            <w:tcW w:w="1176" w:type="dxa"/>
            <w:vMerge/>
            <w:vAlign w:val="center"/>
            <w:hideMark/>
          </w:tcPr>
          <w:p w14:paraId="155C7149" w14:textId="77777777" w:rsidR="00702291" w:rsidRDefault="00702291">
            <w:pPr>
              <w:spacing w:after="120" w:line="240" w:lineRule="auto"/>
              <w:jc w:val="center"/>
              <w:rPr>
                <w:rFonts w:ascii="Times New Roman" w:hAnsi="Times New Roman" w:cs="Times New Roman"/>
                <w:noProof/>
                <w:sz w:val="18"/>
              </w:rPr>
            </w:pPr>
          </w:p>
        </w:tc>
        <w:tc>
          <w:tcPr>
            <w:tcW w:w="1170" w:type="dxa"/>
            <w:vMerge/>
            <w:vAlign w:val="center"/>
            <w:hideMark/>
          </w:tcPr>
          <w:p w14:paraId="1672C18F" w14:textId="77777777" w:rsidR="00702291" w:rsidRDefault="00702291">
            <w:pPr>
              <w:spacing w:after="120" w:line="240" w:lineRule="auto"/>
              <w:jc w:val="center"/>
              <w:rPr>
                <w:rFonts w:ascii="Times New Roman" w:hAnsi="Times New Roman" w:cs="Times New Roman"/>
                <w:noProof/>
                <w:sz w:val="18"/>
              </w:rPr>
            </w:pPr>
          </w:p>
        </w:tc>
        <w:tc>
          <w:tcPr>
            <w:tcW w:w="2118" w:type="dxa"/>
            <w:vMerge/>
            <w:vAlign w:val="center"/>
            <w:hideMark/>
          </w:tcPr>
          <w:p w14:paraId="4B783BBA" w14:textId="77777777" w:rsidR="00702291" w:rsidRDefault="00702291">
            <w:pPr>
              <w:spacing w:after="120" w:line="240" w:lineRule="auto"/>
              <w:jc w:val="center"/>
              <w:rPr>
                <w:rFonts w:ascii="Times New Roman" w:hAnsi="Times New Roman" w:cs="Times New Roman"/>
                <w:noProof/>
                <w:sz w:val="18"/>
              </w:rPr>
            </w:pPr>
          </w:p>
        </w:tc>
        <w:tc>
          <w:tcPr>
            <w:tcW w:w="1744" w:type="dxa"/>
            <w:vMerge/>
            <w:vAlign w:val="center"/>
            <w:hideMark/>
          </w:tcPr>
          <w:p w14:paraId="5E9831EC" w14:textId="77777777" w:rsidR="00702291" w:rsidRDefault="00702291">
            <w:pPr>
              <w:spacing w:after="120" w:line="240" w:lineRule="auto"/>
              <w:jc w:val="center"/>
              <w:rPr>
                <w:rFonts w:ascii="Times New Roman" w:hAnsi="Times New Roman" w:cs="Times New Roman"/>
                <w:noProof/>
                <w:sz w:val="18"/>
              </w:rPr>
            </w:pPr>
          </w:p>
        </w:tc>
        <w:tc>
          <w:tcPr>
            <w:tcW w:w="956" w:type="dxa"/>
            <w:shd w:val="clear" w:color="auto" w:fill="BDD7EE"/>
            <w:vAlign w:val="center"/>
            <w:hideMark/>
          </w:tcPr>
          <w:p w14:paraId="0FC02565" w14:textId="77777777" w:rsidR="00702291" w:rsidRDefault="00712B31">
            <w:pPr>
              <w:pStyle w:val="P68B1DB1-Normal71"/>
              <w:spacing w:after="120" w:line="240" w:lineRule="auto"/>
              <w:jc w:val="center"/>
              <w:textAlignment w:val="baseline"/>
              <w:rPr>
                <w:rFonts w:eastAsiaTheme="minorHAnsi"/>
                <w:noProof/>
              </w:rPr>
            </w:pPr>
            <w:r>
              <w:rPr>
                <w:noProof/>
              </w:rPr>
              <w:t>Unitatea de măsură</w:t>
            </w:r>
          </w:p>
        </w:tc>
        <w:tc>
          <w:tcPr>
            <w:tcW w:w="970" w:type="dxa"/>
            <w:shd w:val="clear" w:color="auto" w:fill="BDD7EE"/>
            <w:vAlign w:val="center"/>
            <w:hideMark/>
          </w:tcPr>
          <w:p w14:paraId="5967546E" w14:textId="77777777" w:rsidR="00702291" w:rsidRDefault="00712B31">
            <w:pPr>
              <w:pStyle w:val="P68B1DB1-Normal71"/>
              <w:spacing w:after="120" w:line="240" w:lineRule="auto"/>
              <w:jc w:val="center"/>
              <w:textAlignment w:val="baseline"/>
              <w:rPr>
                <w:rFonts w:eastAsiaTheme="minorHAnsi"/>
                <w:noProof/>
              </w:rPr>
            </w:pPr>
            <w:r>
              <w:rPr>
                <w:noProof/>
              </w:rPr>
              <w:t>Situația de referință</w:t>
            </w:r>
          </w:p>
        </w:tc>
        <w:tc>
          <w:tcPr>
            <w:tcW w:w="850" w:type="dxa"/>
            <w:shd w:val="clear" w:color="auto" w:fill="BDD7EE"/>
            <w:vAlign w:val="center"/>
            <w:hideMark/>
          </w:tcPr>
          <w:p w14:paraId="6C1ED766" w14:textId="77777777" w:rsidR="00702291" w:rsidRDefault="00712B31">
            <w:pPr>
              <w:pStyle w:val="P68B1DB1-Normal71"/>
              <w:spacing w:after="120" w:line="240" w:lineRule="auto"/>
              <w:jc w:val="center"/>
              <w:textAlignment w:val="baseline"/>
              <w:rPr>
                <w:rFonts w:eastAsiaTheme="minorHAnsi"/>
                <w:noProof/>
              </w:rPr>
            </w:pPr>
            <w:r>
              <w:rPr>
                <w:noProof/>
              </w:rPr>
              <w:t>Obiectiv</w:t>
            </w:r>
          </w:p>
        </w:tc>
        <w:tc>
          <w:tcPr>
            <w:tcW w:w="893" w:type="dxa"/>
            <w:shd w:val="clear" w:color="auto" w:fill="BDD7EE"/>
            <w:vAlign w:val="center"/>
            <w:hideMark/>
          </w:tcPr>
          <w:p w14:paraId="763A6348" w14:textId="77777777" w:rsidR="00702291" w:rsidRDefault="00712B31">
            <w:pPr>
              <w:pStyle w:val="P68B1DB1-Normal71"/>
              <w:spacing w:after="120" w:line="240" w:lineRule="auto"/>
              <w:jc w:val="center"/>
              <w:textAlignment w:val="baseline"/>
              <w:rPr>
                <w:rFonts w:eastAsiaTheme="minorHAnsi"/>
                <w:noProof/>
              </w:rPr>
            </w:pPr>
            <w:r>
              <w:rPr>
                <w:noProof/>
              </w:rPr>
              <w:t>Trimestru</w:t>
            </w:r>
          </w:p>
        </w:tc>
        <w:tc>
          <w:tcPr>
            <w:tcW w:w="830" w:type="dxa"/>
            <w:shd w:val="clear" w:color="auto" w:fill="BDD7EE"/>
            <w:vAlign w:val="center"/>
            <w:hideMark/>
          </w:tcPr>
          <w:p w14:paraId="38FFAB7B" w14:textId="77777777" w:rsidR="00702291" w:rsidRDefault="00712B31">
            <w:pPr>
              <w:pStyle w:val="P68B1DB1-Normal71"/>
              <w:spacing w:after="120" w:line="240" w:lineRule="auto"/>
              <w:jc w:val="center"/>
              <w:textAlignment w:val="baseline"/>
              <w:rPr>
                <w:rFonts w:eastAsiaTheme="minorHAnsi"/>
                <w:noProof/>
              </w:rPr>
            </w:pPr>
            <w:r>
              <w:rPr>
                <w:noProof/>
              </w:rPr>
              <w:t>Anul</w:t>
            </w:r>
          </w:p>
        </w:tc>
        <w:tc>
          <w:tcPr>
            <w:tcW w:w="3950" w:type="dxa"/>
            <w:vMerge/>
            <w:vAlign w:val="center"/>
            <w:hideMark/>
          </w:tcPr>
          <w:p w14:paraId="43625DEF" w14:textId="77777777" w:rsidR="00702291" w:rsidRDefault="00702291">
            <w:pPr>
              <w:spacing w:after="120" w:line="240" w:lineRule="auto"/>
              <w:rPr>
                <w:rFonts w:ascii="Times New Roman" w:hAnsi="Times New Roman" w:cs="Times New Roman"/>
                <w:noProof/>
                <w:sz w:val="18"/>
              </w:rPr>
            </w:pPr>
          </w:p>
        </w:tc>
      </w:tr>
      <w:tr w:rsidR="00702291" w14:paraId="1C6D9063" w14:textId="77777777" w:rsidTr="00494F0E">
        <w:trPr>
          <w:trHeight w:val="915"/>
          <w:jc w:val="center"/>
        </w:trPr>
        <w:tc>
          <w:tcPr>
            <w:tcW w:w="650" w:type="dxa"/>
            <w:shd w:val="clear" w:color="auto" w:fill="C6EFCE"/>
          </w:tcPr>
          <w:p w14:paraId="1C4AD115" w14:textId="37A32376" w:rsidR="00702291" w:rsidRDefault="00712B31">
            <w:pPr>
              <w:pStyle w:val="P68B1DB1-Normal27"/>
              <w:spacing w:after="120" w:line="240" w:lineRule="auto"/>
              <w:rPr>
                <w:noProof/>
              </w:rPr>
            </w:pPr>
            <w:r>
              <w:rPr>
                <w:noProof/>
              </w:rPr>
              <w:t>126</w:t>
            </w:r>
          </w:p>
        </w:tc>
        <w:tc>
          <w:tcPr>
            <w:tcW w:w="1176" w:type="dxa"/>
            <w:shd w:val="clear" w:color="auto" w:fill="C6EFCE"/>
          </w:tcPr>
          <w:p w14:paraId="7D43D743" w14:textId="24662589" w:rsidR="00702291" w:rsidRDefault="00712B31">
            <w:pPr>
              <w:pStyle w:val="P68B1DB1-Normal32"/>
              <w:spacing w:after="120" w:line="240" w:lineRule="auto"/>
              <w:rPr>
                <w:noProof/>
              </w:rPr>
            </w:pPr>
            <w:r>
              <w:rPr>
                <w:noProof/>
              </w:rPr>
              <w:t>C11.I2 Gigafabrica de IA și alte infrastructuri de calcul EuroHPC</w:t>
            </w:r>
          </w:p>
        </w:tc>
        <w:tc>
          <w:tcPr>
            <w:tcW w:w="1170" w:type="dxa"/>
            <w:shd w:val="clear" w:color="auto" w:fill="C6EFCE"/>
          </w:tcPr>
          <w:p w14:paraId="2EA60DDE" w14:textId="133B35E6" w:rsidR="00702291" w:rsidRDefault="00712B31">
            <w:pPr>
              <w:pStyle w:val="P68B1DB1-Normal27"/>
              <w:spacing w:after="120" w:line="240" w:lineRule="auto"/>
              <w:rPr>
                <w:noProof/>
              </w:rPr>
            </w:pPr>
            <w:r>
              <w:rPr>
                <w:noProof/>
              </w:rPr>
              <w:t>Etapă</w:t>
            </w:r>
          </w:p>
        </w:tc>
        <w:tc>
          <w:tcPr>
            <w:tcW w:w="2118" w:type="dxa"/>
            <w:shd w:val="clear" w:color="auto" w:fill="C6EFCE"/>
          </w:tcPr>
          <w:p w14:paraId="70F648D5" w14:textId="14B0B80F" w:rsidR="00702291" w:rsidRDefault="00712B31">
            <w:pPr>
              <w:pStyle w:val="P68B1DB1-Default74"/>
              <w:spacing w:after="120"/>
              <w:rPr>
                <w:noProof/>
              </w:rPr>
            </w:pPr>
            <w:r>
              <w:rPr>
                <w:noProof/>
              </w:rPr>
              <w:t xml:space="preserve">Semnarea acordului de contribuție dintre Ungaria și întreprinderea comună EuroHPC și plata contribuției voluntare către întreprinderea comună EuroHPC </w:t>
            </w:r>
          </w:p>
          <w:p w14:paraId="336EC01C" w14:textId="6A329A3E" w:rsidR="00702291" w:rsidRDefault="00702291">
            <w:pPr>
              <w:spacing w:after="120" w:line="240" w:lineRule="auto"/>
              <w:rPr>
                <w:rFonts w:ascii="Times New Roman" w:eastAsia="Times New Roman" w:hAnsi="Times New Roman" w:cs="Times New Roman"/>
                <w:noProof/>
                <w:sz w:val="18"/>
                <w:szCs w:val="18"/>
              </w:rPr>
            </w:pPr>
          </w:p>
        </w:tc>
        <w:tc>
          <w:tcPr>
            <w:tcW w:w="1744" w:type="dxa"/>
            <w:shd w:val="clear" w:color="auto" w:fill="C6EFCE"/>
          </w:tcPr>
          <w:p w14:paraId="3B0925FF" w14:textId="77777777" w:rsidR="00702291" w:rsidRDefault="00712B31">
            <w:pPr>
              <w:pStyle w:val="P68B1DB1-Default74"/>
              <w:spacing w:after="120"/>
              <w:rPr>
                <w:noProof/>
              </w:rPr>
            </w:pPr>
            <w:r>
              <w:rPr>
                <w:noProof/>
              </w:rPr>
              <w:t xml:space="preserve">Semnarea acordului de contribuție </w:t>
            </w:r>
          </w:p>
          <w:p w14:paraId="3ACCD06F" w14:textId="4957C391" w:rsidR="00702291" w:rsidRDefault="00702291">
            <w:pPr>
              <w:spacing w:after="120" w:line="240" w:lineRule="auto"/>
              <w:rPr>
                <w:rFonts w:ascii="Times New Roman" w:eastAsia="Times New Roman" w:hAnsi="Times New Roman" w:cs="Times New Roman"/>
                <w:noProof/>
                <w:sz w:val="18"/>
                <w:szCs w:val="18"/>
              </w:rPr>
            </w:pPr>
          </w:p>
        </w:tc>
        <w:tc>
          <w:tcPr>
            <w:tcW w:w="956" w:type="dxa"/>
            <w:shd w:val="clear" w:color="auto" w:fill="C6EFCE"/>
          </w:tcPr>
          <w:p w14:paraId="5E64F921" w14:textId="77777777" w:rsidR="00702291" w:rsidRDefault="00702291">
            <w:pPr>
              <w:spacing w:after="120" w:line="240" w:lineRule="auto"/>
              <w:rPr>
                <w:rFonts w:ascii="Times New Roman" w:eastAsia="Times New Roman" w:hAnsi="Times New Roman" w:cs="Times New Roman"/>
                <w:noProof/>
                <w:sz w:val="18"/>
                <w:szCs w:val="18"/>
              </w:rPr>
            </w:pPr>
          </w:p>
        </w:tc>
        <w:tc>
          <w:tcPr>
            <w:tcW w:w="970" w:type="dxa"/>
            <w:shd w:val="clear" w:color="auto" w:fill="C6EFCE"/>
          </w:tcPr>
          <w:p w14:paraId="62B659C7" w14:textId="77777777" w:rsidR="00702291" w:rsidRDefault="00702291">
            <w:pPr>
              <w:spacing w:after="120" w:line="240" w:lineRule="auto"/>
              <w:rPr>
                <w:rFonts w:ascii="Times New Roman" w:eastAsia="Times New Roman" w:hAnsi="Times New Roman" w:cs="Times New Roman"/>
                <w:noProof/>
                <w:sz w:val="18"/>
                <w:szCs w:val="18"/>
              </w:rPr>
            </w:pPr>
          </w:p>
        </w:tc>
        <w:tc>
          <w:tcPr>
            <w:tcW w:w="850" w:type="dxa"/>
            <w:shd w:val="clear" w:color="auto" w:fill="C6EFCE"/>
          </w:tcPr>
          <w:p w14:paraId="089F0BA0" w14:textId="77777777" w:rsidR="00702291" w:rsidRDefault="00702291">
            <w:pPr>
              <w:spacing w:after="120" w:line="240" w:lineRule="auto"/>
              <w:rPr>
                <w:rFonts w:ascii="Times New Roman" w:eastAsia="Times New Roman" w:hAnsi="Times New Roman" w:cs="Times New Roman"/>
                <w:noProof/>
                <w:sz w:val="18"/>
                <w:szCs w:val="18"/>
              </w:rPr>
            </w:pPr>
          </w:p>
        </w:tc>
        <w:tc>
          <w:tcPr>
            <w:tcW w:w="893" w:type="dxa"/>
            <w:shd w:val="clear" w:color="auto" w:fill="C6EFCE"/>
          </w:tcPr>
          <w:p w14:paraId="588DB4EB" w14:textId="3007836B" w:rsidR="00702291" w:rsidRDefault="00F233DB">
            <w:pPr>
              <w:pStyle w:val="P68B1DB1-Normal27"/>
              <w:spacing w:after="120" w:line="240" w:lineRule="auto"/>
              <w:jc w:val="center"/>
              <w:rPr>
                <w:noProof/>
              </w:rPr>
            </w:pPr>
            <w:r>
              <w:rPr>
                <w:noProof/>
              </w:rPr>
              <w:t>T2</w:t>
            </w:r>
          </w:p>
        </w:tc>
        <w:tc>
          <w:tcPr>
            <w:tcW w:w="830" w:type="dxa"/>
            <w:shd w:val="clear" w:color="auto" w:fill="C6EFCE"/>
          </w:tcPr>
          <w:p w14:paraId="4F627343" w14:textId="77777777" w:rsidR="00702291" w:rsidRDefault="00712B31">
            <w:pPr>
              <w:pStyle w:val="P68B1DB1-Normal27"/>
              <w:spacing w:after="120" w:line="240" w:lineRule="auto"/>
              <w:rPr>
                <w:noProof/>
              </w:rPr>
            </w:pPr>
            <w:r>
              <w:rPr>
                <w:noProof/>
              </w:rPr>
              <w:t>2026</w:t>
            </w:r>
          </w:p>
        </w:tc>
        <w:tc>
          <w:tcPr>
            <w:tcW w:w="3950" w:type="dxa"/>
            <w:shd w:val="clear" w:color="auto" w:fill="C6EFCE"/>
          </w:tcPr>
          <w:p w14:paraId="207A3F1E" w14:textId="560160F7" w:rsidR="00702291" w:rsidRDefault="00712B31">
            <w:pPr>
              <w:pStyle w:val="P68B1DB1-Default74"/>
              <w:spacing w:after="120"/>
              <w:jc w:val="both"/>
              <w:rPr>
                <w:noProof/>
              </w:rPr>
            </w:pPr>
            <w:r>
              <w:rPr>
                <w:noProof/>
              </w:rPr>
              <w:t xml:space="preserve">Semnarea acordului de contribuție dintre Ungaria și întreprinderea comună EuroHPC. Acordul de contribuție respectiv include: </w:t>
            </w:r>
          </w:p>
          <w:p w14:paraId="0CD432C0" w14:textId="2B6190AD" w:rsidR="00702291" w:rsidRDefault="00712B31">
            <w:pPr>
              <w:pStyle w:val="P68B1DB1-Default74"/>
              <w:spacing w:after="120"/>
              <w:jc w:val="both"/>
              <w:rPr>
                <w:noProof/>
              </w:rPr>
            </w:pPr>
            <w:r>
              <w:rPr>
                <w:noProof/>
              </w:rPr>
              <w:t xml:space="preserve">— Indicarea activităților care urmează să fie finanțate prin contribuția voluntară, și anume sprijinul financiar pentru o gigafabrică de IA și/sau o infrastructură avansată de IA/HPC și/sau inițiative în domeniul tehnologiei cuantice și/sau alte infrastructuri de calcul EuroHPC și/sau orice alte proiecte de cercetare și inovare EuroHPC, care urmează să fie stabilite în Uniune. </w:t>
            </w:r>
          </w:p>
          <w:p w14:paraId="43ABA2DA" w14:textId="77777777" w:rsidR="00702291" w:rsidRDefault="00712B31">
            <w:pPr>
              <w:pStyle w:val="P68B1DB1-Default74"/>
              <w:spacing w:after="120"/>
              <w:jc w:val="both"/>
              <w:rPr>
                <w:noProof/>
              </w:rPr>
            </w:pPr>
            <w:r>
              <w:rPr>
                <w:noProof/>
              </w:rPr>
              <w:t xml:space="preserve">— Cerința ca respectiva contribuție voluntară să fie utilizată în conformitate cu principiul de „a nu prejudicia în mod semnificativ”, astfel cum este prevăzut în Orientările tehnice 2021/C58/01. </w:t>
            </w:r>
          </w:p>
          <w:p w14:paraId="2A935A64" w14:textId="293B0871" w:rsidR="00702291" w:rsidRDefault="00712B31">
            <w:pPr>
              <w:pStyle w:val="P68B1DB1-Default74"/>
              <w:spacing w:after="120"/>
              <w:jc w:val="both"/>
              <w:rPr>
                <w:noProof/>
              </w:rPr>
            </w:pPr>
            <w:r>
              <w:rPr>
                <w:noProof/>
              </w:rPr>
              <w:t xml:space="preserve">— Cuantumul exact al contribuției voluntare din fondul MRR. </w:t>
            </w:r>
          </w:p>
          <w:p w14:paraId="71FF75F5" w14:textId="05FA9799" w:rsidR="00702291" w:rsidRDefault="00712B31">
            <w:pPr>
              <w:pStyle w:val="P68B1DB1-Default74"/>
              <w:spacing w:after="120"/>
              <w:jc w:val="both"/>
              <w:rPr>
                <w:noProof/>
              </w:rPr>
            </w:pPr>
            <w:r>
              <w:rPr>
                <w:noProof/>
              </w:rPr>
              <w:t xml:space="preserve">— Cerința ca sumele neutilizate care fac obiectul acordului să fie utilizate de întreprinderea comună EuroHPC în beneficiul statului membru în cauză și să nu fie transferate înapoi statului membru. </w:t>
            </w:r>
          </w:p>
          <w:p w14:paraId="28CEB11E" w14:textId="1D7B02B4" w:rsidR="00702291" w:rsidRDefault="00712B31">
            <w:pPr>
              <w:pStyle w:val="P68B1DB1-Normal75"/>
              <w:spacing w:after="120" w:line="240" w:lineRule="auto"/>
              <w:jc w:val="both"/>
              <w:rPr>
                <w:rFonts w:ascii="Times New Roman" w:eastAsia="Times New Roman" w:hAnsi="Times New Roman" w:cs="Times New Roman"/>
                <w:noProof/>
                <w:sz w:val="18"/>
                <w:szCs w:val="18"/>
              </w:rPr>
            </w:pPr>
            <w:r>
              <w:rPr>
                <w:rFonts w:ascii="Times New Roman" w:hAnsi="Times New Roman" w:cs="Times New Roman"/>
                <w:noProof/>
                <w:color w:val="000000" w:themeColor="text1"/>
              </w:rPr>
              <w:t>— Ungaria transferă 500 milioane EUR către întreprinderea comună pentru calculul european de înaltă performanță.</w:t>
            </w:r>
            <w:r>
              <w:rPr>
                <w:noProof/>
              </w:rPr>
              <w:t xml:space="preserve"> </w:t>
            </w:r>
          </w:p>
        </w:tc>
      </w:tr>
      <w:tr w:rsidR="00702291" w14:paraId="3A69DF5D" w14:textId="77777777" w:rsidTr="00494F0E">
        <w:trPr>
          <w:trHeight w:val="915"/>
          <w:jc w:val="center"/>
        </w:trPr>
        <w:tc>
          <w:tcPr>
            <w:tcW w:w="650" w:type="dxa"/>
            <w:shd w:val="clear" w:color="auto" w:fill="C6EFCE"/>
          </w:tcPr>
          <w:p w14:paraId="72C4534E" w14:textId="39FDF8B2" w:rsidR="00702291" w:rsidRDefault="00712B31">
            <w:pPr>
              <w:pStyle w:val="P68B1DB1-Normal27"/>
              <w:spacing w:after="120" w:line="240" w:lineRule="auto"/>
              <w:rPr>
                <w:noProof/>
              </w:rPr>
            </w:pPr>
            <w:r>
              <w:rPr>
                <w:noProof/>
              </w:rPr>
              <w:t>127</w:t>
            </w:r>
          </w:p>
        </w:tc>
        <w:tc>
          <w:tcPr>
            <w:tcW w:w="1176" w:type="dxa"/>
            <w:shd w:val="clear" w:color="auto" w:fill="C6EFCE"/>
          </w:tcPr>
          <w:p w14:paraId="70BCD37D" w14:textId="4072C252" w:rsidR="00702291" w:rsidRDefault="00712B31">
            <w:pPr>
              <w:pStyle w:val="P68B1DB1-Normal32"/>
              <w:spacing w:after="120" w:line="240" w:lineRule="auto"/>
              <w:rPr>
                <w:noProof/>
              </w:rPr>
            </w:pPr>
            <w:r>
              <w:rPr>
                <w:noProof/>
              </w:rPr>
              <w:t>C11.I3 Contribuție voluntară la IRIS2</w:t>
            </w:r>
          </w:p>
        </w:tc>
        <w:tc>
          <w:tcPr>
            <w:tcW w:w="1170" w:type="dxa"/>
            <w:shd w:val="clear" w:color="auto" w:fill="C6EFCE"/>
          </w:tcPr>
          <w:p w14:paraId="170A61DE" w14:textId="26ACA2C3" w:rsidR="00702291" w:rsidRDefault="00712B31">
            <w:pPr>
              <w:pStyle w:val="P68B1DB1-Normal27"/>
              <w:spacing w:after="120" w:line="240" w:lineRule="auto"/>
              <w:rPr>
                <w:noProof/>
              </w:rPr>
            </w:pPr>
            <w:r>
              <w:rPr>
                <w:noProof/>
              </w:rPr>
              <w:t>Etapă</w:t>
            </w:r>
          </w:p>
        </w:tc>
        <w:tc>
          <w:tcPr>
            <w:tcW w:w="2118" w:type="dxa"/>
            <w:shd w:val="clear" w:color="auto" w:fill="C6EFCE"/>
          </w:tcPr>
          <w:p w14:paraId="04593414" w14:textId="3E294E0B" w:rsidR="00702291" w:rsidRDefault="00712B31">
            <w:pPr>
              <w:pStyle w:val="P68B1DB1-Default74"/>
              <w:spacing w:after="120"/>
              <w:rPr>
                <w:noProof/>
              </w:rPr>
            </w:pPr>
            <w:r>
              <w:rPr>
                <w:noProof/>
              </w:rPr>
              <w:t>Semnarea Acordului privind contribuția dintre Ungaria și Comisia Europeană și atribuirea unei contribuții voluntare la Programul UE privind conectivitatea securizată (IRIS2)</w:t>
            </w:r>
          </w:p>
        </w:tc>
        <w:tc>
          <w:tcPr>
            <w:tcW w:w="1744" w:type="dxa"/>
            <w:shd w:val="clear" w:color="auto" w:fill="C6EFCE"/>
          </w:tcPr>
          <w:p w14:paraId="6D2FA01B" w14:textId="6B23061B" w:rsidR="00702291" w:rsidRDefault="00712B31">
            <w:pPr>
              <w:pStyle w:val="P68B1DB1-Default74"/>
              <w:spacing w:after="120"/>
              <w:rPr>
                <w:noProof/>
              </w:rPr>
            </w:pPr>
            <w:r>
              <w:rPr>
                <w:noProof/>
              </w:rPr>
              <w:t>Semnarea acordului de contribuție</w:t>
            </w:r>
          </w:p>
        </w:tc>
        <w:tc>
          <w:tcPr>
            <w:tcW w:w="956" w:type="dxa"/>
            <w:shd w:val="clear" w:color="auto" w:fill="C6EFCE"/>
          </w:tcPr>
          <w:p w14:paraId="571E1887" w14:textId="77777777" w:rsidR="00702291" w:rsidRDefault="00702291">
            <w:pPr>
              <w:spacing w:after="120" w:line="240" w:lineRule="auto"/>
              <w:rPr>
                <w:rFonts w:ascii="Times New Roman" w:eastAsia="Times New Roman" w:hAnsi="Times New Roman" w:cs="Times New Roman"/>
                <w:noProof/>
                <w:sz w:val="18"/>
                <w:szCs w:val="18"/>
              </w:rPr>
            </w:pPr>
          </w:p>
        </w:tc>
        <w:tc>
          <w:tcPr>
            <w:tcW w:w="970" w:type="dxa"/>
            <w:shd w:val="clear" w:color="auto" w:fill="C6EFCE"/>
          </w:tcPr>
          <w:p w14:paraId="389FE276" w14:textId="77777777" w:rsidR="00702291" w:rsidRDefault="00702291">
            <w:pPr>
              <w:spacing w:after="120" w:line="240" w:lineRule="auto"/>
              <w:rPr>
                <w:rFonts w:ascii="Times New Roman" w:eastAsia="Times New Roman" w:hAnsi="Times New Roman" w:cs="Times New Roman"/>
                <w:noProof/>
                <w:sz w:val="18"/>
                <w:szCs w:val="18"/>
              </w:rPr>
            </w:pPr>
          </w:p>
        </w:tc>
        <w:tc>
          <w:tcPr>
            <w:tcW w:w="850" w:type="dxa"/>
            <w:shd w:val="clear" w:color="auto" w:fill="C6EFCE"/>
          </w:tcPr>
          <w:p w14:paraId="68BFA687" w14:textId="77777777" w:rsidR="00702291" w:rsidRDefault="00702291">
            <w:pPr>
              <w:spacing w:after="120" w:line="240" w:lineRule="auto"/>
              <w:rPr>
                <w:rFonts w:ascii="Times New Roman" w:eastAsia="Times New Roman" w:hAnsi="Times New Roman" w:cs="Times New Roman"/>
                <w:noProof/>
                <w:sz w:val="18"/>
                <w:szCs w:val="18"/>
              </w:rPr>
            </w:pPr>
          </w:p>
        </w:tc>
        <w:tc>
          <w:tcPr>
            <w:tcW w:w="893" w:type="dxa"/>
            <w:shd w:val="clear" w:color="auto" w:fill="C6EFCE"/>
          </w:tcPr>
          <w:p w14:paraId="1B6464D5" w14:textId="3B8D1B46" w:rsidR="00702291" w:rsidRDefault="00F233DB">
            <w:pPr>
              <w:pStyle w:val="P68B1DB1-Normal27"/>
              <w:spacing w:after="120" w:line="240" w:lineRule="auto"/>
              <w:jc w:val="center"/>
              <w:rPr>
                <w:noProof/>
              </w:rPr>
            </w:pPr>
            <w:r>
              <w:rPr>
                <w:noProof/>
              </w:rPr>
              <w:t>T2</w:t>
            </w:r>
          </w:p>
        </w:tc>
        <w:tc>
          <w:tcPr>
            <w:tcW w:w="830" w:type="dxa"/>
            <w:shd w:val="clear" w:color="auto" w:fill="C6EFCE"/>
          </w:tcPr>
          <w:p w14:paraId="757D0668" w14:textId="13775217" w:rsidR="00702291" w:rsidRDefault="00712B31">
            <w:pPr>
              <w:pStyle w:val="P68B1DB1-Normal27"/>
              <w:spacing w:after="120" w:line="240" w:lineRule="auto"/>
              <w:rPr>
                <w:noProof/>
              </w:rPr>
            </w:pPr>
            <w:r>
              <w:rPr>
                <w:noProof/>
              </w:rPr>
              <w:t>2026</w:t>
            </w:r>
          </w:p>
        </w:tc>
        <w:tc>
          <w:tcPr>
            <w:tcW w:w="3950" w:type="dxa"/>
            <w:shd w:val="clear" w:color="auto" w:fill="C6EFCE"/>
          </w:tcPr>
          <w:p w14:paraId="586BCB7A" w14:textId="136C5A25" w:rsidR="00702291" w:rsidRDefault="00712B31">
            <w:pPr>
              <w:pStyle w:val="P68B1DB1-Default74"/>
              <w:spacing w:after="120"/>
              <w:jc w:val="both"/>
              <w:rPr>
                <w:noProof/>
              </w:rPr>
            </w:pPr>
            <w:r>
              <w:rPr>
                <w:noProof/>
              </w:rPr>
              <w:t>Semnarea acordului de contribuție dintre Ungaria și Comisia Europeană. Acordul de contribuție respectiv include activitățile care ar urma să fie finanțate în cadrul contribuției voluntare. Ungaria transferă 500 de milioane EUR către Programul UE privind conectivitatea securizată (IRIS2).</w:t>
            </w:r>
          </w:p>
        </w:tc>
      </w:tr>
    </w:tbl>
    <w:p w14:paraId="3E33C160" w14:textId="233D92E3" w:rsidR="00702291" w:rsidRDefault="00702291">
      <w:pPr>
        <w:spacing w:after="120" w:line="240" w:lineRule="auto"/>
        <w:rPr>
          <w:noProof/>
          <w:vertAlign w:val="superscript"/>
        </w:rPr>
      </w:pPr>
    </w:p>
    <w:p w14:paraId="258FE488" w14:textId="77777777" w:rsidR="00702291" w:rsidRDefault="00702291">
      <w:pPr>
        <w:spacing w:after="120" w:line="240" w:lineRule="auto"/>
        <w:rPr>
          <w:noProof/>
        </w:rPr>
        <w:sectPr w:rsidR="00702291" w:rsidSect="00632EA4">
          <w:headerReference w:type="default" r:id="rId128"/>
          <w:footerReference w:type="default" r:id="rId129"/>
          <w:pgSz w:w="16839" w:h="11907" w:orient="landscape"/>
          <w:pgMar w:top="1134" w:right="1134" w:bottom="1134" w:left="1134" w:header="567" w:footer="567" w:gutter="0"/>
          <w:cols w:space="708"/>
          <w:docGrid w:linePitch="326"/>
        </w:sectPr>
      </w:pPr>
    </w:p>
    <w:p w14:paraId="5511A7D9" w14:textId="77777777" w:rsidR="00702291" w:rsidRDefault="00712B31">
      <w:pPr>
        <w:pStyle w:val="P68B1DB1-Normal76"/>
        <w:spacing w:after="120" w:line="240" w:lineRule="auto"/>
        <w:jc w:val="both"/>
        <w:rPr>
          <w:rFonts w:eastAsia="Calibri" w:cs="Times New Roman"/>
          <w:noProof/>
        </w:rPr>
      </w:pPr>
      <w:r>
        <w:rPr>
          <w:noProof/>
        </w:rPr>
        <w:t>2. Costul total estimat al planului de redresare și reziliență</w:t>
      </w:r>
    </w:p>
    <w:p w14:paraId="464AE90C" w14:textId="71CE2FF2" w:rsidR="00702291" w:rsidRDefault="00712B31">
      <w:pPr>
        <w:pStyle w:val="P68B1DB1-Normal6"/>
        <w:spacing w:after="120" w:line="240" w:lineRule="auto"/>
        <w:jc w:val="both"/>
        <w:textAlignment w:val="baseline"/>
        <w:rPr>
          <w:noProof/>
        </w:rPr>
      </w:pPr>
      <w:r>
        <w:rPr>
          <w:noProof/>
        </w:rPr>
        <w:t>Costul total estimat al planului de redresare și reziliență al Ungariei este de 3 553 302 225 000 HUF, și anume 10 000 000 000 EUR, pe baza cursului mediu de schimb de referință HUF EUR al BCE din 9 iunie 2026. </w:t>
      </w:r>
    </w:p>
    <w:p w14:paraId="4895BBC8" w14:textId="77777777" w:rsidR="00702291" w:rsidRDefault="00702291">
      <w:pPr>
        <w:spacing w:after="120" w:line="240" w:lineRule="auto"/>
        <w:jc w:val="both"/>
        <w:textAlignment w:val="baseline"/>
        <w:rPr>
          <w:rFonts w:ascii="Times New Roman" w:eastAsia="Calibri" w:hAnsi="Times New Roman" w:cs="Times New Roman"/>
          <w:b/>
          <w:noProof/>
          <w:sz w:val="24"/>
        </w:rPr>
      </w:pPr>
    </w:p>
    <w:p w14:paraId="01A14238" w14:textId="77777777" w:rsidR="00702291" w:rsidRDefault="00712B31">
      <w:pPr>
        <w:pStyle w:val="P68B1DB1-Heading13"/>
        <w:spacing w:before="0" w:after="120"/>
        <w:rPr>
          <w:rFonts w:eastAsia="Calibri"/>
          <w:noProof/>
        </w:rPr>
      </w:pPr>
      <w:r>
        <w:rPr>
          <w:noProof/>
        </w:rPr>
        <w:t xml:space="preserve">SECȚIUNEA 2: SPRIJIN FINANCIAR </w:t>
      </w:r>
    </w:p>
    <w:p w14:paraId="22761E0A" w14:textId="4AE6C409" w:rsidR="00702291" w:rsidRDefault="00712B31">
      <w:pPr>
        <w:pStyle w:val="P68B1DB1-Heading277"/>
        <w:numPr>
          <w:ilvl w:val="0"/>
          <w:numId w:val="159"/>
        </w:numPr>
        <w:spacing w:before="0" w:after="120"/>
        <w:rPr>
          <w:rFonts w:eastAsia="Calibri"/>
          <w:noProof/>
        </w:rPr>
      </w:pPr>
      <w:r>
        <w:rPr>
          <w:noProof/>
        </w:rPr>
        <w:t xml:space="preserve">Financiară adecvată </w:t>
      </w:r>
    </w:p>
    <w:p w14:paraId="286B18E1" w14:textId="77777777" w:rsidR="00702291" w:rsidRDefault="00712B31">
      <w:pPr>
        <w:pStyle w:val="P68B1DB1-Normal34"/>
        <w:spacing w:after="120" w:line="240" w:lineRule="auto"/>
        <w:jc w:val="both"/>
        <w:rPr>
          <w:rFonts w:eastAsia="Calibri"/>
          <w:noProof/>
        </w:rPr>
      </w:pPr>
      <w:r>
        <w:rPr>
          <w:noProof/>
        </w:rPr>
        <w:t xml:space="preserve">Tranșele menționate la articolul 2 alineatul (2) se organizează după cum urmează: </w:t>
      </w:r>
    </w:p>
    <w:p w14:paraId="734D6CD5" w14:textId="77777777" w:rsidR="00702291" w:rsidRDefault="00712B31">
      <w:pPr>
        <w:pStyle w:val="P68B1DB1-Heading378"/>
        <w:numPr>
          <w:ilvl w:val="1"/>
          <w:numId w:val="16"/>
        </w:numPr>
        <w:spacing w:before="0" w:after="120"/>
        <w:ind w:left="1440" w:hanging="360"/>
        <w:rPr>
          <w:noProof/>
        </w:rPr>
      </w:pPr>
      <w:r>
        <w:rPr>
          <w:noProof/>
        </w:rPr>
        <w:t>Prima tranșă (sprijin nerambursabil):</w:t>
      </w:r>
    </w:p>
    <w:tbl>
      <w:tblPr>
        <w:tblW w:w="9303" w:type="dxa"/>
        <w:tblInd w:w="113" w:type="dxa"/>
        <w:tblLayout w:type="fixed"/>
        <w:tblCellMar>
          <w:top w:w="15" w:type="dxa"/>
        </w:tblCellMar>
        <w:tblLook w:val="04A0" w:firstRow="1" w:lastRow="0" w:firstColumn="1" w:lastColumn="0" w:noHBand="0" w:noVBand="1"/>
      </w:tblPr>
      <w:tblGrid>
        <w:gridCol w:w="1207"/>
        <w:gridCol w:w="3041"/>
        <w:gridCol w:w="1446"/>
        <w:gridCol w:w="3373"/>
        <w:gridCol w:w="236"/>
      </w:tblGrid>
      <w:tr w:rsidR="00702291" w14:paraId="6498B6E5" w14:textId="77777777">
        <w:trPr>
          <w:gridAfter w:val="1"/>
          <w:wAfter w:w="236" w:type="dxa"/>
          <w:trHeight w:val="458"/>
          <w:tblHeader/>
        </w:trPr>
        <w:tc>
          <w:tcPr>
            <w:tcW w:w="12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552FD2" w14:textId="77777777" w:rsidR="00702291" w:rsidRDefault="00712B31">
            <w:pPr>
              <w:pStyle w:val="P68B1DB1-Normal79"/>
              <w:spacing w:after="120" w:line="240" w:lineRule="auto"/>
              <w:jc w:val="center"/>
              <w:rPr>
                <w:noProof/>
              </w:rPr>
            </w:pPr>
            <w:r>
              <w:rPr>
                <w:noProof/>
              </w:rPr>
              <w:t>Număr secvențial</w:t>
            </w:r>
          </w:p>
        </w:tc>
        <w:tc>
          <w:tcPr>
            <w:tcW w:w="30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1882A6" w14:textId="77777777" w:rsidR="00702291" w:rsidRDefault="00712B31">
            <w:pPr>
              <w:pStyle w:val="P68B1DB1-Normal79"/>
              <w:spacing w:after="120" w:line="240" w:lineRule="auto"/>
              <w:jc w:val="center"/>
              <w:rPr>
                <w:noProof/>
              </w:rPr>
            </w:pPr>
            <w:r>
              <w:rPr>
                <w:noProof/>
              </w:rPr>
              <w:t>Măsură conexă (reformă sau investiții)</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5901C8" w14:textId="4C839789" w:rsidR="00702291" w:rsidRDefault="00712B31">
            <w:pPr>
              <w:pStyle w:val="P68B1DB1-Normal79"/>
              <w:spacing w:after="120" w:line="240" w:lineRule="auto"/>
              <w:jc w:val="center"/>
              <w:rPr>
                <w:noProof/>
              </w:rPr>
            </w:pPr>
            <w:r>
              <w:rPr>
                <w:noProof/>
              </w:rPr>
              <w:t>Etapă/</w:t>
            </w:r>
            <w:r w:rsidR="00494F0E">
              <w:rPr>
                <w:noProof/>
              </w:rPr>
              <w:t xml:space="preserve"> </w:t>
            </w:r>
            <w:r>
              <w:rPr>
                <w:noProof/>
              </w:rPr>
              <w:t>Obiectiv</w:t>
            </w:r>
          </w:p>
        </w:tc>
        <w:tc>
          <w:tcPr>
            <w:tcW w:w="33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A629A7" w14:textId="77777777" w:rsidR="00702291" w:rsidRDefault="00712B31">
            <w:pPr>
              <w:pStyle w:val="P68B1DB1-Normal79"/>
              <w:spacing w:after="120" w:line="240" w:lineRule="auto"/>
              <w:jc w:val="center"/>
              <w:rPr>
                <w:noProof/>
              </w:rPr>
            </w:pPr>
            <w:r>
              <w:rPr>
                <w:noProof/>
              </w:rPr>
              <w:t>Nume</w:t>
            </w:r>
          </w:p>
        </w:tc>
      </w:tr>
      <w:tr w:rsidR="00702291" w14:paraId="1665B01C" w14:textId="77777777">
        <w:trPr>
          <w:trHeight w:val="290"/>
          <w:tblHeader/>
        </w:trPr>
        <w:tc>
          <w:tcPr>
            <w:tcW w:w="1207" w:type="dxa"/>
            <w:vMerge/>
            <w:tcBorders>
              <w:top w:val="single" w:sz="4" w:space="0" w:color="auto"/>
              <w:left w:val="single" w:sz="4" w:space="0" w:color="auto"/>
              <w:bottom w:val="single" w:sz="4" w:space="0" w:color="auto"/>
              <w:right w:val="single" w:sz="4" w:space="0" w:color="auto"/>
            </w:tcBorders>
            <w:vAlign w:val="center"/>
            <w:hideMark/>
          </w:tcPr>
          <w:p w14:paraId="51AD571E" w14:textId="77777777" w:rsidR="00702291" w:rsidRDefault="00702291">
            <w:pPr>
              <w:spacing w:after="120" w:line="240" w:lineRule="auto"/>
              <w:rPr>
                <w:rFonts w:ascii="Times New Roman" w:eastAsia="Times New Roman" w:hAnsi="Times New Roman" w:cs="Times New Roman"/>
                <w:b/>
                <w:noProof/>
              </w:rPr>
            </w:pPr>
          </w:p>
        </w:tc>
        <w:tc>
          <w:tcPr>
            <w:tcW w:w="3041" w:type="dxa"/>
            <w:vMerge/>
            <w:tcBorders>
              <w:top w:val="single" w:sz="4" w:space="0" w:color="auto"/>
              <w:left w:val="single" w:sz="4" w:space="0" w:color="auto"/>
              <w:right w:val="single" w:sz="4" w:space="0" w:color="auto"/>
            </w:tcBorders>
            <w:vAlign w:val="center"/>
            <w:hideMark/>
          </w:tcPr>
          <w:p w14:paraId="01F3F145" w14:textId="77777777" w:rsidR="00702291" w:rsidRDefault="00702291">
            <w:pPr>
              <w:spacing w:after="120" w:line="240" w:lineRule="auto"/>
              <w:rPr>
                <w:rFonts w:ascii="Times New Roman" w:eastAsia="Times New Roman" w:hAnsi="Times New Roman" w:cs="Times New Roman"/>
                <w:b/>
                <w:noProof/>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067B8F9B" w14:textId="77777777" w:rsidR="00702291" w:rsidRDefault="00702291">
            <w:pPr>
              <w:spacing w:after="120" w:line="240" w:lineRule="auto"/>
              <w:rPr>
                <w:rFonts w:ascii="Times New Roman" w:eastAsia="Times New Roman" w:hAnsi="Times New Roman" w:cs="Times New Roman"/>
                <w:b/>
                <w:noProof/>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4D40CEE1" w14:textId="77777777" w:rsidR="00702291" w:rsidRDefault="00702291">
            <w:pPr>
              <w:spacing w:after="120" w:line="240" w:lineRule="auto"/>
              <w:rPr>
                <w:rFonts w:ascii="Times New Roman" w:eastAsia="Times New Roman" w:hAnsi="Times New Roman" w:cs="Times New Roman"/>
                <w:b/>
                <w:noProof/>
              </w:rPr>
            </w:pPr>
          </w:p>
        </w:tc>
        <w:tc>
          <w:tcPr>
            <w:tcW w:w="236" w:type="dxa"/>
            <w:tcBorders>
              <w:top w:val="nil"/>
              <w:left w:val="single" w:sz="4" w:space="0" w:color="auto"/>
              <w:bottom w:val="nil"/>
              <w:right w:val="nil"/>
            </w:tcBorders>
            <w:noWrap/>
            <w:vAlign w:val="center"/>
            <w:hideMark/>
          </w:tcPr>
          <w:p w14:paraId="4A4D6698" w14:textId="77777777" w:rsidR="00702291" w:rsidRDefault="00702291">
            <w:pPr>
              <w:spacing w:after="120" w:line="240" w:lineRule="auto"/>
              <w:rPr>
                <w:rFonts w:ascii="Times New Roman" w:eastAsia="Times New Roman" w:hAnsi="Times New Roman" w:cs="Times New Roman"/>
                <w:b/>
                <w:noProof/>
              </w:rPr>
            </w:pPr>
          </w:p>
        </w:tc>
      </w:tr>
      <w:tr w:rsidR="00702291" w14:paraId="7877A6A7" w14:textId="77777777">
        <w:trPr>
          <w:trHeight w:val="49"/>
          <w:tblHeader/>
        </w:trPr>
        <w:tc>
          <w:tcPr>
            <w:tcW w:w="1207" w:type="dxa"/>
            <w:vMerge/>
            <w:tcBorders>
              <w:top w:val="single" w:sz="4" w:space="0" w:color="auto"/>
              <w:left w:val="single" w:sz="4" w:space="0" w:color="auto"/>
              <w:bottom w:val="single" w:sz="4" w:space="0" w:color="auto"/>
              <w:right w:val="single" w:sz="4" w:space="0" w:color="auto"/>
            </w:tcBorders>
            <w:vAlign w:val="center"/>
            <w:hideMark/>
          </w:tcPr>
          <w:p w14:paraId="5621E24F" w14:textId="77777777" w:rsidR="00702291" w:rsidRDefault="00702291">
            <w:pPr>
              <w:spacing w:after="120" w:line="240" w:lineRule="auto"/>
              <w:rPr>
                <w:rFonts w:ascii="Times New Roman" w:eastAsia="Times New Roman" w:hAnsi="Times New Roman" w:cs="Times New Roman"/>
                <w:b/>
                <w:noProof/>
              </w:rPr>
            </w:pPr>
          </w:p>
        </w:tc>
        <w:tc>
          <w:tcPr>
            <w:tcW w:w="3041" w:type="dxa"/>
            <w:vMerge/>
            <w:tcBorders>
              <w:left w:val="single" w:sz="4" w:space="0" w:color="auto"/>
              <w:right w:val="single" w:sz="4" w:space="0" w:color="auto"/>
            </w:tcBorders>
            <w:vAlign w:val="center"/>
            <w:hideMark/>
          </w:tcPr>
          <w:p w14:paraId="6CF3DD1E" w14:textId="77777777" w:rsidR="00702291" w:rsidRDefault="00702291">
            <w:pPr>
              <w:spacing w:after="120" w:line="240" w:lineRule="auto"/>
              <w:rPr>
                <w:rFonts w:ascii="Times New Roman" w:eastAsia="Times New Roman" w:hAnsi="Times New Roman" w:cs="Times New Roman"/>
                <w:b/>
                <w:noProof/>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6276C1BB" w14:textId="77777777" w:rsidR="00702291" w:rsidRDefault="00702291">
            <w:pPr>
              <w:spacing w:after="120" w:line="240" w:lineRule="auto"/>
              <w:rPr>
                <w:rFonts w:ascii="Times New Roman" w:eastAsia="Times New Roman" w:hAnsi="Times New Roman" w:cs="Times New Roman"/>
                <w:b/>
                <w:noProof/>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00F30A44" w14:textId="77777777" w:rsidR="00702291" w:rsidRDefault="00702291">
            <w:pPr>
              <w:spacing w:after="120" w:line="240" w:lineRule="auto"/>
              <w:rPr>
                <w:rFonts w:ascii="Times New Roman" w:eastAsia="Times New Roman" w:hAnsi="Times New Roman" w:cs="Times New Roman"/>
                <w:b/>
                <w:noProof/>
              </w:rPr>
            </w:pPr>
          </w:p>
        </w:tc>
        <w:tc>
          <w:tcPr>
            <w:tcW w:w="236" w:type="dxa"/>
            <w:tcBorders>
              <w:top w:val="nil"/>
              <w:left w:val="single" w:sz="4" w:space="0" w:color="auto"/>
              <w:bottom w:val="nil"/>
              <w:right w:val="nil"/>
            </w:tcBorders>
            <w:noWrap/>
            <w:vAlign w:val="center"/>
            <w:hideMark/>
          </w:tcPr>
          <w:p w14:paraId="06DD7254" w14:textId="77777777" w:rsidR="00702291" w:rsidRDefault="00702291">
            <w:pPr>
              <w:spacing w:after="120" w:line="240" w:lineRule="auto"/>
              <w:rPr>
                <w:rFonts w:ascii="Times New Roman" w:eastAsia="Times New Roman" w:hAnsi="Times New Roman" w:cs="Times New Roman"/>
                <w:noProof/>
              </w:rPr>
            </w:pPr>
          </w:p>
        </w:tc>
      </w:tr>
      <w:tr w:rsidR="00702291" w14:paraId="74EBEA61" w14:textId="77777777">
        <w:tblPrEx>
          <w:tblCellMar>
            <w:top w:w="0" w:type="dxa"/>
          </w:tblCellMar>
        </w:tblPrEx>
        <w:trPr>
          <w:gridAfter w:val="1"/>
          <w:wAfter w:w="236" w:type="dxa"/>
          <w:trHeight w:val="689"/>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414B78" w14:textId="77777777" w:rsidR="00702291" w:rsidRDefault="00712B31">
            <w:pPr>
              <w:pStyle w:val="P68B1DB1-Normal80"/>
              <w:spacing w:after="120" w:line="240" w:lineRule="auto"/>
              <w:rPr>
                <w:rFonts w:eastAsia="Times New Roman"/>
                <w:noProof/>
              </w:rPr>
            </w:pPr>
            <w:r>
              <w:rPr>
                <w:noProof/>
              </w:rPr>
              <w:t>1</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60F900F3" w14:textId="77777777" w:rsidR="00702291" w:rsidRDefault="00712B31">
            <w:pPr>
              <w:pStyle w:val="P68B1DB1-Normal80"/>
              <w:spacing w:after="120" w:line="240" w:lineRule="auto"/>
              <w:rPr>
                <w:rFonts w:eastAsia="Times New Roman"/>
                <w:noProof/>
              </w:rPr>
            </w:pPr>
            <w:r>
              <w:rPr>
                <w:noProof/>
              </w:rPr>
              <w:t xml:space="preserve">C1.I1 Dezvoltarea unei educații publice competitive utilizând tehnologia secolului 21 </w:t>
            </w: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4BA6599F" w14:textId="77777777" w:rsidR="00702291" w:rsidRDefault="00702291">
            <w:pPr>
              <w:spacing w:after="120" w:line="240" w:lineRule="auto"/>
              <w:rPr>
                <w:rFonts w:ascii="Times New Roman" w:hAnsi="Times New Roman" w:cs="Times New Roman"/>
                <w:noProof/>
              </w:rPr>
            </w:pPr>
          </w:p>
          <w:p w14:paraId="47C8FF74" w14:textId="77777777" w:rsidR="00702291" w:rsidRDefault="00712B31">
            <w:pPr>
              <w:pStyle w:val="P68B1DB1-Normal80"/>
              <w:spacing w:after="120" w:line="240" w:lineRule="auto"/>
              <w:rPr>
                <w:rFonts w:eastAsia="Times New Roman"/>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04FCE50E" w14:textId="77777777" w:rsidR="00702291" w:rsidRDefault="00712B31">
            <w:pPr>
              <w:pStyle w:val="P68B1DB1-Normal80"/>
              <w:spacing w:after="120" w:line="240" w:lineRule="auto"/>
              <w:rPr>
                <w:rFonts w:eastAsia="Times New Roman"/>
                <w:noProof/>
              </w:rPr>
            </w:pPr>
            <w:r>
              <w:rPr>
                <w:noProof/>
              </w:rPr>
              <w:t>Livrarea de notebookuri și instrumente digitale</w:t>
            </w:r>
          </w:p>
        </w:tc>
      </w:tr>
      <w:tr w:rsidR="00702291" w14:paraId="0BF16D9C" w14:textId="77777777">
        <w:tblPrEx>
          <w:tblCellMar>
            <w:top w:w="0" w:type="dxa"/>
          </w:tblCellMar>
        </w:tblPrEx>
        <w:trPr>
          <w:gridAfter w:val="1"/>
          <w:wAfter w:w="236" w:type="dxa"/>
          <w:trHeight w:val="345"/>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8B7018" w14:textId="77777777" w:rsidR="00702291" w:rsidRDefault="00712B31">
            <w:pPr>
              <w:pStyle w:val="P68B1DB1-Normal80"/>
              <w:spacing w:after="120" w:line="240" w:lineRule="auto"/>
              <w:rPr>
                <w:rFonts w:eastAsia="Times New Roman"/>
                <w:noProof/>
              </w:rPr>
            </w:pPr>
            <w:r>
              <w:rPr>
                <w:noProof/>
              </w:rPr>
              <w:t>2</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15580F14" w14:textId="77777777" w:rsidR="00702291" w:rsidRDefault="00712B31">
            <w:pPr>
              <w:pStyle w:val="P68B1DB1-Normal80"/>
              <w:spacing w:after="120" w:line="240" w:lineRule="auto"/>
              <w:rPr>
                <w:rFonts w:eastAsiaTheme="minorHAnsi"/>
                <w:noProof/>
              </w:rPr>
            </w:pPr>
            <w:r>
              <w:rPr>
                <w:noProof/>
              </w:rPr>
              <w:t>C1.I2 Sprijinirea educației elevilor cu nevoi educaționale speciale</w:t>
            </w:r>
          </w:p>
          <w:p w14:paraId="6E473B3E" w14:textId="77777777" w:rsidR="00702291" w:rsidRDefault="00702291">
            <w:pPr>
              <w:spacing w:after="120" w:line="240" w:lineRule="auto"/>
              <w:rPr>
                <w:rFonts w:ascii="Times New Roman" w:eastAsia="Times New Roman" w:hAnsi="Times New Roman" w:cs="Times New Roman"/>
                <w:noProof/>
              </w:rPr>
            </w:pP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3DB8B694" w14:textId="77777777" w:rsidR="00702291" w:rsidRDefault="00702291">
            <w:pPr>
              <w:spacing w:after="120" w:line="240" w:lineRule="auto"/>
              <w:rPr>
                <w:rFonts w:ascii="Times New Roman" w:hAnsi="Times New Roman" w:cs="Times New Roman"/>
                <w:noProof/>
              </w:rPr>
            </w:pPr>
          </w:p>
          <w:p w14:paraId="72412BBF" w14:textId="77777777" w:rsidR="00702291" w:rsidRDefault="00712B31">
            <w:pPr>
              <w:pStyle w:val="P68B1DB1-Normal80"/>
              <w:spacing w:after="120" w:line="240" w:lineRule="auto"/>
              <w:rPr>
                <w:rFonts w:eastAsia="Times New Roman"/>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49383260" w14:textId="77777777" w:rsidR="00702291" w:rsidRDefault="00712B31">
            <w:pPr>
              <w:pStyle w:val="P68B1DB1-Normal80"/>
              <w:spacing w:after="120" w:line="240" w:lineRule="auto"/>
              <w:rPr>
                <w:rFonts w:eastAsia="Times New Roman"/>
                <w:noProof/>
              </w:rPr>
            </w:pPr>
            <w:r>
              <w:rPr>
                <w:noProof/>
              </w:rPr>
              <w:t>Furnizarea de servicii de sprijin pentru educația copiilor cu nevoi educaționale speciale</w:t>
            </w:r>
          </w:p>
        </w:tc>
      </w:tr>
      <w:tr w:rsidR="00702291" w14:paraId="7F687BD0" w14:textId="77777777">
        <w:tblPrEx>
          <w:tblCellMar>
            <w:top w:w="0" w:type="dxa"/>
          </w:tblCellMar>
        </w:tblPrEx>
        <w:trPr>
          <w:gridAfter w:val="1"/>
          <w:wAfter w:w="236" w:type="dxa"/>
          <w:trHeight w:val="742"/>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06C041" w14:textId="77777777" w:rsidR="00702291" w:rsidRDefault="00712B31">
            <w:pPr>
              <w:pStyle w:val="P68B1DB1-Normal80"/>
              <w:spacing w:after="120" w:line="240" w:lineRule="auto"/>
              <w:rPr>
                <w:rFonts w:eastAsia="Times New Roman"/>
                <w:noProof/>
              </w:rPr>
            </w:pPr>
            <w:r>
              <w:rPr>
                <w:noProof/>
              </w:rPr>
              <w:t>3</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460A5B80" w14:textId="77777777" w:rsidR="00702291" w:rsidRDefault="00712B31">
            <w:pPr>
              <w:pStyle w:val="P68B1DB1-Normal80"/>
              <w:spacing w:after="120" w:line="240" w:lineRule="auto"/>
              <w:rPr>
                <w:rFonts w:eastAsia="Times New Roman"/>
                <w:noProof/>
              </w:rPr>
            </w:pPr>
            <w:r>
              <w:rPr>
                <w:noProof/>
              </w:rPr>
              <w:t>C1.R1 Reducerea riscului de segregare în școli</w:t>
            </w: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166507D5" w14:textId="77777777" w:rsidR="00702291" w:rsidRDefault="00712B31">
            <w:pPr>
              <w:pStyle w:val="P68B1DB1-Normal80"/>
              <w:spacing w:after="120" w:line="240" w:lineRule="auto"/>
              <w:rPr>
                <w:rFonts w:eastAsia="Times New Roman"/>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3CEA310C" w14:textId="77777777" w:rsidR="00702291" w:rsidRDefault="00712B31">
            <w:pPr>
              <w:pStyle w:val="P68B1DB1-Normal80"/>
              <w:spacing w:after="120" w:line="240" w:lineRule="auto"/>
              <w:rPr>
                <w:rFonts w:eastAsia="Times New Roman"/>
                <w:noProof/>
              </w:rPr>
            </w:pPr>
            <w:r>
              <w:rPr>
                <w:noProof/>
              </w:rPr>
              <w:t>Intrarea în vigoare a actului (actelor) juridic (e) care prevede (prevăd) reducerea sprijinului de stat pentru școlile primare și gimnaziale cu o proporție scăzută de elevi defavorizați</w:t>
            </w:r>
          </w:p>
        </w:tc>
      </w:tr>
      <w:tr w:rsidR="00702291" w14:paraId="4E8E6DA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62CE53" w14:textId="77777777" w:rsidR="00702291" w:rsidRDefault="00712B31">
            <w:pPr>
              <w:pStyle w:val="P68B1DB1-Normal80"/>
              <w:spacing w:after="120" w:line="240" w:lineRule="auto"/>
              <w:rPr>
                <w:rFonts w:eastAsia="Times New Roman"/>
                <w:noProof/>
              </w:rPr>
            </w:pPr>
            <w:r>
              <w:rPr>
                <w:noProof/>
              </w:rPr>
              <w:t>4</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7792386A" w14:textId="77777777" w:rsidR="00702291" w:rsidRDefault="00712B31">
            <w:pPr>
              <w:pStyle w:val="P68B1DB1-Normal80"/>
              <w:spacing w:after="120" w:line="240" w:lineRule="auto"/>
              <w:rPr>
                <w:rFonts w:eastAsia="Times New Roman"/>
                <w:noProof/>
              </w:rPr>
            </w:pPr>
            <w:r>
              <w:rPr>
                <w:noProof/>
              </w:rPr>
              <w:t>C1.R2 Îmbunătățirea atractivității profesiei de cadru didactic</w:t>
            </w: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3F8B3AC9" w14:textId="77777777" w:rsidR="00702291" w:rsidRDefault="00712B31">
            <w:pPr>
              <w:pStyle w:val="P68B1DB1-Normal80"/>
              <w:spacing w:after="120" w:line="240" w:lineRule="auto"/>
              <w:rPr>
                <w:rFonts w:eastAsia="Times New Roman"/>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5B5B09A9" w14:textId="77777777" w:rsidR="00702291" w:rsidRDefault="00712B31">
            <w:pPr>
              <w:pStyle w:val="P68B1DB1-Normal80"/>
              <w:spacing w:after="120" w:line="240" w:lineRule="auto"/>
              <w:rPr>
                <w:rFonts w:eastAsia="Times New Roman"/>
                <w:noProof/>
              </w:rPr>
            </w:pPr>
            <w:r>
              <w:rPr>
                <w:noProof/>
              </w:rPr>
              <w:t xml:space="preserve">Intrarea în vigoare a actului (actelor) juridic (e) de creștere a salariilor cadrelor didactice din sistemul public de învățământ </w:t>
            </w:r>
          </w:p>
        </w:tc>
      </w:tr>
      <w:tr w:rsidR="00702291" w14:paraId="5389D54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911E15B" w14:textId="77777777" w:rsidR="00702291" w:rsidRDefault="00712B31">
            <w:pPr>
              <w:pStyle w:val="P68B1DB1-Normal80"/>
              <w:spacing w:after="120" w:line="240" w:lineRule="auto"/>
              <w:rPr>
                <w:noProof/>
              </w:rPr>
            </w:pPr>
            <w:r>
              <w:rPr>
                <w:noProof/>
              </w:rPr>
              <w:t>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DFF4EA7" w14:textId="77777777" w:rsidR="00702291" w:rsidRDefault="00712B31">
            <w:pPr>
              <w:pStyle w:val="P68B1DB1-Normal80"/>
              <w:spacing w:after="120" w:line="240" w:lineRule="auto"/>
              <w:rPr>
                <w:noProof/>
              </w:rPr>
            </w:pPr>
            <w:r>
              <w:rPr>
                <w:noProof/>
              </w:rPr>
              <w:t>C1.I3 Construirea de structuri de îngrijire a copiilor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6793A67"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3C2642D" w14:textId="77777777" w:rsidR="00702291" w:rsidRDefault="00712B31">
            <w:pPr>
              <w:pStyle w:val="P68B1DB1-Normal80"/>
              <w:spacing w:after="120" w:line="240" w:lineRule="auto"/>
              <w:rPr>
                <w:noProof/>
              </w:rPr>
            </w:pPr>
            <w:r>
              <w:rPr>
                <w:noProof/>
              </w:rPr>
              <w:t xml:space="preserve">Structuri construite de îngrijire a copiilor </w:t>
            </w:r>
          </w:p>
        </w:tc>
      </w:tr>
      <w:tr w:rsidR="00702291" w14:paraId="2BE2E41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9C726AE" w14:textId="77777777" w:rsidR="00702291" w:rsidRDefault="00712B31">
            <w:pPr>
              <w:pStyle w:val="P68B1DB1-Normal80"/>
              <w:spacing w:after="120" w:line="240" w:lineRule="auto"/>
              <w:rPr>
                <w:noProof/>
              </w:rPr>
            </w:pPr>
            <w:r>
              <w:rPr>
                <w:noProof/>
              </w:rPr>
              <w:t>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823DC05" w14:textId="77777777" w:rsidR="00702291" w:rsidRDefault="00712B31">
            <w:pPr>
              <w:pStyle w:val="P68B1DB1-Normal80"/>
              <w:spacing w:after="120" w:line="240" w:lineRule="auto"/>
              <w:rPr>
                <w:noProof/>
              </w:rPr>
            </w:pPr>
            <w:r>
              <w:rPr>
                <w:noProof/>
              </w:rPr>
              <w:t>C1.I4 Modernizarea infrastructurii școlare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2BC7A7E"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3B402FA" w14:textId="77777777" w:rsidR="00702291" w:rsidRDefault="00712B31">
            <w:pPr>
              <w:pStyle w:val="P68B1DB1-Normal80"/>
              <w:spacing w:after="120" w:line="240" w:lineRule="auto"/>
              <w:rPr>
                <w:noProof/>
              </w:rPr>
            </w:pPr>
            <w:r>
              <w:rPr>
                <w:noProof/>
              </w:rPr>
              <w:t>Construirea și renovarea unităților școlare</w:t>
            </w:r>
          </w:p>
        </w:tc>
      </w:tr>
      <w:tr w:rsidR="00702291" w14:paraId="08B6D34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A5469AB" w14:textId="77777777" w:rsidR="00702291" w:rsidRDefault="00712B31">
            <w:pPr>
              <w:pStyle w:val="P68B1DB1-Normal80"/>
              <w:spacing w:after="120" w:line="240" w:lineRule="auto"/>
              <w:rPr>
                <w:noProof/>
              </w:rPr>
            </w:pPr>
            <w:r>
              <w:rPr>
                <w:noProof/>
              </w:rPr>
              <w:t>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366AADF" w14:textId="77777777" w:rsidR="00702291" w:rsidRDefault="00712B31">
            <w:pPr>
              <w:pStyle w:val="P68B1DB1-Normal80"/>
              <w:spacing w:after="120" w:line="240" w:lineRule="auto"/>
              <w:rPr>
                <w:noProof/>
              </w:rPr>
            </w:pPr>
            <w:r>
              <w:rPr>
                <w:noProof/>
              </w:rPr>
              <w:t>C2.R1 Modernizarea programelor de învățământ superior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4B6207A" w14:textId="77777777" w:rsidR="00702291" w:rsidRDefault="00702291">
            <w:pPr>
              <w:spacing w:after="120" w:line="240" w:lineRule="auto"/>
              <w:rPr>
                <w:rFonts w:ascii="Times New Roman" w:hAnsi="Times New Roman" w:cs="Times New Roman"/>
                <w:noProof/>
              </w:rPr>
            </w:pPr>
          </w:p>
          <w:p w14:paraId="7A08BEA2"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C8656A5" w14:textId="77777777" w:rsidR="00702291" w:rsidRDefault="00712B31">
            <w:pPr>
              <w:pStyle w:val="P68B1DB1-Normal80"/>
              <w:spacing w:after="120" w:line="240" w:lineRule="auto"/>
              <w:rPr>
                <w:noProof/>
              </w:rPr>
            </w:pPr>
            <w:r>
              <w:rPr>
                <w:noProof/>
              </w:rPr>
              <w:t>Revizuirea programelor de învățământ superior</w:t>
            </w:r>
          </w:p>
        </w:tc>
      </w:tr>
      <w:tr w:rsidR="00702291" w14:paraId="0AA707D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8D434BD" w14:textId="77777777" w:rsidR="00702291" w:rsidRDefault="00712B31">
            <w:pPr>
              <w:pStyle w:val="P68B1DB1-Normal80"/>
              <w:spacing w:after="120" w:line="240" w:lineRule="auto"/>
              <w:rPr>
                <w:noProof/>
              </w:rPr>
            </w:pPr>
            <w:r>
              <w:rPr>
                <w:noProof/>
              </w:rPr>
              <w:t>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FF830B8" w14:textId="77777777" w:rsidR="00702291" w:rsidRDefault="00712B31">
            <w:pPr>
              <w:pStyle w:val="P68B1DB1-Normal80"/>
              <w:spacing w:after="120" w:line="240" w:lineRule="auto"/>
              <w:rPr>
                <w:noProof/>
              </w:rPr>
            </w:pPr>
            <w:r>
              <w:rPr>
                <w:noProof/>
              </w:rPr>
              <w:t xml:space="preserve">C2.I1 Inovarea instituțională în învățământul superior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F71D88F"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D8DDE5C" w14:textId="77777777" w:rsidR="00702291" w:rsidRDefault="00712B31">
            <w:pPr>
              <w:pStyle w:val="P68B1DB1-CommentText81"/>
              <w:spacing w:after="120"/>
              <w:jc w:val="left"/>
              <w:rPr>
                <w:rFonts w:eastAsia="Times New Roman"/>
                <w:noProof/>
              </w:rPr>
            </w:pPr>
            <w:r>
              <w:rPr>
                <w:noProof/>
              </w:rPr>
              <w:t>Materiale didactice digitale accesibile în învățământul superior</w:t>
            </w:r>
          </w:p>
          <w:p w14:paraId="3698454A" w14:textId="77777777" w:rsidR="00702291" w:rsidRDefault="00702291">
            <w:pPr>
              <w:pStyle w:val="Header"/>
              <w:spacing w:after="120" w:line="240" w:lineRule="auto"/>
              <w:rPr>
                <w:rFonts w:ascii="Times New Roman" w:hAnsi="Times New Roman" w:cs="Times New Roman"/>
                <w:noProof/>
              </w:rPr>
            </w:pPr>
          </w:p>
        </w:tc>
      </w:tr>
      <w:tr w:rsidR="00702291" w14:paraId="34BBD79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4E59D46" w14:textId="77777777" w:rsidR="00702291" w:rsidRDefault="00712B31">
            <w:pPr>
              <w:pStyle w:val="P68B1DB1-Normal80"/>
              <w:spacing w:after="120" w:line="240" w:lineRule="auto"/>
              <w:rPr>
                <w:noProof/>
              </w:rPr>
            </w:pPr>
            <w:r>
              <w:rPr>
                <w:noProof/>
              </w:rPr>
              <w:t>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7CF672A" w14:textId="77777777" w:rsidR="00702291" w:rsidRDefault="00712B31">
            <w:pPr>
              <w:pStyle w:val="P68B1DB1-Normal80"/>
              <w:spacing w:after="120" w:line="240" w:lineRule="auto"/>
              <w:rPr>
                <w:noProof/>
              </w:rPr>
            </w:pPr>
            <w:r>
              <w:rPr>
                <w:noProof/>
              </w:rPr>
              <w:t>C2.I2 Modernizarea infrastructurii și digitalizarea în instituțiile de învățământ superior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AB57CD8"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F8321FE" w14:textId="77777777" w:rsidR="00702291" w:rsidRDefault="00712B31">
            <w:pPr>
              <w:pStyle w:val="P68B1DB1-Header82"/>
              <w:spacing w:after="120" w:line="240" w:lineRule="auto"/>
              <w:rPr>
                <w:noProof/>
              </w:rPr>
            </w:pPr>
            <w:r>
              <w:rPr>
                <w:noProof/>
              </w:rPr>
              <w:t>Renovarea infrastructurii clădirilor în vederea creșterii eficienței energetice și construirea de clădiri noi în instituțiile de învățământ superior</w:t>
            </w:r>
          </w:p>
        </w:tc>
      </w:tr>
      <w:tr w:rsidR="00702291" w14:paraId="15101D3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54B0FFB" w14:textId="77777777" w:rsidR="00702291" w:rsidRDefault="00712B31">
            <w:pPr>
              <w:pStyle w:val="P68B1DB1-Normal80"/>
              <w:spacing w:after="120" w:line="240" w:lineRule="auto"/>
              <w:rPr>
                <w:noProof/>
              </w:rPr>
            </w:pPr>
            <w:r>
              <w:rPr>
                <w:noProof/>
              </w:rPr>
              <w:t>10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BB0CC47" w14:textId="77777777" w:rsidR="00702291" w:rsidRDefault="00712B31">
            <w:pPr>
              <w:pStyle w:val="P68B1DB1-Normal80"/>
              <w:spacing w:after="120" w:line="240" w:lineRule="auto"/>
              <w:rPr>
                <w:noProof/>
              </w:rPr>
            </w:pPr>
            <w:r>
              <w:rPr>
                <w:noProof/>
              </w:rPr>
              <w:t xml:space="preserve">C2.I3 Infrastructura de educație și formare profesională pentru secolul 21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8998D31"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5CA82FF" w14:textId="77777777" w:rsidR="00702291" w:rsidRDefault="00712B31">
            <w:pPr>
              <w:pStyle w:val="P68B1DB1-Header82"/>
              <w:spacing w:after="120" w:line="240" w:lineRule="auto"/>
              <w:rPr>
                <w:noProof/>
              </w:rPr>
            </w:pPr>
            <w:r>
              <w:rPr>
                <w:noProof/>
              </w:rPr>
              <w:t>Centre de educație și formare profesională echipate și dotate cu infrastructură modernizată</w:t>
            </w:r>
          </w:p>
        </w:tc>
      </w:tr>
      <w:tr w:rsidR="00702291" w14:paraId="1BC8A47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63DCA1B" w14:textId="77777777" w:rsidR="00702291" w:rsidRDefault="00712B31">
            <w:pPr>
              <w:pStyle w:val="P68B1DB1-Normal80"/>
              <w:spacing w:after="120" w:line="240" w:lineRule="auto"/>
              <w:rPr>
                <w:noProof/>
              </w:rPr>
            </w:pPr>
            <w:r>
              <w:rPr>
                <w:noProof/>
              </w:rPr>
              <w:t>11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B7F42B4" w14:textId="77777777" w:rsidR="00702291" w:rsidRDefault="00712B31">
            <w:pPr>
              <w:pStyle w:val="P68B1DB1-Normal80"/>
              <w:spacing w:after="120" w:line="240" w:lineRule="auto"/>
              <w:rPr>
                <w:noProof/>
              </w:rPr>
            </w:pPr>
            <w:r>
              <w:rPr>
                <w:noProof/>
              </w:rPr>
              <w:t xml:space="preserve">C2.I4 Dezvoltarea centrului central de examinare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C2EC583"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95C0F6D" w14:textId="77777777" w:rsidR="00702291" w:rsidRDefault="00712B31">
            <w:pPr>
              <w:pStyle w:val="P68B1DB1-Header82"/>
              <w:spacing w:after="120" w:line="240" w:lineRule="auto"/>
              <w:rPr>
                <w:noProof/>
              </w:rPr>
            </w:pPr>
            <w:r>
              <w:rPr>
                <w:noProof/>
              </w:rPr>
              <w:t xml:space="preserve">Renovarea centrului central de examinare </w:t>
            </w:r>
          </w:p>
        </w:tc>
      </w:tr>
      <w:tr w:rsidR="00702291" w14:paraId="684DA52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B5A10DD" w14:textId="77777777" w:rsidR="00702291" w:rsidRDefault="00712B31">
            <w:pPr>
              <w:pStyle w:val="P68B1DB1-Normal80"/>
              <w:spacing w:after="120" w:line="240" w:lineRule="auto"/>
              <w:rPr>
                <w:noProof/>
              </w:rPr>
            </w:pPr>
            <w:r>
              <w:rPr>
                <w:noProof/>
              </w:rPr>
              <w:t xml:space="preserve"> 12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945F1DC" w14:textId="77777777" w:rsidR="00702291" w:rsidRDefault="00712B31">
            <w:pPr>
              <w:pStyle w:val="P68B1DB1-Normal80"/>
              <w:spacing w:after="120" w:line="240" w:lineRule="auto"/>
              <w:rPr>
                <w:noProof/>
              </w:rPr>
            </w:pPr>
            <w:r>
              <w:rPr>
                <w:noProof/>
              </w:rPr>
              <w:t>C2.I5 Sprijin pentru cercetare și dezvoltare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B5C5D44"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172B319" w14:textId="77777777" w:rsidR="00702291" w:rsidRDefault="00712B31">
            <w:pPr>
              <w:pStyle w:val="P68B1DB1-Header82"/>
              <w:spacing w:after="120" w:line="240" w:lineRule="auto"/>
              <w:rPr>
                <w:noProof/>
              </w:rPr>
            </w:pPr>
            <w:r>
              <w:rPr>
                <w:noProof/>
              </w:rPr>
              <w:t>Sprijinirea instituțiilor de cercetare</w:t>
            </w:r>
          </w:p>
        </w:tc>
      </w:tr>
      <w:tr w:rsidR="00702291" w14:paraId="59089DF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5C6295B" w14:textId="77777777" w:rsidR="00702291" w:rsidRDefault="00712B31">
            <w:pPr>
              <w:pStyle w:val="P68B1DB1-Normal80"/>
              <w:spacing w:after="120" w:line="240" w:lineRule="auto"/>
              <w:rPr>
                <w:noProof/>
              </w:rPr>
            </w:pPr>
            <w:r>
              <w:rPr>
                <w:noProof/>
              </w:rPr>
              <w:t>13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E2D4D85" w14:textId="77777777" w:rsidR="00702291" w:rsidRDefault="00712B31">
            <w:pPr>
              <w:pStyle w:val="P68B1DB1-Normal80"/>
              <w:spacing w:after="120" w:line="240" w:lineRule="auto"/>
              <w:rPr>
                <w:noProof/>
              </w:rPr>
            </w:pPr>
            <w:r>
              <w:rPr>
                <w:noProof/>
              </w:rPr>
              <w:t>C3.I1 Producția și utilizarea energiei din surse regenerabile în localitățile defavorizate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B03A967"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686B633" w14:textId="77777777" w:rsidR="00702291" w:rsidRDefault="00712B31">
            <w:pPr>
              <w:pStyle w:val="P68B1DB1-Normal80"/>
              <w:spacing w:after="120" w:line="240" w:lineRule="auto"/>
              <w:rPr>
                <w:rFonts w:eastAsiaTheme="minorHAnsi"/>
                <w:noProof/>
              </w:rPr>
            </w:pPr>
            <w:r>
              <w:rPr>
                <w:noProof/>
              </w:rPr>
              <w:t xml:space="preserve">Instalarea de capacități de producție de energie din surse regenerabile în beneficiul gospodăriilor din municipalitățile selectate în cadrul programului de recuperare a decalajelor </w:t>
            </w:r>
          </w:p>
        </w:tc>
      </w:tr>
      <w:tr w:rsidR="00702291" w14:paraId="33713D1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A9FF11B" w14:textId="77777777" w:rsidR="00702291" w:rsidRDefault="00712B31">
            <w:pPr>
              <w:pStyle w:val="P68B1DB1-Normal80"/>
              <w:spacing w:after="120" w:line="240" w:lineRule="auto"/>
              <w:rPr>
                <w:noProof/>
              </w:rPr>
            </w:pPr>
            <w:r>
              <w:rPr>
                <w:noProof/>
              </w:rPr>
              <w:t>14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4F16862" w14:textId="77777777" w:rsidR="00702291" w:rsidRDefault="00712B31">
            <w:pPr>
              <w:pStyle w:val="P68B1DB1-Normal80"/>
              <w:spacing w:after="120" w:line="240" w:lineRule="auto"/>
              <w:rPr>
                <w:noProof/>
              </w:rPr>
            </w:pPr>
            <w:r>
              <w:rPr>
                <w:noProof/>
              </w:rPr>
              <w:t>C3.I2 Promovarea ocupării forței de muncă și a dezvoltării competențelor pe baza particularităților locale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C3E4DB1"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D377430" w14:textId="77777777" w:rsidR="00702291" w:rsidRDefault="00712B31">
            <w:pPr>
              <w:pStyle w:val="P68B1DB1-Normal80"/>
              <w:spacing w:after="120" w:line="240" w:lineRule="auto"/>
              <w:rPr>
                <w:noProof/>
              </w:rPr>
            </w:pPr>
            <w:r>
              <w:rPr>
                <w:noProof/>
              </w:rPr>
              <w:t>Participarea la programe de socializare a forței de muncă</w:t>
            </w:r>
          </w:p>
        </w:tc>
      </w:tr>
      <w:tr w:rsidR="00702291" w14:paraId="4E9EF49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A4070AC" w14:textId="77777777" w:rsidR="00702291" w:rsidRDefault="00712B31">
            <w:pPr>
              <w:pStyle w:val="P68B1DB1-Normal80"/>
              <w:spacing w:after="120" w:line="240" w:lineRule="auto"/>
              <w:rPr>
                <w:noProof/>
              </w:rPr>
            </w:pPr>
            <w:r>
              <w:rPr>
                <w:noProof/>
              </w:rPr>
              <w:t>15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52F3281" w14:textId="77777777" w:rsidR="00702291" w:rsidRDefault="00712B31">
            <w:pPr>
              <w:pStyle w:val="P68B1DB1-Normal80"/>
              <w:spacing w:after="120" w:line="240" w:lineRule="auto"/>
              <w:rPr>
                <w:noProof/>
              </w:rPr>
            </w:pPr>
            <w:r>
              <w:rPr>
                <w:noProof/>
              </w:rPr>
              <w:t>C3.I3 pedagogie orientată spre comunitate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EB1454B"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1BC448F" w14:textId="77777777" w:rsidR="00702291" w:rsidRDefault="00712B31">
            <w:pPr>
              <w:spacing w:after="120" w:line="240" w:lineRule="auto"/>
              <w:rPr>
                <w:rFonts w:ascii="Times New Roman" w:hAnsi="Times New Roman" w:cs="Times New Roman"/>
                <w:noProof/>
              </w:rPr>
            </w:pPr>
            <w:r>
              <w:rPr>
                <w:rFonts w:ascii="Times New Roman" w:hAnsi="Times New Roman" w:cs="Times New Roman"/>
                <w:noProof/>
              </w:rPr>
              <w:t xml:space="preserve">Dezvoltarea pedagogică a instituțiilor publice de învățământ </w:t>
            </w:r>
            <w:r>
              <w:rPr>
                <w:rStyle w:val="normaltextrun"/>
                <w:rFonts w:ascii="Times New Roman" w:hAnsi="Times New Roman" w:cs="Times New Roman"/>
                <w:noProof/>
                <w:bdr w:val="none" w:sz="0" w:space="0" w:color="auto" w:frame="1"/>
              </w:rPr>
              <w:t xml:space="preserve">sau de formare profesională </w:t>
            </w:r>
          </w:p>
        </w:tc>
      </w:tr>
      <w:tr w:rsidR="00702291" w14:paraId="2E664FF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31A5278" w14:textId="77777777" w:rsidR="00702291" w:rsidRDefault="00712B31">
            <w:pPr>
              <w:pStyle w:val="P68B1DB1-Normal80"/>
              <w:spacing w:after="120" w:line="240" w:lineRule="auto"/>
              <w:rPr>
                <w:noProof/>
              </w:rPr>
            </w:pPr>
            <w:r>
              <w:rPr>
                <w:noProof/>
              </w:rPr>
              <w:t>16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3DAAAF8" w14:textId="77777777" w:rsidR="00702291" w:rsidRDefault="00712B31">
            <w:pPr>
              <w:pStyle w:val="P68B1DB1-Normal80"/>
              <w:spacing w:after="120" w:line="240" w:lineRule="auto"/>
              <w:rPr>
                <w:noProof/>
              </w:rPr>
            </w:pPr>
            <w:r>
              <w:rPr>
                <w:noProof/>
              </w:rPr>
              <w:t>C4.R1 Sensibilizare – apă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6DDE314"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95D6131" w14:textId="77777777" w:rsidR="00702291" w:rsidRDefault="00712B31">
            <w:pPr>
              <w:pStyle w:val="P68B1DB1-Normal83"/>
              <w:spacing w:after="120" w:line="240" w:lineRule="auto"/>
              <w:rPr>
                <w:noProof/>
              </w:rPr>
            </w:pPr>
            <w:r>
              <w:rPr>
                <w:noProof/>
              </w:rPr>
              <w:t xml:space="preserve">Adoptarea unui plan de acțiune privind gestionarea durabilă a apei </w:t>
            </w:r>
          </w:p>
        </w:tc>
      </w:tr>
      <w:tr w:rsidR="00702291" w14:paraId="378ACDF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617B025" w14:textId="77777777" w:rsidR="00702291" w:rsidRDefault="00712B31">
            <w:pPr>
              <w:pStyle w:val="P68B1DB1-Normal80"/>
              <w:spacing w:after="120" w:line="240" w:lineRule="auto"/>
              <w:rPr>
                <w:noProof/>
              </w:rPr>
            </w:pPr>
            <w:r>
              <w:rPr>
                <w:noProof/>
              </w:rPr>
              <w:t>17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5CD525B" w14:textId="77777777" w:rsidR="00702291" w:rsidRDefault="00712B31">
            <w:pPr>
              <w:pStyle w:val="P68B1DB1-Normal80"/>
              <w:spacing w:after="120" w:line="240" w:lineRule="auto"/>
              <w:rPr>
                <w:noProof/>
              </w:rPr>
            </w:pPr>
            <w:r>
              <w:rPr>
                <w:noProof/>
              </w:rPr>
              <w:t>C4.R1 Sensibilizare – apă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0DD61DF"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80088BF" w14:textId="73BF4FB6" w:rsidR="00702291" w:rsidRDefault="00712B31">
            <w:pPr>
              <w:pStyle w:val="P68B1DB1-Normal83"/>
              <w:spacing w:after="120" w:line="240" w:lineRule="auto"/>
              <w:rPr>
                <w:noProof/>
              </w:rPr>
            </w:pPr>
            <w:r>
              <w:rPr>
                <w:noProof/>
              </w:rPr>
              <w:t xml:space="preserve">Numărul hectarelor de intervenții de retenție a apei </w:t>
            </w:r>
          </w:p>
        </w:tc>
      </w:tr>
      <w:tr w:rsidR="00702291" w14:paraId="671AC4B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30C80FA" w14:textId="77777777" w:rsidR="00702291" w:rsidRDefault="00712B31">
            <w:pPr>
              <w:pStyle w:val="P68B1DB1-Normal80"/>
              <w:spacing w:after="120" w:line="240" w:lineRule="auto"/>
              <w:rPr>
                <w:noProof/>
              </w:rPr>
            </w:pPr>
            <w:r>
              <w:rPr>
                <w:noProof/>
              </w:rPr>
              <w:t>18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1BCE782" w14:textId="77777777" w:rsidR="00702291" w:rsidRDefault="00712B31">
            <w:pPr>
              <w:pStyle w:val="P68B1DB1-Normal80"/>
              <w:spacing w:after="120" w:line="240" w:lineRule="auto"/>
              <w:rPr>
                <w:noProof/>
              </w:rPr>
            </w:pPr>
            <w:r>
              <w:rPr>
                <w:noProof/>
              </w:rPr>
              <w:t>C4.I1 Protecția naturii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70A6D9E"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61C4F4A" w14:textId="77777777" w:rsidR="00702291" w:rsidRDefault="00712B31">
            <w:pPr>
              <w:pStyle w:val="P68B1DB1-Normal83"/>
              <w:spacing w:after="120" w:line="240" w:lineRule="auto"/>
              <w:rPr>
                <w:noProof/>
              </w:rPr>
            </w:pPr>
            <w:r>
              <w:rPr>
                <w:noProof/>
              </w:rPr>
              <w:t>Livrarea stației de pompare Kvassay – Faza 2</w:t>
            </w:r>
          </w:p>
        </w:tc>
      </w:tr>
      <w:tr w:rsidR="00702291" w14:paraId="11C2623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8F888FB" w14:textId="77777777" w:rsidR="00702291" w:rsidRDefault="00712B31">
            <w:pPr>
              <w:pStyle w:val="P68B1DB1-Normal80"/>
              <w:spacing w:after="120" w:line="240" w:lineRule="auto"/>
              <w:rPr>
                <w:noProof/>
              </w:rPr>
            </w:pPr>
            <w:r>
              <w:rPr>
                <w:noProof/>
              </w:rPr>
              <w:t>19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1ABAE05" w14:textId="77777777" w:rsidR="00702291" w:rsidRDefault="00712B31">
            <w:pPr>
              <w:pStyle w:val="P68B1DB1-Normal80"/>
              <w:spacing w:after="120" w:line="240" w:lineRule="auto"/>
              <w:rPr>
                <w:noProof/>
              </w:rPr>
            </w:pPr>
            <w:r>
              <w:rPr>
                <w:noProof/>
              </w:rPr>
              <w:t>C4.R2 Reglementarea internă a tranziției către o economie circulară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23FCF6E"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5059218" w14:textId="77777777" w:rsidR="00702291" w:rsidRDefault="00712B31">
            <w:pPr>
              <w:pStyle w:val="P68B1DB1-Normal80"/>
              <w:spacing w:after="120" w:line="240" w:lineRule="auto"/>
              <w:rPr>
                <w:noProof/>
              </w:rPr>
            </w:pPr>
            <w:r>
              <w:rPr>
                <w:noProof/>
              </w:rPr>
              <w:t>Intrarea în vigoare a actului (actelor) juridic (e) necesar (e) pentru operaționalizarea practicii de gestionare a deșeurilor și adoptarea unui plan național de gestionare a deșeurilor</w:t>
            </w:r>
          </w:p>
        </w:tc>
      </w:tr>
      <w:tr w:rsidR="00702291" w14:paraId="0D784A6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93D7924" w14:textId="77777777" w:rsidR="00702291" w:rsidRDefault="00712B31">
            <w:pPr>
              <w:pStyle w:val="P68B1DB1-Normal80"/>
              <w:spacing w:after="120" w:line="240" w:lineRule="auto"/>
              <w:rPr>
                <w:noProof/>
              </w:rPr>
            </w:pPr>
            <w:r>
              <w:rPr>
                <w:noProof/>
              </w:rPr>
              <w:t>20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65D52A2" w14:textId="77777777" w:rsidR="00702291" w:rsidRDefault="00712B31">
            <w:pPr>
              <w:pStyle w:val="P68B1DB1-Normal80"/>
              <w:spacing w:after="120" w:line="240" w:lineRule="auto"/>
              <w:rPr>
                <w:noProof/>
              </w:rPr>
            </w:pPr>
            <w:r>
              <w:rPr>
                <w:noProof/>
              </w:rPr>
              <w:t xml:space="preserve">C4.R3: Plan de acțiune pentru activitățile de sensibilizare la nivel local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5381B04"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4716690" w14:textId="77777777" w:rsidR="00702291" w:rsidRDefault="00712B31">
            <w:pPr>
              <w:pStyle w:val="P68B1DB1-Normal80"/>
              <w:spacing w:after="120" w:line="240" w:lineRule="auto"/>
              <w:rPr>
                <w:noProof/>
              </w:rPr>
            </w:pPr>
            <w:r>
              <w:rPr>
                <w:noProof/>
              </w:rPr>
              <w:t>Adoptarea unui plan național de acțiune în domeniul comunicării</w:t>
            </w:r>
          </w:p>
        </w:tc>
      </w:tr>
      <w:tr w:rsidR="00702291" w14:paraId="5157FF3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ACB0BB6" w14:textId="77777777" w:rsidR="00702291" w:rsidRDefault="00712B31">
            <w:pPr>
              <w:pStyle w:val="P68B1DB1-Normal80"/>
              <w:spacing w:after="120" w:line="240" w:lineRule="auto"/>
              <w:rPr>
                <w:noProof/>
              </w:rPr>
            </w:pPr>
            <w:r>
              <w:rPr>
                <w:noProof/>
              </w:rPr>
              <w:t>21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A8D2B18" w14:textId="025F6F38" w:rsidR="00702291" w:rsidRDefault="00712B31">
            <w:pPr>
              <w:pStyle w:val="P68B1DB1-Normal80"/>
              <w:spacing w:after="120" w:line="240" w:lineRule="auto"/>
              <w:rPr>
                <w:noProof/>
              </w:rPr>
            </w:pPr>
            <w:r>
              <w:rPr>
                <w:noProof/>
              </w:rPr>
              <w:t>C5.I1 Dezvoltarea unei linii de cale ferată suburbane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4BB19B9"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8D6BE87" w14:textId="77777777" w:rsidR="00702291" w:rsidRDefault="00712B31">
            <w:pPr>
              <w:pStyle w:val="P68B1DB1-Normal80"/>
              <w:spacing w:after="120" w:line="240" w:lineRule="auto"/>
              <w:rPr>
                <w:noProof/>
              </w:rPr>
            </w:pPr>
            <w:r>
              <w:rPr>
                <w:noProof/>
              </w:rPr>
              <w:t>Lucrări legate de tronsonul feroviar Debrecen-Balmazújváros </w:t>
            </w:r>
          </w:p>
        </w:tc>
      </w:tr>
      <w:tr w:rsidR="00702291" w14:paraId="2BE05FC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7E7717F" w14:textId="77777777" w:rsidR="00702291" w:rsidRDefault="00712B31">
            <w:pPr>
              <w:pStyle w:val="P68B1DB1-Normal80"/>
              <w:spacing w:after="120" w:line="240" w:lineRule="auto"/>
              <w:rPr>
                <w:noProof/>
              </w:rPr>
            </w:pPr>
            <w:r>
              <w:rPr>
                <w:noProof/>
              </w:rPr>
              <w:t>22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4F9E0AA" w14:textId="77777777" w:rsidR="00702291" w:rsidRDefault="00712B31">
            <w:pPr>
              <w:pStyle w:val="P68B1DB1-Normal80"/>
              <w:spacing w:after="120" w:line="240" w:lineRule="auto"/>
              <w:rPr>
                <w:noProof/>
              </w:rPr>
            </w:pPr>
            <w:r>
              <w:rPr>
                <w:noProof/>
              </w:rPr>
              <w:t>C5.I2 Comutarea congestionării rețelei feroviare pe coridorul TEN-T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12CB732"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B7CC00B" w14:textId="77777777" w:rsidR="00702291" w:rsidRDefault="00712B31">
            <w:pPr>
              <w:pStyle w:val="P68B1DB1-Normal80"/>
              <w:spacing w:after="120" w:line="240" w:lineRule="auto"/>
              <w:rPr>
                <w:noProof/>
              </w:rPr>
            </w:pPr>
            <w:r>
              <w:rPr>
                <w:noProof/>
              </w:rPr>
              <w:t>Lucrări legate de tronsonul feroviar Békéscsaba-Lőkösháza</w:t>
            </w:r>
          </w:p>
        </w:tc>
      </w:tr>
      <w:tr w:rsidR="00702291" w14:paraId="651863C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C64F65" w14:textId="77777777" w:rsidR="00702291" w:rsidRDefault="00712B31">
            <w:pPr>
              <w:pStyle w:val="P68B1DB1-Normal80"/>
              <w:spacing w:after="120" w:line="240" w:lineRule="auto"/>
              <w:rPr>
                <w:noProof/>
              </w:rPr>
            </w:pPr>
            <w:r>
              <w:rPr>
                <w:noProof/>
              </w:rPr>
              <w:t>23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7E0BF31" w14:textId="77777777" w:rsidR="00702291" w:rsidRDefault="00712B31">
            <w:pPr>
              <w:pStyle w:val="P68B1DB1-Normal80"/>
              <w:spacing w:after="120" w:line="240" w:lineRule="auto"/>
              <w:rPr>
                <w:noProof/>
              </w:rPr>
            </w:pPr>
            <w:r>
              <w:rPr>
                <w:noProof/>
              </w:rPr>
              <w:t>C5.I3 Dezvoltarea transportului cu autobuzul cu emisii zero</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4138B0C"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CCA39CE" w14:textId="77777777" w:rsidR="00702291" w:rsidRDefault="00712B31">
            <w:pPr>
              <w:pStyle w:val="P68B1DB1-Normal80"/>
              <w:spacing w:after="120" w:line="240" w:lineRule="auto"/>
              <w:rPr>
                <w:noProof/>
              </w:rPr>
            </w:pPr>
            <w:r>
              <w:rPr>
                <w:noProof/>
              </w:rPr>
              <w:t>Livrarea de autobuze cu emisii zero</w:t>
            </w:r>
          </w:p>
        </w:tc>
      </w:tr>
      <w:tr w:rsidR="00702291" w14:paraId="77A6746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3B8E896" w14:textId="77777777" w:rsidR="00702291" w:rsidRDefault="00712B31">
            <w:pPr>
              <w:pStyle w:val="P68B1DB1-Normal80"/>
              <w:spacing w:after="120" w:line="240" w:lineRule="auto"/>
              <w:rPr>
                <w:noProof/>
              </w:rPr>
            </w:pPr>
            <w:r>
              <w:rPr>
                <w:noProof/>
              </w:rPr>
              <w:t>24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7BFC924" w14:textId="223A5804" w:rsidR="00702291" w:rsidRDefault="00712B31">
            <w:pPr>
              <w:pStyle w:val="P68B1DB1-Normal80"/>
              <w:spacing w:after="120" w:line="240" w:lineRule="auto"/>
              <w:rPr>
                <w:noProof/>
              </w:rPr>
            </w:pPr>
            <w:r>
              <w:rPr>
                <w:noProof/>
              </w:rPr>
              <w:t xml:space="preserve">C5.I4 Dezvoltarea sistemului de tramvai și troleibuz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3942D4A"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69A4719" w14:textId="77777777" w:rsidR="00702291" w:rsidRDefault="00712B31">
            <w:pPr>
              <w:pStyle w:val="P68B1DB1-Normal80"/>
              <w:spacing w:after="120" w:line="240" w:lineRule="auto"/>
              <w:rPr>
                <w:noProof/>
              </w:rPr>
            </w:pPr>
            <w:r>
              <w:rPr>
                <w:noProof/>
              </w:rPr>
              <w:t>Tramvaie</w:t>
            </w:r>
          </w:p>
        </w:tc>
      </w:tr>
      <w:tr w:rsidR="00702291" w14:paraId="68A9E66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7CC89F4" w14:textId="77777777" w:rsidR="00702291" w:rsidRDefault="00712B31">
            <w:pPr>
              <w:pStyle w:val="P68B1DB1-Normal80"/>
              <w:spacing w:after="120" w:line="240" w:lineRule="auto"/>
              <w:rPr>
                <w:noProof/>
              </w:rPr>
            </w:pPr>
            <w:r>
              <w:rPr>
                <w:noProof/>
              </w:rPr>
              <w:t>25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CD53D45" w14:textId="334F4C6D" w:rsidR="00702291" w:rsidRDefault="00712B31">
            <w:pPr>
              <w:pStyle w:val="P68B1DB1-Normal80"/>
              <w:spacing w:after="120" w:line="240" w:lineRule="auto"/>
              <w:rPr>
                <w:noProof/>
              </w:rPr>
            </w:pPr>
            <w:r>
              <w:rPr>
                <w:noProof/>
              </w:rPr>
              <w:t xml:space="preserve">C5.I4 Dezvoltarea sistemului de tramvai și troleibuz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B9C3B8F"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3A5BF54" w14:textId="77777777" w:rsidR="00702291" w:rsidRDefault="00712B31">
            <w:pPr>
              <w:pStyle w:val="P68B1DB1-Normal80"/>
              <w:spacing w:after="120" w:line="240" w:lineRule="auto"/>
              <w:rPr>
                <w:noProof/>
              </w:rPr>
            </w:pPr>
            <w:r>
              <w:rPr>
                <w:noProof/>
              </w:rPr>
              <w:t xml:space="preserve">Troleibuze </w:t>
            </w:r>
          </w:p>
        </w:tc>
      </w:tr>
      <w:tr w:rsidR="00702291" w14:paraId="121BD67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8F83AE1" w14:textId="77777777" w:rsidR="00702291" w:rsidRDefault="00712B31">
            <w:pPr>
              <w:pStyle w:val="P68B1DB1-Normal80"/>
              <w:spacing w:after="120" w:line="240" w:lineRule="auto"/>
              <w:rPr>
                <w:noProof/>
              </w:rPr>
            </w:pPr>
            <w:r>
              <w:rPr>
                <w:noProof/>
              </w:rPr>
              <w:t>26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5F7BE8D" w14:textId="7EFD7AB1" w:rsidR="00702291" w:rsidRDefault="00712B31">
            <w:pPr>
              <w:pStyle w:val="P68B1DB1-Normal80"/>
              <w:spacing w:after="120" w:line="240" w:lineRule="auto"/>
              <w:rPr>
                <w:b/>
                <w:noProof/>
              </w:rPr>
            </w:pPr>
            <w:r>
              <w:rPr>
                <w:noProof/>
              </w:rPr>
              <w:t>C5.I5: Lucrări pe tronsonul feroviar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C5607E1"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B7928B8" w14:textId="4F7B371B" w:rsidR="00702291" w:rsidRDefault="00712B31">
            <w:pPr>
              <w:pStyle w:val="P68B1DB1-Normal80"/>
              <w:spacing w:after="120" w:line="240" w:lineRule="auto"/>
              <w:rPr>
                <w:noProof/>
                <w:sz w:val="18"/>
                <w:szCs w:val="18"/>
              </w:rPr>
            </w:pPr>
            <w:r>
              <w:rPr>
                <w:noProof/>
              </w:rPr>
              <w:t>Lucrări legate de tronsonul feroviar Szeged-Rendező – Röszke – frontiera țării</w:t>
            </w:r>
          </w:p>
        </w:tc>
      </w:tr>
      <w:tr w:rsidR="00702291" w14:paraId="6DE4ABB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100435D" w14:textId="77777777" w:rsidR="00702291" w:rsidRDefault="00712B31">
            <w:pPr>
              <w:pStyle w:val="P68B1DB1-Normal80"/>
              <w:spacing w:after="120" w:line="240" w:lineRule="auto"/>
              <w:rPr>
                <w:noProof/>
              </w:rPr>
            </w:pPr>
            <w:r>
              <w:rPr>
                <w:noProof/>
              </w:rPr>
              <w:t>27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2252B58" w14:textId="77777777" w:rsidR="00702291" w:rsidRDefault="00712B31">
            <w:pPr>
              <w:pStyle w:val="P68B1DB1-Normal80"/>
              <w:spacing w:after="120" w:line="240" w:lineRule="auto"/>
              <w:rPr>
                <w:noProof/>
              </w:rPr>
            </w:pPr>
            <w:r>
              <w:rPr>
                <w:noProof/>
              </w:rPr>
              <w:t>C5.I6: Stimularea adoptării de către întreprinderi a vehiculelor electrice (VE)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6FC794E"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EC670DE" w14:textId="77777777" w:rsidR="00702291" w:rsidRDefault="00712B31">
            <w:pPr>
              <w:pStyle w:val="P68B1DB1-Normal80"/>
              <w:spacing w:after="120" w:line="240" w:lineRule="auto"/>
              <w:rPr>
                <w:noProof/>
              </w:rPr>
            </w:pPr>
            <w:r>
              <w:rPr>
                <w:noProof/>
              </w:rPr>
              <w:t xml:space="preserve">Sprijin financiar pentru achiziționarea de vehicule electrice </w:t>
            </w:r>
          </w:p>
        </w:tc>
      </w:tr>
      <w:tr w:rsidR="00702291" w14:paraId="734EB06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89C9F16" w14:textId="77777777" w:rsidR="00702291" w:rsidRDefault="00712B31">
            <w:pPr>
              <w:pStyle w:val="P68B1DB1-Normal80"/>
              <w:spacing w:after="120" w:line="240" w:lineRule="auto"/>
              <w:rPr>
                <w:noProof/>
              </w:rPr>
            </w:pPr>
            <w:r>
              <w:rPr>
                <w:noProof/>
              </w:rPr>
              <w:t>28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B9008E7" w14:textId="77777777" w:rsidR="00702291" w:rsidRDefault="00712B31">
            <w:pPr>
              <w:pStyle w:val="P68B1DB1-Normal80"/>
              <w:spacing w:after="120" w:line="240" w:lineRule="auto"/>
              <w:rPr>
                <w:noProof/>
              </w:rPr>
            </w:pPr>
            <w:r>
              <w:rPr>
                <w:noProof/>
              </w:rPr>
              <w:t>C5.I7: Instituirea unui instrument financiar pentru a crește gradul de instalare a stațiilor de încărcare pentru vehiculele electrice (VE)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FB24DC6"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65E8631" w14:textId="77777777" w:rsidR="00702291" w:rsidRDefault="00712B31">
            <w:pPr>
              <w:pStyle w:val="P68B1DB1-Normal80"/>
              <w:spacing w:after="120" w:line="240" w:lineRule="auto"/>
              <w:rPr>
                <w:noProof/>
              </w:rPr>
            </w:pPr>
            <w:r>
              <w:rPr>
                <w:noProof/>
              </w:rPr>
              <w:t>Acord de punere în aplicare</w:t>
            </w:r>
          </w:p>
        </w:tc>
      </w:tr>
      <w:tr w:rsidR="00702291" w14:paraId="036CC8C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CD379BA" w14:textId="77777777" w:rsidR="00702291" w:rsidRDefault="00712B31">
            <w:pPr>
              <w:pStyle w:val="P68B1DB1-Normal80"/>
              <w:spacing w:after="120" w:line="240" w:lineRule="auto"/>
              <w:rPr>
                <w:noProof/>
              </w:rPr>
            </w:pPr>
            <w:r>
              <w:rPr>
                <w:noProof/>
              </w:rPr>
              <w:t>29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7F1A186" w14:textId="77777777" w:rsidR="00702291" w:rsidRDefault="00712B31">
            <w:pPr>
              <w:pStyle w:val="P68B1DB1-Normal80"/>
              <w:spacing w:after="120" w:line="240" w:lineRule="auto"/>
              <w:rPr>
                <w:noProof/>
              </w:rPr>
            </w:pPr>
            <w:r>
              <w:rPr>
                <w:noProof/>
              </w:rPr>
              <w:t>C5.I7: Instituirea unui instrument financiar pentru a crește gradul de instalare a stațiilor de încărcare pentru vehiculele electrice (VE)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BCE5A10"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661DD1F" w14:textId="77777777" w:rsidR="00702291" w:rsidRDefault="00712B31">
            <w:pPr>
              <w:pStyle w:val="P68B1DB1-Normal80"/>
              <w:spacing w:after="120" w:line="240" w:lineRule="auto"/>
              <w:rPr>
                <w:noProof/>
              </w:rPr>
            </w:pPr>
            <w:r>
              <w:rPr>
                <w:noProof/>
              </w:rPr>
              <w:t>Acorduri juridice semnate cu beneficiarii finali</w:t>
            </w:r>
          </w:p>
        </w:tc>
      </w:tr>
      <w:tr w:rsidR="00702291" w14:paraId="6FD57B0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F5F3DF3" w14:textId="77777777" w:rsidR="00702291" w:rsidRDefault="00712B31">
            <w:pPr>
              <w:pStyle w:val="P68B1DB1-Normal80"/>
              <w:spacing w:after="120" w:line="240" w:lineRule="auto"/>
              <w:rPr>
                <w:noProof/>
              </w:rPr>
            </w:pPr>
            <w:r>
              <w:rPr>
                <w:noProof/>
              </w:rPr>
              <w:t>30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3D8944F" w14:textId="77777777" w:rsidR="00702291" w:rsidRDefault="00712B31">
            <w:pPr>
              <w:pStyle w:val="P68B1DB1-Normal80"/>
              <w:spacing w:after="120" w:line="240" w:lineRule="auto"/>
              <w:rPr>
                <w:noProof/>
              </w:rPr>
            </w:pPr>
            <w:r>
              <w:rPr>
                <w:noProof/>
              </w:rPr>
              <w:t>C5.I7: Instituirea unui instrument financiar pentru a crește gradul de instalare a stațiilor de încărcare pentru vehiculele electrice (VE)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6BE4616"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C9373FC" w14:textId="77777777" w:rsidR="00702291" w:rsidRDefault="00712B31">
            <w:pPr>
              <w:pStyle w:val="P68B1DB1-Normal80"/>
              <w:spacing w:after="120" w:line="240" w:lineRule="auto"/>
              <w:rPr>
                <w:noProof/>
              </w:rPr>
            </w:pPr>
            <w:r>
              <w:rPr>
                <w:noProof/>
              </w:rPr>
              <w:t>Ministerul a finalizat investiția</w:t>
            </w:r>
          </w:p>
        </w:tc>
      </w:tr>
      <w:tr w:rsidR="00702291" w14:paraId="5AC317D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BDD14A7" w14:textId="77777777" w:rsidR="00702291" w:rsidRDefault="00712B31">
            <w:pPr>
              <w:pStyle w:val="P68B1DB1-Normal80"/>
              <w:spacing w:after="120" w:line="240" w:lineRule="auto"/>
              <w:rPr>
                <w:noProof/>
              </w:rPr>
            </w:pPr>
            <w:r>
              <w:rPr>
                <w:noProof/>
              </w:rPr>
              <w:t>31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B6E4088" w14:textId="77777777" w:rsidR="00702291" w:rsidRDefault="00712B31">
            <w:pPr>
              <w:pStyle w:val="P68B1DB1-Normal80"/>
              <w:spacing w:after="120" w:line="240" w:lineRule="auto"/>
              <w:rPr>
                <w:noProof/>
              </w:rPr>
            </w:pPr>
            <w:r>
              <w:rPr>
                <w:noProof/>
              </w:rPr>
              <w:t xml:space="preserve">C5.R1 Reforma tarifară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FAE709A"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222C3ED" w14:textId="77777777" w:rsidR="00702291" w:rsidRDefault="00712B31">
            <w:pPr>
              <w:pStyle w:val="P68B1DB1-Normal80"/>
              <w:spacing w:after="120" w:line="240" w:lineRule="auto"/>
              <w:rPr>
                <w:noProof/>
              </w:rPr>
            </w:pPr>
            <w:r>
              <w:rPr>
                <w:noProof/>
              </w:rPr>
              <w:t xml:space="preserve">Intrarea în vigoare a actului (actelor) juridic (e) referitor (e) la tarife </w:t>
            </w:r>
          </w:p>
        </w:tc>
      </w:tr>
      <w:tr w:rsidR="00702291" w14:paraId="6F16CF9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9775F0B" w14:textId="77777777" w:rsidR="00702291" w:rsidRDefault="00712B31">
            <w:pPr>
              <w:pStyle w:val="P68B1DB1-Normal80"/>
              <w:spacing w:after="120" w:line="240" w:lineRule="auto"/>
              <w:rPr>
                <w:noProof/>
              </w:rPr>
            </w:pPr>
            <w:r>
              <w:rPr>
                <w:noProof/>
              </w:rPr>
              <w:t>35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385CFBC" w14:textId="77777777" w:rsidR="00702291" w:rsidRDefault="00712B31">
            <w:pPr>
              <w:pStyle w:val="P68B1DB1-Normal80"/>
              <w:spacing w:after="120" w:line="240" w:lineRule="auto"/>
              <w:rPr>
                <w:noProof/>
              </w:rPr>
            </w:pPr>
            <w:r>
              <w:rPr>
                <w:noProof/>
              </w:rPr>
              <w:t>C6.R1 Transformarea reglementării energiei electrice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F7F359C"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E38AB77" w14:textId="77777777" w:rsidR="00702291" w:rsidRDefault="00712B31">
            <w:pPr>
              <w:pStyle w:val="P68B1DB1-Normal80"/>
              <w:spacing w:after="120" w:line="240" w:lineRule="auto"/>
              <w:rPr>
                <w:noProof/>
              </w:rPr>
            </w:pPr>
            <w:r>
              <w:rPr>
                <w:noProof/>
              </w:rPr>
              <w:t>Intrarea în vigoare a actului (actelor) juridic (e) privind contorizarea brută</w:t>
            </w:r>
          </w:p>
        </w:tc>
      </w:tr>
      <w:tr w:rsidR="00702291" w14:paraId="459FCE3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25D7A0" w14:textId="77777777" w:rsidR="00702291" w:rsidRDefault="00712B31">
            <w:pPr>
              <w:pStyle w:val="P68B1DB1-Normal80"/>
              <w:spacing w:after="120" w:line="240" w:lineRule="auto"/>
              <w:rPr>
                <w:noProof/>
              </w:rPr>
            </w:pPr>
            <w:r>
              <w:rPr>
                <w:noProof/>
              </w:rPr>
              <w:t>36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BCDE8F9" w14:textId="77777777" w:rsidR="00702291" w:rsidRDefault="00712B31">
            <w:pPr>
              <w:pStyle w:val="P68B1DB1-Normal80"/>
              <w:spacing w:after="120" w:line="240" w:lineRule="auto"/>
              <w:rPr>
                <w:noProof/>
              </w:rPr>
            </w:pPr>
            <w:r>
              <w:rPr>
                <w:noProof/>
              </w:rPr>
              <w:t>C6.R2 Încurajarea implementării energiei eoliene onshore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56F55C0"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B39708E" w14:textId="77777777" w:rsidR="00702291" w:rsidRDefault="00712B31">
            <w:pPr>
              <w:pStyle w:val="P68B1DB1-Normal80"/>
              <w:spacing w:after="120" w:line="240" w:lineRule="auto"/>
              <w:rPr>
                <w:noProof/>
              </w:rPr>
            </w:pPr>
            <w:r>
              <w:rPr>
                <w:noProof/>
              </w:rPr>
              <w:t>Intrarea în vigoare a actului (actelor) juridic (e)</w:t>
            </w:r>
          </w:p>
        </w:tc>
      </w:tr>
      <w:tr w:rsidR="00702291" w14:paraId="0C05A5F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EB679D5" w14:textId="77777777" w:rsidR="00702291" w:rsidRDefault="00712B31">
            <w:pPr>
              <w:pStyle w:val="P68B1DB1-Normal80"/>
              <w:spacing w:after="120" w:line="240" w:lineRule="auto"/>
              <w:rPr>
                <w:noProof/>
              </w:rPr>
            </w:pPr>
            <w:r>
              <w:rPr>
                <w:noProof/>
              </w:rPr>
              <w:t>37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96CAB28" w14:textId="77777777" w:rsidR="00702291" w:rsidRDefault="00712B31">
            <w:pPr>
              <w:pStyle w:val="P68B1DB1-Normal80"/>
              <w:spacing w:after="120" w:line="240" w:lineRule="auto"/>
              <w:rPr>
                <w:noProof/>
              </w:rPr>
            </w:pPr>
            <w:r>
              <w:rPr>
                <w:noProof/>
              </w:rPr>
              <w:t>C6.R2 Încurajarea implementării energiei eoliene onshore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8EF0203"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42CF6D2" w14:textId="77777777" w:rsidR="00702291" w:rsidRDefault="00712B31">
            <w:pPr>
              <w:pStyle w:val="P68B1DB1-Normal80"/>
              <w:spacing w:after="120" w:line="240" w:lineRule="auto"/>
              <w:rPr>
                <w:noProof/>
              </w:rPr>
            </w:pPr>
            <w:r>
              <w:rPr>
                <w:noProof/>
              </w:rPr>
              <w:t>Intrarea în vigoare a actului (actelor) juridic (e)</w:t>
            </w:r>
          </w:p>
        </w:tc>
      </w:tr>
      <w:tr w:rsidR="00702291" w14:paraId="4D12B45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FBBC53F" w14:textId="77777777" w:rsidR="00702291" w:rsidRDefault="00712B31">
            <w:pPr>
              <w:pStyle w:val="P68B1DB1-Normal80"/>
              <w:spacing w:after="120" w:line="240" w:lineRule="auto"/>
              <w:rPr>
                <w:noProof/>
              </w:rPr>
            </w:pPr>
            <w:r>
              <w:rPr>
                <w:noProof/>
              </w:rPr>
              <w:t>38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18AF2A7" w14:textId="77777777" w:rsidR="00702291" w:rsidRDefault="00712B31">
            <w:pPr>
              <w:pStyle w:val="P68B1DB1-Normal80"/>
              <w:spacing w:after="120" w:line="240" w:lineRule="auto"/>
              <w:rPr>
                <w:noProof/>
              </w:rPr>
            </w:pPr>
            <w:r>
              <w:rPr>
                <w:noProof/>
              </w:rPr>
              <w:t>C6.R3 Accelerarea racordării proiectelor privind energia din surse regenerabile la rețea</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A8BD8AA"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203F674" w14:textId="77777777" w:rsidR="00702291" w:rsidRDefault="00712B31">
            <w:pPr>
              <w:pStyle w:val="P68B1DB1-Normal80"/>
              <w:spacing w:after="120" w:line="240" w:lineRule="auto"/>
              <w:rPr>
                <w:noProof/>
              </w:rPr>
            </w:pPr>
            <w:r>
              <w:rPr>
                <w:noProof/>
              </w:rPr>
              <w:t>Intrarea în vigoare a actului (actelor) juridic (e)</w:t>
            </w:r>
          </w:p>
        </w:tc>
      </w:tr>
      <w:tr w:rsidR="00702291" w14:paraId="50DED57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19DD655" w14:textId="77777777" w:rsidR="00702291" w:rsidRDefault="00712B31">
            <w:pPr>
              <w:pStyle w:val="P68B1DB1-Normal80"/>
              <w:spacing w:after="120" w:line="240" w:lineRule="auto"/>
              <w:rPr>
                <w:noProof/>
              </w:rPr>
            </w:pPr>
            <w:r>
              <w:rPr>
                <w:noProof/>
              </w:rPr>
              <w:t>39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F345B75" w14:textId="77777777" w:rsidR="00702291" w:rsidRDefault="00712B31">
            <w:pPr>
              <w:pStyle w:val="P68B1DB1-Normal80"/>
              <w:spacing w:after="120" w:line="240" w:lineRule="auto"/>
              <w:rPr>
                <w:noProof/>
              </w:rPr>
            </w:pPr>
            <w:r>
              <w:rPr>
                <w:noProof/>
              </w:rPr>
              <w:t>C6.R3 Accelerarea racordării proiectelor privind energia din surse regenerabile la rețea</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6A59CE1"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A802380" w14:textId="77777777" w:rsidR="00702291" w:rsidRDefault="00712B31">
            <w:pPr>
              <w:pStyle w:val="P68B1DB1-Normal80"/>
              <w:spacing w:after="120" w:line="240" w:lineRule="auto"/>
              <w:rPr>
                <w:noProof/>
              </w:rPr>
            </w:pPr>
            <w:r>
              <w:rPr>
                <w:noProof/>
              </w:rPr>
              <w:t>Autorizația de racordare la rețea pentru capacitatea centralelor electrice din surse regenerabile</w:t>
            </w:r>
          </w:p>
        </w:tc>
      </w:tr>
      <w:tr w:rsidR="00702291" w14:paraId="621015F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FAF3821" w14:textId="77777777" w:rsidR="00702291" w:rsidRDefault="00712B31">
            <w:pPr>
              <w:pStyle w:val="P68B1DB1-Normal80"/>
              <w:spacing w:after="120" w:line="240" w:lineRule="auto"/>
              <w:rPr>
                <w:noProof/>
              </w:rPr>
            </w:pPr>
            <w:r>
              <w:rPr>
                <w:noProof/>
              </w:rPr>
              <w:t>39bis</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0908ED" w14:textId="77777777" w:rsidR="00702291" w:rsidRDefault="00712B31">
            <w:pPr>
              <w:pStyle w:val="P68B1DB1-Normal80"/>
              <w:spacing w:after="120" w:line="240" w:lineRule="auto"/>
              <w:rPr>
                <w:noProof/>
              </w:rPr>
            </w:pPr>
            <w:r>
              <w:rPr>
                <w:noProof/>
              </w:rPr>
              <w:t>C6.R3 Accelerarea racordării proiectelor privind energia din surse regenerabile la rețea</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5A85C1F"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6E2B395" w14:textId="77777777" w:rsidR="00702291" w:rsidRDefault="00712B31">
            <w:pPr>
              <w:pStyle w:val="P68B1DB1-Normal80"/>
              <w:spacing w:after="120" w:line="240" w:lineRule="auto"/>
              <w:rPr>
                <w:noProof/>
              </w:rPr>
            </w:pPr>
            <w:r>
              <w:rPr>
                <w:noProof/>
              </w:rPr>
              <w:t>Intrarea în vigoare a actului (actelor) juridic (e)</w:t>
            </w:r>
          </w:p>
        </w:tc>
      </w:tr>
      <w:tr w:rsidR="00702291" w14:paraId="7072EB5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E26D54F" w14:textId="77777777" w:rsidR="00702291" w:rsidRDefault="00712B31">
            <w:pPr>
              <w:pStyle w:val="P68B1DB1-Normal80"/>
              <w:spacing w:after="120" w:line="240" w:lineRule="auto"/>
              <w:rPr>
                <w:noProof/>
              </w:rPr>
            </w:pPr>
            <w:r>
              <w:rPr>
                <w:noProof/>
              </w:rPr>
              <w:t>40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2D1FCDB" w14:textId="77777777" w:rsidR="00702291" w:rsidRDefault="00712B31">
            <w:pPr>
              <w:pStyle w:val="P68B1DB1-Normal80"/>
              <w:spacing w:after="120" w:line="240" w:lineRule="auto"/>
              <w:rPr>
                <w:noProof/>
              </w:rPr>
            </w:pPr>
            <w:r>
              <w:rPr>
                <w:noProof/>
              </w:rPr>
              <w:t>C6.R4 Stabilirea unor standarde minime de eficiență energetică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CDE507F"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7C30A67" w14:textId="77777777" w:rsidR="00702291" w:rsidRDefault="00712B31">
            <w:pPr>
              <w:pStyle w:val="P68B1DB1-Normal80"/>
              <w:spacing w:after="120" w:line="240" w:lineRule="auto"/>
              <w:rPr>
                <w:noProof/>
              </w:rPr>
            </w:pPr>
            <w:r>
              <w:rPr>
                <w:noProof/>
              </w:rPr>
              <w:t>Stabilirea unor cerințe minime de eficiență energetică pentru schemele de sprijin pentru renovarea clădirilor</w:t>
            </w:r>
          </w:p>
        </w:tc>
      </w:tr>
      <w:tr w:rsidR="00702291" w14:paraId="5112CC3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3BAF486" w14:textId="77777777" w:rsidR="00702291" w:rsidRDefault="00712B31">
            <w:pPr>
              <w:pStyle w:val="P68B1DB1-Normal80"/>
              <w:spacing w:after="120" w:line="240" w:lineRule="auto"/>
              <w:rPr>
                <w:noProof/>
              </w:rPr>
            </w:pPr>
            <w:r>
              <w:rPr>
                <w:noProof/>
              </w:rPr>
              <w:t>41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64367A9" w14:textId="77777777" w:rsidR="00702291" w:rsidRDefault="00712B31">
            <w:pPr>
              <w:pStyle w:val="P68B1DB1-Normal80"/>
              <w:spacing w:after="120" w:line="240" w:lineRule="auto"/>
              <w:rPr>
                <w:noProof/>
              </w:rPr>
            </w:pPr>
            <w:r>
              <w:rPr>
                <w:noProof/>
              </w:rPr>
              <w:t>C6.I1 Dezvoltarea rețelelor clasice și inteligente ale operatorilor de sisteme de transport și ale operatorilor de sisteme</w:t>
            </w:r>
            <w:r>
              <w:rPr>
                <w:b/>
                <w:noProof/>
              </w:rPr>
              <w:t xml:space="preserve"> </w:t>
            </w:r>
            <w:r>
              <w:rPr>
                <w:noProof/>
              </w:rPr>
              <w:t>de distribuție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2EC93F6" w14:textId="77777777" w:rsidR="00702291" w:rsidRDefault="00712B31">
            <w:pPr>
              <w:pStyle w:val="P68B1DB1-Normal80"/>
              <w:spacing w:after="120" w:line="240" w:lineRule="auto"/>
              <w:rPr>
                <w:noProof/>
              </w:rPr>
            </w:pPr>
            <w:r>
              <w:rPr>
                <w:noProof/>
              </w:rPr>
              <w:t xml:space="preserve">Țintă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8F52ED7" w14:textId="77777777" w:rsidR="00702291" w:rsidRDefault="00712B31">
            <w:pPr>
              <w:pStyle w:val="P68B1DB1-Normal80"/>
              <w:spacing w:after="120" w:line="240" w:lineRule="auto"/>
              <w:rPr>
                <w:noProof/>
              </w:rPr>
            </w:pPr>
            <w:r>
              <w:rPr>
                <w:noProof/>
              </w:rPr>
              <w:t>Capacitatea suplimentară cumulată adăugată la rețea</w:t>
            </w:r>
          </w:p>
        </w:tc>
      </w:tr>
      <w:tr w:rsidR="00702291" w14:paraId="2DD5ADB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313937" w14:textId="77777777" w:rsidR="00702291" w:rsidRDefault="00712B31">
            <w:pPr>
              <w:pStyle w:val="P68B1DB1-Normal80"/>
              <w:spacing w:after="120" w:line="240" w:lineRule="auto"/>
              <w:rPr>
                <w:noProof/>
              </w:rPr>
            </w:pPr>
            <w:r>
              <w:rPr>
                <w:noProof/>
              </w:rPr>
              <w:t>42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6CC7A6" w14:textId="77777777" w:rsidR="00702291" w:rsidRDefault="00712B31">
            <w:pPr>
              <w:pStyle w:val="P68B1DB1-Normal80"/>
              <w:spacing w:after="120" w:line="240" w:lineRule="auto"/>
              <w:rPr>
                <w:noProof/>
              </w:rPr>
            </w:pPr>
            <w:r>
              <w:rPr>
                <w:noProof/>
              </w:rPr>
              <w:t>C6.I2 Sprijin pentru utilizarea panourilor solare rezidențiale și modernizarea încălzirii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8340EE2" w14:textId="77777777" w:rsidR="00702291" w:rsidRDefault="00712B31">
            <w:pPr>
              <w:pStyle w:val="P68B1DB1-Normal80"/>
              <w:spacing w:after="120" w:line="240" w:lineRule="auto"/>
              <w:rPr>
                <w:noProof/>
              </w:rPr>
            </w:pPr>
            <w:r>
              <w:rPr>
                <w:noProof/>
              </w:rPr>
              <w:t xml:space="preserve">Țintă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02BDD4E" w14:textId="77777777" w:rsidR="00702291" w:rsidRDefault="00712B31">
            <w:pPr>
              <w:pStyle w:val="P68B1DB1-Normal80"/>
              <w:spacing w:after="120" w:line="240" w:lineRule="auto"/>
              <w:rPr>
                <w:noProof/>
              </w:rPr>
            </w:pPr>
            <w:r>
              <w:rPr>
                <w:noProof/>
              </w:rPr>
              <w:t>Numărul de gospodării care beneficiază de sprijin</w:t>
            </w:r>
          </w:p>
        </w:tc>
      </w:tr>
      <w:tr w:rsidR="00702291" w14:paraId="48C3654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975F7AE" w14:textId="77777777" w:rsidR="00702291" w:rsidRDefault="00712B31">
            <w:pPr>
              <w:pStyle w:val="P68B1DB1-Normal80"/>
              <w:spacing w:after="120" w:line="240" w:lineRule="auto"/>
              <w:rPr>
                <w:noProof/>
              </w:rPr>
            </w:pPr>
            <w:r>
              <w:rPr>
                <w:noProof/>
              </w:rPr>
              <w:t>43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DABD143" w14:textId="77777777" w:rsidR="00702291" w:rsidRDefault="00712B31">
            <w:pPr>
              <w:pStyle w:val="P68B1DB1-Normal80"/>
              <w:spacing w:after="120" w:line="240" w:lineRule="auto"/>
              <w:rPr>
                <w:noProof/>
              </w:rPr>
            </w:pPr>
            <w:r>
              <w:rPr>
                <w:noProof/>
              </w:rPr>
              <w:t>C6.I3 Instalarea instalațiilor de stocare a energiei în rețea pentru participanții la piața energiei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387C558"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AAA77D2" w14:textId="77777777" w:rsidR="00702291" w:rsidRDefault="00712B31">
            <w:pPr>
              <w:pStyle w:val="P68B1DB1-Normal80"/>
              <w:spacing w:after="120" w:line="240" w:lineRule="auto"/>
              <w:rPr>
                <w:noProof/>
              </w:rPr>
            </w:pPr>
            <w:r>
              <w:rPr>
                <w:noProof/>
              </w:rPr>
              <w:t>Capacitatea instalațiilor instalate de stocare a energiei</w:t>
            </w:r>
          </w:p>
        </w:tc>
      </w:tr>
      <w:tr w:rsidR="00702291" w14:paraId="2EF4CE5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B10C177" w14:textId="77777777" w:rsidR="00702291" w:rsidRDefault="00712B31">
            <w:pPr>
              <w:pStyle w:val="P68B1DB1-Normal80"/>
              <w:spacing w:after="120" w:line="240" w:lineRule="auto"/>
              <w:rPr>
                <w:noProof/>
              </w:rPr>
            </w:pPr>
            <w:r>
              <w:rPr>
                <w:noProof/>
              </w:rPr>
              <w:t>44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CDAAAF4" w14:textId="77777777" w:rsidR="00702291" w:rsidRDefault="00712B31">
            <w:pPr>
              <w:pStyle w:val="P68B1DB1-Normal80"/>
              <w:spacing w:after="120" w:line="240" w:lineRule="auto"/>
              <w:rPr>
                <w:noProof/>
              </w:rPr>
            </w:pPr>
            <w:r>
              <w:rPr>
                <w:noProof/>
              </w:rPr>
              <w:t>C6.I4 Diseminarea contorizării inteligente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BDD1960"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C233D56" w14:textId="358D71FE" w:rsidR="00702291" w:rsidRDefault="00712B31">
            <w:pPr>
              <w:pStyle w:val="P68B1DB1-Normal80"/>
              <w:spacing w:after="120" w:line="240" w:lineRule="auto"/>
              <w:rPr>
                <w:noProof/>
              </w:rPr>
            </w:pPr>
            <w:r>
              <w:rPr>
                <w:noProof/>
              </w:rPr>
              <w:t xml:space="preserve">Instalarea contoarelor inteligente </w:t>
            </w:r>
          </w:p>
        </w:tc>
      </w:tr>
      <w:tr w:rsidR="00702291" w14:paraId="416AC54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09C4E4D" w14:textId="77777777" w:rsidR="00702291" w:rsidRDefault="00712B31">
            <w:pPr>
              <w:pStyle w:val="P68B1DB1-Normal80"/>
              <w:spacing w:after="120" w:line="240" w:lineRule="auto"/>
              <w:rPr>
                <w:noProof/>
              </w:rPr>
            </w:pPr>
            <w:r>
              <w:rPr>
                <w:noProof/>
              </w:rPr>
              <w:t>45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7749507" w14:textId="77777777" w:rsidR="00702291" w:rsidRDefault="00712B31">
            <w:pPr>
              <w:pStyle w:val="P68B1DB1-Normal80"/>
              <w:spacing w:after="120" w:line="240" w:lineRule="auto"/>
              <w:rPr>
                <w:rFonts w:eastAsia="Calibri"/>
                <w:noProof/>
              </w:rPr>
            </w:pPr>
            <w:r>
              <w:rPr>
                <w:noProof/>
              </w:rPr>
              <w:t>C6.I5. Investiții în eficiența energetică a clădirilor publice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E85D1BD" w14:textId="77777777" w:rsidR="00702291" w:rsidRDefault="00712B31">
            <w:pPr>
              <w:pStyle w:val="P68B1DB1-Normal80"/>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ECBF460" w14:textId="77777777" w:rsidR="00702291" w:rsidRDefault="00712B31">
            <w:pPr>
              <w:pStyle w:val="P68B1DB1-Normal80"/>
              <w:spacing w:after="120" w:line="240" w:lineRule="auto"/>
              <w:rPr>
                <w:noProof/>
              </w:rPr>
            </w:pPr>
            <w:r>
              <w:rPr>
                <w:noProof/>
              </w:rPr>
              <w:t>Numărul de clădiri publice care au beneficiat de renovări vizând eficiența energetică</w:t>
            </w:r>
          </w:p>
        </w:tc>
      </w:tr>
      <w:tr w:rsidR="00702291" w14:paraId="35AC510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81E1D8D" w14:textId="77777777" w:rsidR="00702291" w:rsidRDefault="00712B31">
            <w:pPr>
              <w:pStyle w:val="P68B1DB1-Normal80"/>
              <w:spacing w:after="120" w:line="240" w:lineRule="auto"/>
              <w:rPr>
                <w:noProof/>
              </w:rPr>
            </w:pPr>
            <w:r>
              <w:rPr>
                <w:noProof/>
              </w:rPr>
              <w:t>46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6607E97" w14:textId="77777777" w:rsidR="00702291" w:rsidRDefault="00712B31">
            <w:pPr>
              <w:pStyle w:val="P68B1DB1-Normal80"/>
              <w:spacing w:after="120" w:line="240" w:lineRule="auto"/>
              <w:rPr>
                <w:noProof/>
              </w:rPr>
            </w:pPr>
            <w:r>
              <w:rPr>
                <w:noProof/>
              </w:rPr>
              <w:t>C6.I6. Schemă de granturi pentru dezvoltarea rețelei de energie electrică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EE554EC"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F7DB7E" w14:textId="77777777" w:rsidR="00702291" w:rsidRDefault="00712B31">
            <w:pPr>
              <w:pStyle w:val="P68B1DB1-Normal80"/>
              <w:spacing w:after="120" w:line="240" w:lineRule="auto"/>
              <w:rPr>
                <w:noProof/>
              </w:rPr>
            </w:pPr>
            <w:r>
              <w:rPr>
                <w:noProof/>
              </w:rPr>
              <w:t>Acord de punere în aplicare</w:t>
            </w:r>
          </w:p>
        </w:tc>
      </w:tr>
      <w:tr w:rsidR="00702291" w14:paraId="015C858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EAE6FA9" w14:textId="77777777" w:rsidR="00702291" w:rsidRDefault="00712B31">
            <w:pPr>
              <w:pStyle w:val="P68B1DB1-Normal80"/>
              <w:spacing w:after="120" w:line="240" w:lineRule="auto"/>
              <w:rPr>
                <w:noProof/>
              </w:rPr>
            </w:pPr>
            <w:r>
              <w:rPr>
                <w:noProof/>
              </w:rPr>
              <w:t>47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4FE7D9C" w14:textId="77777777" w:rsidR="00702291" w:rsidRDefault="00712B31">
            <w:pPr>
              <w:pStyle w:val="P68B1DB1-Normal80"/>
              <w:spacing w:after="120" w:line="240" w:lineRule="auto"/>
              <w:rPr>
                <w:rFonts w:eastAsia="Times New Roman"/>
                <w:noProof/>
                <w:color w:val="000000" w:themeColor="text1"/>
              </w:rPr>
            </w:pPr>
            <w:r>
              <w:rPr>
                <w:noProof/>
              </w:rPr>
              <w:t>C6.I6. Schemă de granturi pentru dezvoltarea rețelei de energie electrică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225B3FE" w14:textId="77777777" w:rsidR="00702291" w:rsidRDefault="00712B31">
            <w:pPr>
              <w:pStyle w:val="P68B1DB1-Normal84"/>
              <w:spacing w:after="120" w:line="240" w:lineRule="auto"/>
              <w:rPr>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B770DE2" w14:textId="77777777" w:rsidR="00702291" w:rsidRDefault="00712B31">
            <w:pPr>
              <w:pStyle w:val="P68B1DB1-Normal80"/>
              <w:spacing w:after="120" w:line="240" w:lineRule="auto"/>
              <w:textAlignment w:val="baseline"/>
              <w:rPr>
                <w:rFonts w:eastAsia="Times New Roman"/>
                <w:noProof/>
                <w:color w:val="000000" w:themeColor="text1"/>
              </w:rPr>
            </w:pPr>
            <w:r>
              <w:rPr>
                <w:noProof/>
              </w:rPr>
              <w:t>Acorduri juridice semnate cu beneficiarii finali</w:t>
            </w:r>
          </w:p>
        </w:tc>
      </w:tr>
      <w:tr w:rsidR="00702291" w14:paraId="259EA8A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57C1BA8" w14:textId="77777777" w:rsidR="00702291" w:rsidRDefault="00712B31">
            <w:pPr>
              <w:pStyle w:val="P68B1DB1-Normal80"/>
              <w:spacing w:after="120" w:line="240" w:lineRule="auto"/>
              <w:rPr>
                <w:noProof/>
              </w:rPr>
            </w:pPr>
            <w:r>
              <w:rPr>
                <w:noProof/>
              </w:rPr>
              <w:t>48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53DE708" w14:textId="77777777" w:rsidR="00702291" w:rsidRDefault="00712B31">
            <w:pPr>
              <w:pStyle w:val="P68B1DB1-Normal80"/>
              <w:spacing w:after="120" w:line="240" w:lineRule="auto"/>
              <w:rPr>
                <w:noProof/>
              </w:rPr>
            </w:pPr>
            <w:r>
              <w:rPr>
                <w:noProof/>
              </w:rPr>
              <w:t>C6.I6. Schemă de granturi pentru dezvoltarea rețelei de energie electrică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2D4EB89"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D5CA124" w14:textId="77777777" w:rsidR="00702291" w:rsidRDefault="00712B31">
            <w:pPr>
              <w:pStyle w:val="P68B1DB1-Normal84"/>
              <w:spacing w:after="120" w:line="240" w:lineRule="auto"/>
              <w:textAlignment w:val="baseline"/>
              <w:rPr>
                <w:noProof/>
              </w:rPr>
            </w:pPr>
            <w:r>
              <w:rPr>
                <w:noProof/>
              </w:rPr>
              <w:t>Ministerul a finalizat investiția</w:t>
            </w:r>
          </w:p>
        </w:tc>
      </w:tr>
      <w:tr w:rsidR="00702291" w14:paraId="78E6A6C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2B95048" w14:textId="77777777" w:rsidR="00702291" w:rsidRDefault="00712B31">
            <w:pPr>
              <w:pStyle w:val="P68B1DB1-Normal80"/>
              <w:spacing w:after="120" w:line="240" w:lineRule="auto"/>
              <w:rPr>
                <w:noProof/>
                <w:highlight w:val="yellow"/>
              </w:rPr>
            </w:pPr>
            <w:r>
              <w:rPr>
                <w:noProof/>
              </w:rPr>
              <w:t>49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A49C1C9" w14:textId="77777777" w:rsidR="00702291" w:rsidRDefault="00712B31">
            <w:pPr>
              <w:pStyle w:val="P68B1DB1-Normal80"/>
              <w:spacing w:after="120" w:line="240" w:lineRule="auto"/>
              <w:rPr>
                <w:noProof/>
                <w:highlight w:val="yellow"/>
              </w:rPr>
            </w:pPr>
            <w:r>
              <w:rPr>
                <w:noProof/>
              </w:rPr>
              <w:t>C7.R1 Eradicarea plăților gratuite în sectorul asistenței medicale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A9BF783" w14:textId="4C2C4002" w:rsidR="00702291" w:rsidRDefault="00712B31">
            <w:pPr>
              <w:pStyle w:val="P68B1DB1-Normal80"/>
              <w:spacing w:after="120" w:line="240" w:lineRule="auto"/>
              <w:rPr>
                <w:noProof/>
                <w:highlight w:val="yellow"/>
              </w:rPr>
            </w:pPr>
            <w:r>
              <w:rPr>
                <w:noProof/>
              </w:rPr>
              <w:t xml:space="preserve">Etapă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C439CE3" w14:textId="77777777" w:rsidR="00702291" w:rsidRDefault="00712B31">
            <w:pPr>
              <w:pStyle w:val="P68B1DB1-Normal80"/>
              <w:spacing w:after="120" w:line="240" w:lineRule="auto"/>
              <w:textAlignment w:val="baseline"/>
              <w:rPr>
                <w:noProof/>
                <w:highlight w:val="yellow"/>
              </w:rPr>
            </w:pPr>
            <w:r>
              <w:rPr>
                <w:noProof/>
              </w:rPr>
              <w:t>Intrarea în vigoare a actului (actelor) juridic (e) privind eradicarea practicii plății gratuite </w:t>
            </w:r>
          </w:p>
        </w:tc>
      </w:tr>
      <w:tr w:rsidR="00702291" w14:paraId="4F103ED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398F2F0" w14:textId="77777777" w:rsidR="00702291" w:rsidRDefault="00712B31">
            <w:pPr>
              <w:pStyle w:val="P68B1DB1-Normal80"/>
              <w:spacing w:after="120" w:line="240" w:lineRule="auto"/>
              <w:rPr>
                <w:noProof/>
              </w:rPr>
            </w:pPr>
            <w:r>
              <w:rPr>
                <w:noProof/>
              </w:rPr>
              <w:t>50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DACC883" w14:textId="77777777" w:rsidR="00702291" w:rsidRDefault="00712B31">
            <w:pPr>
              <w:pStyle w:val="P68B1DB1-Normal83"/>
              <w:spacing w:after="120" w:line="240" w:lineRule="auto"/>
              <w:rPr>
                <w:noProof/>
              </w:rPr>
            </w:pPr>
            <w:r>
              <w:rPr>
                <w:noProof/>
              </w:rPr>
              <w:t xml:space="preserve">C7.I1 Modernizarea sistemului de sănătate pentru secolul 21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89535F0" w14:textId="58A06B6F" w:rsidR="00702291" w:rsidRDefault="00712B31">
            <w:pPr>
              <w:pStyle w:val="P68B1DB1-Normal84"/>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917BF3C" w14:textId="5EFD0600" w:rsidR="00702291" w:rsidRDefault="00712B31">
            <w:pPr>
              <w:pStyle w:val="P68B1DB1-Normal84"/>
              <w:spacing w:after="120" w:line="240" w:lineRule="auto"/>
              <w:textAlignment w:val="baseline"/>
              <w:rPr>
                <w:noProof/>
              </w:rPr>
            </w:pPr>
            <w:r>
              <w:rPr>
                <w:noProof/>
                <w:color w:val="000000" w:themeColor="text1"/>
              </w:rPr>
              <w:t>Renovarea unităților medicale și modernizarea echipamentelor medicale</w:t>
            </w:r>
            <w:r>
              <w:rPr>
                <w:noProof/>
              </w:rPr>
              <w:t xml:space="preserve"> </w:t>
            </w:r>
          </w:p>
        </w:tc>
      </w:tr>
      <w:tr w:rsidR="00702291" w14:paraId="0E9A94A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D4749A5" w14:textId="77777777" w:rsidR="00702291" w:rsidRDefault="00712B31">
            <w:pPr>
              <w:pStyle w:val="P68B1DB1-Normal80"/>
              <w:spacing w:after="120" w:line="240" w:lineRule="auto"/>
              <w:rPr>
                <w:noProof/>
              </w:rPr>
            </w:pPr>
            <w:r>
              <w:rPr>
                <w:noProof/>
              </w:rPr>
              <w:t>51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2E117BB" w14:textId="77777777" w:rsidR="00702291" w:rsidRDefault="00712B31">
            <w:pPr>
              <w:pStyle w:val="P68B1DB1-Normal80"/>
              <w:spacing w:after="120" w:line="240" w:lineRule="auto"/>
              <w:rPr>
                <w:noProof/>
              </w:rPr>
            </w:pPr>
            <w:r>
              <w:rPr>
                <w:noProof/>
              </w:rPr>
              <w:t xml:space="preserve">C7.I2 Sprijinirea transformării digitale a sănătății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0584424" w14:textId="1D4671F2"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53ADF70" w14:textId="77777777" w:rsidR="00702291" w:rsidRDefault="00712B31">
            <w:pPr>
              <w:pStyle w:val="P68B1DB1-Normal80"/>
              <w:spacing w:after="120" w:line="240" w:lineRule="auto"/>
              <w:textAlignment w:val="baseline"/>
              <w:rPr>
                <w:noProof/>
              </w:rPr>
            </w:pPr>
            <w:r>
              <w:rPr>
                <w:noProof/>
              </w:rPr>
              <w:t xml:space="preserve">Extinderea funcțiilor și procedurilor de sănătate online </w:t>
            </w:r>
          </w:p>
        </w:tc>
      </w:tr>
      <w:tr w:rsidR="00702291" w14:paraId="1AF7890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B463AD0" w14:textId="77777777" w:rsidR="00702291" w:rsidRDefault="00712B31">
            <w:pPr>
              <w:pStyle w:val="P68B1DB1-Normal80"/>
              <w:spacing w:after="120" w:line="240" w:lineRule="auto"/>
              <w:rPr>
                <w:noProof/>
              </w:rPr>
            </w:pPr>
            <w:r>
              <w:rPr>
                <w:noProof/>
              </w:rPr>
              <w:t>52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04B1D79" w14:textId="77777777" w:rsidR="00702291" w:rsidRDefault="00712B31">
            <w:pPr>
              <w:pStyle w:val="P68B1DB1-Normal80"/>
              <w:spacing w:after="120" w:line="240" w:lineRule="auto"/>
              <w:rPr>
                <w:noProof/>
              </w:rPr>
            </w:pPr>
            <w:r>
              <w:rPr>
                <w:noProof/>
              </w:rPr>
              <w:t>C7.I3 Dezvoltarea asistenței medicale primare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CB6719D" w14:textId="328E049E"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E3178E4" w14:textId="77777777" w:rsidR="00702291" w:rsidRDefault="00712B31">
            <w:pPr>
              <w:pStyle w:val="P68B1DB1-Normal80"/>
              <w:spacing w:after="120" w:line="240" w:lineRule="auto"/>
              <w:textAlignment w:val="baseline"/>
              <w:rPr>
                <w:noProof/>
              </w:rPr>
            </w:pPr>
            <w:r>
              <w:rPr>
                <w:noProof/>
              </w:rPr>
              <w:t>Programe de asistență medicală primară</w:t>
            </w:r>
          </w:p>
        </w:tc>
      </w:tr>
      <w:tr w:rsidR="00702291" w14:paraId="7A3719D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550FFAE" w14:textId="77777777" w:rsidR="00702291" w:rsidRDefault="00712B31">
            <w:pPr>
              <w:pStyle w:val="P68B1DB1-Normal80"/>
              <w:spacing w:after="120" w:line="240" w:lineRule="auto"/>
              <w:rPr>
                <w:noProof/>
              </w:rPr>
            </w:pPr>
            <w:r>
              <w:rPr>
                <w:noProof/>
              </w:rPr>
              <w:t>53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F6D6EC8" w14:textId="77777777" w:rsidR="00702291" w:rsidRDefault="00712B31">
            <w:pPr>
              <w:pStyle w:val="P68B1DB1-Normal80"/>
              <w:spacing w:after="120" w:line="240" w:lineRule="auto"/>
              <w:rPr>
                <w:noProof/>
              </w:rPr>
            </w:pPr>
            <w:r>
              <w:rPr>
                <w:noProof/>
              </w:rPr>
              <w:t>C7.I4 Infrastructura locală de sănătate și socială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43FCDD1" w14:textId="0D53E19E"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C798A0" w14:textId="77777777" w:rsidR="00702291" w:rsidRDefault="00712B31">
            <w:pPr>
              <w:pStyle w:val="P68B1DB1-Normal80"/>
              <w:spacing w:after="120" w:line="240" w:lineRule="auto"/>
              <w:rPr>
                <w:noProof/>
              </w:rPr>
            </w:pPr>
            <w:r>
              <w:rPr>
                <w:noProof/>
              </w:rPr>
              <w:t>Infrastructura locală de sănătate și socială</w:t>
            </w:r>
          </w:p>
        </w:tc>
      </w:tr>
      <w:tr w:rsidR="00702291" w14:paraId="58DE974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EE69C7A" w14:textId="77777777" w:rsidR="00702291" w:rsidRDefault="00712B31">
            <w:pPr>
              <w:pStyle w:val="P68B1DB1-Normal80"/>
              <w:spacing w:after="120" w:line="240" w:lineRule="auto"/>
              <w:rPr>
                <w:noProof/>
              </w:rPr>
            </w:pPr>
            <w:r>
              <w:rPr>
                <w:noProof/>
              </w:rPr>
              <w:t>54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D5744CF" w14:textId="32955585" w:rsidR="00702291" w:rsidRDefault="00712B31">
            <w:pPr>
              <w:pStyle w:val="P68B1DB1-Normal80"/>
              <w:spacing w:after="120" w:line="240" w:lineRule="auto"/>
              <w:ind w:left="52"/>
              <w:rPr>
                <w:noProof/>
                <w:highlight w:val="yellow"/>
              </w:rPr>
            </w:pPr>
            <w:r>
              <w:rPr>
                <w:noProof/>
              </w:rPr>
              <w:t>C8.R1 Intrarea în vigoare a legislației privind o autoritate de integritate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7F78181"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D301692" w14:textId="504BA1CA" w:rsidR="00702291" w:rsidRDefault="00712B31">
            <w:pPr>
              <w:pStyle w:val="P68B1DB1-Normal80"/>
              <w:spacing w:after="120" w:line="240" w:lineRule="auto"/>
              <w:rPr>
                <w:noProof/>
              </w:rPr>
            </w:pPr>
            <w:r>
              <w:rPr>
                <w:noProof/>
              </w:rPr>
              <w:t>Intrarea în vigoare a legislației privind o autoritate de integritate</w:t>
            </w:r>
          </w:p>
        </w:tc>
      </w:tr>
      <w:tr w:rsidR="00702291" w14:paraId="3891AD1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E5F9B58" w14:textId="77777777" w:rsidR="00702291" w:rsidRDefault="00712B31">
            <w:pPr>
              <w:pStyle w:val="P68B1DB1-Normal80"/>
              <w:spacing w:after="120" w:line="240" w:lineRule="auto"/>
              <w:rPr>
                <w:noProof/>
              </w:rPr>
            </w:pPr>
            <w:r>
              <w:rPr>
                <w:noProof/>
              </w:rPr>
              <w:t>55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4D78384" w14:textId="5F087A5B" w:rsidR="00702291" w:rsidRDefault="00712B31">
            <w:pPr>
              <w:pStyle w:val="P68B1DB1-Normal80"/>
              <w:spacing w:after="120" w:line="240" w:lineRule="auto"/>
              <w:ind w:left="52"/>
              <w:rPr>
                <w:noProof/>
              </w:rPr>
            </w:pPr>
            <w:r>
              <w:rPr>
                <w:noProof/>
              </w:rPr>
              <w:t>C8.R1 Intrarea în vigoare a legislației privind o autoritate de integritate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ADD453B"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5B5BFF3" w14:textId="77777777" w:rsidR="00702291" w:rsidRDefault="00712B31">
            <w:pPr>
              <w:pStyle w:val="P68B1DB1-Normal80"/>
              <w:spacing w:after="120" w:line="240" w:lineRule="auto"/>
              <w:rPr>
                <w:noProof/>
              </w:rPr>
            </w:pPr>
            <w:r>
              <w:rPr>
                <w:noProof/>
              </w:rPr>
              <w:t>Modificări legislative privind atribuțiile și competențele Autorității de Integritate în ceea ce privește verificarea declarațiilor de avere</w:t>
            </w:r>
          </w:p>
        </w:tc>
      </w:tr>
      <w:tr w:rsidR="00702291" w14:paraId="3AE6C68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3F500B0" w14:textId="25FE984C" w:rsidR="00702291" w:rsidRDefault="00712B31">
            <w:pPr>
              <w:pStyle w:val="P68B1DB1-Normal80"/>
              <w:spacing w:after="120" w:line="240" w:lineRule="auto"/>
              <w:ind w:left="52"/>
              <w:textAlignment w:val="baseline"/>
              <w:rPr>
                <w:noProof/>
              </w:rPr>
            </w:pPr>
            <w:r>
              <w:rPr>
                <w:noProof/>
              </w:rPr>
              <w:t>56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927FF68" w14:textId="477A4FFE" w:rsidR="00702291" w:rsidRDefault="00712B31">
            <w:pPr>
              <w:pStyle w:val="P68B1DB1-Normal80"/>
              <w:spacing w:after="120" w:line="240" w:lineRule="auto"/>
              <w:ind w:left="52"/>
              <w:rPr>
                <w:noProof/>
              </w:rPr>
            </w:pPr>
            <w:r>
              <w:rPr>
                <w:noProof/>
              </w:rPr>
              <w:t>C8.R2 Participarea la cooperarea consolidată în ceea ce privește instituirea Parchetului European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E7E1DB6"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7469C4C" w14:textId="77777777" w:rsidR="00702291" w:rsidRDefault="00712B31">
            <w:pPr>
              <w:pStyle w:val="P68B1DB1-Normal80"/>
              <w:spacing w:after="120" w:line="240" w:lineRule="auto"/>
              <w:rPr>
                <w:noProof/>
              </w:rPr>
            </w:pPr>
            <w:r>
              <w:rPr>
                <w:noProof/>
              </w:rPr>
              <w:t>Participarea la cooperarea consolidată în legătură cu Parchetul European</w:t>
            </w:r>
          </w:p>
        </w:tc>
      </w:tr>
      <w:tr w:rsidR="00702291" w14:paraId="0D96BE1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25B2EB7" w14:textId="77777777" w:rsidR="00702291" w:rsidRDefault="00712B31">
            <w:pPr>
              <w:pStyle w:val="P68B1DB1-Normal80"/>
              <w:spacing w:after="120" w:line="240" w:lineRule="auto"/>
              <w:ind w:left="52"/>
              <w:textAlignment w:val="baseline"/>
              <w:rPr>
                <w:noProof/>
              </w:rPr>
            </w:pPr>
            <w:r>
              <w:rPr>
                <w:noProof/>
              </w:rPr>
              <w:t>57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F1BFE1E" w14:textId="20C3499C" w:rsidR="00702291" w:rsidRDefault="00712B31">
            <w:pPr>
              <w:pStyle w:val="P68B1DB1-Normal80"/>
              <w:spacing w:after="120" w:line="240" w:lineRule="auto"/>
              <w:ind w:left="52"/>
              <w:rPr>
                <w:noProof/>
              </w:rPr>
            </w:pPr>
            <w:r>
              <w:rPr>
                <w:noProof/>
              </w:rPr>
              <w:t xml:space="preserve">C8.R3 Intrarea în vigoare a actelor juridice privind un grup operativ anticorupție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FF0A45C" w14:textId="77777777" w:rsidR="00702291" w:rsidRDefault="00712B31">
            <w:pPr>
              <w:pStyle w:val="P68B1DB1-Normal80"/>
              <w:spacing w:after="120" w:line="240" w:lineRule="auto"/>
              <w:rPr>
                <w:noProof/>
              </w:rPr>
            </w:pPr>
            <w:r>
              <w:rPr>
                <w:noProof/>
              </w:rPr>
              <w:t>Etapă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DDE20A2" w14:textId="77777777" w:rsidR="00702291" w:rsidRDefault="00712B31">
            <w:pPr>
              <w:pStyle w:val="P68B1DB1-Normal80"/>
              <w:spacing w:after="120" w:line="240" w:lineRule="auto"/>
              <w:rPr>
                <w:noProof/>
              </w:rPr>
            </w:pPr>
            <w:r>
              <w:rPr>
                <w:noProof/>
              </w:rPr>
              <w:t xml:space="preserve">Intrarea în vigoare a actelor juridice privind un grup operativ anticorupție </w:t>
            </w:r>
          </w:p>
        </w:tc>
      </w:tr>
      <w:tr w:rsidR="00702291" w14:paraId="0750E2C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B067C7F" w14:textId="77777777" w:rsidR="00702291" w:rsidRDefault="00712B31">
            <w:pPr>
              <w:pStyle w:val="P68B1DB1-Normal80"/>
              <w:spacing w:after="120" w:line="240" w:lineRule="auto"/>
              <w:ind w:left="52"/>
              <w:textAlignment w:val="baseline"/>
              <w:rPr>
                <w:noProof/>
              </w:rPr>
            </w:pPr>
            <w:r>
              <w:rPr>
                <w:noProof/>
              </w:rPr>
              <w:t>58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2E30AAC" w14:textId="77777777" w:rsidR="00702291" w:rsidRDefault="00712B31">
            <w:pPr>
              <w:pStyle w:val="P68B1DB1-Normal80"/>
              <w:spacing w:after="120" w:line="240" w:lineRule="auto"/>
              <w:ind w:left="52"/>
              <w:rPr>
                <w:noProof/>
              </w:rPr>
            </w:pPr>
            <w:r>
              <w:rPr>
                <w:noProof/>
              </w:rPr>
              <w:t>C8.R4 Introducerea unei proceduri specifice în cazul infracțiunilor speciale legate de exercitarea autorității publice sau de gestionarea bunurilor publice („control jurisdicțional”)</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B1D501D" w14:textId="77777777" w:rsidR="00702291" w:rsidRDefault="00712B31">
            <w:pPr>
              <w:pStyle w:val="P68B1DB1-Normal80"/>
              <w:spacing w:after="120" w:line="240" w:lineRule="auto"/>
              <w:rPr>
                <w:noProof/>
              </w:rPr>
            </w:pPr>
            <w:r>
              <w:rPr>
                <w:noProof/>
              </w:rPr>
              <w:t>Etapă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E97241A" w14:textId="58DFA626" w:rsidR="00702291" w:rsidRDefault="00712B31">
            <w:pPr>
              <w:pStyle w:val="P68B1DB1-Normal80"/>
              <w:spacing w:after="120" w:line="240" w:lineRule="auto"/>
              <w:rPr>
                <w:noProof/>
              </w:rPr>
            </w:pPr>
            <w:r>
              <w:rPr>
                <w:noProof/>
              </w:rPr>
              <w:t>Modificare (modificări) legislativă (legislative) privind o procedură în cazul anumitor practici de corupție și legate de corupție</w:t>
            </w:r>
          </w:p>
        </w:tc>
      </w:tr>
      <w:tr w:rsidR="00702291" w14:paraId="042A4A0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5196E92" w14:textId="77777777" w:rsidR="00702291" w:rsidRDefault="00712B31">
            <w:pPr>
              <w:pStyle w:val="P68B1DB1-Normal80"/>
              <w:spacing w:after="120" w:line="240" w:lineRule="auto"/>
              <w:ind w:left="52"/>
              <w:textAlignment w:val="baseline"/>
              <w:rPr>
                <w:noProof/>
              </w:rPr>
            </w:pPr>
            <w:r>
              <w:rPr>
                <w:noProof/>
              </w:rPr>
              <w:t>59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83F11C8" w14:textId="6E334BC2" w:rsidR="00702291" w:rsidRDefault="00712B31">
            <w:pPr>
              <w:pStyle w:val="P68B1DB1-Normal80"/>
              <w:spacing w:after="120" w:line="240" w:lineRule="auto"/>
              <w:ind w:left="52"/>
              <w:textAlignment w:val="baseline"/>
              <w:rPr>
                <w:noProof/>
              </w:rPr>
            </w:pPr>
            <w:r>
              <w:rPr>
                <w:noProof/>
              </w:rPr>
              <w:t>C8.R5 Modificarea normelor referitoare la declarațiile de avere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699F228"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AEBD3D4" w14:textId="77777777" w:rsidR="00702291" w:rsidRDefault="00712B31">
            <w:pPr>
              <w:pStyle w:val="P68B1DB1-Normal80"/>
              <w:spacing w:after="120" w:line="240" w:lineRule="auto"/>
              <w:rPr>
                <w:noProof/>
              </w:rPr>
            </w:pPr>
            <w:r>
              <w:rPr>
                <w:noProof/>
              </w:rPr>
              <w:t xml:space="preserve">Intrarea în vigoare a modificărilor legislative care extind domeniul de aplicare personal și material al declarațiilor de avere, asigurând în același timp divulgarea frecventă </w:t>
            </w:r>
          </w:p>
        </w:tc>
      </w:tr>
      <w:tr w:rsidR="00702291" w14:paraId="2806EA4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567ACFC" w14:textId="77777777" w:rsidR="00702291" w:rsidRDefault="00712B31">
            <w:pPr>
              <w:pStyle w:val="P68B1DB1-Normal80"/>
              <w:spacing w:after="120" w:line="240" w:lineRule="auto"/>
              <w:ind w:left="52"/>
              <w:textAlignment w:val="baseline"/>
              <w:rPr>
                <w:noProof/>
              </w:rPr>
            </w:pPr>
            <w:r>
              <w:rPr>
                <w:noProof/>
              </w:rPr>
              <w:t>60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1C63C3D" w14:textId="3E9ED3E2" w:rsidR="00702291" w:rsidRDefault="00712B31">
            <w:pPr>
              <w:pStyle w:val="P68B1DB1-Normal80"/>
              <w:spacing w:after="120" w:line="240" w:lineRule="auto"/>
              <w:ind w:left="52"/>
              <w:textAlignment w:val="baseline"/>
              <w:rPr>
                <w:noProof/>
              </w:rPr>
            </w:pPr>
            <w:r>
              <w:rPr>
                <w:noProof/>
              </w:rPr>
              <w:t>C8.R5 Modificarea normelor referitoare la declarațiile de avere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D019028"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0041784" w14:textId="6603110F" w:rsidR="00702291" w:rsidRDefault="00712B31">
            <w:pPr>
              <w:pStyle w:val="P68B1DB1-Normal80"/>
              <w:spacing w:after="120" w:line="240" w:lineRule="auto"/>
              <w:rPr>
                <w:noProof/>
              </w:rPr>
            </w:pPr>
            <w:r>
              <w:rPr>
                <w:noProof/>
              </w:rPr>
              <w:t>Intrarea în vigoare a modificărilor legislative privind instituirea unui sistem de depunere electronică a declarațiilor de avere în format digital și a unei baze de date publice pentru declarațiile de avere</w:t>
            </w:r>
          </w:p>
        </w:tc>
      </w:tr>
      <w:tr w:rsidR="00702291" w14:paraId="0FC8830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C56C95D" w14:textId="77777777" w:rsidR="00702291" w:rsidRDefault="00712B31">
            <w:pPr>
              <w:pStyle w:val="P68B1DB1-Normal80"/>
              <w:spacing w:after="120" w:line="240" w:lineRule="auto"/>
              <w:ind w:left="52"/>
              <w:textAlignment w:val="baseline"/>
              <w:rPr>
                <w:noProof/>
              </w:rPr>
            </w:pPr>
            <w:r>
              <w:rPr>
                <w:noProof/>
              </w:rPr>
              <w:t>61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877BC45" w14:textId="77777777" w:rsidR="00702291" w:rsidRDefault="00712B31">
            <w:pPr>
              <w:pStyle w:val="P68B1DB1-Normal80"/>
              <w:spacing w:after="120" w:line="240" w:lineRule="auto"/>
              <w:ind w:left="52"/>
              <w:textAlignment w:val="baseline"/>
              <w:rPr>
                <w:noProof/>
              </w:rPr>
            </w:pPr>
            <w:r>
              <w:rPr>
                <w:noProof/>
              </w:rPr>
              <w:t>C8.R5 Modificarea normelor referitoare la declarațiile de avere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47E617B"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F6E9149" w14:textId="77777777" w:rsidR="00702291" w:rsidRDefault="00712B31">
            <w:pPr>
              <w:pStyle w:val="P68B1DB1-Normal80"/>
              <w:spacing w:after="120" w:line="240" w:lineRule="auto"/>
              <w:rPr>
                <w:noProof/>
              </w:rPr>
            </w:pPr>
            <w:r>
              <w:rPr>
                <w:noProof/>
              </w:rPr>
              <w:t>Introducerea de sancțiuni privind încălcarea obligațiilor de declarare a averii</w:t>
            </w:r>
          </w:p>
        </w:tc>
      </w:tr>
      <w:tr w:rsidR="00702291" w14:paraId="4C72CAA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A5841EC" w14:textId="77777777" w:rsidR="00702291" w:rsidRDefault="00712B31">
            <w:pPr>
              <w:pStyle w:val="P68B1DB1-Normal80"/>
              <w:spacing w:after="120" w:line="240" w:lineRule="auto"/>
              <w:ind w:left="52"/>
              <w:textAlignment w:val="baseline"/>
              <w:rPr>
                <w:noProof/>
              </w:rPr>
            </w:pPr>
            <w:r>
              <w:rPr>
                <w:noProof/>
              </w:rPr>
              <w:t>62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6E5B70D" w14:textId="77777777" w:rsidR="00702291" w:rsidRDefault="00712B31">
            <w:pPr>
              <w:pStyle w:val="P68B1DB1-Normal80"/>
              <w:spacing w:after="120" w:line="240" w:lineRule="auto"/>
              <w:ind w:left="52"/>
              <w:textAlignment w:val="baseline"/>
              <w:rPr>
                <w:noProof/>
              </w:rPr>
            </w:pPr>
            <w:r>
              <w:rPr>
                <w:noProof/>
              </w:rPr>
              <w:t>C8.R6 Intrarea în vigoare a actelor juridice privind transparența utilizării resurselor publice de către fundațiile de gestionare a activelor de interes public</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5AC5007"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87025E" w14:textId="68B5670C" w:rsidR="00702291" w:rsidRDefault="00712B31">
            <w:pPr>
              <w:pStyle w:val="P68B1DB1-Normal80"/>
              <w:spacing w:after="120" w:line="240" w:lineRule="auto"/>
              <w:rPr>
                <w:noProof/>
              </w:rPr>
            </w:pPr>
            <w:r>
              <w:rPr>
                <w:noProof/>
              </w:rPr>
              <w:t>Intrarea în vigoare a modificărilor legislative privind supravegherea modului în care fundațiile de gestionare a activelor de interes public care îndeplinesc sarcini de interes public și persoanele juridice înființate sau întreținute de acestea utilizează sprijinul Uniunii</w:t>
            </w:r>
          </w:p>
        </w:tc>
      </w:tr>
      <w:tr w:rsidR="00702291" w14:paraId="27F0186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AD56845" w14:textId="77777777" w:rsidR="00702291" w:rsidRDefault="00712B31">
            <w:pPr>
              <w:pStyle w:val="P68B1DB1-Normal80"/>
              <w:spacing w:after="120" w:line="240" w:lineRule="auto"/>
              <w:ind w:left="52"/>
              <w:textAlignment w:val="baseline"/>
              <w:rPr>
                <w:noProof/>
              </w:rPr>
            </w:pPr>
            <w:r>
              <w:rPr>
                <w:noProof/>
              </w:rPr>
              <w:t>63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CFE37FC" w14:textId="3325724D" w:rsidR="00702291" w:rsidRDefault="00712B31">
            <w:pPr>
              <w:pStyle w:val="P68B1DB1-Normal80"/>
              <w:spacing w:after="120" w:line="240" w:lineRule="auto"/>
              <w:ind w:left="52"/>
              <w:rPr>
                <w:noProof/>
              </w:rPr>
            </w:pPr>
            <w:r>
              <w:rPr>
                <w:noProof/>
              </w:rPr>
              <w:t>C8.R7 Creșterea transparenței cheltuielilor publice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FB6BE12"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0A6BEBC" w14:textId="77777777" w:rsidR="00702291" w:rsidRDefault="00712B31">
            <w:pPr>
              <w:pStyle w:val="P68B1DB1-Normal80"/>
              <w:spacing w:after="120" w:line="240" w:lineRule="auto"/>
              <w:rPr>
                <w:noProof/>
              </w:rPr>
            </w:pPr>
            <w:r>
              <w:rPr>
                <w:noProof/>
              </w:rPr>
              <w:t>Intrarea în vigoare a unei legislații menite să sporească transparența cheltuielilor publice</w:t>
            </w:r>
          </w:p>
        </w:tc>
      </w:tr>
      <w:tr w:rsidR="00702291" w14:paraId="279AC12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C7CC16C" w14:textId="40EE3655" w:rsidR="00702291" w:rsidRDefault="00712B31">
            <w:pPr>
              <w:pStyle w:val="P68B1DB1-Normal80"/>
              <w:spacing w:after="120" w:line="240" w:lineRule="auto"/>
              <w:ind w:left="52"/>
              <w:textAlignment w:val="baseline"/>
              <w:rPr>
                <w:noProof/>
              </w:rPr>
            </w:pPr>
            <w:r>
              <w:rPr>
                <w:noProof/>
              </w:rPr>
              <w:t>64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9153189" w14:textId="77777777" w:rsidR="00702291" w:rsidRDefault="00712B31">
            <w:pPr>
              <w:pStyle w:val="P68B1DB1-Normal80"/>
              <w:spacing w:after="120" w:line="240" w:lineRule="auto"/>
              <w:ind w:left="52"/>
              <w:rPr>
                <w:noProof/>
              </w:rPr>
            </w:pPr>
            <w:r>
              <w:rPr>
                <w:noProof/>
              </w:rPr>
              <w:t>C8.R8 Norme care asigură transparența beneficiarilor reali ai entităților și utilizarea subvențiilor publice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D1A44C9"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3CDC211" w14:textId="77777777" w:rsidR="00702291" w:rsidRDefault="00712B31">
            <w:pPr>
              <w:pStyle w:val="P68B1DB1-Normal80"/>
              <w:spacing w:after="120" w:line="240" w:lineRule="auto"/>
              <w:rPr>
                <w:noProof/>
              </w:rPr>
            </w:pPr>
            <w:r>
              <w:rPr>
                <w:noProof/>
              </w:rPr>
              <w:t xml:space="preserve">Modificări legislative care să asigure transparența datelor persoanelor fizice care sunt beneficiari reali și legislație care să clarifice sfera funcționarilor publici și a entităților care sunt excluse de la primirea subvențiilor publice </w:t>
            </w:r>
          </w:p>
        </w:tc>
      </w:tr>
      <w:tr w:rsidR="00702291" w14:paraId="74AB052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6F08067" w14:textId="77777777" w:rsidR="00702291" w:rsidRDefault="00712B31">
            <w:pPr>
              <w:pStyle w:val="P68B1DB1-Normal80"/>
              <w:spacing w:after="120" w:line="240" w:lineRule="auto"/>
              <w:ind w:left="52"/>
              <w:textAlignment w:val="baseline"/>
              <w:rPr>
                <w:noProof/>
              </w:rPr>
            </w:pPr>
            <w:r>
              <w:rPr>
                <w:noProof/>
              </w:rPr>
              <w:t>65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37AF911" w14:textId="77777777" w:rsidR="00702291" w:rsidRDefault="00712B31">
            <w:pPr>
              <w:pStyle w:val="P68B1DB1-Normal80"/>
              <w:spacing w:after="120" w:line="240" w:lineRule="auto"/>
              <w:ind w:left="52"/>
              <w:rPr>
                <w:noProof/>
              </w:rPr>
            </w:pPr>
            <w:r>
              <w:rPr>
                <w:noProof/>
              </w:rPr>
              <w:t>C8.R9 Reducerea ponderii procedurilor de achiziții publice cu ofertă unică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FB1A837"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D8F11CE" w14:textId="77777777" w:rsidR="00702291" w:rsidRDefault="00712B31">
            <w:pPr>
              <w:pStyle w:val="P68B1DB1-Normal80"/>
              <w:spacing w:after="120" w:line="240" w:lineRule="auto"/>
              <w:rPr>
                <w:noProof/>
              </w:rPr>
            </w:pPr>
            <w:r>
              <w:rPr>
                <w:noProof/>
              </w:rPr>
              <w:t>Ponderea procedurilor de licitație cu oferte unice pentru achizițiile finanțate din sprijinul din partea Uniunii nu depășește 15 %.</w:t>
            </w:r>
          </w:p>
        </w:tc>
      </w:tr>
      <w:tr w:rsidR="00702291" w14:paraId="5713614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42F34BB" w14:textId="0DA7213D" w:rsidR="00702291" w:rsidRDefault="00712B31">
            <w:pPr>
              <w:pStyle w:val="P68B1DB1-Normal80"/>
              <w:spacing w:after="120" w:line="240" w:lineRule="auto"/>
              <w:ind w:left="52"/>
              <w:textAlignment w:val="baseline"/>
              <w:rPr>
                <w:noProof/>
              </w:rPr>
            </w:pPr>
            <w:r>
              <w:rPr>
                <w:noProof/>
              </w:rPr>
              <w:t>66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206BEE7" w14:textId="77777777" w:rsidR="00702291" w:rsidRDefault="00712B31">
            <w:pPr>
              <w:pStyle w:val="P68B1DB1-Normal80"/>
              <w:spacing w:after="120" w:line="240" w:lineRule="auto"/>
              <w:ind w:left="52"/>
              <w:rPr>
                <w:noProof/>
              </w:rPr>
            </w:pPr>
            <w:r>
              <w:rPr>
                <w:noProof/>
              </w:rPr>
              <w:t xml:space="preserve">C8.R10 Consolidarea integrității, a transparenței și a competitivității pe piața achizițiilor publice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7D67D02"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A868E71" w14:textId="77777777" w:rsidR="00702291" w:rsidRDefault="00712B31">
            <w:pPr>
              <w:pStyle w:val="P68B1DB1-Normal80"/>
              <w:spacing w:after="120" w:line="240" w:lineRule="auto"/>
              <w:rPr>
                <w:noProof/>
              </w:rPr>
            </w:pPr>
            <w:r>
              <w:rPr>
                <w:noProof/>
              </w:rPr>
              <w:t xml:space="preserve">Act (e) juridic (e) privind achizițiile publice pentru a consolida transparența procedurilor de achiziții publice, a introduce norme de prevenire a corupției </w:t>
            </w:r>
          </w:p>
        </w:tc>
      </w:tr>
      <w:tr w:rsidR="00702291" w14:paraId="23BA9B2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D881E5D" w14:textId="77777777" w:rsidR="00702291" w:rsidRDefault="00712B31">
            <w:pPr>
              <w:pStyle w:val="P68B1DB1-Normal80"/>
              <w:spacing w:after="120" w:line="240" w:lineRule="auto"/>
              <w:ind w:left="52"/>
              <w:textAlignment w:val="baseline"/>
              <w:rPr>
                <w:noProof/>
              </w:rPr>
            </w:pPr>
            <w:r>
              <w:rPr>
                <w:noProof/>
              </w:rPr>
              <w:t>67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A019E65" w14:textId="77777777" w:rsidR="00702291" w:rsidRDefault="00712B31">
            <w:pPr>
              <w:pStyle w:val="P68B1DB1-Normal80"/>
              <w:spacing w:after="120" w:line="240" w:lineRule="auto"/>
              <w:ind w:left="52"/>
              <w:rPr>
                <w:noProof/>
              </w:rPr>
            </w:pPr>
            <w:r>
              <w:rPr>
                <w:noProof/>
              </w:rPr>
              <w:t>C8.R9 Reducerea ponderii procedurilor de achiziții publice cu ofertă unică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B263C8A"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4ED6EA6" w14:textId="77777777" w:rsidR="00702291" w:rsidRDefault="00712B31">
            <w:pPr>
              <w:pStyle w:val="P68B1DB1-Normal80"/>
              <w:spacing w:after="120" w:line="240" w:lineRule="auto"/>
              <w:rPr>
                <w:noProof/>
              </w:rPr>
            </w:pPr>
            <w:r>
              <w:rPr>
                <w:noProof/>
              </w:rPr>
              <w:t xml:space="preserve">Instituirea unui instrument de monitorizare și raportare („instrumentul de raportare a ofertelor unice”) </w:t>
            </w:r>
          </w:p>
        </w:tc>
      </w:tr>
      <w:tr w:rsidR="00702291" w14:paraId="38B3209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8DF7153" w14:textId="77777777" w:rsidR="00702291" w:rsidRDefault="00712B31">
            <w:pPr>
              <w:pStyle w:val="P68B1DB1-Normal80"/>
              <w:spacing w:after="120" w:line="240" w:lineRule="auto"/>
              <w:ind w:left="52"/>
              <w:textAlignment w:val="baseline"/>
              <w:rPr>
                <w:noProof/>
              </w:rPr>
            </w:pPr>
            <w:r>
              <w:rPr>
                <w:noProof/>
              </w:rPr>
              <w:t>68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176DB8D" w14:textId="5FB2EA24" w:rsidR="00702291" w:rsidRDefault="00712B31">
            <w:pPr>
              <w:pStyle w:val="P68B1DB1-Normal80"/>
              <w:spacing w:after="120" w:line="240" w:lineRule="auto"/>
              <w:ind w:left="52"/>
              <w:rPr>
                <w:noProof/>
              </w:rPr>
            </w:pPr>
            <w:r>
              <w:rPr>
                <w:noProof/>
              </w:rPr>
              <w:t xml:space="preserve">C8.R11 Dezvoltarea sistemului electronic de achiziții publice (EPS) pentru a spori transparența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7D17096"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8D90574" w14:textId="77777777" w:rsidR="00702291" w:rsidRDefault="00712B31">
            <w:pPr>
              <w:pStyle w:val="P68B1DB1-Normal80"/>
              <w:spacing w:after="120" w:line="240" w:lineRule="auto"/>
              <w:rPr>
                <w:noProof/>
              </w:rPr>
            </w:pPr>
            <w:r>
              <w:rPr>
                <w:noProof/>
              </w:rPr>
              <w:t xml:space="preserve">EPS modernizat cu noile funcționalități este accesibil publicului </w:t>
            </w:r>
          </w:p>
        </w:tc>
      </w:tr>
      <w:tr w:rsidR="00702291" w14:paraId="202B920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AF6E90C" w14:textId="77777777" w:rsidR="00702291" w:rsidRDefault="00712B31">
            <w:pPr>
              <w:pStyle w:val="P68B1DB1-Normal80"/>
              <w:spacing w:after="120" w:line="240" w:lineRule="auto"/>
              <w:ind w:left="52"/>
              <w:textAlignment w:val="baseline"/>
              <w:rPr>
                <w:noProof/>
              </w:rPr>
            </w:pPr>
            <w:r>
              <w:rPr>
                <w:noProof/>
              </w:rPr>
              <w:t>69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D574C2B" w14:textId="77777777" w:rsidR="00702291" w:rsidRDefault="00712B31">
            <w:pPr>
              <w:pStyle w:val="P68B1DB1-Normal80"/>
              <w:spacing w:after="120" w:line="240" w:lineRule="auto"/>
              <w:ind w:left="52"/>
              <w:rPr>
                <w:noProof/>
              </w:rPr>
            </w:pPr>
            <w:r>
              <w:rPr>
                <w:noProof/>
              </w:rPr>
              <w:t>C8.R12 Cadrul de măsurare a performanței pentru achizițiile publice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9121385"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58D7E1B" w14:textId="75C78E79" w:rsidR="00702291" w:rsidRDefault="00712B31">
            <w:pPr>
              <w:pStyle w:val="P68B1DB1-Normal80"/>
              <w:spacing w:after="120" w:line="240" w:lineRule="auto"/>
              <w:ind w:left="52"/>
              <w:textAlignment w:val="baseline"/>
              <w:rPr>
                <w:noProof/>
              </w:rPr>
            </w:pPr>
            <w:r>
              <w:rPr>
                <w:noProof/>
              </w:rPr>
              <w:t>Instituirea unui cadru de măsurare a performanței achizițiilor publice</w:t>
            </w:r>
          </w:p>
        </w:tc>
      </w:tr>
      <w:tr w:rsidR="00702291" w14:paraId="07D5C21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2A0699A" w14:textId="6DCD3DC5" w:rsidR="00702291" w:rsidRDefault="00712B31">
            <w:pPr>
              <w:pStyle w:val="P68B1DB1-Normal80"/>
              <w:spacing w:after="120" w:line="240" w:lineRule="auto"/>
              <w:ind w:left="52"/>
              <w:textAlignment w:val="baseline"/>
              <w:rPr>
                <w:noProof/>
              </w:rPr>
            </w:pPr>
            <w:r>
              <w:rPr>
                <w:noProof/>
              </w:rPr>
              <w:t>70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F00207E" w14:textId="77777777" w:rsidR="00702291" w:rsidRDefault="00712B31">
            <w:pPr>
              <w:pStyle w:val="P68B1DB1-Normal80"/>
              <w:spacing w:after="120" w:line="240" w:lineRule="auto"/>
              <w:ind w:left="52"/>
              <w:rPr>
                <w:noProof/>
              </w:rPr>
            </w:pPr>
            <w:r>
              <w:rPr>
                <w:noProof/>
              </w:rPr>
              <w:t>C8.R13</w:t>
            </w:r>
            <w:r>
              <w:rPr>
                <w:b/>
                <w:noProof/>
              </w:rPr>
              <w:t xml:space="preserve"> </w:t>
            </w:r>
            <w:r>
              <w:rPr>
                <w:noProof/>
              </w:rPr>
              <w:t>Planul de acțiune pentru creșterea nivelului concurenței în domeniul achizițiilor publice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2EB8306" w14:textId="77777777" w:rsidR="00702291" w:rsidRDefault="00712B31">
            <w:pPr>
              <w:pStyle w:val="P68B1DB1-Normal80"/>
              <w:spacing w:after="120" w:line="240" w:lineRule="auto"/>
              <w:rPr>
                <w:noProof/>
              </w:rPr>
            </w:pPr>
            <w:r>
              <w:rPr>
                <w:noProof/>
              </w:rPr>
              <w:t xml:space="preserve">Etapă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315D694" w14:textId="03B1A4FB" w:rsidR="00702291" w:rsidRDefault="00712B31">
            <w:pPr>
              <w:pStyle w:val="P68B1DB1-Normal80"/>
              <w:spacing w:after="120" w:line="240" w:lineRule="auto"/>
              <w:ind w:left="52"/>
              <w:textAlignment w:val="baseline"/>
              <w:rPr>
                <w:noProof/>
              </w:rPr>
            </w:pPr>
            <w:r>
              <w:rPr>
                <w:noProof/>
              </w:rPr>
              <w:t xml:space="preserve">Adoptarea unui plan de acțiune pentru creșterea nivelului de concurență în domeniul achizițiilor publice </w:t>
            </w:r>
          </w:p>
        </w:tc>
      </w:tr>
      <w:tr w:rsidR="00702291" w14:paraId="7AF570E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2E83830F" w14:textId="77777777" w:rsidR="00702291" w:rsidRDefault="00712B31">
            <w:pPr>
              <w:pStyle w:val="P68B1DB1-Normal80"/>
              <w:spacing w:after="120" w:line="240" w:lineRule="auto"/>
              <w:ind w:left="52"/>
              <w:textAlignment w:val="baseline"/>
              <w:rPr>
                <w:noProof/>
              </w:rPr>
            </w:pPr>
            <w:r>
              <w:rPr>
                <w:noProof/>
              </w:rPr>
              <w:t>71</w:t>
            </w:r>
          </w:p>
        </w:tc>
        <w:tc>
          <w:tcPr>
            <w:tcW w:w="3041" w:type="dxa"/>
            <w:tcBorders>
              <w:top w:val="single" w:sz="4" w:space="0" w:color="auto"/>
              <w:left w:val="nil"/>
              <w:bottom w:val="single" w:sz="4" w:space="0" w:color="auto"/>
              <w:right w:val="single" w:sz="4" w:space="0" w:color="auto"/>
            </w:tcBorders>
            <w:shd w:val="clear" w:color="auto" w:fill="C6EFCE"/>
          </w:tcPr>
          <w:p w14:paraId="0647B1B7" w14:textId="74F56F35" w:rsidR="00702291" w:rsidRDefault="00712B31">
            <w:pPr>
              <w:pStyle w:val="P68B1DB1-Normal80"/>
              <w:spacing w:after="120" w:line="240" w:lineRule="auto"/>
              <w:ind w:left="52"/>
              <w:rPr>
                <w:noProof/>
              </w:rPr>
            </w:pPr>
            <w:r>
              <w:rPr>
                <w:noProof/>
              </w:rPr>
              <w:t>C8.R14 Consolidarea rolului și a competențelor Consiliului Judiciar Național, cu scopul de a contrabalansa competențele președintelui Oficiului Național al Magistraturii </w:t>
            </w:r>
          </w:p>
        </w:tc>
        <w:tc>
          <w:tcPr>
            <w:tcW w:w="1446" w:type="dxa"/>
            <w:tcBorders>
              <w:top w:val="single" w:sz="4" w:space="0" w:color="auto"/>
              <w:left w:val="nil"/>
              <w:bottom w:val="single" w:sz="4" w:space="0" w:color="auto"/>
              <w:right w:val="single" w:sz="4" w:space="0" w:color="auto"/>
            </w:tcBorders>
            <w:shd w:val="clear" w:color="auto" w:fill="C6EFCE"/>
          </w:tcPr>
          <w:p w14:paraId="0779761A"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59B474E6" w14:textId="65E2115A" w:rsidR="00702291" w:rsidRDefault="00712B31">
            <w:pPr>
              <w:pStyle w:val="P68B1DB1-Normal80"/>
              <w:spacing w:after="120" w:line="240" w:lineRule="auto"/>
              <w:ind w:left="52"/>
              <w:textAlignment w:val="baseline"/>
              <w:rPr>
                <w:noProof/>
              </w:rPr>
            </w:pPr>
            <w:r>
              <w:rPr>
                <w:noProof/>
              </w:rPr>
              <w:t xml:space="preserve">Intrarea în vigoare a modificărilor legislative menite să consolideze rolul Consiliului Judiciar Național </w:t>
            </w:r>
          </w:p>
        </w:tc>
      </w:tr>
      <w:tr w:rsidR="00702291" w14:paraId="7316C18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34F8FD20" w14:textId="77777777" w:rsidR="00702291" w:rsidRDefault="00712B31">
            <w:pPr>
              <w:pStyle w:val="P68B1DB1-Normal80"/>
              <w:spacing w:after="120" w:line="240" w:lineRule="auto"/>
              <w:ind w:left="52"/>
              <w:textAlignment w:val="baseline"/>
              <w:rPr>
                <w:noProof/>
              </w:rPr>
            </w:pPr>
            <w:r>
              <w:rPr>
                <w:noProof/>
              </w:rPr>
              <w:t>72</w:t>
            </w:r>
          </w:p>
        </w:tc>
        <w:tc>
          <w:tcPr>
            <w:tcW w:w="3041" w:type="dxa"/>
            <w:tcBorders>
              <w:top w:val="single" w:sz="4" w:space="0" w:color="auto"/>
              <w:left w:val="nil"/>
              <w:bottom w:val="single" w:sz="4" w:space="0" w:color="auto"/>
              <w:right w:val="single" w:sz="4" w:space="0" w:color="auto"/>
            </w:tcBorders>
            <w:shd w:val="clear" w:color="auto" w:fill="C6EFCE"/>
          </w:tcPr>
          <w:p w14:paraId="4F1378E2" w14:textId="74CFDEE8" w:rsidR="00702291" w:rsidRDefault="00712B31">
            <w:pPr>
              <w:pStyle w:val="P68B1DB1-Normal80"/>
              <w:spacing w:after="120" w:line="240" w:lineRule="auto"/>
              <w:ind w:left="52"/>
              <w:rPr>
                <w:noProof/>
              </w:rPr>
            </w:pPr>
            <w:r>
              <w:rPr>
                <w:noProof/>
              </w:rPr>
              <w:t>C8.R15 Independența judiciară a Curții Supreme (Kúria)</w:t>
            </w:r>
          </w:p>
        </w:tc>
        <w:tc>
          <w:tcPr>
            <w:tcW w:w="1446" w:type="dxa"/>
            <w:tcBorders>
              <w:top w:val="single" w:sz="4" w:space="0" w:color="auto"/>
              <w:left w:val="nil"/>
              <w:bottom w:val="single" w:sz="4" w:space="0" w:color="auto"/>
              <w:right w:val="single" w:sz="4" w:space="0" w:color="auto"/>
            </w:tcBorders>
            <w:shd w:val="clear" w:color="auto" w:fill="C6EFCE"/>
          </w:tcPr>
          <w:p w14:paraId="39116226"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6AEF22CB" w14:textId="16AE06E0" w:rsidR="00702291" w:rsidRDefault="00712B31">
            <w:pPr>
              <w:pStyle w:val="P68B1DB1-Normal80"/>
              <w:spacing w:after="120" w:line="240" w:lineRule="auto"/>
              <w:ind w:left="52"/>
              <w:textAlignment w:val="baseline"/>
              <w:rPr>
                <w:noProof/>
              </w:rPr>
            </w:pPr>
            <w:r>
              <w:rPr>
                <w:noProof/>
              </w:rPr>
              <w:t>Intrarea în vigoare a modificărilor privind independența judiciară a Curții Supreme</w:t>
            </w:r>
          </w:p>
        </w:tc>
      </w:tr>
      <w:tr w:rsidR="00702291" w14:paraId="0DF95B3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4B0B3494" w14:textId="77777777" w:rsidR="00702291" w:rsidRDefault="00712B31">
            <w:pPr>
              <w:pStyle w:val="P68B1DB1-Normal80"/>
              <w:spacing w:after="120" w:line="240" w:lineRule="auto"/>
              <w:ind w:left="52"/>
              <w:textAlignment w:val="baseline"/>
              <w:rPr>
                <w:noProof/>
              </w:rPr>
            </w:pPr>
            <w:r>
              <w:rPr>
                <w:noProof/>
              </w:rPr>
              <w:t>73</w:t>
            </w:r>
          </w:p>
        </w:tc>
        <w:tc>
          <w:tcPr>
            <w:tcW w:w="3041" w:type="dxa"/>
            <w:tcBorders>
              <w:top w:val="single" w:sz="4" w:space="0" w:color="auto"/>
              <w:left w:val="nil"/>
              <w:bottom w:val="single" w:sz="4" w:space="0" w:color="auto"/>
              <w:right w:val="single" w:sz="4" w:space="0" w:color="auto"/>
            </w:tcBorders>
            <w:shd w:val="clear" w:color="auto" w:fill="C6EFCE"/>
          </w:tcPr>
          <w:p w14:paraId="07ECF832" w14:textId="77777777" w:rsidR="00702291" w:rsidRDefault="00712B31">
            <w:pPr>
              <w:pStyle w:val="P68B1DB1-Normal80"/>
              <w:spacing w:after="120" w:line="240" w:lineRule="auto"/>
              <w:ind w:left="52"/>
              <w:textAlignment w:val="baseline"/>
              <w:rPr>
                <w:rFonts w:eastAsia="Times New Roman"/>
                <w:noProof/>
              </w:rPr>
            </w:pPr>
            <w:r>
              <w:rPr>
                <w:noProof/>
              </w:rPr>
              <w:t>C8.R16: Eliminarea obstacolelor din calea trimiterilor preliminare la Curtea de Justiție a Uniunii Europene</w:t>
            </w:r>
          </w:p>
          <w:p w14:paraId="28FA5541" w14:textId="77777777" w:rsidR="00702291" w:rsidRDefault="00702291">
            <w:pPr>
              <w:spacing w:after="120" w:line="240" w:lineRule="auto"/>
              <w:ind w:left="52"/>
              <w:textAlignment w:val="baseline"/>
              <w:rPr>
                <w:rFonts w:ascii="Times New Roman" w:eastAsia="Times New Roman" w:hAnsi="Times New Roman" w:cs="Times New Roman"/>
                <w:noProof/>
              </w:rPr>
            </w:pPr>
          </w:p>
        </w:tc>
        <w:tc>
          <w:tcPr>
            <w:tcW w:w="1446" w:type="dxa"/>
            <w:tcBorders>
              <w:top w:val="single" w:sz="4" w:space="0" w:color="auto"/>
              <w:left w:val="nil"/>
              <w:bottom w:val="single" w:sz="4" w:space="0" w:color="auto"/>
              <w:right w:val="single" w:sz="4" w:space="0" w:color="auto"/>
            </w:tcBorders>
            <w:shd w:val="clear" w:color="auto" w:fill="C6EFCE"/>
          </w:tcPr>
          <w:p w14:paraId="26A57635"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34B48FB1" w14:textId="77777777" w:rsidR="00702291" w:rsidRDefault="00712B31">
            <w:pPr>
              <w:pStyle w:val="P68B1DB1-Normal80"/>
              <w:spacing w:after="120" w:line="240" w:lineRule="auto"/>
              <w:ind w:left="52"/>
              <w:textAlignment w:val="baseline"/>
              <w:rPr>
                <w:noProof/>
              </w:rPr>
            </w:pPr>
            <w:r>
              <w:rPr>
                <w:noProof/>
              </w:rPr>
              <w:t>Intrarea în vigoare a modificărilor legislative menite să elimine obstacolele din calea trimiterilor preliminare la Curtea de Justiție a Uniunii Europene</w:t>
            </w:r>
          </w:p>
        </w:tc>
      </w:tr>
      <w:tr w:rsidR="00702291" w14:paraId="17D8974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322DCFC9" w14:textId="77777777" w:rsidR="00702291" w:rsidRDefault="00712B31">
            <w:pPr>
              <w:pStyle w:val="P68B1DB1-Normal80"/>
              <w:spacing w:after="120" w:line="240" w:lineRule="auto"/>
              <w:ind w:left="52"/>
              <w:textAlignment w:val="baseline"/>
              <w:rPr>
                <w:noProof/>
              </w:rPr>
            </w:pPr>
            <w:r>
              <w:rPr>
                <w:noProof/>
              </w:rPr>
              <w:t>74</w:t>
            </w:r>
          </w:p>
        </w:tc>
        <w:tc>
          <w:tcPr>
            <w:tcW w:w="3041" w:type="dxa"/>
            <w:tcBorders>
              <w:top w:val="single" w:sz="4" w:space="0" w:color="auto"/>
              <w:left w:val="nil"/>
              <w:bottom w:val="single" w:sz="4" w:space="0" w:color="auto"/>
              <w:right w:val="single" w:sz="4" w:space="0" w:color="auto"/>
            </w:tcBorders>
            <w:shd w:val="clear" w:color="auto" w:fill="C6EFCE"/>
          </w:tcPr>
          <w:p w14:paraId="22891455" w14:textId="77777777" w:rsidR="00702291" w:rsidRDefault="00712B31">
            <w:pPr>
              <w:pStyle w:val="P68B1DB1-Normal80"/>
              <w:spacing w:after="120" w:line="240" w:lineRule="auto"/>
              <w:ind w:left="52"/>
              <w:textAlignment w:val="baseline"/>
              <w:rPr>
                <w:noProof/>
              </w:rPr>
            </w:pPr>
            <w:r>
              <w:rPr>
                <w:noProof/>
              </w:rPr>
              <w:t>C8.R17 Reforma privind revizuirea hotărârilor definitive de către Curtea Constituțională</w:t>
            </w:r>
          </w:p>
        </w:tc>
        <w:tc>
          <w:tcPr>
            <w:tcW w:w="1446" w:type="dxa"/>
            <w:tcBorders>
              <w:top w:val="single" w:sz="4" w:space="0" w:color="auto"/>
              <w:left w:val="nil"/>
              <w:bottom w:val="single" w:sz="4" w:space="0" w:color="auto"/>
              <w:right w:val="single" w:sz="4" w:space="0" w:color="auto"/>
            </w:tcBorders>
            <w:shd w:val="clear" w:color="auto" w:fill="C6EFCE"/>
          </w:tcPr>
          <w:p w14:paraId="7FDDD133"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7BAF86F0" w14:textId="77777777" w:rsidR="00702291" w:rsidRDefault="00712B31">
            <w:pPr>
              <w:pStyle w:val="P68B1DB1-Normal80"/>
              <w:spacing w:after="120" w:line="240" w:lineRule="auto"/>
              <w:ind w:left="52"/>
              <w:textAlignment w:val="baseline"/>
              <w:rPr>
                <w:noProof/>
              </w:rPr>
            </w:pPr>
            <w:r>
              <w:rPr>
                <w:noProof/>
              </w:rPr>
              <w:t>Intrarea în vigoare a modificărilor legislative menite să elimine posibilitatea ca autoritățile publice să conteste deciziile finale în fața Curții Constituționale</w:t>
            </w:r>
          </w:p>
        </w:tc>
      </w:tr>
      <w:tr w:rsidR="00702291" w14:paraId="106F0B5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B315763" w14:textId="77777777" w:rsidR="00702291" w:rsidRDefault="00712B31">
            <w:pPr>
              <w:pStyle w:val="P68B1DB1-Normal80"/>
              <w:spacing w:after="120" w:line="240" w:lineRule="auto"/>
              <w:ind w:left="52"/>
              <w:textAlignment w:val="baseline"/>
              <w:rPr>
                <w:noProof/>
              </w:rPr>
            </w:pPr>
            <w:r>
              <w:rPr>
                <w:noProof/>
              </w:rPr>
              <w:t>75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EF258D0" w14:textId="77777777" w:rsidR="00702291" w:rsidRDefault="00712B31">
            <w:pPr>
              <w:pStyle w:val="P68B1DB1-Normal80"/>
              <w:spacing w:after="120" w:line="240" w:lineRule="auto"/>
              <w:ind w:left="52"/>
              <w:textAlignment w:val="baseline"/>
              <w:rPr>
                <w:noProof/>
              </w:rPr>
            </w:pPr>
            <w:r>
              <w:rPr>
                <w:noProof/>
              </w:rPr>
              <w:t>C8.R18 Modificări legislative care consolidează mecanismele de gestionare, monitorizare, audit și control pentru a garanta utilizarea judicioasă a sprijinului din partea Uniunii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2461A7A" w14:textId="77777777" w:rsidR="00702291" w:rsidRDefault="00712B31">
            <w:pPr>
              <w:pStyle w:val="P68B1DB1-Normal80"/>
              <w:spacing w:after="120" w:line="240" w:lineRule="auto"/>
              <w:rPr>
                <w:noProof/>
              </w:rPr>
            </w:pPr>
            <w:r>
              <w:rPr>
                <w:noProof/>
              </w:rPr>
              <w:t xml:space="preserve">Etapă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67277EA" w14:textId="77777777" w:rsidR="00702291" w:rsidRDefault="00712B31">
            <w:pPr>
              <w:pStyle w:val="P68B1DB1-Normal80"/>
              <w:spacing w:after="120" w:line="240" w:lineRule="auto"/>
              <w:ind w:left="52"/>
              <w:textAlignment w:val="baseline"/>
              <w:rPr>
                <w:noProof/>
              </w:rPr>
            </w:pPr>
            <w:r>
              <w:rPr>
                <w:noProof/>
              </w:rPr>
              <w:t>Act (e) juridic (e) care prevede (prevăd) mandatul legal pentru gestionarea, auditul și controlul planului de redresare și reziliență și care reglementează gestionarea, monitorizarea, controlul și auditul fondurilor în temeiul Regulamentului (UE) 2021/1060 în Ungaria</w:t>
            </w:r>
          </w:p>
        </w:tc>
      </w:tr>
      <w:tr w:rsidR="00702291" w14:paraId="787953C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F12354A" w14:textId="77777777" w:rsidR="00702291" w:rsidRDefault="00712B31">
            <w:pPr>
              <w:pStyle w:val="P68B1DB1-Normal80"/>
              <w:spacing w:after="120" w:line="240" w:lineRule="auto"/>
              <w:ind w:left="52"/>
              <w:textAlignment w:val="baseline"/>
              <w:rPr>
                <w:noProof/>
              </w:rPr>
            </w:pPr>
            <w:r>
              <w:rPr>
                <w:noProof/>
              </w:rPr>
              <w:t>76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C3E990F" w14:textId="5112EFBF" w:rsidR="00702291" w:rsidRDefault="00712B31">
            <w:pPr>
              <w:pStyle w:val="P68B1DB1-Normal80"/>
              <w:spacing w:after="120" w:line="240" w:lineRule="auto"/>
              <w:ind w:left="52"/>
              <w:textAlignment w:val="baseline"/>
              <w:rPr>
                <w:noProof/>
              </w:rPr>
            </w:pPr>
            <w:r>
              <w:rPr>
                <w:noProof/>
              </w:rPr>
              <w:t>C8.R18 Modificări legislative care consolidează mecanismele de gestionare, monitorizare, audit și control pentru a garanta utilizarea judicioasă a sprijinului din partea Uniunii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882B33C"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922D604" w14:textId="77777777" w:rsidR="00702291" w:rsidRDefault="00712B31">
            <w:pPr>
              <w:pStyle w:val="P68B1DB1-Normal80"/>
              <w:spacing w:after="120" w:line="240" w:lineRule="auto"/>
              <w:ind w:left="52"/>
              <w:textAlignment w:val="baseline"/>
              <w:rPr>
                <w:noProof/>
              </w:rPr>
            </w:pPr>
            <w:r>
              <w:rPr>
                <w:noProof/>
              </w:rPr>
              <w:t>Norme care să asigure prevenirea, detectarea și corectarea conflictelor de interese pentru personalul tuturor organismelor implicate în gestionarea și controlul sprijinului acordat de Uniune în Ungaria</w:t>
            </w:r>
          </w:p>
        </w:tc>
      </w:tr>
      <w:tr w:rsidR="00702291" w14:paraId="101484E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18F206D" w14:textId="77777777" w:rsidR="00702291" w:rsidRDefault="00712B31">
            <w:pPr>
              <w:pStyle w:val="P68B1DB1-Normal80"/>
              <w:spacing w:after="120" w:line="240" w:lineRule="auto"/>
              <w:ind w:left="52"/>
              <w:textAlignment w:val="baseline"/>
              <w:rPr>
                <w:noProof/>
              </w:rPr>
            </w:pPr>
            <w:r>
              <w:rPr>
                <w:noProof/>
              </w:rPr>
              <w:t>77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ADBE59D" w14:textId="77777777" w:rsidR="00702291" w:rsidRDefault="00712B31">
            <w:pPr>
              <w:pStyle w:val="P68B1DB1-Normal80"/>
              <w:spacing w:after="120" w:line="240" w:lineRule="auto"/>
              <w:ind w:left="52"/>
              <w:textAlignment w:val="baseline"/>
              <w:rPr>
                <w:noProof/>
              </w:rPr>
            </w:pPr>
            <w:r>
              <w:rPr>
                <w:noProof/>
              </w:rPr>
              <w:t>C8.R19 Strategia antifraudă și anticorupție pentru punerea în aplicare, auditul și controlul sprijinului acordat de Uniune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104A714" w14:textId="77777777" w:rsidR="00702291" w:rsidRDefault="00712B31">
            <w:pPr>
              <w:pStyle w:val="P68B1DB1-Normal80"/>
              <w:spacing w:after="120" w:line="240" w:lineRule="auto"/>
              <w:rPr>
                <w:noProof/>
              </w:rPr>
            </w:pPr>
            <w:r>
              <w:rPr>
                <w:noProof/>
              </w:rPr>
              <w:t xml:space="preserve">Etapă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A8A8B72" w14:textId="77777777" w:rsidR="00702291" w:rsidRDefault="00712B31">
            <w:pPr>
              <w:pStyle w:val="P68B1DB1-Normal80"/>
              <w:spacing w:after="120" w:line="240" w:lineRule="auto"/>
              <w:ind w:left="52"/>
              <w:textAlignment w:val="baseline"/>
              <w:rPr>
                <w:noProof/>
              </w:rPr>
            </w:pPr>
            <w:r>
              <w:rPr>
                <w:noProof/>
              </w:rPr>
              <w:t>Adoptarea unei strategii antifraudă și anticorupție pentru sprijinul Uniunii și a unui plan de acțiune aferent</w:t>
            </w:r>
          </w:p>
        </w:tc>
      </w:tr>
      <w:tr w:rsidR="00702291" w14:paraId="09551AF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E3A9E3A" w14:textId="77777777" w:rsidR="00702291" w:rsidRDefault="00712B31">
            <w:pPr>
              <w:pStyle w:val="P68B1DB1-Normal80"/>
              <w:spacing w:after="120" w:line="240" w:lineRule="auto"/>
              <w:ind w:left="52"/>
              <w:textAlignment w:val="baseline"/>
              <w:rPr>
                <w:noProof/>
              </w:rPr>
            </w:pPr>
            <w:r>
              <w:rPr>
                <w:noProof/>
              </w:rPr>
              <w:t>78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9D505E4" w14:textId="1DA2683B" w:rsidR="00702291" w:rsidRDefault="00712B31">
            <w:pPr>
              <w:pStyle w:val="P68B1DB1-Normal80"/>
              <w:spacing w:after="120" w:line="240" w:lineRule="auto"/>
              <w:ind w:left="52"/>
              <w:textAlignment w:val="baseline"/>
              <w:rPr>
                <w:noProof/>
              </w:rPr>
            </w:pPr>
            <w:r>
              <w:rPr>
                <w:noProof/>
              </w:rPr>
              <w:t>C8.R20 Sistemul Arachne pentru sprijinul din partea Uniunii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C4FC82D"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BBF6A12" w14:textId="77777777" w:rsidR="00702291" w:rsidRDefault="00712B31">
            <w:pPr>
              <w:pStyle w:val="P68B1DB1-Normal80"/>
              <w:spacing w:after="120" w:line="240" w:lineRule="auto"/>
              <w:ind w:left="52"/>
              <w:textAlignment w:val="baseline"/>
              <w:rPr>
                <w:noProof/>
              </w:rPr>
            </w:pPr>
            <w:r>
              <w:rPr>
                <w:noProof/>
              </w:rPr>
              <w:t>Utilizarea sistematică a instrumentului de evaluare a riscurilor Arachne</w:t>
            </w:r>
          </w:p>
        </w:tc>
      </w:tr>
      <w:tr w:rsidR="00702291" w14:paraId="3AD359A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0F85B30" w14:textId="77777777" w:rsidR="00702291" w:rsidRDefault="00712B31">
            <w:pPr>
              <w:pStyle w:val="P68B1DB1-Normal80"/>
              <w:spacing w:after="120" w:line="240" w:lineRule="auto"/>
              <w:ind w:left="52"/>
              <w:textAlignment w:val="baseline"/>
              <w:rPr>
                <w:noProof/>
              </w:rPr>
            </w:pPr>
            <w:r>
              <w:rPr>
                <w:noProof/>
              </w:rPr>
              <w:t>79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819ED90" w14:textId="5E8465ED" w:rsidR="00702291" w:rsidRDefault="00712B31">
            <w:pPr>
              <w:pStyle w:val="P68B1DB1-Normal80"/>
              <w:spacing w:after="120" w:line="240" w:lineRule="auto"/>
              <w:ind w:left="52"/>
              <w:textAlignment w:val="baseline"/>
              <w:rPr>
                <w:noProof/>
              </w:rPr>
            </w:pPr>
            <w:r>
              <w:rPr>
                <w:noProof/>
              </w:rPr>
              <w:t>C8.R20 Sistemul Arachne pentru sprijinul din partea Uniunii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5BB68E1"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1B36916" w14:textId="77777777" w:rsidR="00702291" w:rsidRDefault="00712B31">
            <w:pPr>
              <w:pStyle w:val="P68B1DB1-Normal80"/>
              <w:spacing w:after="120" w:line="240" w:lineRule="auto"/>
              <w:ind w:left="52"/>
              <w:textAlignment w:val="baseline"/>
              <w:rPr>
                <w:noProof/>
              </w:rPr>
            </w:pPr>
            <w:r>
              <w:rPr>
                <w:noProof/>
              </w:rPr>
              <w:t>Utilizarea sistematică a instrumentului de evaluare a riscurilor Arachne</w:t>
            </w:r>
          </w:p>
        </w:tc>
      </w:tr>
      <w:tr w:rsidR="00702291" w14:paraId="6ECA67A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23C571" w14:textId="77777777" w:rsidR="00702291" w:rsidRDefault="00712B31">
            <w:pPr>
              <w:pStyle w:val="P68B1DB1-Normal80"/>
              <w:spacing w:after="120" w:line="240" w:lineRule="auto"/>
              <w:ind w:left="52"/>
              <w:textAlignment w:val="baseline"/>
              <w:rPr>
                <w:noProof/>
              </w:rPr>
            </w:pPr>
            <w:r>
              <w:rPr>
                <w:noProof/>
              </w:rPr>
              <w:t>80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C5A7577" w14:textId="77777777" w:rsidR="00702291" w:rsidRDefault="00712B31">
            <w:pPr>
              <w:pStyle w:val="P68B1DB1-Normal80"/>
              <w:spacing w:after="120" w:line="240" w:lineRule="auto"/>
              <w:ind w:left="52"/>
              <w:textAlignment w:val="baseline"/>
              <w:rPr>
                <w:noProof/>
              </w:rPr>
            </w:pPr>
            <w:r>
              <w:rPr>
                <w:noProof/>
              </w:rPr>
              <w:t>C8.R21: Înființarea unei Direcții de Audit Intern și Integritate pentru a consolida controlul conflictelor de interese atunci când se pune în aplicare sprijinul acordat de Uniune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55921E8"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776ACA8" w14:textId="77777777" w:rsidR="00702291" w:rsidRDefault="00712B31">
            <w:pPr>
              <w:pStyle w:val="P68B1DB1-Normal80"/>
              <w:spacing w:after="120" w:line="240" w:lineRule="auto"/>
              <w:ind w:left="52"/>
              <w:textAlignment w:val="baseline"/>
              <w:rPr>
                <w:noProof/>
              </w:rPr>
            </w:pPr>
            <w:r>
              <w:rPr>
                <w:noProof/>
              </w:rPr>
              <w:t>Asigurarea prevenirii, detectării și corectării eficace a fraudei și a corupției în punerea în aplicare a sprijinului acordat de Uniune prin înființarea și funcționarea deplină a unei noi direcții de audit intern și integritate (DIAI)</w:t>
            </w:r>
          </w:p>
        </w:tc>
      </w:tr>
      <w:tr w:rsidR="00702291" w14:paraId="13D6125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5F805A0" w14:textId="77777777" w:rsidR="00702291" w:rsidRDefault="00712B31">
            <w:pPr>
              <w:pStyle w:val="P68B1DB1-Normal80"/>
              <w:spacing w:after="120" w:line="240" w:lineRule="auto"/>
              <w:ind w:left="52"/>
              <w:textAlignment w:val="baseline"/>
              <w:rPr>
                <w:noProof/>
              </w:rPr>
            </w:pPr>
            <w:r>
              <w:rPr>
                <w:noProof/>
              </w:rPr>
              <w:t>81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6FCCABA" w14:textId="77777777" w:rsidR="00702291" w:rsidRDefault="00712B31">
            <w:pPr>
              <w:pStyle w:val="P68B1DB1-Normal80"/>
              <w:spacing w:after="120" w:line="240" w:lineRule="auto"/>
              <w:ind w:left="52"/>
              <w:textAlignment w:val="baseline"/>
              <w:rPr>
                <w:noProof/>
              </w:rPr>
            </w:pPr>
            <w:r>
              <w:rPr>
                <w:noProof/>
              </w:rPr>
              <w:t>C8.R22 Asigurarea capacității EUTAF de a-și îndeplini sarcinile în mod eficace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AFA2839"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9E5E6DA" w14:textId="77777777" w:rsidR="00702291" w:rsidRDefault="00712B31">
            <w:pPr>
              <w:pStyle w:val="P68B1DB1-Normal80"/>
              <w:spacing w:after="120" w:line="240" w:lineRule="auto"/>
              <w:ind w:left="52"/>
              <w:textAlignment w:val="baseline"/>
              <w:rPr>
                <w:noProof/>
              </w:rPr>
            </w:pPr>
            <w:r>
              <w:rPr>
                <w:noProof/>
              </w:rPr>
              <w:t>Asigurarea prevenirii, detectării și corectării eficace a fraudei și a corupției în punerea în aplicare a sprijinului acordat de Uniune prin intermediul unei capacități adecvate pentru EUTAF</w:t>
            </w:r>
          </w:p>
        </w:tc>
      </w:tr>
      <w:tr w:rsidR="00702291" w14:paraId="1E0EB62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68B331C" w14:textId="77777777" w:rsidR="00702291" w:rsidRDefault="00712B31">
            <w:pPr>
              <w:pStyle w:val="P68B1DB1-Normal80"/>
              <w:spacing w:after="120" w:line="240" w:lineRule="auto"/>
              <w:ind w:left="52"/>
              <w:textAlignment w:val="baseline"/>
              <w:rPr>
                <w:noProof/>
              </w:rPr>
            </w:pPr>
            <w:r>
              <w:rPr>
                <w:noProof/>
              </w:rPr>
              <w:t>82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5346AEC" w14:textId="77777777" w:rsidR="00702291" w:rsidRDefault="00712B31">
            <w:pPr>
              <w:pStyle w:val="P68B1DB1-Normal80"/>
              <w:spacing w:after="120" w:line="240" w:lineRule="auto"/>
              <w:ind w:left="52"/>
              <w:textAlignment w:val="baseline"/>
              <w:rPr>
                <w:noProof/>
              </w:rPr>
            </w:pPr>
            <w:r>
              <w:rPr>
                <w:noProof/>
              </w:rPr>
              <w:t>C8.R23 Cooperarea cu OLAF pentru a consolida detectarea fraudelor legate de punerea în aplicare a sprijinului acordat de Uniune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6F6D0F3" w14:textId="77777777" w:rsidR="00702291" w:rsidRDefault="00712B31">
            <w:pPr>
              <w:pStyle w:val="P68B1DB1-Normal80"/>
              <w:spacing w:after="120" w:line="240" w:lineRule="auto"/>
              <w:rPr>
                <w:noProof/>
              </w:rPr>
            </w:pPr>
            <w:r>
              <w:rPr>
                <w:noProof/>
              </w:rPr>
              <w:t xml:space="preserve">Etapă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5BAE5CC" w14:textId="77777777" w:rsidR="00702291" w:rsidRDefault="00712B31">
            <w:pPr>
              <w:pStyle w:val="P68B1DB1-Normal80"/>
              <w:spacing w:after="120" w:line="240" w:lineRule="auto"/>
              <w:ind w:left="52"/>
              <w:textAlignment w:val="baseline"/>
              <w:rPr>
                <w:noProof/>
              </w:rPr>
            </w:pPr>
            <w:r>
              <w:rPr>
                <w:noProof/>
              </w:rPr>
              <w:t>Desemnarea unei autorități naționale responsabile cu acordarea de asistență OLAF în ceea ce privește controalele sale la fața locului în Ungaria și introducerea posibilității de a aplica sancțiuni financiare actorilor economici necooperanți</w:t>
            </w:r>
          </w:p>
        </w:tc>
      </w:tr>
      <w:tr w:rsidR="00702291" w14:paraId="59285DE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56DBC92" w14:textId="77777777" w:rsidR="00702291" w:rsidRDefault="00712B31">
            <w:pPr>
              <w:pStyle w:val="P68B1DB1-Normal80"/>
              <w:spacing w:after="120" w:line="240" w:lineRule="auto"/>
              <w:ind w:left="52"/>
              <w:textAlignment w:val="baseline"/>
              <w:rPr>
                <w:noProof/>
              </w:rPr>
            </w:pPr>
            <w:r>
              <w:rPr>
                <w:noProof/>
              </w:rPr>
              <w:t>83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DE809CD" w14:textId="77777777" w:rsidR="00702291" w:rsidRDefault="00712B31">
            <w:pPr>
              <w:pStyle w:val="P68B1DB1-Normal80"/>
              <w:spacing w:after="120" w:line="240" w:lineRule="auto"/>
              <w:ind w:left="52"/>
              <w:textAlignment w:val="baseline"/>
              <w:rPr>
                <w:noProof/>
              </w:rPr>
            </w:pPr>
            <w:r>
              <w:rPr>
                <w:noProof/>
              </w:rPr>
              <w:t>C8.R24 Auditul și controlul planului de redresare și reziliență și protecția intereselor financiare ale Uniunii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9CCD25D"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1AF3246" w14:textId="77777777" w:rsidR="00702291" w:rsidRDefault="00712B31">
            <w:pPr>
              <w:pStyle w:val="P68B1DB1-Normal80"/>
              <w:spacing w:after="120" w:line="240" w:lineRule="auto"/>
              <w:ind w:left="52"/>
              <w:textAlignment w:val="baseline"/>
              <w:rPr>
                <w:noProof/>
              </w:rPr>
            </w:pPr>
            <w:r>
              <w:rPr>
                <w:noProof/>
              </w:rPr>
              <w:t>Sistemul de monitorizare pentru punerea în aplicare a planului de redresare și reziliență al Ungariei</w:t>
            </w:r>
          </w:p>
        </w:tc>
      </w:tr>
      <w:tr w:rsidR="00702291" w14:paraId="7A6B5BE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CA742C7" w14:textId="77777777" w:rsidR="00702291" w:rsidRDefault="00712B31">
            <w:pPr>
              <w:pStyle w:val="P68B1DB1-Normal80"/>
              <w:spacing w:after="120" w:line="240" w:lineRule="auto"/>
              <w:ind w:left="52"/>
              <w:textAlignment w:val="baseline"/>
              <w:rPr>
                <w:noProof/>
              </w:rPr>
            </w:pPr>
            <w:r>
              <w:rPr>
                <w:noProof/>
              </w:rPr>
              <w:t>84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7B9C0A8" w14:textId="77777777" w:rsidR="00702291" w:rsidRDefault="00712B31">
            <w:pPr>
              <w:pStyle w:val="P68B1DB1-Normal80"/>
              <w:spacing w:after="120" w:line="240" w:lineRule="auto"/>
              <w:ind w:left="52"/>
              <w:textAlignment w:val="baseline"/>
              <w:rPr>
                <w:noProof/>
              </w:rPr>
            </w:pPr>
            <w:r>
              <w:rPr>
                <w:noProof/>
              </w:rPr>
              <w:t>C8.R24 Auditul și controlul planului de redresare și reziliență și protecția intereselor financiare ale Uniunii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C20CA51" w14:textId="77777777" w:rsidR="00702291" w:rsidRDefault="00712B31">
            <w:pPr>
              <w:pStyle w:val="P68B1DB1-Normal80"/>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0FE64BC" w14:textId="77777777" w:rsidR="00702291" w:rsidRDefault="00712B31">
            <w:pPr>
              <w:pStyle w:val="P68B1DB1-Normal80"/>
              <w:spacing w:after="120" w:line="240" w:lineRule="auto"/>
              <w:ind w:left="52"/>
              <w:textAlignment w:val="baseline"/>
              <w:rPr>
                <w:noProof/>
              </w:rPr>
            </w:pPr>
            <w:r>
              <w:rPr>
                <w:noProof/>
              </w:rPr>
              <w:t>Auditul implementării planului de redresare și reziliență al Ungariei</w:t>
            </w:r>
          </w:p>
        </w:tc>
      </w:tr>
      <w:tr w:rsidR="00702291" w14:paraId="7FEEC14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3B2BF49" w14:textId="77777777" w:rsidR="00702291" w:rsidRDefault="00712B31">
            <w:pPr>
              <w:pStyle w:val="P68B1DB1-Normal85"/>
              <w:spacing w:after="120" w:line="240" w:lineRule="auto"/>
              <w:ind w:left="52"/>
              <w:textAlignment w:val="baseline"/>
              <w:rPr>
                <w:noProof/>
              </w:rPr>
            </w:pPr>
            <w:r>
              <w:rPr>
                <w:noProof/>
              </w:rPr>
              <w:t>85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B6116E0" w14:textId="77777777" w:rsidR="00702291" w:rsidRDefault="00712B31">
            <w:pPr>
              <w:pStyle w:val="P68B1DB1-Normal80"/>
              <w:spacing w:after="120" w:line="240" w:lineRule="auto"/>
              <w:ind w:left="52"/>
              <w:textAlignment w:val="baseline"/>
              <w:rPr>
                <w:noProof/>
              </w:rPr>
            </w:pPr>
            <w:r>
              <w:rPr>
                <w:noProof/>
              </w:rPr>
              <w:t>C8.R25 Consolidarea transparenței și a accesului la informațiile publice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6B79AE4"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CBDFF0F" w14:textId="77777777" w:rsidR="00702291" w:rsidRDefault="00712B31">
            <w:pPr>
              <w:pStyle w:val="P68B1DB1-Normal85"/>
              <w:spacing w:after="120" w:line="240" w:lineRule="auto"/>
              <w:ind w:left="52"/>
              <w:textAlignment w:val="baseline"/>
              <w:rPr>
                <w:noProof/>
              </w:rPr>
            </w:pPr>
            <w:r>
              <w:rPr>
                <w:noProof/>
              </w:rPr>
              <w:t>Intrarea în vigoare a actului (actelor) juridic (e) care asigură previzibilitatea juridică în ceea ce privește accesul la informațiile publice în instanță</w:t>
            </w:r>
          </w:p>
        </w:tc>
      </w:tr>
      <w:tr w:rsidR="00702291" w14:paraId="5A02707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57ACBE5" w14:textId="77777777" w:rsidR="00702291" w:rsidRDefault="00712B31">
            <w:pPr>
              <w:pStyle w:val="P68B1DB1-Normal85"/>
              <w:spacing w:after="120" w:line="240" w:lineRule="auto"/>
              <w:ind w:left="52"/>
              <w:textAlignment w:val="baseline"/>
              <w:rPr>
                <w:noProof/>
              </w:rPr>
            </w:pPr>
            <w:r>
              <w:rPr>
                <w:noProof/>
              </w:rPr>
              <w:t>86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2ECBBB9" w14:textId="77777777" w:rsidR="00702291" w:rsidRDefault="00712B31">
            <w:pPr>
              <w:pStyle w:val="P68B1DB1-Normal80"/>
              <w:spacing w:after="120" w:line="240" w:lineRule="auto"/>
              <w:ind w:left="52"/>
              <w:textAlignment w:val="baseline"/>
              <w:rPr>
                <w:rFonts w:eastAsiaTheme="minorHAnsi"/>
                <w:noProof/>
              </w:rPr>
            </w:pPr>
            <w:r>
              <w:rPr>
                <w:noProof/>
              </w:rPr>
              <w:t>C8.R25 Consolidarea transparenței și a accesului la informațiile publice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EEA9680"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89C94B9" w14:textId="77777777" w:rsidR="00702291" w:rsidRDefault="00712B31">
            <w:pPr>
              <w:pStyle w:val="P68B1DB1-Normal85"/>
              <w:spacing w:after="120" w:line="240" w:lineRule="auto"/>
              <w:ind w:left="52"/>
              <w:textAlignment w:val="baseline"/>
              <w:rPr>
                <w:noProof/>
              </w:rPr>
            </w:pPr>
            <w:r>
              <w:rPr>
                <w:noProof/>
              </w:rPr>
              <w:t>Intrarea în vigoare a modificărilor legislative care asigură o mai mare transparență a informațiilor publice</w:t>
            </w:r>
          </w:p>
        </w:tc>
      </w:tr>
      <w:tr w:rsidR="00702291" w14:paraId="7F08D44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AA0AD31" w14:textId="77777777" w:rsidR="00702291" w:rsidRDefault="00712B31">
            <w:pPr>
              <w:pStyle w:val="P68B1DB1-Normal85"/>
              <w:spacing w:after="120" w:line="240" w:lineRule="auto"/>
              <w:ind w:left="52"/>
              <w:textAlignment w:val="baseline"/>
              <w:rPr>
                <w:noProof/>
              </w:rPr>
            </w:pPr>
            <w:r>
              <w:rPr>
                <w:noProof/>
              </w:rPr>
              <w:t>87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120FA3A" w14:textId="77777777" w:rsidR="00702291" w:rsidRDefault="00712B31">
            <w:pPr>
              <w:pStyle w:val="P68B1DB1-Normal80"/>
              <w:spacing w:after="120" w:line="240" w:lineRule="auto"/>
              <w:ind w:left="52"/>
              <w:textAlignment w:val="baseline"/>
              <w:rPr>
                <w:rFonts w:eastAsiaTheme="minorHAnsi"/>
                <w:noProof/>
              </w:rPr>
            </w:pPr>
            <w:r>
              <w:rPr>
                <w:noProof/>
              </w:rPr>
              <w:t>C8.R25 Consolidarea transparenței și a accesului la informațiile publice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92C8393"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BC065A8" w14:textId="77777777" w:rsidR="00702291" w:rsidRDefault="00712B31">
            <w:pPr>
              <w:pStyle w:val="P68B1DB1-Normal85"/>
              <w:spacing w:after="120" w:line="240" w:lineRule="auto"/>
              <w:ind w:left="52"/>
              <w:textAlignment w:val="baseline"/>
              <w:rPr>
                <w:noProof/>
              </w:rPr>
            </w:pPr>
            <w:r>
              <w:rPr>
                <w:noProof/>
              </w:rPr>
              <w:t>Raportul (rapoartele) Autorității Naționale pentru Protecția Datelor și Libertatea de Informare privind accesul la informațiile publice </w:t>
            </w:r>
          </w:p>
        </w:tc>
      </w:tr>
      <w:tr w:rsidR="00702291" w14:paraId="2AB9503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0C426AC" w14:textId="77777777" w:rsidR="00702291" w:rsidRDefault="00712B31">
            <w:pPr>
              <w:pStyle w:val="P68B1DB1-Normal85"/>
              <w:spacing w:after="120" w:line="240" w:lineRule="auto"/>
              <w:ind w:left="52"/>
              <w:textAlignment w:val="baseline"/>
              <w:rPr>
                <w:noProof/>
              </w:rPr>
            </w:pPr>
            <w:r>
              <w:rPr>
                <w:noProof/>
              </w:rPr>
              <w:br w:type="page"/>
              <w:t>88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0C5299" w14:textId="77777777" w:rsidR="00702291" w:rsidRDefault="00712B31">
            <w:pPr>
              <w:pStyle w:val="P68B1DB1-Normal80"/>
              <w:spacing w:after="120" w:line="240" w:lineRule="auto"/>
              <w:ind w:left="52"/>
              <w:textAlignment w:val="baseline"/>
              <w:rPr>
                <w:rFonts w:eastAsiaTheme="minorHAnsi"/>
                <w:noProof/>
              </w:rPr>
            </w:pPr>
            <w:r>
              <w:rPr>
                <w:noProof/>
              </w:rPr>
              <w:t>C8.R26 Îmbunătățirea calității procesului legislativ și implicarea efectivă a părților interesate și a partenerilor sociali în procesul decizional</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3C9A7AE"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A32677F" w14:textId="77777777" w:rsidR="00702291" w:rsidRDefault="00712B31">
            <w:pPr>
              <w:pStyle w:val="P68B1DB1-Normal85"/>
              <w:spacing w:after="120" w:line="240" w:lineRule="auto"/>
              <w:ind w:left="52"/>
              <w:textAlignment w:val="baseline"/>
              <w:rPr>
                <w:noProof/>
              </w:rPr>
            </w:pPr>
            <w:r>
              <w:rPr>
                <w:noProof/>
              </w:rPr>
              <w:t>Intrarea în vigoare a unui (unor) act (e) juridic (e) care include (e) dispoziții privind implicarea părților interesate în implementarea și monitorizarea planului de redresare și reziliență</w:t>
            </w:r>
          </w:p>
        </w:tc>
      </w:tr>
      <w:tr w:rsidR="00702291" w14:paraId="74890D6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2467EEF" w14:textId="77777777" w:rsidR="00702291" w:rsidRDefault="00712B31">
            <w:pPr>
              <w:pStyle w:val="P68B1DB1-Normal85"/>
              <w:spacing w:after="120" w:line="240" w:lineRule="auto"/>
              <w:ind w:left="52"/>
              <w:textAlignment w:val="baseline"/>
              <w:rPr>
                <w:noProof/>
              </w:rPr>
            </w:pPr>
            <w:r>
              <w:rPr>
                <w:noProof/>
              </w:rPr>
              <w:t>89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5805877" w14:textId="77777777" w:rsidR="00702291" w:rsidRDefault="00712B31">
            <w:pPr>
              <w:pStyle w:val="P68B1DB1-Normal80"/>
              <w:spacing w:after="120" w:line="240" w:lineRule="auto"/>
              <w:ind w:left="52"/>
              <w:textAlignment w:val="baseline"/>
              <w:rPr>
                <w:rFonts w:eastAsiaTheme="minorHAnsi"/>
                <w:noProof/>
              </w:rPr>
            </w:pPr>
            <w:r>
              <w:rPr>
                <w:noProof/>
              </w:rPr>
              <w:t>C8.R26 Îmbunătățirea calității procesului legislativ și implicarea efectivă a părților interesate și a partenerilor sociali în procesul decizional</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7CE8534"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8D8E9AB" w14:textId="77777777" w:rsidR="00702291" w:rsidRDefault="00712B31">
            <w:pPr>
              <w:pStyle w:val="P68B1DB1-Normal85"/>
              <w:spacing w:after="120" w:line="240" w:lineRule="auto"/>
              <w:ind w:left="52"/>
              <w:textAlignment w:val="baseline"/>
              <w:rPr>
                <w:noProof/>
              </w:rPr>
            </w:pPr>
            <w:r>
              <w:rPr>
                <w:noProof/>
              </w:rPr>
              <w:t>Intrarea în vigoare a actului (actelor) juridic (e) pentru a spori utilizarea consultărilor publice și a evaluărilor impactului în procesul legislativ</w:t>
            </w:r>
          </w:p>
        </w:tc>
      </w:tr>
      <w:tr w:rsidR="00702291" w14:paraId="46C51EA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8D4F34D" w14:textId="77777777" w:rsidR="00702291" w:rsidRDefault="00712B31">
            <w:pPr>
              <w:pStyle w:val="P68B1DB1-Normal85"/>
              <w:spacing w:after="120" w:line="240" w:lineRule="auto"/>
              <w:ind w:left="52"/>
              <w:textAlignment w:val="baseline"/>
              <w:rPr>
                <w:noProof/>
              </w:rPr>
            </w:pPr>
            <w:r>
              <w:rPr>
                <w:noProof/>
              </w:rPr>
              <w:t>90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C86AF9C" w14:textId="77777777" w:rsidR="00702291" w:rsidRDefault="00712B31">
            <w:pPr>
              <w:pStyle w:val="P68B1DB1-Normal85"/>
              <w:spacing w:after="120" w:line="240" w:lineRule="auto"/>
              <w:ind w:left="52"/>
              <w:textAlignment w:val="baseline"/>
              <w:rPr>
                <w:noProof/>
              </w:rPr>
            </w:pPr>
            <w:r>
              <w:rPr>
                <w:noProof/>
              </w:rPr>
              <w:t>C8.R27 Revizuirea cerințelor minime privind substanța în scopul impozitului pe profit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60BB6F5"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A76B330" w14:textId="77777777" w:rsidR="00702291" w:rsidRDefault="00712B31">
            <w:pPr>
              <w:pStyle w:val="P68B1DB1-Normal85"/>
              <w:spacing w:after="120" w:line="240" w:lineRule="auto"/>
              <w:ind w:left="52"/>
              <w:textAlignment w:val="baseline"/>
              <w:rPr>
                <w:noProof/>
              </w:rPr>
            </w:pPr>
            <w:r>
              <w:rPr>
                <w:noProof/>
              </w:rPr>
              <w:t>Expertiză internațională independentă privind normele naționale de combatere a evitării obligațiilor fiscale</w:t>
            </w:r>
          </w:p>
        </w:tc>
      </w:tr>
      <w:tr w:rsidR="00702291" w14:paraId="3868042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3354A21" w14:textId="77777777" w:rsidR="00702291" w:rsidRDefault="00712B31">
            <w:pPr>
              <w:pStyle w:val="P68B1DB1-Normal85"/>
              <w:spacing w:after="120" w:line="240" w:lineRule="auto"/>
              <w:ind w:left="52"/>
              <w:textAlignment w:val="baseline"/>
              <w:rPr>
                <w:noProof/>
              </w:rPr>
            </w:pPr>
            <w:r>
              <w:rPr>
                <w:noProof/>
              </w:rPr>
              <w:t>91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E699193" w14:textId="77777777" w:rsidR="00702291" w:rsidRDefault="00712B31">
            <w:pPr>
              <w:pStyle w:val="P68B1DB1-Normal85"/>
              <w:spacing w:after="120" w:line="240" w:lineRule="auto"/>
              <w:ind w:left="52"/>
              <w:textAlignment w:val="baseline"/>
              <w:rPr>
                <w:noProof/>
              </w:rPr>
            </w:pPr>
            <w:r>
              <w:rPr>
                <w:noProof/>
              </w:rPr>
              <w:t>C8.R28 Consolidarea reglementărilor privind prețurile de transfer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302C072"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B9D9BA0" w14:textId="77777777" w:rsidR="00702291" w:rsidRDefault="00712B31">
            <w:pPr>
              <w:pStyle w:val="P68B1DB1-Normal85"/>
              <w:spacing w:after="120" w:line="240" w:lineRule="auto"/>
              <w:ind w:left="52"/>
              <w:textAlignment w:val="baseline"/>
              <w:rPr>
                <w:noProof/>
              </w:rPr>
            </w:pPr>
            <w:r>
              <w:rPr>
                <w:noProof/>
              </w:rPr>
              <w:t>Intrarea în vigoare a actului (actelor) juridic (e) de consolidare a normelor privind prețurile de transfer</w:t>
            </w:r>
          </w:p>
        </w:tc>
      </w:tr>
      <w:tr w:rsidR="00702291" w14:paraId="4E264D2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974C48F" w14:textId="77777777" w:rsidR="00702291" w:rsidRDefault="00712B31">
            <w:pPr>
              <w:pStyle w:val="P68B1DB1-Normal85"/>
              <w:spacing w:after="120" w:line="240" w:lineRule="auto"/>
              <w:ind w:left="52"/>
              <w:textAlignment w:val="baseline"/>
              <w:rPr>
                <w:noProof/>
              </w:rPr>
            </w:pPr>
            <w:r>
              <w:rPr>
                <w:noProof/>
              </w:rPr>
              <w:t>92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FA55ABE" w14:textId="77777777" w:rsidR="00702291" w:rsidRDefault="00712B31">
            <w:pPr>
              <w:pStyle w:val="P68B1DB1-Normal85"/>
              <w:spacing w:after="120" w:line="240" w:lineRule="auto"/>
              <w:ind w:left="52"/>
              <w:textAlignment w:val="baseline"/>
              <w:rPr>
                <w:noProof/>
              </w:rPr>
            </w:pPr>
            <w:r>
              <w:rPr>
                <w:noProof/>
              </w:rPr>
              <w:t>C8.R29 Extinderea domeniului de aplicare al normelor privind nedeductibilitatea pentru plățile către exterior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5971F16"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19076B1" w14:textId="77777777" w:rsidR="00702291" w:rsidRDefault="00712B31">
            <w:pPr>
              <w:pStyle w:val="P68B1DB1-Normal85"/>
              <w:spacing w:after="120" w:line="240" w:lineRule="auto"/>
              <w:ind w:left="52"/>
              <w:textAlignment w:val="baseline"/>
              <w:rPr>
                <w:noProof/>
              </w:rPr>
            </w:pPr>
            <w:r>
              <w:rPr>
                <w:noProof/>
              </w:rPr>
              <w:t>Intrarea în vigoare a actului (actelor) juridic (e) de extindere a normelor de nedeductibilitate pentru plățile către exterior</w:t>
            </w:r>
          </w:p>
        </w:tc>
      </w:tr>
      <w:tr w:rsidR="00702291" w14:paraId="436308F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E69A2F6" w14:textId="77777777" w:rsidR="00702291" w:rsidRDefault="00712B31">
            <w:pPr>
              <w:pStyle w:val="P68B1DB1-Normal85"/>
              <w:spacing w:after="120" w:line="240" w:lineRule="auto"/>
              <w:ind w:left="52"/>
              <w:textAlignment w:val="baseline"/>
              <w:rPr>
                <w:noProof/>
              </w:rPr>
            </w:pPr>
            <w:r>
              <w:rPr>
                <w:noProof/>
              </w:rPr>
              <w:t>93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59D8525" w14:textId="77777777" w:rsidR="00702291" w:rsidRDefault="00712B31">
            <w:pPr>
              <w:pStyle w:val="P68B1DB1-Normal85"/>
              <w:spacing w:after="120" w:line="240" w:lineRule="auto"/>
              <w:ind w:left="52"/>
              <w:textAlignment w:val="baseline"/>
              <w:rPr>
                <w:noProof/>
              </w:rPr>
            </w:pPr>
            <w:r>
              <w:rPr>
                <w:noProof/>
              </w:rPr>
              <w:t>C8.R29 Extinderea domeniului de aplicare al normelor privind nedeductibilitatea pentru plățile către exterior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709A4C0"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8021817" w14:textId="77777777" w:rsidR="00702291" w:rsidRDefault="00712B31">
            <w:pPr>
              <w:pStyle w:val="P68B1DB1-Normal85"/>
              <w:spacing w:after="120" w:line="240" w:lineRule="auto"/>
              <w:ind w:left="52"/>
              <w:textAlignment w:val="baseline"/>
              <w:rPr>
                <w:noProof/>
              </w:rPr>
            </w:pPr>
            <w:r>
              <w:rPr>
                <w:noProof/>
              </w:rPr>
              <w:t>Comandarea unei evaluări independente a eficacității setului general de norme interne legate de planificarea fiscală agresivă</w:t>
            </w:r>
          </w:p>
        </w:tc>
      </w:tr>
      <w:tr w:rsidR="00702291" w14:paraId="1CA8494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95CBB8F" w14:textId="77777777" w:rsidR="00702291" w:rsidRDefault="00712B31">
            <w:pPr>
              <w:pStyle w:val="P68B1DB1-Normal85"/>
              <w:spacing w:after="120" w:line="240" w:lineRule="auto"/>
              <w:ind w:left="52"/>
              <w:textAlignment w:val="baseline"/>
              <w:rPr>
                <w:noProof/>
              </w:rPr>
            </w:pPr>
            <w:r>
              <w:rPr>
                <w:noProof/>
              </w:rPr>
              <w:t>94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5943B23" w14:textId="77777777" w:rsidR="00702291" w:rsidRDefault="00712B31">
            <w:pPr>
              <w:pStyle w:val="P68B1DB1-Normal85"/>
              <w:spacing w:after="120" w:line="240" w:lineRule="auto"/>
              <w:ind w:left="52"/>
              <w:textAlignment w:val="baseline"/>
              <w:rPr>
                <w:noProof/>
              </w:rPr>
            </w:pPr>
            <w:r>
              <w:rPr>
                <w:noProof/>
              </w:rPr>
              <w:t>C8.R30 Transformarea digitală a procedurilor de conformare fiscală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2AD6D8E"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250B122" w14:textId="77777777" w:rsidR="00702291" w:rsidRDefault="00712B31">
            <w:pPr>
              <w:pStyle w:val="P68B1DB1-Normal85"/>
              <w:spacing w:after="120" w:line="240" w:lineRule="auto"/>
              <w:ind w:left="52"/>
              <w:textAlignment w:val="baseline"/>
              <w:rPr>
                <w:noProof/>
              </w:rPr>
            </w:pPr>
            <w:r>
              <w:rPr>
                <w:noProof/>
              </w:rPr>
              <w:t>Servicii digitale legate de soluțiile ePayroll, eReceipt și eVAT</w:t>
            </w:r>
          </w:p>
        </w:tc>
      </w:tr>
      <w:tr w:rsidR="00702291" w14:paraId="6F903C4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F111B29" w14:textId="77777777" w:rsidR="00702291" w:rsidRDefault="00712B31">
            <w:pPr>
              <w:pStyle w:val="P68B1DB1-Normal85"/>
              <w:spacing w:after="120" w:line="240" w:lineRule="auto"/>
              <w:ind w:left="52"/>
              <w:textAlignment w:val="baseline"/>
              <w:rPr>
                <w:noProof/>
              </w:rPr>
            </w:pPr>
            <w:r>
              <w:rPr>
                <w:noProof/>
              </w:rPr>
              <w:t>95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E4BEE54" w14:textId="77777777" w:rsidR="00702291" w:rsidRDefault="00712B31">
            <w:pPr>
              <w:pStyle w:val="P68B1DB1-Normal85"/>
              <w:spacing w:after="120" w:line="240" w:lineRule="auto"/>
              <w:ind w:left="52"/>
              <w:textAlignment w:val="baseline"/>
              <w:rPr>
                <w:noProof/>
              </w:rPr>
            </w:pPr>
            <w:r>
              <w:rPr>
                <w:noProof/>
              </w:rPr>
              <w:t>C8.R31 Simplificarea sistemului fiscal prin reducerea numărului de impozite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202DEDC"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32C8FAA" w14:textId="77777777" w:rsidR="00702291" w:rsidRDefault="00712B31">
            <w:pPr>
              <w:pStyle w:val="P68B1DB1-Normal85"/>
              <w:spacing w:after="120" w:line="240" w:lineRule="auto"/>
              <w:ind w:left="52"/>
              <w:textAlignment w:val="baseline"/>
              <w:rPr>
                <w:noProof/>
              </w:rPr>
            </w:pPr>
            <w:r>
              <w:rPr>
                <w:noProof/>
              </w:rPr>
              <w:t>Modificarea impozitului pe vânzările cu amănuntul</w:t>
            </w:r>
          </w:p>
        </w:tc>
      </w:tr>
      <w:tr w:rsidR="00702291" w14:paraId="67A39B8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B647F1B" w14:textId="77777777" w:rsidR="00702291" w:rsidRDefault="00712B31">
            <w:pPr>
              <w:pStyle w:val="P68B1DB1-Normal85"/>
              <w:spacing w:after="120" w:line="240" w:lineRule="auto"/>
              <w:ind w:left="52"/>
              <w:textAlignment w:val="baseline"/>
              <w:rPr>
                <w:noProof/>
              </w:rPr>
            </w:pPr>
            <w:r>
              <w:rPr>
                <w:noProof/>
              </w:rPr>
              <w:t>96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96CDB18" w14:textId="77777777" w:rsidR="00702291" w:rsidRDefault="00712B31">
            <w:pPr>
              <w:pStyle w:val="P68B1DB1-Normal85"/>
              <w:spacing w:after="120" w:line="240" w:lineRule="auto"/>
              <w:ind w:left="52"/>
              <w:textAlignment w:val="baseline"/>
              <w:rPr>
                <w:noProof/>
              </w:rPr>
            </w:pPr>
            <w:r>
              <w:rPr>
                <w:noProof/>
              </w:rPr>
              <w:t>C8.R31 Simplificarea sistemului fiscal prin reducerea numărului de impozite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01DE89B"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67167B0" w14:textId="77777777" w:rsidR="00702291" w:rsidRDefault="00712B31">
            <w:pPr>
              <w:pStyle w:val="P68B1DB1-Normal85"/>
              <w:spacing w:after="120" w:line="240" w:lineRule="auto"/>
              <w:ind w:left="52"/>
              <w:textAlignment w:val="baseline"/>
              <w:rPr>
                <w:noProof/>
              </w:rPr>
            </w:pPr>
            <w:r>
              <w:rPr>
                <w:noProof/>
              </w:rPr>
              <w:t>Eliminarea treptată a avantajelor fiscale</w:t>
            </w:r>
          </w:p>
        </w:tc>
      </w:tr>
      <w:tr w:rsidR="00702291" w14:paraId="39FD7FB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A93A7E0" w14:textId="77777777" w:rsidR="00702291" w:rsidRDefault="00712B31">
            <w:pPr>
              <w:pStyle w:val="P68B1DB1-Normal85"/>
              <w:spacing w:after="120" w:line="240" w:lineRule="auto"/>
              <w:ind w:left="52"/>
              <w:textAlignment w:val="baseline"/>
              <w:rPr>
                <w:noProof/>
              </w:rPr>
            </w:pPr>
            <w:r>
              <w:rPr>
                <w:noProof/>
              </w:rPr>
              <w:t>97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D9BF791" w14:textId="77777777" w:rsidR="00702291" w:rsidRDefault="00712B31">
            <w:pPr>
              <w:pStyle w:val="P68B1DB1-Normal85"/>
              <w:spacing w:after="120" w:line="240" w:lineRule="auto"/>
              <w:ind w:left="52"/>
              <w:textAlignment w:val="baseline"/>
              <w:rPr>
                <w:noProof/>
              </w:rPr>
            </w:pPr>
            <w:r>
              <w:rPr>
                <w:noProof/>
              </w:rPr>
              <w:t>C8.R31 Simplificarea sistemului fiscal prin reducerea numărului de impozite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375628C"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9526BC8" w14:textId="77777777" w:rsidR="00702291" w:rsidRDefault="00712B31">
            <w:pPr>
              <w:pStyle w:val="P68B1DB1-Normal85"/>
              <w:spacing w:after="120" w:line="240" w:lineRule="auto"/>
              <w:ind w:left="52"/>
              <w:textAlignment w:val="baseline"/>
              <w:rPr>
                <w:noProof/>
              </w:rPr>
            </w:pPr>
            <w:r>
              <w:rPr>
                <w:noProof/>
              </w:rPr>
              <w:t>Adoptarea actului (actelor) juridic (e) de reducere a numărului de impozite</w:t>
            </w:r>
          </w:p>
        </w:tc>
      </w:tr>
      <w:tr w:rsidR="00702291" w14:paraId="75A701B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D1A7CAE" w14:textId="77777777" w:rsidR="00702291" w:rsidRDefault="00712B31">
            <w:pPr>
              <w:pStyle w:val="P68B1DB1-Normal85"/>
              <w:spacing w:after="120" w:line="240" w:lineRule="auto"/>
              <w:ind w:left="52"/>
              <w:textAlignment w:val="baseline"/>
              <w:rPr>
                <w:noProof/>
              </w:rPr>
            </w:pPr>
            <w:r>
              <w:rPr>
                <w:noProof/>
              </w:rPr>
              <w:t>98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C2E0531" w14:textId="77777777" w:rsidR="00702291" w:rsidRDefault="00712B31">
            <w:pPr>
              <w:pStyle w:val="P68B1DB1-Normal85"/>
              <w:spacing w:after="120" w:line="240" w:lineRule="auto"/>
              <w:ind w:left="52"/>
              <w:textAlignment w:val="baseline"/>
              <w:rPr>
                <w:noProof/>
              </w:rPr>
            </w:pPr>
            <w:r>
              <w:rPr>
                <w:noProof/>
              </w:rPr>
              <w:t>C8.R31 Simplificarea sistemului fiscal prin reducerea numărului de impozite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C89E471"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10DB35F" w14:textId="67D0460E" w:rsidR="00702291" w:rsidRDefault="00712B31">
            <w:pPr>
              <w:pStyle w:val="P68B1DB1-Normal85"/>
              <w:spacing w:after="120" w:line="240" w:lineRule="auto"/>
              <w:ind w:left="52"/>
              <w:textAlignment w:val="baseline"/>
              <w:rPr>
                <w:noProof/>
              </w:rPr>
            </w:pPr>
            <w:r>
              <w:rPr>
                <w:noProof/>
              </w:rPr>
              <w:t>Raport referitor la posibilitățile de simplificare și consolidare a unui set alternativ de norme privind impozitarea veniturilor persoanelor fizice</w:t>
            </w:r>
          </w:p>
        </w:tc>
      </w:tr>
      <w:tr w:rsidR="00702291" w14:paraId="0677E46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2F92717" w14:textId="77777777" w:rsidR="00702291" w:rsidRDefault="00712B31">
            <w:pPr>
              <w:pStyle w:val="P68B1DB1-Normal85"/>
              <w:spacing w:after="120" w:line="240" w:lineRule="auto"/>
              <w:ind w:left="52"/>
              <w:textAlignment w:val="baseline"/>
              <w:rPr>
                <w:noProof/>
              </w:rPr>
            </w:pPr>
            <w:r>
              <w:rPr>
                <w:noProof/>
              </w:rPr>
              <w:t>99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9906368" w14:textId="18471263" w:rsidR="00702291" w:rsidRDefault="00712B31">
            <w:pPr>
              <w:pStyle w:val="P68B1DB1-Normal85"/>
              <w:spacing w:after="120" w:line="240" w:lineRule="auto"/>
              <w:ind w:left="52"/>
              <w:rPr>
                <w:rFonts w:eastAsia="Times New Roman"/>
                <w:noProof/>
              </w:rPr>
            </w:pPr>
            <w:r>
              <w:rPr>
                <w:noProof/>
              </w:rPr>
              <w:t>C8.R32 Reformarea taxei pe conductele de utilități publice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34275E9"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7B2190C" w14:textId="77777777" w:rsidR="00702291" w:rsidRDefault="00712B31">
            <w:pPr>
              <w:pStyle w:val="P68B1DB1-Normal85"/>
              <w:spacing w:after="120" w:line="240" w:lineRule="auto"/>
              <w:ind w:left="52"/>
              <w:textAlignment w:val="baseline"/>
              <w:rPr>
                <w:noProof/>
              </w:rPr>
            </w:pPr>
            <w:r>
              <w:rPr>
                <w:noProof/>
              </w:rPr>
              <w:t>Intrarea în vigoare a actului (actelor) juridic (e) privind taxa pe conductele de utilități </w:t>
            </w:r>
          </w:p>
        </w:tc>
      </w:tr>
      <w:tr w:rsidR="00702291" w14:paraId="09AC4D2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0825E25" w14:textId="77777777" w:rsidR="00702291" w:rsidRDefault="00712B31">
            <w:pPr>
              <w:pStyle w:val="P68B1DB1-Normal85"/>
              <w:spacing w:after="120" w:line="240" w:lineRule="auto"/>
              <w:ind w:left="52"/>
              <w:textAlignment w:val="baseline"/>
              <w:rPr>
                <w:noProof/>
              </w:rPr>
            </w:pPr>
            <w:r>
              <w:rPr>
                <w:noProof/>
              </w:rPr>
              <w:t>100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4628EA6" w14:textId="77777777" w:rsidR="00702291" w:rsidRDefault="00712B31">
            <w:pPr>
              <w:pStyle w:val="P68B1DB1-Normal85"/>
              <w:spacing w:after="120" w:line="240" w:lineRule="auto"/>
              <w:ind w:left="52"/>
              <w:rPr>
                <w:noProof/>
              </w:rPr>
            </w:pPr>
            <w:r>
              <w:rPr>
                <w:noProof/>
              </w:rPr>
              <w:t>C8.R33 Stimularea eficienței cheltuielilor publice prin efectuarea de analize ale cheltuielilor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4077502"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D20AD7D" w14:textId="77777777" w:rsidR="00702291" w:rsidRDefault="00712B31">
            <w:pPr>
              <w:pStyle w:val="P68B1DB1-Normal85"/>
              <w:spacing w:after="120" w:line="240" w:lineRule="auto"/>
              <w:ind w:left="52"/>
              <w:textAlignment w:val="baseline"/>
              <w:rPr>
                <w:noProof/>
              </w:rPr>
            </w:pPr>
            <w:r>
              <w:rPr>
                <w:noProof/>
              </w:rPr>
              <w:t>Instituirea procesului de efectuare a analizelor cheltuielilor și de efectuare a analizelor cheltuielilor</w:t>
            </w:r>
          </w:p>
        </w:tc>
      </w:tr>
      <w:tr w:rsidR="00702291" w14:paraId="21E5819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217D816" w14:textId="77777777" w:rsidR="00702291" w:rsidRDefault="00712B31">
            <w:pPr>
              <w:pStyle w:val="P68B1DB1-Normal85"/>
              <w:spacing w:after="120" w:line="240" w:lineRule="auto"/>
              <w:ind w:left="52"/>
              <w:textAlignment w:val="baseline"/>
              <w:rPr>
                <w:noProof/>
              </w:rPr>
            </w:pPr>
            <w:r>
              <w:rPr>
                <w:noProof/>
              </w:rPr>
              <w:t>101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7C98973" w14:textId="77777777" w:rsidR="00702291" w:rsidRDefault="00712B31">
            <w:pPr>
              <w:pStyle w:val="P68B1DB1-Normal85"/>
              <w:spacing w:after="120" w:line="240" w:lineRule="auto"/>
              <w:ind w:left="52"/>
              <w:rPr>
                <w:noProof/>
              </w:rPr>
            </w:pPr>
            <w:r>
              <w:rPr>
                <w:noProof/>
              </w:rPr>
              <w:t>C8.R34 Îmbunătățirea cadrului bugetar intern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9AAE93A"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CC237DA" w14:textId="77777777" w:rsidR="00702291" w:rsidRDefault="00712B31">
            <w:pPr>
              <w:pStyle w:val="P68B1DB1-Normal85"/>
              <w:spacing w:after="120" w:line="240" w:lineRule="auto"/>
              <w:ind w:left="52"/>
              <w:textAlignment w:val="baseline"/>
              <w:rPr>
                <w:noProof/>
              </w:rPr>
            </w:pPr>
            <w:r>
              <w:rPr>
                <w:noProof/>
              </w:rPr>
              <w:t xml:space="preserve">Consolidarea controlului bugetar </w:t>
            </w:r>
          </w:p>
        </w:tc>
      </w:tr>
      <w:tr w:rsidR="00702291" w14:paraId="64E86A2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CAA0839" w14:textId="77777777" w:rsidR="00702291" w:rsidRDefault="00712B31">
            <w:pPr>
              <w:pStyle w:val="P68B1DB1-Normal85"/>
              <w:spacing w:after="120" w:line="240" w:lineRule="auto"/>
              <w:ind w:left="52"/>
              <w:textAlignment w:val="baseline"/>
              <w:rPr>
                <w:noProof/>
              </w:rPr>
            </w:pPr>
            <w:r>
              <w:rPr>
                <w:noProof/>
              </w:rPr>
              <w:t>102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20A68A5" w14:textId="77777777" w:rsidR="00702291" w:rsidRDefault="00712B31">
            <w:pPr>
              <w:pStyle w:val="P68B1DB1-Normal85"/>
              <w:spacing w:after="120" w:line="240" w:lineRule="auto"/>
              <w:ind w:left="52"/>
              <w:rPr>
                <w:noProof/>
              </w:rPr>
            </w:pPr>
            <w:r>
              <w:rPr>
                <w:noProof/>
              </w:rPr>
              <w:t>C8.R34 Îmbunătățirea cadrului bugetar intern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45D5830"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C0CDF8A" w14:textId="77777777" w:rsidR="00702291" w:rsidRDefault="00712B31">
            <w:pPr>
              <w:pStyle w:val="P68B1DB1-Normal85"/>
              <w:spacing w:after="120" w:line="240" w:lineRule="auto"/>
              <w:ind w:left="52"/>
              <w:textAlignment w:val="baseline"/>
              <w:rPr>
                <w:noProof/>
              </w:rPr>
            </w:pPr>
            <w:r>
              <w:rPr>
                <w:noProof/>
              </w:rPr>
              <w:t>Lansarea unei revizuiri a cadrului bugetar, sprijinită de o consultare publică specifică</w:t>
            </w:r>
          </w:p>
        </w:tc>
      </w:tr>
      <w:tr w:rsidR="00702291" w14:paraId="5DFB008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33D3CC6" w14:textId="77777777" w:rsidR="00702291" w:rsidRDefault="00712B31">
            <w:pPr>
              <w:pStyle w:val="P68B1DB1-Normal85"/>
              <w:spacing w:after="120" w:line="240" w:lineRule="auto"/>
              <w:ind w:left="52"/>
              <w:textAlignment w:val="baseline"/>
              <w:rPr>
                <w:noProof/>
              </w:rPr>
            </w:pPr>
            <w:r>
              <w:rPr>
                <w:noProof/>
              </w:rPr>
              <w:t>103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F515345" w14:textId="2C31828F" w:rsidR="00702291" w:rsidRDefault="00712B31">
            <w:pPr>
              <w:pStyle w:val="P68B1DB1-Normal85"/>
              <w:spacing w:after="120" w:line="240" w:lineRule="auto"/>
              <w:ind w:left="52"/>
              <w:rPr>
                <w:noProof/>
              </w:rPr>
            </w:pPr>
            <w:r>
              <w:rPr>
                <w:noProof/>
              </w:rPr>
              <w:t>C8.R35 Reforma împrumuturilor subvenționate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DF441A8" w14:textId="77777777" w:rsidR="00702291" w:rsidRDefault="00712B31">
            <w:pPr>
              <w:pStyle w:val="P68B1DB1-Normal85"/>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87775C" w14:textId="77777777" w:rsidR="00702291" w:rsidRDefault="00712B31">
            <w:pPr>
              <w:pStyle w:val="P68B1DB1-Normal85"/>
              <w:spacing w:after="120" w:line="240" w:lineRule="auto"/>
              <w:ind w:left="52"/>
              <w:textAlignment w:val="baseline"/>
              <w:rPr>
                <w:noProof/>
              </w:rPr>
            </w:pPr>
            <w:r>
              <w:rPr>
                <w:noProof/>
              </w:rPr>
              <w:t>Reforma sistemului de împrumuturi subvenționate și revizuirea garanțiilor guvernamentale</w:t>
            </w:r>
          </w:p>
        </w:tc>
      </w:tr>
      <w:tr w:rsidR="00702291" w14:paraId="6EA4297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14F26EA" w14:textId="77777777" w:rsidR="00702291" w:rsidRDefault="00712B31">
            <w:pPr>
              <w:pStyle w:val="P68B1DB1-Normal80"/>
              <w:spacing w:after="120" w:line="240" w:lineRule="auto"/>
              <w:ind w:left="52"/>
              <w:textAlignment w:val="baseline"/>
              <w:rPr>
                <w:rFonts w:eastAsiaTheme="minorHAnsi"/>
                <w:noProof/>
              </w:rPr>
            </w:pPr>
            <w:r>
              <w:rPr>
                <w:noProof/>
              </w:rPr>
              <w:t>104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4948E83" w14:textId="77777777" w:rsidR="00702291" w:rsidRDefault="00712B31">
            <w:pPr>
              <w:pStyle w:val="P68B1DB1-Normal80"/>
              <w:spacing w:after="120" w:line="240" w:lineRule="auto"/>
              <w:ind w:left="52"/>
              <w:rPr>
                <w:rFonts w:eastAsiaTheme="minorHAnsi"/>
                <w:noProof/>
              </w:rPr>
            </w:pPr>
            <w:r>
              <w:rPr>
                <w:noProof/>
              </w:rPr>
              <w:t>C9.R1: Stabilirea tarifelor de rețea</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22C1793" w14:textId="77777777" w:rsidR="00702291" w:rsidRDefault="00712B31">
            <w:pPr>
              <w:pStyle w:val="P68B1DB1-Normal80"/>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0913B7E" w14:textId="77777777" w:rsidR="00702291" w:rsidRDefault="00712B31">
            <w:pPr>
              <w:pStyle w:val="P68B1DB1-Normal80"/>
              <w:spacing w:after="120" w:line="240" w:lineRule="auto"/>
              <w:ind w:left="52"/>
              <w:textAlignment w:val="baseline"/>
              <w:rPr>
                <w:rFonts w:eastAsiaTheme="minorHAnsi"/>
                <w:noProof/>
              </w:rPr>
            </w:pPr>
            <w:r>
              <w:rPr>
                <w:noProof/>
              </w:rPr>
              <w:t>Noua metodologie de calculare a tarifelor de rețea</w:t>
            </w:r>
          </w:p>
        </w:tc>
      </w:tr>
      <w:tr w:rsidR="00702291" w14:paraId="6C7556A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AD87CA6" w14:textId="77777777" w:rsidR="00702291" w:rsidRDefault="00712B31">
            <w:pPr>
              <w:pStyle w:val="P68B1DB1-Normal80"/>
              <w:spacing w:after="120" w:line="240" w:lineRule="auto"/>
              <w:ind w:left="52"/>
              <w:textAlignment w:val="baseline"/>
              <w:rPr>
                <w:rFonts w:eastAsiaTheme="minorHAnsi"/>
                <w:noProof/>
              </w:rPr>
            </w:pPr>
            <w:r>
              <w:rPr>
                <w:noProof/>
              </w:rPr>
              <w:t>105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A9DE580" w14:textId="799918E8" w:rsidR="00702291" w:rsidRDefault="00712B31">
            <w:pPr>
              <w:pStyle w:val="P68B1DB1-Normal80"/>
              <w:spacing w:after="120" w:line="240" w:lineRule="auto"/>
              <w:rPr>
                <w:rFonts w:eastAsiaTheme="minorHAnsi"/>
                <w:noProof/>
              </w:rPr>
            </w:pPr>
            <w:r>
              <w:rPr>
                <w:noProof/>
              </w:rPr>
              <w:t xml:space="preserve">C9.R2: Adaptarea actului (actelor) juridic (e) privind contoarele inteligente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67A0F3A" w14:textId="77777777" w:rsidR="00702291" w:rsidRDefault="00712B31">
            <w:pPr>
              <w:pStyle w:val="P68B1DB1-Normal80"/>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3A718F5" w14:textId="77777777" w:rsidR="00702291" w:rsidRDefault="00712B31">
            <w:pPr>
              <w:pStyle w:val="P68B1DB1-Normal80"/>
              <w:spacing w:after="120" w:line="240" w:lineRule="auto"/>
              <w:ind w:left="52"/>
              <w:textAlignment w:val="baseline"/>
              <w:rPr>
                <w:rFonts w:eastAsiaTheme="minorHAnsi"/>
                <w:noProof/>
              </w:rPr>
            </w:pPr>
            <w:r>
              <w:rPr>
                <w:noProof/>
              </w:rPr>
              <w:t>Intrarea în vigoare a actului (actelor) juridic (e)</w:t>
            </w:r>
          </w:p>
        </w:tc>
      </w:tr>
      <w:tr w:rsidR="00702291" w14:paraId="4FEC2C3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C89406B" w14:textId="77777777" w:rsidR="00702291" w:rsidRDefault="00712B31">
            <w:pPr>
              <w:pStyle w:val="P68B1DB1-Normal80"/>
              <w:spacing w:after="120" w:line="240" w:lineRule="auto"/>
              <w:ind w:left="52"/>
              <w:textAlignment w:val="baseline"/>
              <w:rPr>
                <w:rFonts w:eastAsiaTheme="minorHAnsi"/>
                <w:noProof/>
              </w:rPr>
            </w:pPr>
            <w:r>
              <w:rPr>
                <w:noProof/>
              </w:rPr>
              <w:t>106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879324B" w14:textId="77777777" w:rsidR="00702291" w:rsidRDefault="00712B31">
            <w:pPr>
              <w:pStyle w:val="P68B1DB1-Normal80"/>
              <w:spacing w:after="120" w:line="240" w:lineRule="auto"/>
              <w:rPr>
                <w:rFonts w:eastAsia="Times New Roman"/>
                <w:noProof/>
              </w:rPr>
            </w:pPr>
            <w:r>
              <w:rPr>
                <w:noProof/>
              </w:rPr>
              <w:t>C9.R3: Consolidarea rolului agregatorilor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C8B56F8" w14:textId="77777777" w:rsidR="00702291" w:rsidRDefault="00712B31">
            <w:pPr>
              <w:pStyle w:val="P68B1DB1-Normal80"/>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3F2AD39" w14:textId="015D7E49" w:rsidR="00702291" w:rsidRDefault="00712B31">
            <w:pPr>
              <w:pStyle w:val="P68B1DB1-Normal80"/>
              <w:spacing w:after="120" w:line="240" w:lineRule="auto"/>
              <w:rPr>
                <w:rFonts w:eastAsiaTheme="minorHAnsi"/>
                <w:noProof/>
              </w:rPr>
            </w:pPr>
            <w:r>
              <w:rPr>
                <w:noProof/>
              </w:rPr>
              <w:t>Adoptarea actului (actelor) juridic (e)</w:t>
            </w:r>
          </w:p>
        </w:tc>
      </w:tr>
      <w:tr w:rsidR="00702291" w14:paraId="65E9673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269F368" w14:textId="77777777" w:rsidR="00702291" w:rsidRDefault="00712B31">
            <w:pPr>
              <w:pStyle w:val="P68B1DB1-Normal80"/>
              <w:spacing w:after="120" w:line="240" w:lineRule="auto"/>
              <w:ind w:left="52"/>
              <w:textAlignment w:val="baseline"/>
              <w:rPr>
                <w:rFonts w:eastAsiaTheme="minorHAnsi"/>
                <w:noProof/>
              </w:rPr>
            </w:pPr>
            <w:r>
              <w:rPr>
                <w:noProof/>
              </w:rPr>
              <w:t>107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667707F" w14:textId="7AC26FB0" w:rsidR="00702291" w:rsidRDefault="00712B31">
            <w:pPr>
              <w:pStyle w:val="P68B1DB1-Normal80"/>
              <w:spacing w:after="120" w:line="240" w:lineRule="auto"/>
              <w:rPr>
                <w:rFonts w:eastAsiaTheme="minorHAnsi"/>
                <w:noProof/>
              </w:rPr>
            </w:pPr>
            <w:r>
              <w:rPr>
                <w:noProof/>
              </w:rPr>
              <w:t>C9.R4: Utilizarea pe scară mai largă a prețurilor dinamice în contractele de achiziție de energie electrică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9538BC3" w14:textId="77777777" w:rsidR="00702291" w:rsidRDefault="00712B31">
            <w:pPr>
              <w:pStyle w:val="P68B1DB1-Normal80"/>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5256039" w14:textId="77777777" w:rsidR="00702291" w:rsidRDefault="00712B31">
            <w:pPr>
              <w:pStyle w:val="P68B1DB1-Normal80"/>
              <w:spacing w:after="120" w:line="240" w:lineRule="auto"/>
              <w:ind w:left="52"/>
              <w:textAlignment w:val="baseline"/>
              <w:rPr>
                <w:rFonts w:eastAsiaTheme="minorHAnsi"/>
                <w:noProof/>
              </w:rPr>
            </w:pPr>
            <w:r>
              <w:rPr>
                <w:noProof/>
              </w:rPr>
              <w:t>Intrarea în vigoare a actului (actelor) juridic (e)</w:t>
            </w:r>
          </w:p>
        </w:tc>
      </w:tr>
      <w:tr w:rsidR="00702291" w14:paraId="18C23C4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62A64A7" w14:textId="77777777" w:rsidR="00702291" w:rsidRDefault="00712B31">
            <w:pPr>
              <w:pStyle w:val="P68B1DB1-Normal80"/>
              <w:spacing w:after="120" w:line="240" w:lineRule="auto"/>
              <w:ind w:left="52"/>
              <w:textAlignment w:val="baseline"/>
              <w:rPr>
                <w:rFonts w:eastAsiaTheme="minorHAnsi"/>
                <w:noProof/>
              </w:rPr>
            </w:pPr>
            <w:r>
              <w:rPr>
                <w:noProof/>
              </w:rPr>
              <w:t>108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3643E2C" w14:textId="77777777" w:rsidR="00702291" w:rsidRDefault="00712B31">
            <w:pPr>
              <w:pStyle w:val="P68B1DB1-Normal80"/>
              <w:spacing w:after="120" w:line="240" w:lineRule="auto"/>
              <w:rPr>
                <w:rFonts w:eastAsia="MS Mincho"/>
                <w:noProof/>
              </w:rPr>
            </w:pPr>
            <w:r>
              <w:rPr>
                <w:noProof/>
              </w:rPr>
              <w:t>C9.R5: Deschiderea piețelor rezervelor minime obligatorii pentru a încuraja concurența</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7B20038" w14:textId="77777777" w:rsidR="00702291" w:rsidRDefault="00712B31">
            <w:pPr>
              <w:pStyle w:val="P68B1DB1-Normal80"/>
              <w:spacing w:after="120" w:line="240" w:lineRule="auto"/>
              <w:rPr>
                <w:rFonts w:eastAsiaTheme="minorHAnsi"/>
                <w:noProof/>
              </w:rPr>
            </w:pPr>
            <w:r>
              <w:rPr>
                <w:noProof/>
              </w:rPr>
              <w:t xml:space="preserve">Etapă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2BF1CD8" w14:textId="77777777" w:rsidR="00702291" w:rsidRDefault="00712B31">
            <w:pPr>
              <w:pStyle w:val="P68B1DB1-Normal80"/>
              <w:spacing w:after="120" w:line="240" w:lineRule="auto"/>
              <w:ind w:left="52"/>
              <w:textAlignment w:val="baseline"/>
              <w:rPr>
                <w:rFonts w:eastAsiaTheme="minorHAnsi"/>
                <w:noProof/>
              </w:rPr>
            </w:pPr>
            <w:r>
              <w:rPr>
                <w:noProof/>
              </w:rPr>
              <w:t>Intrarea în vigoare a deciziei MEKH de aprobare a codului de rețea modificat</w:t>
            </w:r>
          </w:p>
        </w:tc>
      </w:tr>
      <w:tr w:rsidR="00702291" w14:paraId="30A5AFF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E90016E" w14:textId="77777777" w:rsidR="00702291" w:rsidRDefault="00712B31">
            <w:pPr>
              <w:pStyle w:val="P68B1DB1-Normal80"/>
              <w:spacing w:after="120" w:line="240" w:lineRule="auto"/>
              <w:ind w:left="52"/>
              <w:textAlignment w:val="baseline"/>
              <w:rPr>
                <w:rFonts w:eastAsiaTheme="minorHAnsi"/>
                <w:noProof/>
              </w:rPr>
            </w:pPr>
            <w:r>
              <w:rPr>
                <w:noProof/>
              </w:rPr>
              <w:t>109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593C04A" w14:textId="77777777" w:rsidR="00702291" w:rsidRDefault="00712B31">
            <w:pPr>
              <w:pStyle w:val="P68B1DB1-Normal80"/>
              <w:spacing w:after="120" w:line="240" w:lineRule="auto"/>
              <w:ind w:left="52"/>
              <w:rPr>
                <w:rFonts w:eastAsiaTheme="minorHAnsi"/>
                <w:noProof/>
              </w:rPr>
            </w:pPr>
            <w:r>
              <w:rPr>
                <w:noProof/>
              </w:rPr>
              <w:t>C9.R6: Extinderea comunităților energetice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0449CF1" w14:textId="77777777" w:rsidR="00702291" w:rsidRDefault="00712B31">
            <w:pPr>
              <w:pStyle w:val="P68B1DB1-Normal80"/>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3459D05" w14:textId="77777777" w:rsidR="00702291" w:rsidRDefault="00712B31">
            <w:pPr>
              <w:pStyle w:val="P68B1DB1-Normal80"/>
              <w:spacing w:after="120" w:line="240" w:lineRule="auto"/>
              <w:ind w:left="52"/>
              <w:textAlignment w:val="baseline"/>
              <w:rPr>
                <w:rFonts w:eastAsiaTheme="minorHAnsi"/>
                <w:noProof/>
              </w:rPr>
            </w:pPr>
            <w:r>
              <w:rPr>
                <w:noProof/>
              </w:rPr>
              <w:t>Intrarea în vigoare a actului (actelor) juridic (e)</w:t>
            </w:r>
          </w:p>
        </w:tc>
      </w:tr>
      <w:tr w:rsidR="00702291" w14:paraId="17716FF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F5D81AE" w14:textId="77777777" w:rsidR="00702291" w:rsidRDefault="00712B31">
            <w:pPr>
              <w:pStyle w:val="P68B1DB1-Normal80"/>
              <w:spacing w:after="120" w:line="240" w:lineRule="auto"/>
              <w:ind w:left="52"/>
              <w:textAlignment w:val="baseline"/>
              <w:rPr>
                <w:rFonts w:eastAsiaTheme="minorHAnsi"/>
                <w:noProof/>
              </w:rPr>
            </w:pPr>
            <w:r>
              <w:rPr>
                <w:noProof/>
              </w:rPr>
              <w:t>110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144EB52" w14:textId="77777777" w:rsidR="00702291" w:rsidRDefault="00712B31">
            <w:pPr>
              <w:pStyle w:val="P68B1DB1-Normal80"/>
              <w:spacing w:after="120" w:line="240" w:lineRule="auto"/>
              <w:ind w:left="52"/>
              <w:rPr>
                <w:rFonts w:eastAsiaTheme="minorHAnsi"/>
                <w:noProof/>
              </w:rPr>
            </w:pPr>
            <w:r>
              <w:rPr>
                <w:noProof/>
              </w:rPr>
              <w:t>C9.R7: Stimulente juridice pentru adoptarea stocării energiei</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C046CF9" w14:textId="77777777" w:rsidR="00702291" w:rsidRDefault="00712B31">
            <w:pPr>
              <w:pStyle w:val="P68B1DB1-Normal80"/>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0D5718A" w14:textId="77777777" w:rsidR="00702291" w:rsidRDefault="00712B31">
            <w:pPr>
              <w:pStyle w:val="P68B1DB1-Normal80"/>
              <w:spacing w:after="120" w:line="240" w:lineRule="auto"/>
              <w:ind w:left="52"/>
              <w:textAlignment w:val="baseline"/>
              <w:rPr>
                <w:rFonts w:eastAsiaTheme="minorHAnsi"/>
                <w:noProof/>
              </w:rPr>
            </w:pPr>
            <w:r>
              <w:rPr>
                <w:noProof/>
              </w:rPr>
              <w:t>Intrarea în vigoare a actului (actelor) juridic (e)</w:t>
            </w:r>
          </w:p>
        </w:tc>
      </w:tr>
      <w:tr w:rsidR="00702291" w14:paraId="1F7E55B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5E0E604" w14:textId="77777777" w:rsidR="00702291" w:rsidRDefault="00712B31">
            <w:pPr>
              <w:pStyle w:val="P68B1DB1-Normal80"/>
              <w:spacing w:after="120" w:line="240" w:lineRule="auto"/>
              <w:ind w:left="52"/>
              <w:textAlignment w:val="baseline"/>
              <w:rPr>
                <w:rFonts w:eastAsiaTheme="minorHAnsi"/>
                <w:noProof/>
              </w:rPr>
            </w:pPr>
            <w:r>
              <w:rPr>
                <w:noProof/>
              </w:rPr>
              <w:t>111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FE50EE4" w14:textId="77777777" w:rsidR="00702291" w:rsidRDefault="00712B31">
            <w:pPr>
              <w:pStyle w:val="P68B1DB1-Normal80"/>
              <w:spacing w:after="120" w:line="240" w:lineRule="auto"/>
              <w:ind w:left="52"/>
              <w:rPr>
                <w:rFonts w:eastAsiaTheme="minorHAnsi"/>
                <w:noProof/>
              </w:rPr>
            </w:pPr>
            <w:r>
              <w:rPr>
                <w:noProof/>
              </w:rPr>
              <w:t xml:space="preserve">C10.R8: Modificări ale actului (actelor) juridic (e) care integrează energia geotermală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179248F" w14:textId="77777777" w:rsidR="00702291" w:rsidRDefault="00712B31">
            <w:pPr>
              <w:pStyle w:val="P68B1DB1-Normal80"/>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F7C52B9" w14:textId="77777777" w:rsidR="00702291" w:rsidRDefault="00712B31">
            <w:pPr>
              <w:pStyle w:val="P68B1DB1-Normal80"/>
              <w:spacing w:after="120" w:line="240" w:lineRule="auto"/>
              <w:ind w:left="52"/>
              <w:textAlignment w:val="baseline"/>
              <w:rPr>
                <w:rFonts w:eastAsiaTheme="minorHAnsi"/>
                <w:noProof/>
              </w:rPr>
            </w:pPr>
            <w:r>
              <w:rPr>
                <w:noProof/>
              </w:rPr>
              <w:t xml:space="preserve">Intrarea în vigoare a modificării (modificărilor) actului (actelor) juridic (e) care integrează energia geotermală </w:t>
            </w:r>
          </w:p>
        </w:tc>
      </w:tr>
      <w:tr w:rsidR="00702291" w14:paraId="64AF4C4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CAAB3B4" w14:textId="77777777" w:rsidR="00702291" w:rsidRDefault="00712B31">
            <w:pPr>
              <w:pStyle w:val="P68B1DB1-Normal80"/>
              <w:spacing w:after="120" w:line="240" w:lineRule="auto"/>
              <w:ind w:left="52"/>
              <w:textAlignment w:val="baseline"/>
              <w:rPr>
                <w:rFonts w:eastAsiaTheme="minorHAnsi"/>
                <w:noProof/>
              </w:rPr>
            </w:pPr>
            <w:r>
              <w:rPr>
                <w:noProof/>
              </w:rPr>
              <w:t>112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BBCEE03" w14:textId="77777777" w:rsidR="00702291" w:rsidRDefault="00712B31">
            <w:pPr>
              <w:pStyle w:val="P68B1DB1-Normal80"/>
              <w:spacing w:after="120" w:line="240" w:lineRule="auto"/>
              <w:ind w:left="52"/>
              <w:rPr>
                <w:rFonts w:eastAsiaTheme="minorHAnsi"/>
                <w:noProof/>
              </w:rPr>
            </w:pPr>
            <w:r>
              <w:rPr>
                <w:noProof/>
              </w:rPr>
              <w:t>C9.I1. Măsură extinsă: Schemă de granturi pentru dezvoltarea rețelei de energie electrică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A03B8F7" w14:textId="77777777" w:rsidR="00702291" w:rsidRDefault="00712B31">
            <w:pPr>
              <w:pStyle w:val="P68B1DB1-Normal84"/>
              <w:spacing w:after="120" w:line="240" w:lineRule="auto"/>
              <w:rPr>
                <w:rFonts w:eastAsiaTheme="minorHAnsi"/>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BDBA755" w14:textId="77777777" w:rsidR="00702291" w:rsidRDefault="00712B31">
            <w:pPr>
              <w:pStyle w:val="P68B1DB1-Normal84"/>
              <w:spacing w:after="120" w:line="240" w:lineRule="auto"/>
              <w:ind w:left="52"/>
              <w:textAlignment w:val="baseline"/>
              <w:rPr>
                <w:rFonts w:eastAsiaTheme="minorHAnsi"/>
                <w:noProof/>
              </w:rPr>
            </w:pPr>
            <w:r>
              <w:rPr>
                <w:noProof/>
              </w:rPr>
              <w:t>Acorduri juridice semnate cu beneficiarii finali</w:t>
            </w:r>
          </w:p>
        </w:tc>
      </w:tr>
      <w:tr w:rsidR="00702291" w14:paraId="0B41C62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40E4F48" w14:textId="77777777" w:rsidR="00702291" w:rsidRDefault="00712B31">
            <w:pPr>
              <w:pStyle w:val="P68B1DB1-Normal84"/>
              <w:spacing w:after="120" w:line="240" w:lineRule="auto"/>
              <w:ind w:left="52"/>
              <w:textAlignment w:val="baseline"/>
              <w:rPr>
                <w:rFonts w:eastAsiaTheme="minorHAnsi"/>
                <w:noProof/>
              </w:rPr>
            </w:pPr>
            <w:r>
              <w:rPr>
                <w:noProof/>
              </w:rPr>
              <w:t>113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40450EE" w14:textId="77777777" w:rsidR="00702291" w:rsidRDefault="00712B31">
            <w:pPr>
              <w:pStyle w:val="P68B1DB1-Normal80"/>
              <w:spacing w:after="120" w:line="240" w:lineRule="auto"/>
              <w:ind w:left="52"/>
              <w:rPr>
                <w:rFonts w:eastAsiaTheme="minorHAnsi"/>
                <w:noProof/>
              </w:rPr>
            </w:pPr>
            <w:r>
              <w:rPr>
                <w:noProof/>
              </w:rPr>
              <w:t>C9.I1. Măsură extinsă: Schemă de granturi pentru dezvoltarea rețelei de energie electrică</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4A170C8" w14:textId="77777777" w:rsidR="00702291" w:rsidRDefault="00712B31">
            <w:pPr>
              <w:pStyle w:val="P68B1DB1-Normal84"/>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0709CF2" w14:textId="77777777" w:rsidR="00702291" w:rsidRDefault="00712B31">
            <w:pPr>
              <w:pStyle w:val="P68B1DB1-Normal84"/>
              <w:spacing w:after="120" w:line="240" w:lineRule="auto"/>
              <w:ind w:left="52"/>
              <w:textAlignment w:val="baseline"/>
              <w:rPr>
                <w:rFonts w:eastAsiaTheme="minorHAnsi"/>
                <w:noProof/>
              </w:rPr>
            </w:pPr>
            <w:r>
              <w:rPr>
                <w:noProof/>
              </w:rPr>
              <w:t>Ministerul a finalizat investiția</w:t>
            </w:r>
          </w:p>
        </w:tc>
      </w:tr>
      <w:tr w:rsidR="00702291" w14:paraId="16B5571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55BC8FD" w14:textId="77777777" w:rsidR="00702291" w:rsidRDefault="00712B31">
            <w:pPr>
              <w:pStyle w:val="P68B1DB1-Normal84"/>
              <w:spacing w:after="120" w:line="240" w:lineRule="auto"/>
              <w:ind w:left="52"/>
              <w:textAlignment w:val="baseline"/>
              <w:rPr>
                <w:rFonts w:eastAsiaTheme="minorHAnsi"/>
                <w:noProof/>
              </w:rPr>
            </w:pPr>
            <w:r>
              <w:rPr>
                <w:noProof/>
              </w:rPr>
              <w:t>114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D3A97A8" w14:textId="77777777" w:rsidR="00702291" w:rsidRDefault="00712B31">
            <w:pPr>
              <w:pStyle w:val="P68B1DB1-Normal80"/>
              <w:spacing w:after="120" w:line="240" w:lineRule="auto"/>
              <w:ind w:left="52"/>
              <w:rPr>
                <w:rFonts w:eastAsiaTheme="minorHAnsi"/>
                <w:noProof/>
              </w:rPr>
            </w:pPr>
            <w:r>
              <w:rPr>
                <w:noProof/>
              </w:rPr>
              <w:t>C9.I2: De instituire a unui instrument financiar pentru îmbunătățirea eficienței energetice a clădirilor rezidențiale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BD8EAB7" w14:textId="77777777" w:rsidR="00702291" w:rsidRDefault="00712B31">
            <w:pPr>
              <w:pStyle w:val="P68B1DB1-Normal80"/>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BB12A6C" w14:textId="77777777" w:rsidR="00702291" w:rsidRDefault="00712B31">
            <w:pPr>
              <w:pStyle w:val="P68B1DB1-Normal80"/>
              <w:spacing w:after="120" w:line="240" w:lineRule="auto"/>
              <w:ind w:left="52"/>
              <w:textAlignment w:val="baseline"/>
              <w:rPr>
                <w:rFonts w:eastAsiaTheme="minorHAnsi"/>
                <w:noProof/>
              </w:rPr>
            </w:pPr>
            <w:r>
              <w:rPr>
                <w:noProof/>
              </w:rPr>
              <w:t>Acord de punere în aplicare</w:t>
            </w:r>
          </w:p>
        </w:tc>
      </w:tr>
      <w:tr w:rsidR="00702291" w14:paraId="20283AA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5D9D4E2" w14:textId="77777777" w:rsidR="00702291" w:rsidRDefault="00712B31">
            <w:pPr>
              <w:pStyle w:val="P68B1DB1-Normal80"/>
              <w:spacing w:after="120" w:line="240" w:lineRule="auto"/>
              <w:ind w:left="52"/>
              <w:textAlignment w:val="baseline"/>
              <w:rPr>
                <w:rFonts w:eastAsiaTheme="minorHAnsi"/>
                <w:noProof/>
              </w:rPr>
            </w:pPr>
            <w:r>
              <w:rPr>
                <w:noProof/>
              </w:rPr>
              <w:t>115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C8B44C" w14:textId="77777777" w:rsidR="00702291" w:rsidRDefault="00712B31">
            <w:pPr>
              <w:pStyle w:val="P68B1DB1-Normal80"/>
              <w:spacing w:after="120" w:line="240" w:lineRule="auto"/>
              <w:ind w:left="52"/>
              <w:rPr>
                <w:rFonts w:eastAsiaTheme="minorHAnsi"/>
                <w:noProof/>
              </w:rPr>
            </w:pPr>
            <w:r>
              <w:rPr>
                <w:noProof/>
              </w:rPr>
              <w:t>C9.I2: De instituire a unui instrument financiar pentru îmbunătățirea eficienței energetice a clădirilor rezidențiale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EB9AB6A" w14:textId="77777777" w:rsidR="00702291" w:rsidRDefault="00712B31">
            <w:pPr>
              <w:pStyle w:val="P68B1DB1-Normal80"/>
              <w:spacing w:after="120" w:line="240" w:lineRule="auto"/>
              <w:rPr>
                <w:rFonts w:eastAsiaTheme="minorHAnsi"/>
                <w:noProof/>
              </w:rPr>
            </w:pPr>
            <w:r>
              <w:rPr>
                <w:noProof/>
              </w:rPr>
              <w:t>Țintă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3F1D93F" w14:textId="77777777" w:rsidR="00702291" w:rsidRDefault="00712B31">
            <w:pPr>
              <w:pStyle w:val="P68B1DB1-Normal80"/>
              <w:spacing w:after="120" w:line="240" w:lineRule="auto"/>
              <w:ind w:left="52"/>
              <w:textAlignment w:val="baseline"/>
              <w:rPr>
                <w:rFonts w:eastAsiaTheme="minorHAnsi"/>
                <w:noProof/>
              </w:rPr>
            </w:pPr>
            <w:r>
              <w:rPr>
                <w:noProof/>
              </w:rPr>
              <w:t>Acorduri juridice semnate cu beneficiarii finali</w:t>
            </w:r>
          </w:p>
        </w:tc>
      </w:tr>
      <w:tr w:rsidR="00702291" w14:paraId="78E36E5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25DE5F7" w14:textId="77777777" w:rsidR="00702291" w:rsidRDefault="00712B31">
            <w:pPr>
              <w:pStyle w:val="P68B1DB1-Normal80"/>
              <w:spacing w:after="120" w:line="240" w:lineRule="auto"/>
              <w:ind w:left="52"/>
              <w:textAlignment w:val="baseline"/>
              <w:rPr>
                <w:rFonts w:eastAsiaTheme="minorHAnsi"/>
                <w:noProof/>
              </w:rPr>
            </w:pPr>
            <w:r>
              <w:rPr>
                <w:noProof/>
              </w:rPr>
              <w:t>116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74C0667" w14:textId="77777777" w:rsidR="00702291" w:rsidRDefault="00712B31">
            <w:pPr>
              <w:pStyle w:val="P68B1DB1-Normal80"/>
              <w:spacing w:after="120" w:line="240" w:lineRule="auto"/>
              <w:ind w:left="52"/>
              <w:rPr>
                <w:rFonts w:eastAsiaTheme="minorHAnsi"/>
                <w:noProof/>
              </w:rPr>
            </w:pPr>
            <w:r>
              <w:rPr>
                <w:noProof/>
              </w:rPr>
              <w:t>C9.I2: De instituire a unui instrument financiar pentru îmbunătățirea eficienței energetice a clădirilor rezidențiale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A9E76CF" w14:textId="77777777" w:rsidR="00702291" w:rsidRDefault="00712B31">
            <w:pPr>
              <w:pStyle w:val="P68B1DB1-Normal80"/>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C40B16D" w14:textId="77777777" w:rsidR="00702291" w:rsidRDefault="00712B31">
            <w:pPr>
              <w:pStyle w:val="P68B1DB1-Normal80"/>
              <w:spacing w:after="120" w:line="240" w:lineRule="auto"/>
              <w:ind w:left="52"/>
              <w:textAlignment w:val="baseline"/>
              <w:rPr>
                <w:rFonts w:eastAsiaTheme="minorHAnsi"/>
                <w:noProof/>
              </w:rPr>
            </w:pPr>
            <w:r>
              <w:rPr>
                <w:noProof/>
              </w:rPr>
              <w:t>MFB a finalizat investiția</w:t>
            </w:r>
          </w:p>
        </w:tc>
      </w:tr>
      <w:tr w:rsidR="00702291" w14:paraId="36F7E6B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480D3EAC" w14:textId="77777777" w:rsidR="00702291" w:rsidRDefault="00712B31">
            <w:pPr>
              <w:pStyle w:val="P68B1DB1-Normal80"/>
              <w:spacing w:after="120" w:line="240" w:lineRule="auto"/>
              <w:ind w:left="52"/>
              <w:textAlignment w:val="baseline"/>
              <w:rPr>
                <w:rFonts w:eastAsiaTheme="minorHAnsi"/>
                <w:noProof/>
              </w:rPr>
            </w:pPr>
            <w:r>
              <w:rPr>
                <w:noProof/>
              </w:rPr>
              <w:t>117</w:t>
            </w:r>
          </w:p>
        </w:tc>
        <w:tc>
          <w:tcPr>
            <w:tcW w:w="3041" w:type="dxa"/>
            <w:tcBorders>
              <w:top w:val="single" w:sz="4" w:space="0" w:color="auto"/>
              <w:left w:val="nil"/>
              <w:bottom w:val="single" w:sz="4" w:space="0" w:color="auto"/>
              <w:right w:val="single" w:sz="4" w:space="0" w:color="auto"/>
            </w:tcBorders>
            <w:shd w:val="clear" w:color="auto" w:fill="C6EFCE"/>
          </w:tcPr>
          <w:p w14:paraId="3F2A2D84" w14:textId="77777777" w:rsidR="00702291" w:rsidRDefault="00712B31">
            <w:pPr>
              <w:pStyle w:val="P68B1DB1-Normal80"/>
              <w:spacing w:after="120" w:line="240" w:lineRule="auto"/>
              <w:ind w:left="52"/>
              <w:rPr>
                <w:rFonts w:eastAsiaTheme="minorHAnsi"/>
                <w:noProof/>
              </w:rPr>
            </w:pPr>
            <w:r>
              <w:rPr>
                <w:noProof/>
              </w:rPr>
              <w:t>C10.R1 Reforma guvernanței Magyar Fejlesztési Bank</w:t>
            </w:r>
          </w:p>
        </w:tc>
        <w:tc>
          <w:tcPr>
            <w:tcW w:w="1446" w:type="dxa"/>
            <w:tcBorders>
              <w:top w:val="single" w:sz="4" w:space="0" w:color="auto"/>
              <w:left w:val="nil"/>
              <w:bottom w:val="single" w:sz="4" w:space="0" w:color="auto"/>
              <w:right w:val="single" w:sz="4" w:space="0" w:color="auto"/>
            </w:tcBorders>
            <w:shd w:val="clear" w:color="auto" w:fill="C6EFCE"/>
          </w:tcPr>
          <w:p w14:paraId="50210369" w14:textId="77777777" w:rsidR="00702291" w:rsidRDefault="00712B31">
            <w:pPr>
              <w:pStyle w:val="P68B1DB1-Normal84"/>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1D8CA08C" w14:textId="77777777" w:rsidR="00702291" w:rsidRDefault="00712B31">
            <w:pPr>
              <w:pStyle w:val="P68B1DB1-Normal80"/>
              <w:spacing w:after="120" w:line="240" w:lineRule="auto"/>
              <w:ind w:left="52"/>
              <w:textAlignment w:val="baseline"/>
              <w:rPr>
                <w:rFonts w:eastAsiaTheme="minorHAnsi"/>
                <w:noProof/>
              </w:rPr>
            </w:pPr>
            <w:r>
              <w:rPr>
                <w:noProof/>
              </w:rPr>
              <w:t>Legislație de modificare a guvernanței Magyar Fejlesztési Bank (MFB)</w:t>
            </w:r>
          </w:p>
        </w:tc>
      </w:tr>
      <w:tr w:rsidR="00702291" w14:paraId="3A94133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F59C0E2" w14:textId="77777777" w:rsidR="00702291" w:rsidRDefault="00712B31">
            <w:pPr>
              <w:pStyle w:val="P68B1DB1-Normal80"/>
              <w:spacing w:after="120" w:line="240" w:lineRule="auto"/>
              <w:ind w:left="52"/>
              <w:textAlignment w:val="baseline"/>
              <w:rPr>
                <w:rFonts w:eastAsiaTheme="minorHAnsi"/>
                <w:noProof/>
              </w:rPr>
            </w:pPr>
            <w:r>
              <w:rPr>
                <w:noProof/>
              </w:rPr>
              <w:t>118</w:t>
            </w:r>
          </w:p>
        </w:tc>
        <w:tc>
          <w:tcPr>
            <w:tcW w:w="3041" w:type="dxa"/>
            <w:tcBorders>
              <w:top w:val="single" w:sz="4" w:space="0" w:color="auto"/>
              <w:left w:val="nil"/>
              <w:bottom w:val="single" w:sz="4" w:space="0" w:color="auto"/>
              <w:right w:val="single" w:sz="4" w:space="0" w:color="auto"/>
            </w:tcBorders>
            <w:shd w:val="clear" w:color="auto" w:fill="C6EFCE"/>
          </w:tcPr>
          <w:p w14:paraId="11497ADE" w14:textId="233CC0F1" w:rsidR="00702291" w:rsidRDefault="00712B31">
            <w:pPr>
              <w:pStyle w:val="P68B1DB1-Normal80"/>
              <w:spacing w:after="120" w:line="240" w:lineRule="auto"/>
              <w:ind w:left="52"/>
              <w:rPr>
                <w:rFonts w:eastAsiaTheme="minorHAnsi"/>
                <w:noProof/>
              </w:rPr>
            </w:pPr>
            <w:r>
              <w:rPr>
                <w:noProof/>
              </w:rPr>
              <w:t>C10.R1 Reforma guvernanței Magyar Fejlesztési Bank</w:t>
            </w:r>
          </w:p>
        </w:tc>
        <w:tc>
          <w:tcPr>
            <w:tcW w:w="1446" w:type="dxa"/>
            <w:tcBorders>
              <w:top w:val="single" w:sz="4" w:space="0" w:color="auto"/>
              <w:left w:val="nil"/>
              <w:bottom w:val="single" w:sz="4" w:space="0" w:color="auto"/>
              <w:right w:val="single" w:sz="4" w:space="0" w:color="auto"/>
            </w:tcBorders>
            <w:shd w:val="clear" w:color="auto" w:fill="C6EFCE"/>
          </w:tcPr>
          <w:p w14:paraId="4AFB452E" w14:textId="77777777" w:rsidR="00702291" w:rsidRDefault="00712B31">
            <w:pPr>
              <w:pStyle w:val="P68B1DB1-Normal84"/>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2499C7D6" w14:textId="77777777" w:rsidR="00702291" w:rsidRDefault="00712B31">
            <w:pPr>
              <w:pStyle w:val="P68B1DB1-Normal84"/>
              <w:spacing w:after="120" w:line="240" w:lineRule="auto"/>
              <w:ind w:left="52"/>
              <w:textAlignment w:val="baseline"/>
              <w:rPr>
                <w:rFonts w:eastAsiaTheme="minorHAnsi"/>
                <w:noProof/>
              </w:rPr>
            </w:pPr>
            <w:r>
              <w:rPr>
                <w:noProof/>
              </w:rPr>
              <w:t>Numirea organismelor de guvernanță ale MFB</w:t>
            </w:r>
          </w:p>
        </w:tc>
      </w:tr>
      <w:tr w:rsidR="00702291" w14:paraId="62628D1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DB200D7" w14:textId="77777777" w:rsidR="00702291" w:rsidRDefault="00712B31">
            <w:pPr>
              <w:pStyle w:val="P68B1DB1-Normal84"/>
              <w:spacing w:after="120" w:line="240" w:lineRule="auto"/>
              <w:ind w:left="52"/>
              <w:textAlignment w:val="baseline"/>
              <w:rPr>
                <w:rFonts w:eastAsiaTheme="minorHAnsi"/>
                <w:noProof/>
              </w:rPr>
            </w:pPr>
            <w:r>
              <w:rPr>
                <w:noProof/>
              </w:rPr>
              <w:t>119</w:t>
            </w:r>
          </w:p>
        </w:tc>
        <w:tc>
          <w:tcPr>
            <w:tcW w:w="3041" w:type="dxa"/>
            <w:tcBorders>
              <w:top w:val="single" w:sz="4" w:space="0" w:color="auto"/>
              <w:left w:val="nil"/>
              <w:bottom w:val="single" w:sz="4" w:space="0" w:color="auto"/>
              <w:right w:val="single" w:sz="4" w:space="0" w:color="auto"/>
            </w:tcBorders>
            <w:shd w:val="clear" w:color="auto" w:fill="C6EFCE"/>
          </w:tcPr>
          <w:p w14:paraId="10D72C79" w14:textId="6715525E" w:rsidR="00702291" w:rsidRDefault="00712B31">
            <w:pPr>
              <w:pStyle w:val="P68B1DB1-Normal80"/>
              <w:spacing w:after="120" w:line="240" w:lineRule="auto"/>
              <w:ind w:left="52"/>
              <w:rPr>
                <w:rFonts w:eastAsiaTheme="minorHAnsi"/>
                <w:noProof/>
              </w:rPr>
            </w:pPr>
            <w:r>
              <w:rPr>
                <w:noProof/>
              </w:rPr>
              <w:t xml:space="preserve">C10.R1 Reforma guvernanței Magyar Fejlesztési Bank </w:t>
            </w:r>
          </w:p>
        </w:tc>
        <w:tc>
          <w:tcPr>
            <w:tcW w:w="1446" w:type="dxa"/>
            <w:tcBorders>
              <w:top w:val="single" w:sz="4" w:space="0" w:color="auto"/>
              <w:left w:val="nil"/>
              <w:bottom w:val="single" w:sz="4" w:space="0" w:color="auto"/>
              <w:right w:val="single" w:sz="4" w:space="0" w:color="auto"/>
            </w:tcBorders>
            <w:shd w:val="clear" w:color="auto" w:fill="C6EFCE"/>
          </w:tcPr>
          <w:p w14:paraId="29D1D4CE" w14:textId="77777777" w:rsidR="00702291" w:rsidRDefault="00712B31">
            <w:pPr>
              <w:pStyle w:val="P68B1DB1-Normal84"/>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71DDBB2C" w14:textId="77777777" w:rsidR="00702291" w:rsidRDefault="00712B31">
            <w:pPr>
              <w:pStyle w:val="P68B1DB1-Normal84"/>
              <w:spacing w:after="120" w:line="240" w:lineRule="auto"/>
              <w:ind w:left="52"/>
              <w:textAlignment w:val="baseline"/>
              <w:rPr>
                <w:rFonts w:eastAsiaTheme="minorHAnsi"/>
                <w:noProof/>
              </w:rPr>
            </w:pPr>
            <w:r>
              <w:rPr>
                <w:noProof/>
              </w:rPr>
              <w:t>Revizuirea schemelor de creditare subvenționate de MFB</w:t>
            </w:r>
          </w:p>
        </w:tc>
      </w:tr>
      <w:tr w:rsidR="00702291" w14:paraId="21D7849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79CC240A" w14:textId="77777777" w:rsidR="00702291" w:rsidRDefault="00712B31">
            <w:pPr>
              <w:pStyle w:val="P68B1DB1-Normal84"/>
              <w:spacing w:after="120" w:line="240" w:lineRule="auto"/>
              <w:ind w:left="52"/>
              <w:textAlignment w:val="baseline"/>
              <w:rPr>
                <w:rFonts w:eastAsiaTheme="minorHAnsi"/>
                <w:noProof/>
              </w:rPr>
            </w:pPr>
            <w:r>
              <w:rPr>
                <w:noProof/>
              </w:rPr>
              <w:t>120</w:t>
            </w:r>
          </w:p>
        </w:tc>
        <w:tc>
          <w:tcPr>
            <w:tcW w:w="3041" w:type="dxa"/>
            <w:tcBorders>
              <w:top w:val="single" w:sz="4" w:space="0" w:color="auto"/>
              <w:left w:val="nil"/>
              <w:bottom w:val="single" w:sz="4" w:space="0" w:color="auto"/>
              <w:right w:val="single" w:sz="4" w:space="0" w:color="auto"/>
            </w:tcBorders>
            <w:shd w:val="clear" w:color="auto" w:fill="C6EFCE"/>
          </w:tcPr>
          <w:p w14:paraId="278F8EAB" w14:textId="77777777" w:rsidR="00702291" w:rsidRDefault="00712B31">
            <w:pPr>
              <w:pStyle w:val="P68B1DB1-Normal80"/>
              <w:spacing w:after="120" w:line="240" w:lineRule="auto"/>
              <w:ind w:left="52"/>
              <w:rPr>
                <w:rFonts w:eastAsiaTheme="minorHAnsi"/>
                <w:noProof/>
              </w:rPr>
            </w:pPr>
            <w:r>
              <w:rPr>
                <w:noProof/>
              </w:rPr>
              <w:t>C10.R1 Reforma guvernanței Magyar Fejlesztési Bank</w:t>
            </w:r>
          </w:p>
        </w:tc>
        <w:tc>
          <w:tcPr>
            <w:tcW w:w="1446" w:type="dxa"/>
            <w:tcBorders>
              <w:top w:val="single" w:sz="4" w:space="0" w:color="auto"/>
              <w:left w:val="nil"/>
              <w:bottom w:val="single" w:sz="4" w:space="0" w:color="auto"/>
              <w:right w:val="single" w:sz="4" w:space="0" w:color="auto"/>
            </w:tcBorders>
            <w:shd w:val="clear" w:color="auto" w:fill="C6EFCE"/>
          </w:tcPr>
          <w:p w14:paraId="4960F37D" w14:textId="77777777" w:rsidR="00702291" w:rsidRDefault="00712B31">
            <w:pPr>
              <w:pStyle w:val="P68B1DB1-Normal84"/>
              <w:spacing w:after="120" w:line="240" w:lineRule="auto"/>
              <w:rPr>
                <w:rFonts w:eastAsiaTheme="minorHAnsi"/>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2769D32F" w14:textId="77777777" w:rsidR="00702291" w:rsidRDefault="00712B31">
            <w:pPr>
              <w:pStyle w:val="P68B1DB1-Normal84"/>
              <w:spacing w:after="120" w:line="240" w:lineRule="auto"/>
              <w:ind w:left="52"/>
              <w:textAlignment w:val="baseline"/>
              <w:rPr>
                <w:rFonts w:eastAsiaTheme="minorHAnsi"/>
                <w:noProof/>
              </w:rPr>
            </w:pPr>
            <w:r>
              <w:rPr>
                <w:noProof/>
              </w:rPr>
              <w:t>Revizuirea garanțiilor de stat și a altor măsuri de sprijin din partea statului care acoperă operațiunile MFB</w:t>
            </w:r>
          </w:p>
        </w:tc>
      </w:tr>
      <w:tr w:rsidR="00702291" w14:paraId="488EB7E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6405AE5A" w14:textId="77777777" w:rsidR="00702291" w:rsidRDefault="00712B31">
            <w:pPr>
              <w:pStyle w:val="P68B1DB1-Normal84"/>
              <w:spacing w:after="120" w:line="240" w:lineRule="auto"/>
              <w:ind w:left="52"/>
              <w:textAlignment w:val="baseline"/>
              <w:rPr>
                <w:noProof/>
              </w:rPr>
            </w:pPr>
            <w:r>
              <w:rPr>
                <w:noProof/>
              </w:rPr>
              <w:t>121</w:t>
            </w:r>
          </w:p>
        </w:tc>
        <w:tc>
          <w:tcPr>
            <w:tcW w:w="3041" w:type="dxa"/>
            <w:tcBorders>
              <w:top w:val="single" w:sz="4" w:space="0" w:color="auto"/>
              <w:left w:val="nil"/>
              <w:bottom w:val="single" w:sz="4" w:space="0" w:color="auto"/>
              <w:right w:val="single" w:sz="4" w:space="0" w:color="auto"/>
            </w:tcBorders>
            <w:shd w:val="clear" w:color="auto" w:fill="C6EFCE"/>
          </w:tcPr>
          <w:p w14:paraId="48FEA051" w14:textId="77777777" w:rsidR="00702291" w:rsidRDefault="00712B31">
            <w:pPr>
              <w:pStyle w:val="P68B1DB1-Normal80"/>
              <w:spacing w:after="120" w:line="240" w:lineRule="auto"/>
              <w:ind w:left="52"/>
              <w:rPr>
                <w:noProof/>
              </w:rPr>
            </w:pPr>
            <w:r>
              <w:rPr>
                <w:noProof/>
              </w:rPr>
              <w:t>C10.I1 Injecție de capital în Magyar Fejlesztési Bank (MFB)</w:t>
            </w:r>
          </w:p>
        </w:tc>
        <w:tc>
          <w:tcPr>
            <w:tcW w:w="1446" w:type="dxa"/>
            <w:tcBorders>
              <w:top w:val="single" w:sz="4" w:space="0" w:color="auto"/>
              <w:left w:val="nil"/>
              <w:bottom w:val="single" w:sz="4" w:space="0" w:color="auto"/>
              <w:right w:val="single" w:sz="4" w:space="0" w:color="auto"/>
            </w:tcBorders>
            <w:shd w:val="clear" w:color="auto" w:fill="C6EFCE"/>
          </w:tcPr>
          <w:p w14:paraId="6B59134C" w14:textId="77777777" w:rsidR="00702291" w:rsidRDefault="00712B31">
            <w:pPr>
              <w:pStyle w:val="P68B1DB1-Normal84"/>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53463C93" w14:textId="77777777" w:rsidR="00702291" w:rsidRDefault="00712B31">
            <w:pPr>
              <w:pStyle w:val="P68B1DB1-Normal84"/>
              <w:spacing w:after="120" w:line="240" w:lineRule="auto"/>
              <w:ind w:left="52"/>
              <w:textAlignment w:val="baseline"/>
              <w:rPr>
                <w:noProof/>
              </w:rPr>
            </w:pPr>
            <w:r>
              <w:rPr>
                <w:noProof/>
              </w:rPr>
              <w:t>Politică de investiții</w:t>
            </w:r>
          </w:p>
        </w:tc>
      </w:tr>
      <w:tr w:rsidR="00702291" w14:paraId="7788FC1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263122D5" w14:textId="77777777" w:rsidR="00702291" w:rsidRDefault="00712B31">
            <w:pPr>
              <w:pStyle w:val="P68B1DB1-Normal84"/>
              <w:spacing w:after="120" w:line="240" w:lineRule="auto"/>
              <w:ind w:left="52"/>
              <w:textAlignment w:val="baseline"/>
              <w:rPr>
                <w:noProof/>
              </w:rPr>
            </w:pPr>
            <w:r>
              <w:rPr>
                <w:noProof/>
              </w:rPr>
              <w:t>122</w:t>
            </w:r>
          </w:p>
        </w:tc>
        <w:tc>
          <w:tcPr>
            <w:tcW w:w="3041" w:type="dxa"/>
            <w:tcBorders>
              <w:top w:val="single" w:sz="4" w:space="0" w:color="auto"/>
              <w:left w:val="nil"/>
              <w:bottom w:val="single" w:sz="4" w:space="0" w:color="auto"/>
              <w:right w:val="single" w:sz="4" w:space="0" w:color="auto"/>
            </w:tcBorders>
            <w:shd w:val="clear" w:color="auto" w:fill="C6EFCE"/>
          </w:tcPr>
          <w:p w14:paraId="46121507" w14:textId="77777777" w:rsidR="00702291" w:rsidRDefault="00712B31">
            <w:pPr>
              <w:pStyle w:val="P68B1DB1-Normal80"/>
              <w:spacing w:after="120" w:line="240" w:lineRule="auto"/>
              <w:rPr>
                <w:noProof/>
              </w:rPr>
            </w:pPr>
            <w:r>
              <w:rPr>
                <w:noProof/>
              </w:rPr>
              <w:t>C10.I1 Injecție de capital în Magyar Fejlesztési Bank (MFB)</w:t>
            </w:r>
          </w:p>
        </w:tc>
        <w:tc>
          <w:tcPr>
            <w:tcW w:w="1446" w:type="dxa"/>
            <w:tcBorders>
              <w:top w:val="single" w:sz="4" w:space="0" w:color="auto"/>
              <w:left w:val="nil"/>
              <w:bottom w:val="single" w:sz="4" w:space="0" w:color="auto"/>
              <w:right w:val="single" w:sz="4" w:space="0" w:color="auto"/>
            </w:tcBorders>
            <w:shd w:val="clear" w:color="auto" w:fill="C6EFCE"/>
          </w:tcPr>
          <w:p w14:paraId="3EBD8A9B" w14:textId="77777777" w:rsidR="00702291" w:rsidRDefault="00712B31">
            <w:pPr>
              <w:pStyle w:val="P68B1DB1-Normal84"/>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087B26B7" w14:textId="77777777" w:rsidR="00702291" w:rsidRDefault="00712B31">
            <w:pPr>
              <w:pStyle w:val="P68B1DB1-Normal84"/>
              <w:spacing w:after="120" w:line="240" w:lineRule="auto"/>
              <w:ind w:left="52"/>
              <w:textAlignment w:val="baseline"/>
              <w:rPr>
                <w:noProof/>
              </w:rPr>
            </w:pPr>
            <w:r>
              <w:rPr>
                <w:noProof/>
              </w:rPr>
              <w:t>Injecție de capital</w:t>
            </w:r>
          </w:p>
        </w:tc>
      </w:tr>
      <w:tr w:rsidR="00702291" w14:paraId="7E31E25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D3CE93B" w14:textId="77777777" w:rsidR="00702291" w:rsidRDefault="00712B31">
            <w:pPr>
              <w:pStyle w:val="P68B1DB1-Normal84"/>
              <w:spacing w:after="120" w:line="240" w:lineRule="auto"/>
              <w:ind w:left="52"/>
              <w:textAlignment w:val="baseline"/>
              <w:rPr>
                <w:noProof/>
              </w:rPr>
            </w:pPr>
            <w:r>
              <w:rPr>
                <w:noProof/>
              </w:rPr>
              <w:t>123</w:t>
            </w:r>
          </w:p>
        </w:tc>
        <w:tc>
          <w:tcPr>
            <w:tcW w:w="3041" w:type="dxa"/>
            <w:tcBorders>
              <w:top w:val="single" w:sz="4" w:space="0" w:color="auto"/>
              <w:left w:val="nil"/>
              <w:bottom w:val="single" w:sz="4" w:space="0" w:color="auto"/>
              <w:right w:val="single" w:sz="4" w:space="0" w:color="auto"/>
            </w:tcBorders>
            <w:shd w:val="clear" w:color="auto" w:fill="C6EFCE"/>
          </w:tcPr>
          <w:p w14:paraId="04CC70A7" w14:textId="77777777" w:rsidR="00702291" w:rsidRDefault="00712B31">
            <w:pPr>
              <w:pStyle w:val="P68B1DB1-Normal80"/>
              <w:spacing w:after="120" w:line="240" w:lineRule="auto"/>
              <w:rPr>
                <w:noProof/>
              </w:rPr>
            </w:pPr>
            <w:r>
              <w:rPr>
                <w:noProof/>
              </w:rPr>
              <w:t>C10.I1 Injecție de capital în Magyar Fejlesztési Bank (MFB)</w:t>
            </w:r>
          </w:p>
        </w:tc>
        <w:tc>
          <w:tcPr>
            <w:tcW w:w="1446" w:type="dxa"/>
            <w:tcBorders>
              <w:top w:val="single" w:sz="4" w:space="0" w:color="auto"/>
              <w:left w:val="nil"/>
              <w:bottom w:val="single" w:sz="4" w:space="0" w:color="auto"/>
              <w:right w:val="single" w:sz="4" w:space="0" w:color="auto"/>
            </w:tcBorders>
            <w:shd w:val="clear" w:color="auto" w:fill="C6EFCE"/>
          </w:tcPr>
          <w:p w14:paraId="320A5F94" w14:textId="77777777" w:rsidR="00702291" w:rsidRDefault="00712B31">
            <w:pPr>
              <w:pStyle w:val="P68B1DB1-Normal84"/>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53019159" w14:textId="77777777" w:rsidR="00702291" w:rsidRDefault="00712B31">
            <w:pPr>
              <w:pStyle w:val="P68B1DB1-Normal84"/>
              <w:spacing w:after="120" w:line="240" w:lineRule="auto"/>
              <w:rPr>
                <w:noProof/>
              </w:rPr>
            </w:pPr>
            <w:r>
              <w:rPr>
                <w:noProof/>
              </w:rPr>
              <w:t>Injecție de capital</w:t>
            </w:r>
          </w:p>
        </w:tc>
      </w:tr>
      <w:tr w:rsidR="00702291" w14:paraId="56B65F7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AC509BB" w14:textId="77777777" w:rsidR="00702291" w:rsidRDefault="00712B31">
            <w:pPr>
              <w:pStyle w:val="P68B1DB1-Normal84"/>
              <w:spacing w:after="120" w:line="240" w:lineRule="auto"/>
              <w:ind w:left="52"/>
              <w:textAlignment w:val="baseline"/>
              <w:rPr>
                <w:noProof/>
              </w:rPr>
            </w:pPr>
            <w:r>
              <w:rPr>
                <w:noProof/>
              </w:rPr>
              <w:t>125</w:t>
            </w:r>
          </w:p>
        </w:tc>
        <w:tc>
          <w:tcPr>
            <w:tcW w:w="3041" w:type="dxa"/>
            <w:tcBorders>
              <w:top w:val="single" w:sz="4" w:space="0" w:color="auto"/>
              <w:left w:val="nil"/>
              <w:bottom w:val="single" w:sz="4" w:space="0" w:color="auto"/>
              <w:right w:val="single" w:sz="4" w:space="0" w:color="auto"/>
            </w:tcBorders>
            <w:shd w:val="clear" w:color="auto" w:fill="C6EFCE"/>
          </w:tcPr>
          <w:p w14:paraId="54133AF3" w14:textId="77777777" w:rsidR="00702291" w:rsidRDefault="00712B31">
            <w:pPr>
              <w:pStyle w:val="P68B1DB1-Normal80"/>
              <w:spacing w:after="120" w:line="240" w:lineRule="auto"/>
              <w:rPr>
                <w:noProof/>
              </w:rPr>
            </w:pPr>
            <w:r>
              <w:rPr>
                <w:noProof/>
              </w:rPr>
              <w:t>C11.I1 Servicii de e-guvernare</w:t>
            </w:r>
          </w:p>
        </w:tc>
        <w:tc>
          <w:tcPr>
            <w:tcW w:w="1446" w:type="dxa"/>
            <w:tcBorders>
              <w:top w:val="single" w:sz="4" w:space="0" w:color="auto"/>
              <w:left w:val="nil"/>
              <w:bottom w:val="single" w:sz="4" w:space="0" w:color="auto"/>
              <w:right w:val="single" w:sz="4" w:space="0" w:color="auto"/>
            </w:tcBorders>
            <w:shd w:val="clear" w:color="auto" w:fill="C6EFCE"/>
          </w:tcPr>
          <w:p w14:paraId="00C96B53" w14:textId="77777777" w:rsidR="00702291" w:rsidRDefault="00712B31">
            <w:pPr>
              <w:pStyle w:val="P68B1DB1-Normal84"/>
              <w:spacing w:after="120" w:line="240" w:lineRule="auto"/>
              <w:rPr>
                <w:noProof/>
              </w:rPr>
            </w:pPr>
            <w:r>
              <w:rPr>
                <w:noProof/>
              </w:rPr>
              <w:t>Etapă</w:t>
            </w:r>
          </w:p>
        </w:tc>
        <w:tc>
          <w:tcPr>
            <w:tcW w:w="3373" w:type="dxa"/>
            <w:tcBorders>
              <w:top w:val="single" w:sz="4" w:space="0" w:color="auto"/>
              <w:left w:val="nil"/>
              <w:bottom w:val="single" w:sz="4" w:space="0" w:color="auto"/>
              <w:right w:val="single" w:sz="4" w:space="0" w:color="auto"/>
            </w:tcBorders>
            <w:shd w:val="clear" w:color="auto" w:fill="C6EFCE"/>
          </w:tcPr>
          <w:p w14:paraId="4A2709F9" w14:textId="77777777" w:rsidR="00702291" w:rsidRDefault="00712B31">
            <w:pPr>
              <w:pStyle w:val="P68B1DB1-Normal80"/>
              <w:spacing w:after="120" w:line="240" w:lineRule="auto"/>
              <w:rPr>
                <w:noProof/>
              </w:rPr>
            </w:pPr>
            <w:r>
              <w:rPr>
                <w:noProof/>
              </w:rPr>
              <w:t>Soluția pentru portofelul digital de date</w:t>
            </w:r>
          </w:p>
        </w:tc>
      </w:tr>
      <w:tr w:rsidR="00702291" w14:paraId="0A83F693" w14:textId="77777777">
        <w:tblPrEx>
          <w:tblCellMar>
            <w:top w:w="0" w:type="dxa"/>
          </w:tblCellMar>
        </w:tblPrEx>
        <w:trPr>
          <w:gridAfter w:val="1"/>
          <w:wAfter w:w="236" w:type="dxa"/>
          <w:trHeight w:val="796"/>
        </w:trPr>
        <w:tc>
          <w:tcPr>
            <w:tcW w:w="5694" w:type="dxa"/>
            <w:gridSpan w:val="3"/>
            <w:tcBorders>
              <w:top w:val="single" w:sz="4" w:space="0" w:color="auto"/>
              <w:left w:val="single" w:sz="4" w:space="0" w:color="auto"/>
              <w:bottom w:val="single" w:sz="4" w:space="0" w:color="auto"/>
              <w:right w:val="single" w:sz="4" w:space="0" w:color="auto"/>
            </w:tcBorders>
            <w:shd w:val="clear" w:color="auto" w:fill="C6EFCE"/>
            <w:vAlign w:val="center"/>
          </w:tcPr>
          <w:p w14:paraId="2D7A0F09" w14:textId="77777777" w:rsidR="00702291" w:rsidRDefault="00712B31">
            <w:pPr>
              <w:pStyle w:val="P68B1DB1-Normal84"/>
              <w:spacing w:after="120" w:line="240" w:lineRule="auto"/>
              <w:jc w:val="center"/>
              <w:rPr>
                <w:noProof/>
              </w:rPr>
            </w:pPr>
            <w:r>
              <w:rPr>
                <w:noProof/>
              </w:rPr>
              <w:t>Valoarea tranșei</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E9F90D4" w14:textId="1765F404" w:rsidR="00702291" w:rsidRDefault="00712B31">
            <w:pPr>
              <w:pStyle w:val="P68B1DB1-Normal80"/>
              <w:jc w:val="center"/>
              <w:rPr>
                <w:noProof/>
                <w:highlight w:val="yellow"/>
              </w:rPr>
            </w:pPr>
            <w:r>
              <w:rPr>
                <w:noProof/>
              </w:rPr>
              <w:t>6 511 661 435 MIL.</w:t>
            </w:r>
          </w:p>
        </w:tc>
      </w:tr>
    </w:tbl>
    <w:p w14:paraId="597C608F" w14:textId="77777777" w:rsidR="00702291" w:rsidRDefault="00702291">
      <w:pPr>
        <w:rPr>
          <w:noProof/>
        </w:rPr>
      </w:pPr>
    </w:p>
    <w:p w14:paraId="139142C4" w14:textId="77777777" w:rsidR="00702291" w:rsidRDefault="00712B31" w:rsidP="00494F0E">
      <w:pPr>
        <w:pStyle w:val="P68B1DB1-Heading286"/>
        <w:numPr>
          <w:ilvl w:val="0"/>
          <w:numId w:val="16"/>
        </w:numPr>
        <w:spacing w:before="0" w:after="120"/>
        <w:ind w:left="1440"/>
        <w:rPr>
          <w:rFonts w:eastAsia="Calibri"/>
          <w:noProof/>
        </w:rPr>
      </w:pPr>
      <w:r>
        <w:rPr>
          <w:noProof/>
        </w:rPr>
        <w:t xml:space="preserve">Împrumut </w:t>
      </w:r>
    </w:p>
    <w:p w14:paraId="46BB137F" w14:textId="77777777" w:rsidR="00702291" w:rsidRDefault="00712B31" w:rsidP="00494F0E">
      <w:pPr>
        <w:pStyle w:val="P68B1DB1-Normal80"/>
        <w:keepNext/>
        <w:spacing w:after="120" w:line="240" w:lineRule="auto"/>
        <w:jc w:val="both"/>
        <w:rPr>
          <w:rFonts w:eastAsia="Calibri"/>
          <w:noProof/>
        </w:rPr>
      </w:pPr>
      <w:r>
        <w:rPr>
          <w:noProof/>
        </w:rPr>
        <w:t>Tranșele menționate la articolul 3 alineatul (2) se organizează după cum urmează:</w:t>
      </w:r>
    </w:p>
    <w:p w14:paraId="11E7D51E" w14:textId="77777777" w:rsidR="00702291" w:rsidRDefault="00712B31">
      <w:pPr>
        <w:pStyle w:val="P68B1DB1-Heading387"/>
        <w:numPr>
          <w:ilvl w:val="1"/>
          <w:numId w:val="16"/>
        </w:numPr>
        <w:spacing w:before="0" w:after="120"/>
        <w:ind w:left="1440" w:hanging="360"/>
        <w:rPr>
          <w:noProof/>
        </w:rPr>
      </w:pPr>
      <w:r>
        <w:rPr>
          <w:noProof/>
        </w:rPr>
        <w:t xml:space="preserve">Prima tranșă (sprijin sub formă de împrumut): </w:t>
      </w:r>
    </w:p>
    <w:tbl>
      <w:tblPr>
        <w:tblW w:w="9303" w:type="dxa"/>
        <w:tblInd w:w="113" w:type="dxa"/>
        <w:tblLayout w:type="fixed"/>
        <w:tblCellMar>
          <w:top w:w="15" w:type="dxa"/>
        </w:tblCellMar>
        <w:tblLook w:val="04A0" w:firstRow="1" w:lastRow="0" w:firstColumn="1" w:lastColumn="0" w:noHBand="0" w:noVBand="1"/>
      </w:tblPr>
      <w:tblGrid>
        <w:gridCol w:w="1238"/>
        <w:gridCol w:w="3120"/>
        <w:gridCol w:w="1194"/>
        <w:gridCol w:w="3751"/>
      </w:tblGrid>
      <w:tr w:rsidR="00702291" w14:paraId="0D2AF34C" w14:textId="77777777">
        <w:trPr>
          <w:trHeight w:val="458"/>
          <w:tblHeader/>
        </w:trPr>
        <w:tc>
          <w:tcPr>
            <w:tcW w:w="1238"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05E79B8C" w14:textId="77777777" w:rsidR="00702291" w:rsidRDefault="00712B31">
            <w:pPr>
              <w:pStyle w:val="P68B1DB1-Normal79"/>
              <w:spacing w:after="120" w:line="240" w:lineRule="auto"/>
              <w:jc w:val="center"/>
              <w:rPr>
                <w:noProof/>
              </w:rPr>
            </w:pPr>
            <w:r>
              <w:rPr>
                <w:noProof/>
              </w:rPr>
              <w:t>Număr secvențial</w:t>
            </w:r>
          </w:p>
        </w:tc>
        <w:tc>
          <w:tcPr>
            <w:tcW w:w="3120"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2146ED74" w14:textId="77777777" w:rsidR="00702291" w:rsidRDefault="00712B31">
            <w:pPr>
              <w:pStyle w:val="P68B1DB1-Normal79"/>
              <w:spacing w:after="120" w:line="240" w:lineRule="auto"/>
              <w:jc w:val="center"/>
              <w:rPr>
                <w:noProof/>
              </w:rPr>
            </w:pPr>
            <w:r>
              <w:rPr>
                <w:noProof/>
              </w:rPr>
              <w:t>Măsură conexă (reformă sau investiții)</w:t>
            </w:r>
          </w:p>
        </w:tc>
        <w:tc>
          <w:tcPr>
            <w:tcW w:w="1194"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39103955" w14:textId="77777777" w:rsidR="00702291" w:rsidRDefault="00712B31">
            <w:pPr>
              <w:pStyle w:val="P68B1DB1-Normal79"/>
              <w:spacing w:after="120" w:line="240" w:lineRule="auto"/>
              <w:jc w:val="center"/>
              <w:rPr>
                <w:noProof/>
              </w:rPr>
            </w:pPr>
            <w:r>
              <w:rPr>
                <w:noProof/>
              </w:rPr>
              <w:t>Etapă/Obiectiv</w:t>
            </w:r>
          </w:p>
        </w:tc>
        <w:tc>
          <w:tcPr>
            <w:tcW w:w="3751"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3E744294" w14:textId="77777777" w:rsidR="00702291" w:rsidRDefault="00712B31">
            <w:pPr>
              <w:pStyle w:val="P68B1DB1-Normal79"/>
              <w:spacing w:after="120" w:line="240" w:lineRule="auto"/>
              <w:jc w:val="center"/>
              <w:rPr>
                <w:noProof/>
              </w:rPr>
            </w:pPr>
            <w:r>
              <w:rPr>
                <w:noProof/>
              </w:rPr>
              <w:t>Nume</w:t>
            </w:r>
          </w:p>
        </w:tc>
      </w:tr>
      <w:tr w:rsidR="00702291" w14:paraId="11685A60" w14:textId="77777777">
        <w:trPr>
          <w:trHeight w:val="458"/>
          <w:tblHead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43C461AF" w14:textId="77777777" w:rsidR="00702291" w:rsidRDefault="00702291">
            <w:pPr>
              <w:spacing w:after="120" w:line="240" w:lineRule="auto"/>
              <w:rPr>
                <w:rFonts w:ascii="Times New Roman" w:eastAsia="Times New Roman" w:hAnsi="Times New Roman" w:cs="Times New Roman"/>
                <w:b/>
                <w:noProof/>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5FE43D74" w14:textId="77777777" w:rsidR="00702291" w:rsidRDefault="00702291">
            <w:pPr>
              <w:spacing w:after="120" w:line="240" w:lineRule="auto"/>
              <w:rPr>
                <w:rFonts w:ascii="Times New Roman" w:eastAsia="Times New Roman" w:hAnsi="Times New Roman" w:cs="Times New Roman"/>
                <w:b/>
                <w:noProof/>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521684E6" w14:textId="77777777" w:rsidR="00702291" w:rsidRDefault="00702291">
            <w:pPr>
              <w:spacing w:after="120" w:line="240" w:lineRule="auto"/>
              <w:rPr>
                <w:rFonts w:ascii="Times New Roman" w:eastAsia="Times New Roman" w:hAnsi="Times New Roman" w:cs="Times New Roman"/>
                <w:b/>
                <w:noProof/>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44F54BC3" w14:textId="77777777" w:rsidR="00702291" w:rsidRDefault="00702291">
            <w:pPr>
              <w:spacing w:after="120" w:line="240" w:lineRule="auto"/>
              <w:rPr>
                <w:rFonts w:ascii="Times New Roman" w:eastAsia="Times New Roman" w:hAnsi="Times New Roman" w:cs="Times New Roman"/>
                <w:b/>
                <w:noProof/>
              </w:rPr>
            </w:pPr>
          </w:p>
        </w:tc>
      </w:tr>
      <w:tr w:rsidR="00702291" w14:paraId="05CC1622" w14:textId="77777777">
        <w:trPr>
          <w:trHeight w:val="458"/>
          <w:tblHead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6B5FC2E1" w14:textId="77777777" w:rsidR="00702291" w:rsidRDefault="00702291">
            <w:pPr>
              <w:spacing w:after="120" w:line="240" w:lineRule="auto"/>
              <w:rPr>
                <w:rFonts w:ascii="Times New Roman" w:eastAsia="Times New Roman" w:hAnsi="Times New Roman" w:cs="Times New Roman"/>
                <w:b/>
                <w:noProof/>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53C41FCF" w14:textId="77777777" w:rsidR="00702291" w:rsidRDefault="00702291">
            <w:pPr>
              <w:spacing w:after="120" w:line="240" w:lineRule="auto"/>
              <w:rPr>
                <w:rFonts w:ascii="Times New Roman" w:eastAsia="Times New Roman" w:hAnsi="Times New Roman" w:cs="Times New Roman"/>
                <w:b/>
                <w:noProof/>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26051B99" w14:textId="77777777" w:rsidR="00702291" w:rsidRDefault="00702291">
            <w:pPr>
              <w:spacing w:after="120" w:line="240" w:lineRule="auto"/>
              <w:rPr>
                <w:rFonts w:ascii="Times New Roman" w:eastAsia="Times New Roman" w:hAnsi="Times New Roman" w:cs="Times New Roman"/>
                <w:b/>
                <w:noProof/>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2D00766E" w14:textId="77777777" w:rsidR="00702291" w:rsidRDefault="00702291">
            <w:pPr>
              <w:spacing w:after="120" w:line="240" w:lineRule="auto"/>
              <w:rPr>
                <w:rFonts w:ascii="Times New Roman" w:eastAsia="Times New Roman" w:hAnsi="Times New Roman" w:cs="Times New Roman"/>
                <w:b/>
                <w:noProof/>
              </w:rPr>
            </w:pPr>
          </w:p>
        </w:tc>
      </w:tr>
      <w:tr w:rsidR="00702291" w14:paraId="7750C30D"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vAlign w:val="center"/>
          </w:tcPr>
          <w:p w14:paraId="0179C45D" w14:textId="77777777" w:rsidR="00702291" w:rsidRDefault="00712B31">
            <w:pPr>
              <w:pStyle w:val="P68B1DB1-Normal80"/>
              <w:spacing w:after="120" w:line="240" w:lineRule="auto"/>
              <w:rPr>
                <w:rFonts w:eastAsia="Times New Roman"/>
                <w:noProof/>
              </w:rPr>
            </w:pPr>
            <w:r>
              <w:rPr>
                <w:noProof/>
              </w:rPr>
              <w:t>32</w:t>
            </w:r>
          </w:p>
        </w:tc>
        <w:tc>
          <w:tcPr>
            <w:tcW w:w="3120" w:type="dxa"/>
            <w:tcBorders>
              <w:top w:val="nil"/>
              <w:left w:val="nil"/>
              <w:bottom w:val="single" w:sz="4" w:space="0" w:color="auto"/>
              <w:right w:val="single" w:sz="4" w:space="0" w:color="auto"/>
            </w:tcBorders>
            <w:shd w:val="clear" w:color="000000" w:fill="C6EFCE"/>
            <w:vAlign w:val="center"/>
          </w:tcPr>
          <w:p w14:paraId="376EC521" w14:textId="77777777" w:rsidR="00702291" w:rsidRDefault="00712B31">
            <w:pPr>
              <w:pStyle w:val="P68B1DB1-Normal80"/>
              <w:spacing w:after="120" w:line="240" w:lineRule="auto"/>
              <w:rPr>
                <w:rFonts w:eastAsia="Times New Roman"/>
                <w:noProof/>
              </w:rPr>
            </w:pPr>
            <w:r>
              <w:rPr>
                <w:noProof/>
              </w:rPr>
              <w:t>C5.I8: Injecția de capital într-o societate pe acțiuni nou creată „ROSCO”</w:t>
            </w:r>
          </w:p>
        </w:tc>
        <w:tc>
          <w:tcPr>
            <w:tcW w:w="1194" w:type="dxa"/>
            <w:tcBorders>
              <w:top w:val="nil"/>
              <w:left w:val="nil"/>
              <w:bottom w:val="single" w:sz="4" w:space="0" w:color="auto"/>
              <w:right w:val="single" w:sz="4" w:space="0" w:color="auto"/>
            </w:tcBorders>
            <w:shd w:val="clear" w:color="000000" w:fill="C6EFCE"/>
          </w:tcPr>
          <w:p w14:paraId="2F8D5650" w14:textId="77777777" w:rsidR="00702291" w:rsidRDefault="00712B31">
            <w:pPr>
              <w:pStyle w:val="P68B1DB1-Normal80"/>
              <w:spacing w:after="120" w:line="240" w:lineRule="auto"/>
              <w:rPr>
                <w:rFonts w:eastAsia="Times New Roman"/>
                <w:noProof/>
              </w:rPr>
            </w:pPr>
            <w:r>
              <w:rPr>
                <w:noProof/>
              </w:rPr>
              <w:t xml:space="preserve">Etapă </w:t>
            </w:r>
          </w:p>
        </w:tc>
        <w:tc>
          <w:tcPr>
            <w:tcW w:w="3751" w:type="dxa"/>
            <w:tcBorders>
              <w:top w:val="nil"/>
              <w:left w:val="nil"/>
              <w:bottom w:val="single" w:sz="4" w:space="0" w:color="auto"/>
              <w:right w:val="single" w:sz="4" w:space="0" w:color="auto"/>
            </w:tcBorders>
            <w:shd w:val="clear" w:color="000000" w:fill="C6EFCE"/>
          </w:tcPr>
          <w:p w14:paraId="5C34F967" w14:textId="77777777" w:rsidR="00702291" w:rsidRDefault="00712B31">
            <w:pPr>
              <w:pStyle w:val="P68B1DB1-Normal80"/>
              <w:spacing w:after="120" w:line="240" w:lineRule="auto"/>
              <w:rPr>
                <w:rFonts w:eastAsia="Times New Roman"/>
                <w:noProof/>
              </w:rPr>
            </w:pPr>
            <w:r>
              <w:rPr>
                <w:noProof/>
              </w:rPr>
              <w:t>Injecția de capital în ROSCO</w:t>
            </w:r>
          </w:p>
        </w:tc>
      </w:tr>
      <w:tr w:rsidR="00702291" w14:paraId="4023345C"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vAlign w:val="center"/>
          </w:tcPr>
          <w:p w14:paraId="7057B35E" w14:textId="77777777" w:rsidR="00702291" w:rsidRDefault="00712B31">
            <w:pPr>
              <w:pStyle w:val="P68B1DB1-Normal80"/>
              <w:spacing w:after="120" w:line="240" w:lineRule="auto"/>
              <w:rPr>
                <w:rFonts w:eastAsia="Times New Roman"/>
                <w:noProof/>
              </w:rPr>
            </w:pPr>
            <w:r>
              <w:rPr>
                <w:noProof/>
              </w:rPr>
              <w:t>33</w:t>
            </w:r>
          </w:p>
        </w:tc>
        <w:tc>
          <w:tcPr>
            <w:tcW w:w="3120" w:type="dxa"/>
            <w:tcBorders>
              <w:top w:val="nil"/>
              <w:left w:val="nil"/>
              <w:bottom w:val="single" w:sz="4" w:space="0" w:color="auto"/>
              <w:right w:val="single" w:sz="4" w:space="0" w:color="auto"/>
            </w:tcBorders>
            <w:shd w:val="clear" w:color="000000" w:fill="C6EFCE"/>
            <w:vAlign w:val="center"/>
          </w:tcPr>
          <w:p w14:paraId="6F8921D8" w14:textId="77777777" w:rsidR="00702291" w:rsidRDefault="00712B31">
            <w:pPr>
              <w:pStyle w:val="P68B1DB1-Normal80"/>
              <w:spacing w:after="120" w:line="240" w:lineRule="auto"/>
              <w:rPr>
                <w:rFonts w:eastAsia="Times New Roman"/>
                <w:noProof/>
              </w:rPr>
            </w:pPr>
            <w:r>
              <w:rPr>
                <w:noProof/>
              </w:rPr>
              <w:t>C5.R2 Reforma serviciilor feroviare în Ungaria</w:t>
            </w:r>
          </w:p>
        </w:tc>
        <w:tc>
          <w:tcPr>
            <w:tcW w:w="1194" w:type="dxa"/>
            <w:tcBorders>
              <w:top w:val="nil"/>
              <w:left w:val="nil"/>
              <w:bottom w:val="single" w:sz="4" w:space="0" w:color="auto"/>
              <w:right w:val="single" w:sz="4" w:space="0" w:color="auto"/>
            </w:tcBorders>
            <w:shd w:val="clear" w:color="000000" w:fill="C6EFCE"/>
            <w:vAlign w:val="center"/>
          </w:tcPr>
          <w:p w14:paraId="7AE44FAE" w14:textId="77777777" w:rsidR="00702291" w:rsidRDefault="00712B31">
            <w:pPr>
              <w:pStyle w:val="P68B1DB1-Normal80"/>
              <w:spacing w:after="120" w:line="240" w:lineRule="auto"/>
              <w:rPr>
                <w:rFonts w:eastAsia="Times New Roman"/>
                <w:noProof/>
              </w:rPr>
            </w:pPr>
            <w:r>
              <w:rPr>
                <w:noProof/>
              </w:rPr>
              <w:t>Etapă</w:t>
            </w:r>
          </w:p>
        </w:tc>
        <w:tc>
          <w:tcPr>
            <w:tcW w:w="3751" w:type="dxa"/>
            <w:tcBorders>
              <w:top w:val="nil"/>
              <w:left w:val="nil"/>
              <w:bottom w:val="single" w:sz="4" w:space="0" w:color="auto"/>
              <w:right w:val="single" w:sz="4" w:space="0" w:color="auto"/>
            </w:tcBorders>
            <w:shd w:val="clear" w:color="000000" w:fill="C6EFCE"/>
            <w:vAlign w:val="center"/>
          </w:tcPr>
          <w:p w14:paraId="23D1BBED" w14:textId="77777777" w:rsidR="00702291" w:rsidRDefault="00712B31">
            <w:pPr>
              <w:pStyle w:val="P68B1DB1-Normal88"/>
              <w:spacing w:after="120" w:line="240" w:lineRule="auto"/>
              <w:rPr>
                <w:rFonts w:eastAsia="Times New Roman"/>
                <w:noProof/>
              </w:rPr>
            </w:pPr>
            <w:r>
              <w:rPr>
                <w:noProof/>
              </w:rPr>
              <w:t>Înființarea Autorității Naționale de Transport Public</w:t>
            </w:r>
          </w:p>
        </w:tc>
      </w:tr>
      <w:tr w:rsidR="00702291" w14:paraId="22A4B5E2"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vAlign w:val="center"/>
          </w:tcPr>
          <w:p w14:paraId="219C8F48" w14:textId="77777777" w:rsidR="00702291" w:rsidRDefault="00712B31">
            <w:pPr>
              <w:pStyle w:val="P68B1DB1-Normal80"/>
              <w:spacing w:after="120" w:line="240" w:lineRule="auto"/>
              <w:rPr>
                <w:rFonts w:eastAsia="Times New Roman"/>
                <w:noProof/>
              </w:rPr>
            </w:pPr>
            <w:r>
              <w:rPr>
                <w:noProof/>
              </w:rPr>
              <w:t>34</w:t>
            </w:r>
          </w:p>
        </w:tc>
        <w:tc>
          <w:tcPr>
            <w:tcW w:w="3120" w:type="dxa"/>
            <w:tcBorders>
              <w:top w:val="nil"/>
              <w:left w:val="nil"/>
              <w:bottom w:val="single" w:sz="4" w:space="0" w:color="auto"/>
              <w:right w:val="single" w:sz="4" w:space="0" w:color="auto"/>
            </w:tcBorders>
            <w:shd w:val="clear" w:color="000000" w:fill="C6EFCE"/>
            <w:vAlign w:val="center"/>
          </w:tcPr>
          <w:p w14:paraId="0E31792D" w14:textId="77777777" w:rsidR="00702291" w:rsidRDefault="00712B31">
            <w:pPr>
              <w:pStyle w:val="P68B1DB1-Normal80"/>
              <w:spacing w:after="120" w:line="240" w:lineRule="auto"/>
              <w:rPr>
                <w:rFonts w:eastAsia="Times New Roman"/>
                <w:noProof/>
              </w:rPr>
            </w:pPr>
            <w:r>
              <w:rPr>
                <w:noProof/>
              </w:rPr>
              <w:t>C5.R2 Reforma serviciilor feroviare în Ungaria</w:t>
            </w:r>
          </w:p>
        </w:tc>
        <w:tc>
          <w:tcPr>
            <w:tcW w:w="1194" w:type="dxa"/>
            <w:tcBorders>
              <w:top w:val="nil"/>
              <w:left w:val="nil"/>
              <w:bottom w:val="single" w:sz="4" w:space="0" w:color="auto"/>
              <w:right w:val="single" w:sz="4" w:space="0" w:color="auto"/>
            </w:tcBorders>
            <w:shd w:val="clear" w:color="000000" w:fill="C6EFCE"/>
            <w:vAlign w:val="center"/>
          </w:tcPr>
          <w:p w14:paraId="1B0279C8" w14:textId="77777777" w:rsidR="00702291" w:rsidRDefault="00712B31">
            <w:pPr>
              <w:pStyle w:val="P68B1DB1-Normal80"/>
              <w:spacing w:after="120" w:line="240" w:lineRule="auto"/>
              <w:rPr>
                <w:rFonts w:eastAsia="Times New Roman"/>
                <w:noProof/>
              </w:rPr>
            </w:pPr>
            <w:r>
              <w:rPr>
                <w:noProof/>
              </w:rPr>
              <w:t>Etapă</w:t>
            </w:r>
          </w:p>
        </w:tc>
        <w:tc>
          <w:tcPr>
            <w:tcW w:w="3751" w:type="dxa"/>
            <w:tcBorders>
              <w:top w:val="nil"/>
              <w:left w:val="nil"/>
              <w:bottom w:val="single" w:sz="4" w:space="0" w:color="auto"/>
              <w:right w:val="single" w:sz="4" w:space="0" w:color="auto"/>
            </w:tcBorders>
            <w:shd w:val="clear" w:color="000000" w:fill="C6EFCE"/>
            <w:vAlign w:val="center"/>
          </w:tcPr>
          <w:p w14:paraId="4906BD9B" w14:textId="77777777" w:rsidR="00702291" w:rsidRDefault="00712B31">
            <w:pPr>
              <w:pStyle w:val="P68B1DB1-Normal88"/>
              <w:spacing w:after="120" w:line="240" w:lineRule="auto"/>
              <w:rPr>
                <w:rFonts w:eastAsia="Times New Roman"/>
                <w:noProof/>
              </w:rPr>
            </w:pPr>
            <w:r>
              <w:rPr>
                <w:noProof/>
              </w:rPr>
              <w:t>Înființarea ROSCO</w:t>
            </w:r>
          </w:p>
        </w:tc>
      </w:tr>
      <w:tr w:rsidR="00702291" w14:paraId="31DB9F43"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tcPr>
          <w:p w14:paraId="23E25906" w14:textId="77777777" w:rsidR="00702291" w:rsidRDefault="00712B31">
            <w:pPr>
              <w:pStyle w:val="P68B1DB1-Normal84"/>
              <w:spacing w:after="120" w:line="240" w:lineRule="auto"/>
              <w:rPr>
                <w:noProof/>
              </w:rPr>
            </w:pPr>
            <w:r>
              <w:rPr>
                <w:noProof/>
              </w:rPr>
              <w:t>123</w:t>
            </w:r>
          </w:p>
        </w:tc>
        <w:tc>
          <w:tcPr>
            <w:tcW w:w="3120" w:type="dxa"/>
            <w:tcBorders>
              <w:top w:val="nil"/>
              <w:left w:val="nil"/>
              <w:bottom w:val="single" w:sz="4" w:space="0" w:color="auto"/>
              <w:right w:val="single" w:sz="4" w:space="0" w:color="auto"/>
            </w:tcBorders>
            <w:shd w:val="clear" w:color="000000" w:fill="C6EFCE"/>
          </w:tcPr>
          <w:p w14:paraId="3D7DFE51" w14:textId="77777777" w:rsidR="00702291" w:rsidRDefault="00712B31">
            <w:pPr>
              <w:pStyle w:val="P68B1DB1-Normal80"/>
              <w:spacing w:after="120" w:line="240" w:lineRule="auto"/>
              <w:rPr>
                <w:rFonts w:eastAsia="Times New Roman"/>
                <w:noProof/>
              </w:rPr>
            </w:pPr>
            <w:r>
              <w:rPr>
                <w:noProof/>
              </w:rPr>
              <w:t>C10.I2 Injecție de capital în Magyar Fejlesztési Bank (MFB)</w:t>
            </w:r>
          </w:p>
        </w:tc>
        <w:tc>
          <w:tcPr>
            <w:tcW w:w="1194" w:type="dxa"/>
            <w:tcBorders>
              <w:top w:val="nil"/>
              <w:left w:val="nil"/>
              <w:bottom w:val="single" w:sz="4" w:space="0" w:color="auto"/>
              <w:right w:val="single" w:sz="4" w:space="0" w:color="auto"/>
            </w:tcBorders>
            <w:shd w:val="clear" w:color="000000" w:fill="C6EFCE"/>
          </w:tcPr>
          <w:p w14:paraId="259239AD" w14:textId="3D4EFEDE" w:rsidR="00702291" w:rsidRDefault="00712B31">
            <w:pPr>
              <w:pStyle w:val="P68B1DB1-Normal80"/>
              <w:spacing w:after="120" w:line="240" w:lineRule="auto"/>
              <w:rPr>
                <w:rFonts w:eastAsia="Times New Roman"/>
                <w:noProof/>
              </w:rPr>
            </w:pPr>
            <w:r>
              <w:rPr>
                <w:noProof/>
              </w:rPr>
              <w:t>Etapă</w:t>
            </w:r>
          </w:p>
        </w:tc>
        <w:tc>
          <w:tcPr>
            <w:tcW w:w="3751" w:type="dxa"/>
            <w:tcBorders>
              <w:top w:val="nil"/>
              <w:left w:val="nil"/>
              <w:bottom w:val="single" w:sz="4" w:space="0" w:color="auto"/>
              <w:right w:val="single" w:sz="4" w:space="0" w:color="auto"/>
            </w:tcBorders>
            <w:shd w:val="clear" w:color="000000" w:fill="C6EFCE"/>
          </w:tcPr>
          <w:p w14:paraId="75BB69ED" w14:textId="77777777" w:rsidR="00702291" w:rsidRDefault="00712B31">
            <w:pPr>
              <w:pStyle w:val="P68B1DB1-Normal80"/>
              <w:spacing w:after="120" w:line="240" w:lineRule="auto"/>
              <w:rPr>
                <w:rFonts w:eastAsia="Times New Roman"/>
                <w:noProof/>
              </w:rPr>
            </w:pPr>
            <w:r>
              <w:rPr>
                <w:noProof/>
              </w:rPr>
              <w:t>C10.I2 Injecție de capital în Magyar Fejlesztési Bank (MFB)</w:t>
            </w:r>
          </w:p>
        </w:tc>
      </w:tr>
      <w:tr w:rsidR="00702291" w14:paraId="167C0F33"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tcPr>
          <w:p w14:paraId="5179920C" w14:textId="77777777" w:rsidR="00702291" w:rsidRDefault="00712B31">
            <w:pPr>
              <w:pStyle w:val="P68B1DB1-Normal84"/>
              <w:spacing w:after="120" w:line="240" w:lineRule="auto"/>
              <w:rPr>
                <w:noProof/>
              </w:rPr>
            </w:pPr>
            <w:r>
              <w:rPr>
                <w:noProof/>
              </w:rPr>
              <w:t>124</w:t>
            </w:r>
          </w:p>
        </w:tc>
        <w:tc>
          <w:tcPr>
            <w:tcW w:w="3120" w:type="dxa"/>
            <w:tcBorders>
              <w:top w:val="nil"/>
              <w:left w:val="nil"/>
              <w:bottom w:val="single" w:sz="4" w:space="0" w:color="auto"/>
              <w:right w:val="single" w:sz="4" w:space="0" w:color="auto"/>
            </w:tcBorders>
            <w:shd w:val="clear" w:color="000000" w:fill="C6EFCE"/>
          </w:tcPr>
          <w:p w14:paraId="3FE4C5DA" w14:textId="77777777" w:rsidR="00702291" w:rsidRDefault="00712B31">
            <w:pPr>
              <w:pStyle w:val="P68B1DB1-Normal80"/>
              <w:spacing w:after="120" w:line="240" w:lineRule="auto"/>
              <w:rPr>
                <w:rFonts w:eastAsia="Times New Roman"/>
                <w:noProof/>
              </w:rPr>
            </w:pPr>
            <w:r>
              <w:rPr>
                <w:noProof/>
              </w:rPr>
              <w:t>C10.I2 Injecție de capital în Magyar Fejlesztési Bank (MFB)</w:t>
            </w:r>
          </w:p>
        </w:tc>
        <w:tc>
          <w:tcPr>
            <w:tcW w:w="1194" w:type="dxa"/>
            <w:tcBorders>
              <w:top w:val="nil"/>
              <w:left w:val="nil"/>
              <w:bottom w:val="single" w:sz="4" w:space="0" w:color="auto"/>
              <w:right w:val="single" w:sz="4" w:space="0" w:color="auto"/>
            </w:tcBorders>
            <w:shd w:val="clear" w:color="000000" w:fill="C6EFCE"/>
          </w:tcPr>
          <w:p w14:paraId="468720D3" w14:textId="1A945415" w:rsidR="00702291" w:rsidRDefault="00712B31">
            <w:pPr>
              <w:pStyle w:val="P68B1DB1-Normal80"/>
              <w:spacing w:after="120" w:line="240" w:lineRule="auto"/>
              <w:rPr>
                <w:rFonts w:eastAsia="Times New Roman"/>
                <w:noProof/>
              </w:rPr>
            </w:pPr>
            <w:r>
              <w:rPr>
                <w:noProof/>
              </w:rPr>
              <w:t>Etapă</w:t>
            </w:r>
          </w:p>
        </w:tc>
        <w:tc>
          <w:tcPr>
            <w:tcW w:w="3751" w:type="dxa"/>
            <w:tcBorders>
              <w:top w:val="nil"/>
              <w:left w:val="nil"/>
              <w:bottom w:val="single" w:sz="4" w:space="0" w:color="auto"/>
              <w:right w:val="single" w:sz="4" w:space="0" w:color="auto"/>
            </w:tcBorders>
            <w:shd w:val="clear" w:color="000000" w:fill="C6EFCE"/>
          </w:tcPr>
          <w:p w14:paraId="49031651" w14:textId="77777777" w:rsidR="00702291" w:rsidRDefault="00712B31">
            <w:pPr>
              <w:pStyle w:val="P68B1DB1-Normal80"/>
              <w:spacing w:after="120" w:line="240" w:lineRule="auto"/>
              <w:rPr>
                <w:rFonts w:eastAsia="Times New Roman"/>
                <w:noProof/>
              </w:rPr>
            </w:pPr>
            <w:r>
              <w:rPr>
                <w:noProof/>
              </w:rPr>
              <w:t>C10.I2 Injecție de capital în Magyar Fejlesztési Bank (MFB)</w:t>
            </w:r>
          </w:p>
        </w:tc>
      </w:tr>
      <w:tr w:rsidR="00702291" w14:paraId="01230813"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tcPr>
          <w:p w14:paraId="305FCEFA" w14:textId="77777777" w:rsidR="00702291" w:rsidRDefault="00712B31">
            <w:pPr>
              <w:pStyle w:val="P68B1DB1-Normal84"/>
              <w:spacing w:after="120" w:line="240" w:lineRule="auto"/>
              <w:rPr>
                <w:noProof/>
              </w:rPr>
            </w:pPr>
            <w:r>
              <w:rPr>
                <w:noProof/>
              </w:rPr>
              <w:t>123</w:t>
            </w:r>
          </w:p>
        </w:tc>
        <w:tc>
          <w:tcPr>
            <w:tcW w:w="3120" w:type="dxa"/>
            <w:tcBorders>
              <w:top w:val="nil"/>
              <w:left w:val="nil"/>
              <w:bottom w:val="single" w:sz="4" w:space="0" w:color="auto"/>
              <w:right w:val="single" w:sz="4" w:space="0" w:color="auto"/>
            </w:tcBorders>
            <w:shd w:val="clear" w:color="000000" w:fill="C6EFCE"/>
          </w:tcPr>
          <w:p w14:paraId="6694102E" w14:textId="77777777" w:rsidR="00702291" w:rsidRDefault="00712B31">
            <w:pPr>
              <w:pStyle w:val="P68B1DB1-Normal80"/>
              <w:spacing w:after="120" w:line="240" w:lineRule="auto"/>
              <w:rPr>
                <w:rFonts w:eastAsia="Times New Roman"/>
                <w:noProof/>
              </w:rPr>
            </w:pPr>
            <w:r>
              <w:rPr>
                <w:noProof/>
              </w:rPr>
              <w:t>C11.I1 Servicii de e-guvernare</w:t>
            </w:r>
          </w:p>
        </w:tc>
        <w:tc>
          <w:tcPr>
            <w:tcW w:w="1194" w:type="dxa"/>
            <w:tcBorders>
              <w:top w:val="nil"/>
              <w:left w:val="nil"/>
              <w:bottom w:val="single" w:sz="4" w:space="0" w:color="auto"/>
              <w:right w:val="single" w:sz="4" w:space="0" w:color="auto"/>
            </w:tcBorders>
            <w:shd w:val="clear" w:color="000000" w:fill="C6EFCE"/>
          </w:tcPr>
          <w:p w14:paraId="593D99DD" w14:textId="77777777" w:rsidR="00702291" w:rsidRDefault="00712B31">
            <w:pPr>
              <w:pStyle w:val="P68B1DB1-Normal84"/>
              <w:spacing w:after="120" w:line="240" w:lineRule="auto"/>
              <w:rPr>
                <w:noProof/>
              </w:rPr>
            </w:pPr>
            <w:r>
              <w:rPr>
                <w:noProof/>
              </w:rPr>
              <w:t>Etapă</w:t>
            </w:r>
          </w:p>
        </w:tc>
        <w:tc>
          <w:tcPr>
            <w:tcW w:w="3751" w:type="dxa"/>
            <w:tcBorders>
              <w:top w:val="nil"/>
              <w:left w:val="nil"/>
              <w:bottom w:val="single" w:sz="4" w:space="0" w:color="auto"/>
              <w:right w:val="single" w:sz="4" w:space="0" w:color="auto"/>
            </w:tcBorders>
            <w:shd w:val="clear" w:color="000000" w:fill="C6EFCE"/>
          </w:tcPr>
          <w:p w14:paraId="2B44955E" w14:textId="77777777" w:rsidR="00702291" w:rsidRDefault="00712B31">
            <w:pPr>
              <w:pStyle w:val="P68B1DB1-Normal80"/>
              <w:spacing w:after="120" w:line="240" w:lineRule="auto"/>
              <w:rPr>
                <w:rFonts w:eastAsia="Times New Roman"/>
                <w:noProof/>
              </w:rPr>
            </w:pPr>
            <w:r>
              <w:rPr>
                <w:noProof/>
              </w:rPr>
              <w:t>Soluția pentru portofelul digital de date</w:t>
            </w:r>
          </w:p>
        </w:tc>
      </w:tr>
      <w:tr w:rsidR="00702291" w14:paraId="5401B187" w14:textId="77777777">
        <w:tblPrEx>
          <w:tblCellMar>
            <w:top w:w="0" w:type="dxa"/>
          </w:tblCellMar>
        </w:tblPrEx>
        <w:trPr>
          <w:trHeight w:val="460"/>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37F97AF9" w14:textId="77777777" w:rsidR="00702291" w:rsidRDefault="00712B31">
            <w:pPr>
              <w:pStyle w:val="P68B1DB1-Normal84"/>
              <w:spacing w:after="120" w:line="240" w:lineRule="auto"/>
              <w:rPr>
                <w:noProof/>
              </w:rPr>
            </w:pPr>
            <w:r>
              <w:rPr>
                <w:noProof/>
              </w:rPr>
              <w:t>126</w:t>
            </w:r>
          </w:p>
        </w:tc>
        <w:tc>
          <w:tcPr>
            <w:tcW w:w="3120" w:type="dxa"/>
            <w:tcBorders>
              <w:top w:val="single" w:sz="4" w:space="0" w:color="auto"/>
              <w:left w:val="nil"/>
              <w:bottom w:val="single" w:sz="4" w:space="0" w:color="auto"/>
              <w:right w:val="single" w:sz="4" w:space="0" w:color="auto"/>
            </w:tcBorders>
            <w:shd w:val="clear" w:color="000000" w:fill="C6EFCE"/>
          </w:tcPr>
          <w:p w14:paraId="78EF7387" w14:textId="77777777" w:rsidR="00702291" w:rsidRDefault="00712B31">
            <w:pPr>
              <w:pStyle w:val="P68B1DB1-Normal80"/>
              <w:spacing w:after="120" w:line="240" w:lineRule="auto"/>
              <w:rPr>
                <w:noProof/>
              </w:rPr>
            </w:pPr>
            <w:r>
              <w:rPr>
                <w:noProof/>
              </w:rPr>
              <w:t>C11.I2 Gigafabrica de IA și alte infrastructuri de calcul EuroHPC</w:t>
            </w:r>
          </w:p>
        </w:tc>
        <w:tc>
          <w:tcPr>
            <w:tcW w:w="1194" w:type="dxa"/>
            <w:tcBorders>
              <w:top w:val="single" w:sz="4" w:space="0" w:color="auto"/>
              <w:left w:val="nil"/>
              <w:bottom w:val="single" w:sz="4" w:space="0" w:color="auto"/>
              <w:right w:val="single" w:sz="4" w:space="0" w:color="auto"/>
            </w:tcBorders>
            <w:shd w:val="clear" w:color="000000" w:fill="C6EFCE"/>
          </w:tcPr>
          <w:p w14:paraId="152FFBE1" w14:textId="77777777" w:rsidR="00702291" w:rsidRDefault="00712B31">
            <w:pPr>
              <w:pStyle w:val="P68B1DB1-Normal84"/>
              <w:spacing w:after="120" w:line="240" w:lineRule="auto"/>
              <w:rPr>
                <w:noProof/>
              </w:rPr>
            </w:pPr>
            <w:r>
              <w:rPr>
                <w:noProof/>
              </w:rPr>
              <w:t>Etapă</w:t>
            </w:r>
          </w:p>
        </w:tc>
        <w:tc>
          <w:tcPr>
            <w:tcW w:w="3751" w:type="dxa"/>
            <w:tcBorders>
              <w:top w:val="single" w:sz="4" w:space="0" w:color="auto"/>
              <w:left w:val="nil"/>
              <w:bottom w:val="single" w:sz="4" w:space="0" w:color="auto"/>
              <w:right w:val="single" w:sz="4" w:space="0" w:color="auto"/>
            </w:tcBorders>
            <w:shd w:val="clear" w:color="000000" w:fill="C6EFCE"/>
          </w:tcPr>
          <w:p w14:paraId="34D46A60" w14:textId="1043A37C" w:rsidR="00702291" w:rsidRDefault="00712B31">
            <w:pPr>
              <w:pStyle w:val="P68B1DB1-Default89"/>
              <w:spacing w:after="120"/>
              <w:rPr>
                <w:noProof/>
              </w:rPr>
            </w:pPr>
            <w:r>
              <w:rPr>
                <w:noProof/>
              </w:rPr>
              <w:t xml:space="preserve">Semnarea acordului de contribuție dintre Ungaria și întreprinderea comună EuroHPC și plata contribuției voluntare către întreprinderea comună EuroHPC </w:t>
            </w:r>
          </w:p>
        </w:tc>
      </w:tr>
      <w:tr w:rsidR="00702291" w14:paraId="3C1BE8E4" w14:textId="77777777">
        <w:tblPrEx>
          <w:tblCellMar>
            <w:top w:w="0" w:type="dxa"/>
          </w:tblCellMar>
        </w:tblPrEx>
        <w:trPr>
          <w:trHeight w:val="460"/>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60045AE9" w14:textId="77777777" w:rsidR="00702291" w:rsidRDefault="00712B31">
            <w:pPr>
              <w:pStyle w:val="P68B1DB1-Normal84"/>
              <w:spacing w:after="120" w:line="240" w:lineRule="auto"/>
              <w:rPr>
                <w:noProof/>
              </w:rPr>
            </w:pPr>
            <w:r>
              <w:rPr>
                <w:noProof/>
              </w:rPr>
              <w:t>127</w:t>
            </w:r>
          </w:p>
        </w:tc>
        <w:tc>
          <w:tcPr>
            <w:tcW w:w="3120" w:type="dxa"/>
            <w:tcBorders>
              <w:top w:val="single" w:sz="4" w:space="0" w:color="auto"/>
              <w:left w:val="nil"/>
              <w:bottom w:val="single" w:sz="4" w:space="0" w:color="auto"/>
              <w:right w:val="single" w:sz="4" w:space="0" w:color="auto"/>
            </w:tcBorders>
            <w:shd w:val="clear" w:color="000000" w:fill="C6EFCE"/>
          </w:tcPr>
          <w:p w14:paraId="222098CE" w14:textId="0ABCF6B8" w:rsidR="00702291" w:rsidRDefault="00712B31">
            <w:pPr>
              <w:pStyle w:val="P68B1DB1-Normal80"/>
              <w:spacing w:after="120" w:line="240" w:lineRule="auto"/>
              <w:rPr>
                <w:noProof/>
              </w:rPr>
            </w:pPr>
            <w:r>
              <w:rPr>
                <w:noProof/>
              </w:rPr>
              <w:t>C11.I3 Contribuție voluntară la IRIS2</w:t>
            </w:r>
          </w:p>
        </w:tc>
        <w:tc>
          <w:tcPr>
            <w:tcW w:w="1194" w:type="dxa"/>
            <w:tcBorders>
              <w:top w:val="single" w:sz="4" w:space="0" w:color="auto"/>
              <w:left w:val="nil"/>
              <w:bottom w:val="single" w:sz="4" w:space="0" w:color="auto"/>
              <w:right w:val="single" w:sz="4" w:space="0" w:color="auto"/>
            </w:tcBorders>
            <w:shd w:val="clear" w:color="000000" w:fill="C6EFCE"/>
          </w:tcPr>
          <w:p w14:paraId="5792C97D" w14:textId="77777777" w:rsidR="00702291" w:rsidRDefault="00712B31">
            <w:pPr>
              <w:pStyle w:val="P68B1DB1-Normal84"/>
              <w:spacing w:after="120" w:line="240" w:lineRule="auto"/>
              <w:rPr>
                <w:noProof/>
              </w:rPr>
            </w:pPr>
            <w:r>
              <w:rPr>
                <w:noProof/>
              </w:rPr>
              <w:t>Etapă</w:t>
            </w:r>
          </w:p>
        </w:tc>
        <w:tc>
          <w:tcPr>
            <w:tcW w:w="3751" w:type="dxa"/>
            <w:tcBorders>
              <w:top w:val="single" w:sz="4" w:space="0" w:color="auto"/>
              <w:left w:val="nil"/>
              <w:bottom w:val="single" w:sz="4" w:space="0" w:color="auto"/>
              <w:right w:val="single" w:sz="4" w:space="0" w:color="auto"/>
            </w:tcBorders>
            <w:shd w:val="clear" w:color="000000" w:fill="C6EFCE"/>
          </w:tcPr>
          <w:p w14:paraId="35489228" w14:textId="6D6A2BD6" w:rsidR="00702291" w:rsidRDefault="00712B31">
            <w:pPr>
              <w:pStyle w:val="P68B1DB1-Header82"/>
              <w:spacing w:after="120" w:line="240" w:lineRule="auto"/>
              <w:rPr>
                <w:noProof/>
              </w:rPr>
            </w:pPr>
            <w:r>
              <w:rPr>
                <w:noProof/>
              </w:rPr>
              <w:t>Semnarea Acordului privind contribuția dintre Ungaria și Comisia Europeană și atribuirea unei contribuții voluntare la Programul UE privind conectivitatea securizată (IRIS2)</w:t>
            </w:r>
          </w:p>
        </w:tc>
      </w:tr>
      <w:tr w:rsidR="00702291" w14:paraId="72CF2118" w14:textId="77777777">
        <w:tblPrEx>
          <w:tblCellMar>
            <w:top w:w="0" w:type="dxa"/>
          </w:tblCellMar>
        </w:tblPrEx>
        <w:trPr>
          <w:trHeight w:val="460"/>
        </w:trPr>
        <w:tc>
          <w:tcPr>
            <w:tcW w:w="5552" w:type="dxa"/>
            <w:gridSpan w:val="3"/>
            <w:tcBorders>
              <w:top w:val="single" w:sz="4" w:space="0" w:color="auto"/>
              <w:left w:val="single" w:sz="4" w:space="0" w:color="auto"/>
              <w:bottom w:val="single" w:sz="4" w:space="0" w:color="auto"/>
              <w:right w:val="single" w:sz="4" w:space="0" w:color="auto"/>
            </w:tcBorders>
            <w:shd w:val="clear" w:color="000000" w:fill="C6EFCE"/>
            <w:vAlign w:val="center"/>
          </w:tcPr>
          <w:p w14:paraId="15C23CEF" w14:textId="77777777" w:rsidR="00702291" w:rsidRDefault="00712B31">
            <w:pPr>
              <w:pStyle w:val="P68B1DB1-Normal84"/>
              <w:spacing w:after="120" w:line="240" w:lineRule="auto"/>
              <w:jc w:val="center"/>
              <w:rPr>
                <w:noProof/>
              </w:rPr>
            </w:pPr>
            <w:bookmarkStart w:id="7" w:name="_Hlk231995929"/>
            <w:r>
              <w:rPr>
                <w:noProof/>
              </w:rPr>
              <w:t>Valoarea tranșei</w:t>
            </w:r>
          </w:p>
        </w:tc>
        <w:tc>
          <w:tcPr>
            <w:tcW w:w="3751" w:type="dxa"/>
            <w:tcBorders>
              <w:top w:val="single" w:sz="4" w:space="0" w:color="auto"/>
              <w:left w:val="nil"/>
              <w:bottom w:val="single" w:sz="4" w:space="0" w:color="auto"/>
              <w:right w:val="single" w:sz="4" w:space="0" w:color="auto"/>
            </w:tcBorders>
            <w:shd w:val="clear" w:color="000000" w:fill="C6EFCE"/>
            <w:vAlign w:val="center"/>
          </w:tcPr>
          <w:p w14:paraId="57A868F3" w14:textId="568E25F6" w:rsidR="00702291" w:rsidRDefault="00712B31">
            <w:pPr>
              <w:pStyle w:val="P68B1DB1-Normal80"/>
              <w:jc w:val="center"/>
              <w:rPr>
                <w:noProof/>
                <w:highlight w:val="yellow"/>
              </w:rPr>
            </w:pPr>
            <w:r>
              <w:rPr>
                <w:noProof/>
              </w:rPr>
              <w:t>3 488 338 565 MIL.</w:t>
            </w:r>
          </w:p>
        </w:tc>
      </w:tr>
      <w:bookmarkEnd w:id="7"/>
    </w:tbl>
    <w:p w14:paraId="0F35885D" w14:textId="77777777" w:rsidR="00702291" w:rsidRDefault="00702291">
      <w:pPr>
        <w:spacing w:after="120" w:line="240" w:lineRule="auto"/>
        <w:rPr>
          <w:rFonts w:ascii="Times New Roman" w:hAnsi="Times New Roman" w:cs="Times New Roman"/>
          <w:noProof/>
          <w:sz w:val="24"/>
          <w:szCs w:val="24"/>
          <w:vertAlign w:val="superscript"/>
        </w:rPr>
      </w:pPr>
    </w:p>
    <w:p w14:paraId="1DB31E1B" w14:textId="77777777" w:rsidR="00702291" w:rsidRDefault="00712B31">
      <w:pPr>
        <w:pStyle w:val="P68B1DB1-Normal34"/>
        <w:spacing w:after="120" w:line="240" w:lineRule="auto"/>
        <w:rPr>
          <w:rFonts w:eastAsiaTheme="majorEastAsia"/>
          <w:noProof/>
          <w:color w:val="1F3864" w:themeColor="accent1" w:themeShade="80"/>
        </w:rPr>
      </w:pPr>
      <w:r>
        <w:rPr>
          <w:noProof/>
        </w:rPr>
        <w:br w:type="page"/>
      </w:r>
    </w:p>
    <w:p w14:paraId="3A18520B" w14:textId="32BE3A6F" w:rsidR="00702291" w:rsidRDefault="00712B31">
      <w:pPr>
        <w:pStyle w:val="P68B1DB1-Heading190"/>
        <w:spacing w:before="0" w:after="120"/>
        <w:rPr>
          <w:noProof/>
        </w:rPr>
      </w:pPr>
      <w:r>
        <w:rPr>
          <w:noProof/>
        </w:rPr>
        <w:t>SECȚIUNEA 3: DISPOZIȚII SUPLIMENTARE</w:t>
      </w:r>
    </w:p>
    <w:p w14:paraId="6389B248" w14:textId="4C5AA46C" w:rsidR="00702291" w:rsidRDefault="00712B31">
      <w:pPr>
        <w:pStyle w:val="P68B1DB1-Heading291"/>
        <w:spacing w:before="0" w:after="120"/>
        <w:rPr>
          <w:noProof/>
        </w:rPr>
      </w:pPr>
      <w:r>
        <w:rPr>
          <w:noProof/>
        </w:rPr>
        <w:t>1. Modalități de monitorizare și de punere în aplicare a planului de redresare și reziliență</w:t>
      </w:r>
    </w:p>
    <w:p w14:paraId="509BE130" w14:textId="603CB703" w:rsidR="00702291" w:rsidRDefault="00712B31">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Mecanismele definite mai jos, împreună cu măsurile relevante specificate în componenta 8 (Guvernanță și administrație publică)</w:t>
      </w:r>
      <w:r>
        <w:rPr>
          <w:rStyle w:val="FootnoteReference"/>
          <w:rFonts w:ascii="Times New Roman" w:eastAsia="Times New Roman" w:hAnsi="Times New Roman" w:cs="Times New Roman"/>
          <w:b w:val="0"/>
          <w:noProof/>
          <w:sz w:val="24"/>
          <w:szCs w:val="24"/>
        </w:rPr>
        <w:footnoteReference w:id="27"/>
      </w:r>
      <w:r>
        <w:rPr>
          <w:rFonts w:ascii="Times New Roman" w:eastAsia="Times New Roman" w:hAnsi="Times New Roman" w:cs="Times New Roman"/>
          <w:noProof/>
          <w:sz w:val="24"/>
          <w:szCs w:val="24"/>
        </w:rPr>
        <w:t>, constituie sistemul maghiar de control și audit în cadrul planului de redresare și reziliență. Fiecare dintre aceste elemente face parte integrantă din sistemul maghiar de control și audit, a cărui punere în aplicare și respectare continuă sunt necesare pentru a asigura conformitatea cu articolul 22 din Regulamentul (UE) 2021/241. Împreună, implementarea și respectarea continuă a acestor elemente asigură faptul că modalitățile de monitorizare și implementare a planului de redresare și reziliență includ măsurile necesare pentru a asigura protecția intereselor financiare ale Uniunii.</w:t>
      </w:r>
    </w:p>
    <w:p w14:paraId="06FA0A3B" w14:textId="05E7CCB7" w:rsidR="00702291" w:rsidRDefault="00712B31">
      <w:pPr>
        <w:pStyle w:val="P68B1DB1-Normal61"/>
        <w:spacing w:after="120" w:line="240" w:lineRule="auto"/>
        <w:jc w:val="both"/>
        <w:rPr>
          <w:noProof/>
        </w:rPr>
      </w:pPr>
      <w:r>
        <w:rPr>
          <w:noProof/>
        </w:rPr>
        <w:t>Monitorizarea și implementarea planului de redresare și reziliență al Ungariei se efectuează în conformitate cu următoarele modalități:</w:t>
      </w:r>
    </w:p>
    <w:p w14:paraId="09D6F600" w14:textId="6BA37EFD" w:rsidR="00702291" w:rsidRDefault="00712B31">
      <w:pPr>
        <w:pStyle w:val="P68B1DB1-Normal61"/>
        <w:spacing w:after="120" w:line="240" w:lineRule="auto"/>
        <w:jc w:val="both"/>
        <w:rPr>
          <w:noProof/>
        </w:rPr>
      </w:pPr>
      <w:r>
        <w:rPr>
          <w:noProof/>
        </w:rPr>
        <w:t>Decretul guvernamental nr. 373/2022 (IX. 30.) stabilește rolurile și responsabilitățile organismelor implicate în punerea în aplicare, auditul și controlul Planului de redresare și reziliență al Ungariei. Intrarea în vigoare a prezentului decret guvernamental, descrisă în reforma C8.R18, se reflectă într-un jalon specific, care trebuie îndeplinit înainte de depunerea unei cereri de plată în cadrul planului de redresare și reziliență. Decretul guvernamental definește cadrul instituțional pentru punerea în aplicare, monitorizarea, controlul și auditul planului, inclusiv în urma înființării Centrului Național de Dezvoltare (NFK) și a modificărilor ulterioare în alocarea responsabilităților guvernamentale.</w:t>
      </w:r>
    </w:p>
    <w:p w14:paraId="28A83AC0" w14:textId="4CC5AD39" w:rsidR="00702291" w:rsidRDefault="00712B31">
      <w:pPr>
        <w:pStyle w:val="P68B1DB1-Normal61"/>
        <w:spacing w:after="120" w:line="240" w:lineRule="auto"/>
        <w:jc w:val="both"/>
        <w:rPr>
          <w:noProof/>
        </w:rPr>
      </w:pPr>
      <w:r>
        <w:rPr>
          <w:noProof/>
        </w:rPr>
        <w:t>Procesul de punere în aplicare, monitorizare și raportare a planului de redresare și reziliență al Ungariei este asigurat de autoritatea națională. Rolul autorității naționale este îndeplinit de Centrul Național de Dezvoltare (NFK), o unitate organizațională cu personalitate juridică independentă care funcționează în cadrul Ministerului Dezvoltării Rurale și Regionale. Aceasta include funcționarea sistemului de monitorizare (inclusiv cu sprijinul unui sistem informatic de monitorizare), monitorizarea progreselor înregistrate în punerea în aplicare a diferitelor măsuri și asigurarea fiabilității și veridicității datelor din sistemul informatic de monitorizare. Autoritatea națională este, de asemenea, organismul responsabil pentru verificarea îndeplinirii obiectivelor de etapă și a țintelor stabilite în planul de redresare și reziliență. Autoritatea națională este responsabilă de elaborarea și depunerea cererilor de plată în cadrul planului de redresare și reziliență, precum și de asigurarea veridicității acestora și de semnarea declarației de gestiune. Acesta acționează, de asemenea, ca punct unic de legătură între autoritățile maghiare și Comisie.</w:t>
      </w:r>
    </w:p>
    <w:p w14:paraId="777E6702" w14:textId="1ED493F9" w:rsidR="00702291" w:rsidRDefault="00712B31">
      <w:pPr>
        <w:pStyle w:val="P68B1DB1-Normal61"/>
        <w:spacing w:after="120" w:line="240" w:lineRule="auto"/>
        <w:jc w:val="both"/>
        <w:rPr>
          <w:noProof/>
        </w:rPr>
      </w:pPr>
      <w:r>
        <w:rPr>
          <w:noProof/>
        </w:rPr>
        <w:t>Autoritatea națională este responsabilă de instituirea și funcționarea unui sistem intern de gestiune și control pentru a preveni și a detecta în mod eficace neregulile și pentru a lua măsurile corective adecvate, respectând în același timp principiile bunei gestiuni financiare și protejând interesele financiare ale Uniunii, de instituirea unor măsuri eficace de combatere a fraudei și a corupției, ținând seama de riscurile identificate, precum și de supravegherea activităților de punere în aplicare și de control delegate organismelor de punere în aplicare, organismelor de acordare a subgranturilor și intermediarilor financiari.</w:t>
      </w:r>
    </w:p>
    <w:p w14:paraId="32D04F38" w14:textId="320EA4B0" w:rsidR="00702291" w:rsidRDefault="00712B31">
      <w:pPr>
        <w:pStyle w:val="P68B1DB1-Normal61"/>
        <w:spacing w:after="120" w:line="240" w:lineRule="auto"/>
        <w:jc w:val="both"/>
        <w:rPr>
          <w:noProof/>
        </w:rPr>
      </w:pPr>
      <w:r>
        <w:rPr>
          <w:noProof/>
        </w:rPr>
        <w:t>Punerea în aplicare sectorială a măsurilor specifice ale planului este supravegheată de ministerele de resort responsabile, ale căror servicii sprijină monitorizarea progreselor înregistrate în ceea ce privește măsurile și mențin o cooperare strânsă cu autoritatea națională.</w:t>
      </w:r>
    </w:p>
    <w:p w14:paraId="488E8B74" w14:textId="0E0787C8" w:rsidR="00702291" w:rsidRDefault="00712B31">
      <w:pPr>
        <w:pStyle w:val="P68B1DB1-Normal61"/>
        <w:spacing w:after="120" w:line="240" w:lineRule="auto"/>
        <w:jc w:val="both"/>
        <w:rPr>
          <w:noProof/>
        </w:rPr>
      </w:pPr>
      <w:r>
        <w:rPr>
          <w:noProof/>
        </w:rPr>
        <w:t>Autoritatea națională este sprijinită în procesul de punere în aplicare și monitorizare a planului de către organismele de punere în aplicare care își desfășoară activitatea prin contracte scrise, sub supravegherea și responsabilitatea autorității naționale. În cazul în care sarcinile de punere în aplicare ale autorității naționale sunt delegate organismelor de punere în aplicare, activitatea organismelor de punere în aplicare este controlată îndeaproape de autoritatea națională, care oferă sprijin metodologic și orientări organismelor de punere în aplicare. În special, se asigură faptul că organismele de punere în aplicare dispun de resurse suficiente și de o experiență profesională adecvată pentru a îndeplini în mod eficace sarcinile care le sunt atribuite.</w:t>
      </w:r>
    </w:p>
    <w:p w14:paraId="23AAA4DF" w14:textId="19455B7F" w:rsidR="00702291" w:rsidRDefault="00712B31">
      <w:pPr>
        <w:pStyle w:val="P68B1DB1-Normal61"/>
        <w:spacing w:after="120" w:line="240" w:lineRule="auto"/>
        <w:jc w:val="both"/>
        <w:rPr>
          <w:noProof/>
        </w:rPr>
      </w:pPr>
      <w:r>
        <w:rPr>
          <w:noProof/>
        </w:rPr>
        <w:t>Organismele de punere în aplicare și organismele care acordă subgranturi efectuează controale de gestiune de prim nivel, inclusiv controale documentare și la fața locului, pe baza acordurilor de delegare încheiate cu autoritatea națională. Începând din august 2024, verificările la fața locului efectuate în cadrul autorității naționale pot fi efectuate de Direcția Serviciilor comune, care acționează în calitate de prestator intern de servicii. Organismele de punere în aplicare rămân responsabile pentru îndeplinirea sarcinilor delegate și pentru controalele efectuate în numele lor.</w:t>
      </w:r>
    </w:p>
    <w:p w14:paraId="63E3F600" w14:textId="5055F194" w:rsidR="00702291" w:rsidRDefault="00712B31">
      <w:pPr>
        <w:pStyle w:val="P68B1DB1-Normal61"/>
        <w:spacing w:after="120" w:line="240" w:lineRule="auto"/>
        <w:jc w:val="both"/>
        <w:rPr>
          <w:noProof/>
        </w:rPr>
      </w:pPr>
      <w:r>
        <w:rPr>
          <w:noProof/>
        </w:rPr>
        <w:t>Organismele de punere în aplicare dispun de mecanisme eficace de control intern. Organismele de punere în aplicare îndeplinesc funcțiile de control ale autorității naționale pentru componentele și măsurile aflate în responsabilitatea lor pe care le pun în aplicare.</w:t>
      </w:r>
    </w:p>
    <w:p w14:paraId="0D54B813" w14:textId="74AD37F1" w:rsidR="00702291" w:rsidRDefault="00712B31">
      <w:pPr>
        <w:pStyle w:val="P68B1DB1-Normal61"/>
        <w:spacing w:after="120" w:line="240" w:lineRule="auto"/>
        <w:jc w:val="both"/>
        <w:rPr>
          <w:noProof/>
        </w:rPr>
      </w:pPr>
      <w:r>
        <w:rPr>
          <w:noProof/>
        </w:rPr>
        <w:t>O unitate specializată din cadrul autorității naționale este responsabilă cu gestionarea plângerilor și a neregulilor legate de punerea în aplicare a planului de redresare și reziliență. Unitatea este împuternicită să efectueze controale documentare și la fața locului, să solicite informații de la organismele implicate în punerea în aplicare și să stabilească măsurile de monitorizare și corective adecvate în ceea ce privește neregulile detectate. Unitatea își îndeplinește funcțiile în mod independent și nu solicită și nici nu primește instrucțiuni în legătură cu deciziile sale privind plângerile și neregulile.</w:t>
      </w:r>
    </w:p>
    <w:p w14:paraId="0C5E5927" w14:textId="7F4A36B8" w:rsidR="00702291" w:rsidRDefault="00712B31">
      <w:pPr>
        <w:pStyle w:val="P68B1DB1-Normal61"/>
        <w:spacing w:after="120" w:line="240" w:lineRule="auto"/>
        <w:jc w:val="both"/>
        <w:rPr>
          <w:noProof/>
        </w:rPr>
      </w:pPr>
      <w:r>
        <w:rPr>
          <w:noProof/>
        </w:rPr>
        <w:t>Pentru a asigura prevenirea și detectarea eficace a neregulilor grave, cum ar fi frauda, corupția, conflictele de interese și dubla finanțare, autoritatea națională și organismele de punere în aplicare utilizează în mod sistematic toate funcțiile instrumentului de evaluare a riscurilor Arachne atunci când pun în aplicare și controlează punerea în aplicare a planului de redresare și reziliență. Organismele relevante evaluează, documentează și monitorizează riscurile identificate de Arachne în conformitate cu cerințele procedurale obligatorii.</w:t>
      </w:r>
    </w:p>
    <w:p w14:paraId="74F3050D" w14:textId="03AAA491" w:rsidR="00702291" w:rsidRDefault="00712B31">
      <w:pPr>
        <w:pStyle w:val="P68B1DB1-Normal61"/>
        <w:spacing w:after="120" w:line="240" w:lineRule="auto"/>
        <w:jc w:val="both"/>
        <w:rPr>
          <w:noProof/>
        </w:rPr>
      </w:pPr>
      <w:r>
        <w:rPr>
          <w:noProof/>
        </w:rPr>
        <w:t>O Direcție de Audit Intern și Integritate (DIAI) care își desfășoară activitatea în cadrul organizațional al Centrului Național de Dezvoltare (NFK) este responsabilă de consolidarea prevenirii și detectării eficace a conflictelor de interese. DIAI este responsabil de efectuarea unor controale periodice ale veridicității declarațiilor privind conflictele de interese de către personalul de la toate nivelurile implicat în punerea în aplicare și controlul planului. DIAI rămâne separat din punct de vedere organizațional de autoritatea națională și de organismele de punere în aplicare și își exercită funcțiile în mod independent. Activitatea DIAI este supravegheată de Autoritatea de Integritate.</w:t>
      </w:r>
    </w:p>
    <w:p w14:paraId="7ADF0B8F" w14:textId="63CB0B72" w:rsidR="00702291" w:rsidRDefault="00712B31">
      <w:pPr>
        <w:pStyle w:val="P68B1DB1-Normal61"/>
        <w:spacing w:after="120" w:line="240" w:lineRule="auto"/>
        <w:jc w:val="both"/>
        <w:rPr>
          <w:noProof/>
        </w:rPr>
      </w:pPr>
      <w:r>
        <w:rPr>
          <w:noProof/>
        </w:rPr>
        <w:t>DIAI verifică respectarea cerințelor privind conflictele de interese aplicabile întregului personal implicat în punerea în aplicare a planului de redresare și reziliență, inclusiv personalului care efectuează controale la fața locului. Prevenirea, detectarea și gestionarea conflictelor de interese sunt reglementate de proceduri detaliate, inclusiv verificarea periodică a declarațiilor și monitorizarea sistematică a riscurilor identificate.</w:t>
      </w:r>
    </w:p>
    <w:p w14:paraId="44644F05" w14:textId="38600976" w:rsidR="00702291" w:rsidRDefault="00712B31">
      <w:pPr>
        <w:pStyle w:val="P68B1DB1-Normal61"/>
        <w:spacing w:after="120" w:line="240" w:lineRule="auto"/>
        <w:jc w:val="both"/>
        <w:rPr>
          <w:noProof/>
        </w:rPr>
      </w:pPr>
      <w:r>
        <w:rPr>
          <w:noProof/>
        </w:rPr>
        <w:t>Direcția Generală de Audit al Fondurilor Europene (EUTAF), în calitatea sa de autoritate de audit, îndeplinește sarcinile de audit legate de punerea în aplicare a planului. Ungaria furnizează EUTAF resursele financiare și umane necesare pentru a-i proteja independența și pentru a-i permite să își îndeplinească sarcinile. Cadrul juridic asigură independența financiară, operațională și profesională a EUTAF și prevede mecanismele bugetare și de personal necesare pentru a-i permite să își îndeplinească responsabilitățile legate de Mecanismul de redresare și reziliență și alte sarcini care îi sunt încredințate în temeiul cadrelor de control legate de Uniune.</w:t>
      </w:r>
    </w:p>
    <w:p w14:paraId="6C5583BA" w14:textId="505DBDD4" w:rsidR="00702291" w:rsidRDefault="00712B31">
      <w:pPr>
        <w:pStyle w:val="P68B1DB1-Normal61"/>
        <w:spacing w:after="120" w:line="240" w:lineRule="auto"/>
        <w:jc w:val="both"/>
        <w:rPr>
          <w:noProof/>
        </w:rPr>
      </w:pPr>
      <w:r>
        <w:rPr>
          <w:noProof/>
        </w:rPr>
        <w:t>EUTAF elaborează o strategie de audit în conformitate cu standardele de audit acceptate la nivel internațional. Această strategie determină metoda și frecvența auditurilor. Acesta este instituit cu suficient timp înainte pentru a efectua auditurile care sunt incluse în rezumatul auditului prezentat împreună cu cererea de plată.</w:t>
      </w:r>
    </w:p>
    <w:p w14:paraId="313BF1DB" w14:textId="620A4120" w:rsidR="00702291" w:rsidRDefault="00712B31">
      <w:pPr>
        <w:pStyle w:val="P68B1DB1-Normal61"/>
        <w:spacing w:after="120" w:line="240" w:lineRule="auto"/>
        <w:jc w:val="both"/>
        <w:rPr>
          <w:noProof/>
        </w:rPr>
      </w:pPr>
      <w:r>
        <w:rPr>
          <w:noProof/>
        </w:rPr>
        <w:t>Strategia de audit se actualizează pentru a acoperi perioada de punere în aplicare a planului, cel puțin până la sfârșitul anului 2028, și include dispoziții detaliate privind activitățile de verificare ex post și tratamentul de audit al mecanismelor de control și al garanțiilor suplimentare introduse în cadrul planului.</w:t>
      </w:r>
    </w:p>
    <w:p w14:paraId="0F87E2E0" w14:textId="4584C2BA" w:rsidR="00702291" w:rsidRDefault="00712B31">
      <w:pPr>
        <w:pStyle w:val="P68B1DB1-Normal61"/>
        <w:spacing w:after="120" w:line="240" w:lineRule="auto"/>
        <w:jc w:val="both"/>
        <w:rPr>
          <w:noProof/>
        </w:rPr>
      </w:pPr>
      <w:r>
        <w:rPr>
          <w:noProof/>
        </w:rPr>
        <w:t>EUTAF efectuează audituri de sistem și teste de fond. Auditurile de sistem sunt puse în aplicare pe baza unei evaluări a riscurilor, cu o frecvență corespunzătoare, și examinează funcționarea sistemului instituit pentru punerea în aplicare a planului de redresare și reziliență. Testarea de fond se axează pe progresele înregistrate în direcția atingerii jaloanelor și a țintelor și include testarea îndeplinirii condițiilor de bună gestiune financiară. EUTAF furnizează o opinie de audit pentru fiecare cerere de plată transmisă Comisiei pe baza rezultatelor activității sale de audit, atât din auditurile sale de sistem, cât și din testele de fond.</w:t>
      </w:r>
    </w:p>
    <w:p w14:paraId="4D728522" w14:textId="1D15EF56" w:rsidR="00702291" w:rsidRDefault="00712B31">
      <w:pPr>
        <w:pStyle w:val="P68B1DB1-Normal61"/>
        <w:spacing w:after="120" w:line="240" w:lineRule="auto"/>
        <w:jc w:val="both"/>
        <w:rPr>
          <w:noProof/>
        </w:rPr>
      </w:pPr>
      <w:r>
        <w:rPr>
          <w:noProof/>
        </w:rPr>
        <w:t>În plus, jaloanele specifice de audit și control necesită activități consolidate de audit și verificare, inclusiv controale ex post care să acopere o proporție semnificativă a acordurilor de finanțare, a contractelor de achiziții publice și a plăților conexe din cadrul planului, cu un accent deosebit pe fraudă, corupție, conflicte de interese și riscuri de dublă finanțare.</w:t>
      </w:r>
    </w:p>
    <w:p w14:paraId="5B03C112" w14:textId="42295775" w:rsidR="00702291" w:rsidRDefault="00712B31">
      <w:pPr>
        <w:pStyle w:val="P68B1DB1-Normal61"/>
        <w:spacing w:after="120" w:line="240" w:lineRule="auto"/>
        <w:jc w:val="both"/>
        <w:rPr>
          <w:noProof/>
        </w:rPr>
      </w:pPr>
      <w:r>
        <w:rPr>
          <w:noProof/>
        </w:rPr>
        <w:t>În plus, se instituie, prin intermediul unui act legislativ, un comitet de monitorizare format din părțile interesate relevante și din partenerii sociali implicați în punerea în aplicare a planului de redresare și reziliență. Comitetul de monitorizare supraveghează punerea în aplicare efectivă a planului de redresare și reziliență. Actul legislativ include o dispoziție care prevede obligația legală de a consulta comitetul de monitorizare în cursul punerii în aplicare a planului de redresare și reziliență.</w:t>
      </w:r>
    </w:p>
    <w:sectPr w:rsidR="00702291">
      <w:headerReference w:type="default" r:id="rId130"/>
      <w:footerReference w:type="default" r:id="rId131"/>
      <w:pgSz w:w="11907" w:h="16839"/>
      <w:pgMar w:top="1134" w:right="1134" w:bottom="1134" w:left="1134"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674B1" w14:textId="77777777" w:rsidR="007B4247" w:rsidRDefault="007B4247">
      <w:pPr>
        <w:spacing w:after="0" w:line="240" w:lineRule="auto"/>
      </w:pPr>
      <w:r>
        <w:separator/>
      </w:r>
    </w:p>
  </w:endnote>
  <w:endnote w:type="continuationSeparator" w:id="0">
    <w:p w14:paraId="201EEEA2" w14:textId="77777777" w:rsidR="007B4247" w:rsidRDefault="007B4247">
      <w:pPr>
        <w:spacing w:after="0" w:line="240" w:lineRule="auto"/>
      </w:pPr>
      <w:r>
        <w:continuationSeparator/>
      </w:r>
    </w:p>
  </w:endnote>
  <w:endnote w:type="continuationNotice" w:id="1">
    <w:p w14:paraId="15D98A39" w14:textId="77777777" w:rsidR="007B4247" w:rsidRDefault="007B42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EC Square Sans Pro">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36B81" w14:textId="120DF138" w:rsidR="00E3616B" w:rsidRPr="00E3616B" w:rsidRDefault="00E3616B" w:rsidP="00E3616B">
    <w:pPr>
      <w:pStyle w:val="FooterCoverPage"/>
      <w:rPr>
        <w:rFonts w:ascii="Arial" w:hAnsi="Arial" w:cs="Arial"/>
        <w:b/>
        <w:sz w:val="48"/>
      </w:rPr>
    </w:pPr>
    <w:r w:rsidRPr="00E3616B">
      <w:rPr>
        <w:rFonts w:ascii="Arial" w:hAnsi="Arial" w:cs="Arial"/>
        <w:b/>
        <w:sz w:val="48"/>
      </w:rPr>
      <w:t>RO</w:t>
    </w:r>
    <w:r w:rsidRPr="00E3616B">
      <w:rPr>
        <w:rFonts w:ascii="Arial" w:hAnsi="Arial" w:cs="Arial"/>
        <w:b/>
        <w:sz w:val="48"/>
      </w:rPr>
      <w:tab/>
    </w:r>
    <w:r w:rsidRPr="00E3616B">
      <w:rPr>
        <w:rFonts w:ascii="Arial" w:hAnsi="Arial" w:cs="Arial"/>
        <w:b/>
        <w:sz w:val="48"/>
      </w:rPr>
      <w:tab/>
    </w:r>
    <w:r w:rsidRPr="00E3616B">
      <w:tab/>
    </w:r>
    <w:r w:rsidRPr="00E3616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B6C45" w14:textId="0E8A4553" w:rsidR="00E3616B" w:rsidRPr="00E3616B" w:rsidRDefault="00E3616B" w:rsidP="00E3616B">
    <w:pPr>
      <w:pStyle w:val="FooterCoverPage"/>
      <w:rPr>
        <w:rFonts w:ascii="Arial" w:hAnsi="Arial" w:cs="Arial"/>
        <w:b/>
        <w:sz w:val="48"/>
      </w:rPr>
    </w:pPr>
    <w:r w:rsidRPr="00E3616B">
      <w:rPr>
        <w:rFonts w:ascii="Arial" w:hAnsi="Arial" w:cs="Arial"/>
        <w:b/>
        <w:sz w:val="48"/>
      </w:rPr>
      <w:t>RO</w:t>
    </w:r>
    <w:r w:rsidRPr="00E3616B">
      <w:rPr>
        <w:rFonts w:ascii="Arial" w:hAnsi="Arial" w:cs="Arial"/>
        <w:b/>
        <w:sz w:val="48"/>
      </w:rPr>
      <w:tab/>
    </w:r>
    <w:r w:rsidRPr="00E3616B">
      <w:rPr>
        <w:rFonts w:ascii="Arial" w:hAnsi="Arial" w:cs="Arial"/>
        <w:b/>
        <w:sz w:val="48"/>
      </w:rPr>
      <w:tab/>
    </w:r>
    <w:r w:rsidRPr="00E3616B">
      <w:tab/>
    </w:r>
    <w:r w:rsidRPr="00E3616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8B7A6" w14:textId="77777777" w:rsidR="00E3616B" w:rsidRPr="00E3616B" w:rsidRDefault="00E3616B" w:rsidP="00E3616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6EBA4" w14:textId="77777777" w:rsidR="00702291" w:rsidRDefault="007022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335149"/>
      <w:docPartObj>
        <w:docPartGallery w:val="Page Numbers (Bottom of Page)"/>
        <w:docPartUnique/>
      </w:docPartObj>
    </w:sdtPr>
    <w:sdtEndPr/>
    <w:sdtContent>
      <w:p w14:paraId="402633C0" w14:textId="22A218CB" w:rsidR="00702291" w:rsidRDefault="00712B31">
        <w:pPr>
          <w:pStyle w:val="P68B1DB1-Footer92"/>
          <w:jc w:val="center"/>
        </w:pPr>
        <w:r>
          <w:fldChar w:fldCharType="begin"/>
        </w:r>
        <w:r>
          <w:instrText xml:space="preserve"> PAGE   \* MERGEFORMAT </w:instrText>
        </w:r>
        <w:r>
          <w:fldChar w:fldCharType="separate"/>
        </w:r>
        <w:r w:rsidR="00E3616B">
          <w:rPr>
            <w:noProof/>
          </w:rPr>
          <w:t>2</w:t>
        </w:r>
        <w:r>
          <w:fldChar w:fldCharType="end"/>
        </w:r>
      </w:p>
    </w:sdtContent>
  </w:sdt>
  <w:p w14:paraId="1220CBF8" w14:textId="77777777" w:rsidR="00702291" w:rsidRDefault="007022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B657F" w14:textId="77777777" w:rsidR="00702291" w:rsidRDefault="0070229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D4D1F" w14:textId="77777777" w:rsidR="00702291" w:rsidRDefault="007022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314373"/>
      <w:docPartObj>
        <w:docPartGallery w:val="Page Numbers (Bottom of Page)"/>
        <w:docPartUnique/>
      </w:docPartObj>
    </w:sdtPr>
    <w:sdtEndPr/>
    <w:sdtContent>
      <w:p w14:paraId="065EFB26" w14:textId="4D2BB1C9" w:rsidR="00702291" w:rsidRDefault="00712B31">
        <w:pPr>
          <w:pStyle w:val="P68B1DB1-Footer92"/>
          <w:jc w:val="center"/>
        </w:pPr>
        <w:r>
          <w:fldChar w:fldCharType="begin"/>
        </w:r>
        <w:r>
          <w:instrText xml:space="preserve"> PAGE   \* MERGEFORMAT </w:instrText>
        </w:r>
        <w:r>
          <w:fldChar w:fldCharType="separate"/>
        </w:r>
        <w:r w:rsidR="00E3616B">
          <w:rPr>
            <w:noProof/>
          </w:rPr>
          <w:t>4</w:t>
        </w:r>
        <w:r>
          <w:fldChar w:fldCharType="end"/>
        </w:r>
      </w:p>
    </w:sdtContent>
  </w:sdt>
  <w:p w14:paraId="42655D72" w14:textId="77777777" w:rsidR="00702291" w:rsidRDefault="00702291">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4A18B" w14:textId="77777777" w:rsidR="00702291" w:rsidRDefault="0070229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E6426" w14:textId="77777777" w:rsidR="00702291" w:rsidRDefault="0070229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3232859"/>
      <w:docPartObj>
        <w:docPartGallery w:val="Page Numbers (Bottom of Page)"/>
        <w:docPartUnique/>
      </w:docPartObj>
    </w:sdtPr>
    <w:sdtEndPr/>
    <w:sdtContent>
      <w:p w14:paraId="32B403BF" w14:textId="48A60E67" w:rsidR="00702291" w:rsidRDefault="00712B31">
        <w:pPr>
          <w:pStyle w:val="P68B1DB1-Footer92"/>
          <w:jc w:val="center"/>
        </w:pPr>
        <w:r>
          <w:fldChar w:fldCharType="begin"/>
        </w:r>
        <w:r>
          <w:instrText xml:space="preserve"> PAGE   \* MERGEFORMAT </w:instrText>
        </w:r>
        <w:r>
          <w:fldChar w:fldCharType="separate"/>
        </w:r>
        <w:r w:rsidR="008C4C4A">
          <w:rPr>
            <w:noProof/>
          </w:rPr>
          <w:t>6</w:t>
        </w:r>
        <w:r>
          <w:fldChar w:fldCharType="end"/>
        </w:r>
      </w:p>
    </w:sdtContent>
  </w:sdt>
  <w:p w14:paraId="33327476" w14:textId="77777777" w:rsidR="00702291" w:rsidRDefault="00702291">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356EC" w14:textId="77777777" w:rsidR="00702291" w:rsidRDefault="0070229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721FE" w14:textId="77777777" w:rsidR="00702291" w:rsidRDefault="0070229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616613"/>
      <w:docPartObj>
        <w:docPartGallery w:val="Page Numbers (Bottom of Page)"/>
        <w:docPartUnique/>
      </w:docPartObj>
    </w:sdtPr>
    <w:sdtEndPr/>
    <w:sdtContent>
      <w:p w14:paraId="1652D8B4" w14:textId="464AEF30" w:rsidR="00702291" w:rsidRDefault="00712B31">
        <w:pPr>
          <w:pStyle w:val="P68B1DB1-Footer92"/>
          <w:jc w:val="center"/>
        </w:pPr>
        <w:r>
          <w:fldChar w:fldCharType="begin"/>
        </w:r>
        <w:r>
          <w:instrText xml:space="preserve"> PAGE   \* MERGEFORMAT </w:instrText>
        </w:r>
        <w:r>
          <w:fldChar w:fldCharType="separate"/>
        </w:r>
        <w:r w:rsidR="008C4C4A">
          <w:rPr>
            <w:noProof/>
          </w:rPr>
          <w:t>8</w:t>
        </w:r>
        <w:r>
          <w:fldChar w:fldCharType="end"/>
        </w:r>
      </w:p>
    </w:sdtContent>
  </w:sdt>
  <w:p w14:paraId="4ACA5447" w14:textId="77777777" w:rsidR="00702291" w:rsidRDefault="00702291">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8E4A7" w14:textId="77777777" w:rsidR="00702291" w:rsidRDefault="0070229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1F65" w14:textId="77777777" w:rsidR="00702291" w:rsidRDefault="0070229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947216"/>
      <w:docPartObj>
        <w:docPartGallery w:val="Page Numbers (Bottom of Page)"/>
        <w:docPartUnique/>
      </w:docPartObj>
    </w:sdtPr>
    <w:sdtEndPr/>
    <w:sdtContent>
      <w:p w14:paraId="6BE7F020" w14:textId="412D05BD" w:rsidR="00702291" w:rsidRDefault="00712B31">
        <w:pPr>
          <w:pStyle w:val="P68B1DB1-Footer92"/>
          <w:jc w:val="center"/>
        </w:pPr>
        <w:r>
          <w:fldChar w:fldCharType="begin"/>
        </w:r>
        <w:r>
          <w:instrText xml:space="preserve"> PAGE   \* MERGEFORMAT </w:instrText>
        </w:r>
        <w:r>
          <w:fldChar w:fldCharType="separate"/>
        </w:r>
        <w:r w:rsidR="008C4C4A">
          <w:rPr>
            <w:noProof/>
          </w:rPr>
          <w:t>9</w:t>
        </w:r>
        <w:r>
          <w:fldChar w:fldCharType="end"/>
        </w:r>
      </w:p>
    </w:sdtContent>
  </w:sdt>
  <w:p w14:paraId="7182507C" w14:textId="77777777" w:rsidR="00702291" w:rsidRDefault="00702291">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A8693" w14:textId="77777777" w:rsidR="00702291" w:rsidRDefault="0070229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864B2" w14:textId="77777777" w:rsidR="00702291" w:rsidRDefault="0070229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6451371"/>
      <w:docPartObj>
        <w:docPartGallery w:val="Page Numbers (Bottom of Page)"/>
        <w:docPartUnique/>
      </w:docPartObj>
    </w:sdtPr>
    <w:sdtEndPr/>
    <w:sdtContent>
      <w:p w14:paraId="7DD128F5" w14:textId="3950AD0D" w:rsidR="00702291" w:rsidRDefault="00712B31">
        <w:pPr>
          <w:pStyle w:val="P68B1DB1-Footer92"/>
          <w:jc w:val="center"/>
        </w:pPr>
        <w:r>
          <w:fldChar w:fldCharType="begin"/>
        </w:r>
        <w:r>
          <w:instrText xml:space="preserve"> PAGE   \* MERGEFORMAT </w:instrText>
        </w:r>
        <w:r>
          <w:fldChar w:fldCharType="separate"/>
        </w:r>
        <w:r w:rsidR="008C4C4A">
          <w:rPr>
            <w:noProof/>
          </w:rPr>
          <w:t>10</w:t>
        </w:r>
        <w:r>
          <w:fldChar w:fldCharType="end"/>
        </w:r>
      </w:p>
    </w:sdtContent>
  </w:sdt>
  <w:p w14:paraId="61AC6BD0" w14:textId="77777777" w:rsidR="00702291" w:rsidRDefault="00702291">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796BB" w14:textId="77777777" w:rsidR="00702291" w:rsidRDefault="0070229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0B64B" w14:textId="77777777" w:rsidR="00702291" w:rsidRDefault="0070229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028012"/>
      <w:docPartObj>
        <w:docPartGallery w:val="Page Numbers (Bottom of Page)"/>
        <w:docPartUnique/>
      </w:docPartObj>
    </w:sdtPr>
    <w:sdtEndPr/>
    <w:sdtContent>
      <w:p w14:paraId="0D8E595F" w14:textId="0CA1CD51" w:rsidR="00702291" w:rsidRDefault="00712B31">
        <w:pPr>
          <w:pStyle w:val="P68B1DB1-Footer92"/>
          <w:jc w:val="center"/>
        </w:pPr>
        <w:r>
          <w:fldChar w:fldCharType="begin"/>
        </w:r>
        <w:r>
          <w:instrText xml:space="preserve"> PAGE   \* MERGEFORMAT </w:instrText>
        </w:r>
        <w:r>
          <w:fldChar w:fldCharType="separate"/>
        </w:r>
        <w:r w:rsidR="008C4C4A">
          <w:rPr>
            <w:noProof/>
          </w:rPr>
          <w:t>12</w:t>
        </w:r>
        <w:r>
          <w:fldChar w:fldCharType="end"/>
        </w:r>
      </w:p>
    </w:sdtContent>
  </w:sdt>
  <w:p w14:paraId="2999E8AC" w14:textId="77777777" w:rsidR="00702291" w:rsidRDefault="00702291">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2AA24" w14:textId="77777777" w:rsidR="00702291" w:rsidRDefault="0070229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D067D" w14:textId="77777777" w:rsidR="00702291" w:rsidRDefault="0070229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487020"/>
      <w:docPartObj>
        <w:docPartGallery w:val="Page Numbers (Bottom of Page)"/>
        <w:docPartUnique/>
      </w:docPartObj>
    </w:sdtPr>
    <w:sdtEndPr/>
    <w:sdtContent>
      <w:p w14:paraId="01B1ABB9" w14:textId="689925FC" w:rsidR="00702291" w:rsidRDefault="00712B31">
        <w:pPr>
          <w:pStyle w:val="P68B1DB1-Footer92"/>
          <w:jc w:val="center"/>
        </w:pPr>
        <w:r>
          <w:fldChar w:fldCharType="begin"/>
        </w:r>
        <w:r>
          <w:instrText xml:space="preserve"> PAGE   \* MERGEFORMAT </w:instrText>
        </w:r>
        <w:r>
          <w:fldChar w:fldCharType="separate"/>
        </w:r>
        <w:r w:rsidR="008C4C4A">
          <w:rPr>
            <w:noProof/>
          </w:rPr>
          <w:t>14</w:t>
        </w:r>
        <w:r>
          <w:fldChar w:fldCharType="end"/>
        </w:r>
      </w:p>
    </w:sdtContent>
  </w:sdt>
  <w:p w14:paraId="0A8B4569" w14:textId="77777777" w:rsidR="00702291" w:rsidRDefault="00702291">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3803F" w14:textId="77777777" w:rsidR="00702291" w:rsidRDefault="0070229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8223F" w14:textId="77777777" w:rsidR="00702291" w:rsidRDefault="0070229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103720"/>
      <w:docPartObj>
        <w:docPartGallery w:val="Page Numbers (Bottom of Page)"/>
        <w:docPartUnique/>
      </w:docPartObj>
    </w:sdtPr>
    <w:sdtEndPr/>
    <w:sdtContent>
      <w:p w14:paraId="6222668A" w14:textId="3B618D0D" w:rsidR="00702291" w:rsidRDefault="00712B31">
        <w:pPr>
          <w:pStyle w:val="P68B1DB1-Footer92"/>
          <w:jc w:val="center"/>
        </w:pPr>
        <w:r>
          <w:fldChar w:fldCharType="begin"/>
        </w:r>
        <w:r>
          <w:instrText xml:space="preserve"> PAGE   \* MERGEFORMAT </w:instrText>
        </w:r>
        <w:r>
          <w:fldChar w:fldCharType="separate"/>
        </w:r>
        <w:r w:rsidR="008C4C4A">
          <w:rPr>
            <w:noProof/>
          </w:rPr>
          <w:t>18</w:t>
        </w:r>
        <w:r>
          <w:fldChar w:fldCharType="end"/>
        </w:r>
      </w:p>
    </w:sdtContent>
  </w:sdt>
  <w:p w14:paraId="2CEAD93E" w14:textId="77777777" w:rsidR="00702291" w:rsidRDefault="00702291">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DCB65" w14:textId="77777777" w:rsidR="00702291" w:rsidRDefault="0070229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6473A" w14:textId="77777777" w:rsidR="00702291" w:rsidRDefault="0070229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617492"/>
      <w:docPartObj>
        <w:docPartGallery w:val="Page Numbers (Bottom of Page)"/>
        <w:docPartUnique/>
      </w:docPartObj>
    </w:sdtPr>
    <w:sdtEndPr/>
    <w:sdtContent>
      <w:p w14:paraId="09335846" w14:textId="1666067F" w:rsidR="00702291" w:rsidRDefault="00712B31">
        <w:pPr>
          <w:pStyle w:val="P68B1DB1-Footer92"/>
          <w:jc w:val="center"/>
        </w:pPr>
        <w:r>
          <w:fldChar w:fldCharType="begin"/>
        </w:r>
        <w:r>
          <w:instrText xml:space="preserve"> PAGE   \* MERGEFORMAT </w:instrText>
        </w:r>
        <w:r>
          <w:fldChar w:fldCharType="separate"/>
        </w:r>
        <w:r w:rsidR="008C4C4A">
          <w:rPr>
            <w:noProof/>
          </w:rPr>
          <w:t>20</w:t>
        </w:r>
        <w:r>
          <w:fldChar w:fldCharType="end"/>
        </w:r>
      </w:p>
    </w:sdtContent>
  </w:sdt>
  <w:p w14:paraId="708AB98C" w14:textId="77777777" w:rsidR="00702291" w:rsidRDefault="00702291">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BC376" w14:textId="77777777" w:rsidR="00702291" w:rsidRDefault="0070229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77709"/>
      <w:docPartObj>
        <w:docPartGallery w:val="Page Numbers (Bottom of Page)"/>
        <w:docPartUnique/>
      </w:docPartObj>
    </w:sdtPr>
    <w:sdtEndPr/>
    <w:sdtContent>
      <w:p w14:paraId="20F0593F" w14:textId="0E159C4A" w:rsidR="00702291" w:rsidRDefault="00712B31">
        <w:pPr>
          <w:pStyle w:val="P68B1DB1-Footer92"/>
          <w:jc w:val="center"/>
        </w:pPr>
        <w:r>
          <w:fldChar w:fldCharType="begin"/>
        </w:r>
        <w:r>
          <w:instrText xml:space="preserve"> PAGE   \* MERGEFORMAT </w:instrText>
        </w:r>
        <w:r>
          <w:fldChar w:fldCharType="separate"/>
        </w:r>
        <w:r w:rsidR="008C4C4A">
          <w:rPr>
            <w:noProof/>
          </w:rPr>
          <w:t>21</w:t>
        </w:r>
        <w:r>
          <w:fldChar w:fldCharType="end"/>
        </w:r>
      </w:p>
    </w:sdtContent>
  </w:sdt>
  <w:p w14:paraId="165D2B01" w14:textId="77777777" w:rsidR="00702291" w:rsidRDefault="00702291">
    <w:pPr>
      <w:pStyle w:val="FooterCouncil"/>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057110"/>
      <w:docPartObj>
        <w:docPartGallery w:val="Page Numbers (Bottom of Page)"/>
        <w:docPartUnique/>
      </w:docPartObj>
    </w:sdtPr>
    <w:sdtEndPr/>
    <w:sdtContent>
      <w:p w14:paraId="62A51DDE" w14:textId="597830D3" w:rsidR="00702291" w:rsidRDefault="00712B31">
        <w:pPr>
          <w:pStyle w:val="P68B1DB1-Footer92"/>
          <w:jc w:val="center"/>
        </w:pPr>
        <w:r>
          <w:fldChar w:fldCharType="begin"/>
        </w:r>
        <w:r>
          <w:instrText xml:space="preserve"> PAGE   \* MERGEFORMAT </w:instrText>
        </w:r>
        <w:r>
          <w:fldChar w:fldCharType="separate"/>
        </w:r>
        <w:r w:rsidR="008C4C4A">
          <w:rPr>
            <w:noProof/>
          </w:rPr>
          <w:t>25</w:t>
        </w:r>
        <w:r>
          <w:fldChar w:fldCharType="end"/>
        </w:r>
      </w:p>
    </w:sdtContent>
  </w:sdt>
  <w:p w14:paraId="5216AB6E" w14:textId="77777777" w:rsidR="00702291" w:rsidRDefault="00702291">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BA09F" w14:textId="77777777" w:rsidR="00702291" w:rsidRDefault="0070229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793951"/>
      <w:docPartObj>
        <w:docPartGallery w:val="Page Numbers (Bottom of Page)"/>
        <w:docPartUnique/>
      </w:docPartObj>
    </w:sdtPr>
    <w:sdtEndPr/>
    <w:sdtContent>
      <w:p w14:paraId="0FB50AAD" w14:textId="1632A3B4" w:rsidR="00702291" w:rsidRDefault="00712B31">
        <w:pPr>
          <w:pStyle w:val="P68B1DB1-Footer92"/>
          <w:jc w:val="center"/>
        </w:pPr>
        <w:r>
          <w:fldChar w:fldCharType="begin"/>
        </w:r>
        <w:r>
          <w:instrText xml:space="preserve"> PAGE   \* MERGEFORMAT </w:instrText>
        </w:r>
        <w:r>
          <w:fldChar w:fldCharType="separate"/>
        </w:r>
        <w:r w:rsidR="008C4C4A">
          <w:rPr>
            <w:noProof/>
          </w:rPr>
          <w:t>27</w:t>
        </w:r>
        <w:r>
          <w:fldChar w:fldCharType="end"/>
        </w:r>
      </w:p>
    </w:sdtContent>
  </w:sdt>
  <w:p w14:paraId="31381076" w14:textId="77777777" w:rsidR="00702291" w:rsidRDefault="00702291">
    <w:pPr>
      <w:pStyle w:val="FooterCouncil"/>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F4029" w14:textId="77777777" w:rsidR="00702291" w:rsidRDefault="0070229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41A1" w14:textId="77777777" w:rsidR="00702291" w:rsidRDefault="0070229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348743"/>
      <w:docPartObj>
        <w:docPartGallery w:val="Page Numbers (Bottom of Page)"/>
        <w:docPartUnique/>
      </w:docPartObj>
    </w:sdtPr>
    <w:sdtEndPr/>
    <w:sdtContent>
      <w:p w14:paraId="3CCDE825" w14:textId="09F5B127"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7274B692" w14:textId="77777777" w:rsidR="00702291" w:rsidRDefault="00702291">
    <w:pPr>
      <w:pStyle w:val="FooterCouncil"/>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E632D" w14:textId="77777777" w:rsidR="00702291" w:rsidRDefault="0070229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965B6" w14:textId="77777777" w:rsidR="00702291" w:rsidRDefault="0070229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67398"/>
      <w:docPartObj>
        <w:docPartGallery w:val="Page Numbers (Bottom of Page)"/>
        <w:docPartUnique/>
      </w:docPartObj>
    </w:sdtPr>
    <w:sdtEndPr/>
    <w:sdtContent>
      <w:p w14:paraId="471F9521" w14:textId="0E2D552C"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56E78F37" w14:textId="77777777" w:rsidR="00702291" w:rsidRDefault="00702291">
    <w:pPr>
      <w:pStyle w:val="FooterCouncil"/>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D5A6D" w14:textId="77777777" w:rsidR="00702291" w:rsidRDefault="0070229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124272"/>
      <w:docPartObj>
        <w:docPartGallery w:val="Page Numbers (Bottom of Page)"/>
        <w:docPartUnique/>
      </w:docPartObj>
    </w:sdtPr>
    <w:sdtEndPr/>
    <w:sdtContent>
      <w:p w14:paraId="07404D8C" w14:textId="106FE3C9"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4D29CD5F" w14:textId="77777777" w:rsidR="00702291" w:rsidRDefault="00702291">
    <w:pPr>
      <w:pStyle w:val="FooterCouncil"/>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234034"/>
      <w:docPartObj>
        <w:docPartGallery w:val="Page Numbers (Bottom of Page)"/>
        <w:docPartUnique/>
      </w:docPartObj>
    </w:sdtPr>
    <w:sdtEndPr/>
    <w:sdtContent>
      <w:p w14:paraId="4C2680FE" w14:textId="4A90B680"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60F074B8" w14:textId="77777777" w:rsidR="00702291" w:rsidRDefault="0070229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89208"/>
      <w:docPartObj>
        <w:docPartGallery w:val="Page Numbers (Bottom of Page)"/>
        <w:docPartUnique/>
      </w:docPartObj>
    </w:sdtPr>
    <w:sdtEndPr/>
    <w:sdtContent>
      <w:p w14:paraId="0CE10C64" w14:textId="71C3B96D"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76B34760" w14:textId="77777777" w:rsidR="00702291" w:rsidRDefault="0070229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89463"/>
      <w:docPartObj>
        <w:docPartGallery w:val="Page Numbers (Bottom of Page)"/>
        <w:docPartUnique/>
      </w:docPartObj>
    </w:sdtPr>
    <w:sdtEndPr/>
    <w:sdtContent>
      <w:p w14:paraId="025F793B" w14:textId="540A699C"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5DD619F6" w14:textId="77777777" w:rsidR="00702291" w:rsidRDefault="0070229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655540"/>
      <w:docPartObj>
        <w:docPartGallery w:val="Page Numbers (Bottom of Page)"/>
        <w:docPartUnique/>
      </w:docPartObj>
    </w:sdtPr>
    <w:sdtEndPr/>
    <w:sdtContent>
      <w:p w14:paraId="5795F818" w14:textId="3E28137D"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1CCFD389" w14:textId="77777777" w:rsidR="00702291" w:rsidRDefault="0070229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13142" w14:textId="77777777" w:rsidR="00702291" w:rsidRDefault="0070229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668845"/>
      <w:docPartObj>
        <w:docPartGallery w:val="Page Numbers (Bottom of Page)"/>
        <w:docPartUnique/>
      </w:docPartObj>
    </w:sdtPr>
    <w:sdtEndPr/>
    <w:sdtContent>
      <w:p w14:paraId="26C21827" w14:textId="5EC3DE48"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69DE33D6" w14:textId="77777777" w:rsidR="00702291" w:rsidRDefault="0070229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ED619" w14:textId="77777777" w:rsidR="00702291" w:rsidRDefault="0070229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585956"/>
      <w:docPartObj>
        <w:docPartGallery w:val="Page Numbers (Bottom of Page)"/>
        <w:docPartUnique/>
      </w:docPartObj>
    </w:sdtPr>
    <w:sdtEndPr/>
    <w:sdtContent>
      <w:p w14:paraId="67F991D7" w14:textId="1E346182"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0490AABF" w14:textId="77777777" w:rsidR="00702291" w:rsidRDefault="0070229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987996"/>
      <w:docPartObj>
        <w:docPartGallery w:val="Page Numbers (Bottom of Page)"/>
        <w:docPartUnique/>
      </w:docPartObj>
    </w:sdtPr>
    <w:sdtEndPr/>
    <w:sdtContent>
      <w:p w14:paraId="16F42704" w14:textId="43C913EC"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3F74068F" w14:textId="77777777" w:rsidR="00702291" w:rsidRDefault="0070229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93913"/>
      <w:docPartObj>
        <w:docPartGallery w:val="Page Numbers (Bottom of Page)"/>
        <w:docPartUnique/>
      </w:docPartObj>
    </w:sdtPr>
    <w:sdtEndPr/>
    <w:sdtContent>
      <w:p w14:paraId="0B8B9097" w14:textId="0A051B36"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7918BF85" w14:textId="77777777" w:rsidR="00702291" w:rsidRDefault="0070229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875531"/>
      <w:docPartObj>
        <w:docPartGallery w:val="Page Numbers (Bottom of Page)"/>
        <w:docPartUnique/>
      </w:docPartObj>
    </w:sdtPr>
    <w:sdtEndPr/>
    <w:sdtContent>
      <w:p w14:paraId="2E60D39C" w14:textId="299C6729"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38D8CBA7" w14:textId="77777777" w:rsidR="00702291" w:rsidRDefault="0070229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582322"/>
      <w:docPartObj>
        <w:docPartGallery w:val="Page Numbers (Bottom of Page)"/>
        <w:docPartUnique/>
      </w:docPartObj>
    </w:sdtPr>
    <w:sdtEndPr/>
    <w:sdtContent>
      <w:p w14:paraId="37DD961C" w14:textId="4F69786A"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18406B69" w14:textId="77777777" w:rsidR="00702291" w:rsidRDefault="0070229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2357962"/>
      <w:docPartObj>
        <w:docPartGallery w:val="Page Numbers (Bottom of Page)"/>
        <w:docPartUnique/>
      </w:docPartObj>
    </w:sdtPr>
    <w:sdtEndPr/>
    <w:sdtContent>
      <w:p w14:paraId="09840C55" w14:textId="03640734"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7DE541E9" w14:textId="77777777" w:rsidR="00702291" w:rsidRDefault="0070229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319682"/>
      <w:docPartObj>
        <w:docPartGallery w:val="Page Numbers (Bottom of Page)"/>
        <w:docPartUnique/>
      </w:docPartObj>
    </w:sdtPr>
    <w:sdtEndPr/>
    <w:sdtContent>
      <w:p w14:paraId="5B27C19B" w14:textId="458DCE99"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52713578" w14:textId="77777777" w:rsidR="00702291" w:rsidRDefault="0070229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7910498"/>
      <w:docPartObj>
        <w:docPartGallery w:val="Page Numbers (Bottom of Page)"/>
        <w:docPartUnique/>
      </w:docPartObj>
    </w:sdtPr>
    <w:sdtEndPr/>
    <w:sdtContent>
      <w:p w14:paraId="294B985F" w14:textId="3184A853" w:rsidR="00702291" w:rsidRDefault="00712B31">
        <w:pPr>
          <w:pStyle w:val="P68B1DB1-Footer92"/>
          <w:jc w:val="center"/>
        </w:pPr>
        <w:r>
          <w:fldChar w:fldCharType="begin"/>
        </w:r>
        <w:r>
          <w:instrText xml:space="preserve"> PAGE   \* MERGEFORMAT </w:instrText>
        </w:r>
        <w:r>
          <w:fldChar w:fldCharType="separate"/>
        </w:r>
        <w:r>
          <w:t>2</w:t>
        </w:r>
        <w:r>
          <w:fldChar w:fldCharType="end"/>
        </w:r>
      </w:p>
    </w:sdtContent>
  </w:sdt>
  <w:p w14:paraId="424B9A4E" w14:textId="77777777" w:rsidR="00702291" w:rsidRDefault="00702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8C515" w14:textId="77777777" w:rsidR="007B4247" w:rsidRDefault="007B4247">
      <w:pPr>
        <w:spacing w:after="0" w:line="240" w:lineRule="auto"/>
      </w:pPr>
      <w:r>
        <w:separator/>
      </w:r>
    </w:p>
  </w:footnote>
  <w:footnote w:type="continuationSeparator" w:id="0">
    <w:p w14:paraId="090724B3" w14:textId="77777777" w:rsidR="007B4247" w:rsidRDefault="007B4247">
      <w:pPr>
        <w:spacing w:after="0" w:line="240" w:lineRule="auto"/>
      </w:pPr>
      <w:r>
        <w:continuationSeparator/>
      </w:r>
    </w:p>
  </w:footnote>
  <w:footnote w:type="continuationNotice" w:id="1">
    <w:p w14:paraId="0F415085" w14:textId="77777777" w:rsidR="007B4247" w:rsidRDefault="007B4247">
      <w:pPr>
        <w:spacing w:after="0" w:line="240" w:lineRule="auto"/>
      </w:pPr>
    </w:p>
  </w:footnote>
  <w:footnote w:id="2">
    <w:p w14:paraId="3485FED4" w14:textId="73886D65" w:rsidR="00702291" w:rsidRDefault="00712B31">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Cu</w:t>
      </w:r>
      <w:r w:rsidR="00FA4EAF">
        <w:rPr>
          <w:rFonts w:ascii="Times New Roman" w:hAnsi="Times New Roman" w:cs="Times New Roman"/>
          <w:sz w:val="18"/>
          <w:szCs w:val="18"/>
        </w:rPr>
        <w:t xml:space="preserve"> </w:t>
      </w:r>
      <w:r>
        <w:rPr>
          <w:rFonts w:ascii="Times New Roman" w:hAnsi="Times New Roman" w:cs="Times New Roman"/>
          <w:sz w:val="18"/>
          <w:szCs w:val="18"/>
        </w:rPr>
        <w:t>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 și (b) a activităților și activelor menționate la punctul (ii) pentru care utilizarea combustibililor fosili este temporară și inevitabilă din punct de vedere tehnic pentru tranziția în timp util către o operațiune fără combustibili fosili.</w:t>
      </w:r>
    </w:p>
  </w:footnote>
  <w:footnote w:id="3">
    <w:p w14:paraId="138DE659" w14:textId="61BCA0F0" w:rsidR="00702291" w:rsidRDefault="00712B31">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În</w:t>
      </w:r>
      <w:r w:rsidR="00FA4EAF">
        <w:rPr>
          <w:rFonts w:ascii="Times New Roman" w:hAnsi="Times New Roman" w:cs="Times New Roman"/>
          <w:sz w:val="18"/>
          <w:szCs w:val="18"/>
        </w:rPr>
        <w:t xml:space="preserve"> </w:t>
      </w:r>
      <w:r>
        <w:rPr>
          <w:rFonts w:ascii="Times New Roman" w:hAnsi="Times New Roman" w:cs="Times New Roman"/>
          <w:sz w:val="18"/>
          <w:szCs w:val="18"/>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4">
    <w:p w14:paraId="45CA98AB" w14:textId="77777777" w:rsidR="00702291" w:rsidRDefault="00712B31">
      <w:pPr>
        <w:pStyle w:val="FootnoteText"/>
        <w:ind w:left="0" w:firstLine="0"/>
        <w:jc w:val="both"/>
        <w:rPr>
          <w:rFonts w:ascii="Times New Roman" w:eastAsia="Yu Minch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5">
    <w:p w14:paraId="084FC063" w14:textId="1DA9E172" w:rsidR="00702291" w:rsidRDefault="00712B31">
      <w:pPr>
        <w:pStyle w:val="FootnoteText"/>
        <w:ind w:left="0" w:firstLine="0"/>
        <w:jc w:val="both"/>
      </w:pPr>
      <w:r>
        <w:rPr>
          <w:rStyle w:val="FootnoteReference"/>
          <w:rFonts w:ascii="Times New Roman" w:hAnsi="Times New Roman" w:cs="Times New Roman"/>
          <w:b w:val="0"/>
          <w:sz w:val="18"/>
          <w:szCs w:val="18"/>
        </w:rPr>
        <w:footnoteRef/>
      </w:r>
      <w:r>
        <w:t>Această</w:t>
      </w:r>
      <w:r w:rsidR="00FA4EAF">
        <w:t xml:space="preserve"> </w:t>
      </w:r>
      <w:r>
        <w:rPr>
          <w:rFonts w:ascii="Times New Roman" w:hAnsi="Times New Roman" w:cs="Times New Roman"/>
          <w:sz w:val="18"/>
          <w:szCs w:val="18"/>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r>
        <w:t> </w:t>
      </w:r>
    </w:p>
  </w:footnote>
  <w:footnote w:id="6">
    <w:p w14:paraId="1D367662" w14:textId="4909308F" w:rsidR="00702291" w:rsidRDefault="00712B31">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7">
    <w:p w14:paraId="4D685382" w14:textId="77777777" w:rsidR="00702291" w:rsidRDefault="00712B31">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8">
    <w:p w14:paraId="36588E20" w14:textId="77777777" w:rsidR="00702291" w:rsidRDefault="00712B31">
      <w:pPr>
        <w:pStyle w:val="FootnoteText"/>
        <w:ind w:left="0" w:firstLine="0"/>
        <w:jc w:val="both"/>
        <w:rPr>
          <w:rFonts w:ascii="Times New Roman" w:hAnsi="Times New Roman" w:cs="Times New Roman"/>
          <w:sz w:val="18"/>
          <w:szCs w:val="16"/>
        </w:rPr>
      </w:pPr>
      <w:r>
        <w:rPr>
          <w:rStyle w:val="FootnoteReference"/>
          <w:rFonts w:ascii="Times New Roman" w:hAnsi="Times New Roman" w:cs="Times New Roman"/>
          <w:b w:val="0"/>
          <w:sz w:val="18"/>
          <w:szCs w:val="16"/>
        </w:rPr>
        <w:footnoteRef/>
      </w:r>
      <w:r>
        <w:rPr>
          <w:rFonts w:ascii="Times New Roman" w:hAnsi="Times New Roman" w:cs="Times New Roman"/>
          <w:sz w:val="18"/>
          <w:szCs w:val="16"/>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
    <w:p w14:paraId="7E512AAD" w14:textId="77777777" w:rsidR="00702291" w:rsidRDefault="00712B31">
      <w:pPr>
        <w:pStyle w:val="FootnoteText"/>
        <w:ind w:left="0" w:firstLine="0"/>
        <w:jc w:val="both"/>
        <w:rPr>
          <w:rFonts w:ascii="Times New Roman" w:hAnsi="Times New Roman" w:cs="Times New Roman"/>
          <w:sz w:val="18"/>
          <w:szCs w:val="16"/>
        </w:rPr>
      </w:pPr>
      <w:r>
        <w:rPr>
          <w:rStyle w:val="FootnoteReference"/>
          <w:rFonts w:ascii="Times New Roman" w:hAnsi="Times New Roman" w:cs="Times New Roman"/>
          <w:b w:val="0"/>
          <w:sz w:val="18"/>
          <w:szCs w:val="16"/>
        </w:rPr>
        <w:footnoteRef/>
      </w:r>
      <w:r>
        <w:rPr>
          <w:rFonts w:ascii="Times New Roman" w:hAnsi="Times New Roman" w:cs="Times New Roman"/>
          <w:sz w:val="18"/>
          <w:szCs w:val="16"/>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0">
    <w:p w14:paraId="0ADF32E0" w14:textId="77777777" w:rsidR="00702291" w:rsidRDefault="00712B31">
      <w:pPr>
        <w:pStyle w:val="FootnoteText"/>
        <w:ind w:left="0" w:firstLine="0"/>
        <w:jc w:val="both"/>
        <w:rPr>
          <w:sz w:val="18"/>
          <w:szCs w:val="16"/>
        </w:rPr>
      </w:pPr>
      <w:r>
        <w:rPr>
          <w:rStyle w:val="FootnoteReference"/>
          <w:rFonts w:ascii="Times New Roman" w:hAnsi="Times New Roman" w:cs="Times New Roman"/>
          <w:b w:val="0"/>
          <w:sz w:val="18"/>
          <w:szCs w:val="16"/>
        </w:rPr>
        <w:footnoteRef/>
      </w:r>
      <w:r>
        <w:rPr>
          <w:rFonts w:ascii="Times New Roman" w:hAnsi="Times New Roman" w:cs="Times New Roman"/>
          <w:sz w:val="18"/>
          <w:szCs w:val="16"/>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1">
    <w:p w14:paraId="0A71CBEC" w14:textId="77777777" w:rsidR="00702291" w:rsidRDefault="00712B31">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Procedura prevăzută la articolul 6 din Regulamentul (UE, Euratom) 2020/2092 privind un regim general de condiționalitate pentru protecția bugetului Uniunii.</w:t>
      </w:r>
    </w:p>
  </w:footnote>
  <w:footnote w:id="12">
    <w:p w14:paraId="4AA8E125" w14:textId="382ABE69" w:rsidR="00702291" w:rsidRDefault="00712B31">
      <w:pPr>
        <w:pStyle w:val="FootnoteText"/>
        <w:ind w:left="0" w:firstLine="0"/>
        <w:jc w:val="both"/>
        <w:rPr>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Acesta este cazul jaloanelor 54, 55, 57, 58, 59, 62, 63, 66, 68, 69, 71, 72, 73, 74, 75, 76, 77, 78, 79, 80, 81, 82, 83, 84.</w:t>
      </w:r>
    </w:p>
  </w:footnote>
  <w:footnote w:id="13">
    <w:p w14:paraId="5F534C8D" w14:textId="77777777" w:rsidR="00702291" w:rsidRDefault="00712B31">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Cu 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 și (b) a activităților și activelor menționate la punctul (ii) pentru care utilizarea combustibililor fosili este temporară și inevitabilă din punct de vedere tehnic pentru tranziția în timp util către o operațiune fără combustibili fosili.</w:t>
      </w:r>
    </w:p>
  </w:footnote>
  <w:footnote w:id="14">
    <w:p w14:paraId="19AC9F4E" w14:textId="76DB9A3A" w:rsidR="00702291" w:rsidRDefault="00712B31">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În</w:t>
      </w:r>
      <w:r w:rsidR="00FA4EAF">
        <w:rPr>
          <w:rFonts w:ascii="Times New Roman" w:hAnsi="Times New Roman" w:cs="Times New Roman"/>
          <w:sz w:val="18"/>
          <w:szCs w:val="18"/>
        </w:rPr>
        <w:t xml:space="preserve"> </w:t>
      </w:r>
      <w:r>
        <w:rPr>
          <w:rFonts w:ascii="Times New Roman" w:hAnsi="Times New Roman" w:cs="Times New Roman"/>
          <w:sz w:val="18"/>
          <w:szCs w:val="18"/>
        </w:rPr>
        <w:t xml:space="preserve">cazul în care activitatea sprijinită generează emisii de gaze cu efect de seră preconizate care nu sunt semnificativ mai mici decât valorile de referință aplicabile, se furnizează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5">
    <w:p w14:paraId="0E684443" w14:textId="0342A76B" w:rsidR="00702291" w:rsidRDefault="00712B31">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Această</w:t>
      </w:r>
      <w:r w:rsidR="00FA4EAF">
        <w:rPr>
          <w:rFonts w:ascii="Times New Roman" w:hAnsi="Times New Roman" w:cs="Times New Roman"/>
          <w:sz w:val="18"/>
          <w:szCs w:val="18"/>
        </w:rPr>
        <w:t xml:space="preserve"> </w:t>
      </w:r>
      <w:r>
        <w:rPr>
          <w:rFonts w:ascii="Times New Roman" w:hAnsi="Times New Roman" w:cs="Times New Roman"/>
          <w:sz w:val="18"/>
          <w:szCs w:val="18"/>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6">
    <w:p w14:paraId="510F7869" w14:textId="17E71DEE" w:rsidR="00702291" w:rsidRDefault="00712B31">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Această</w:t>
      </w:r>
      <w:r w:rsidR="00FA4EAF">
        <w:rPr>
          <w:rFonts w:ascii="Times New Roman" w:hAnsi="Times New Roman" w:cs="Times New Roman"/>
          <w:sz w:val="18"/>
          <w:szCs w:val="18"/>
        </w:rPr>
        <w:t xml:space="preserve"> </w:t>
      </w:r>
      <w:r>
        <w:rPr>
          <w:rFonts w:ascii="Times New Roman" w:hAnsi="Times New Roman" w:cs="Times New Roman"/>
          <w:sz w:val="18"/>
          <w:szCs w:val="18"/>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7">
    <w:p w14:paraId="598B2537" w14:textId="77777777" w:rsidR="00702291" w:rsidRDefault="00712B31">
      <w:pPr>
        <w:pStyle w:val="FootnoteText"/>
        <w:ind w:left="0" w:firstLine="0"/>
        <w:jc w:val="both"/>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18">
    <w:p w14:paraId="713E144A" w14:textId="31E251B0" w:rsidR="00702291" w:rsidRDefault="00712B31">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eastAsia="Times New Roman" w:hAnsi="Times New Roman" w:cs="Times New Roman"/>
          <w:sz w:val="18"/>
          <w:szCs w:val="18"/>
        </w:rPr>
        <w:t>Cu</w:t>
      </w:r>
      <w:r w:rsidR="00FA4EAF">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9">
    <w:p w14:paraId="759D5324" w14:textId="7898C665" w:rsidR="00702291" w:rsidRDefault="00712B31">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eastAsia="EC Square Sans Pro" w:hAnsi="Times New Roman" w:cs="Times New Roman"/>
          <w:sz w:val="18"/>
          <w:szCs w:val="18"/>
        </w:rPr>
        <w:t>În</w:t>
      </w:r>
      <w:r w:rsidR="00FA4EAF">
        <w:rPr>
          <w:rFonts w:ascii="Times New Roman" w:eastAsia="EC Square Sans Pro" w:hAnsi="Times New Roman" w:cs="Times New Roman"/>
          <w:sz w:val="18"/>
          <w:szCs w:val="18"/>
        </w:rPr>
        <w:t xml:space="preserve"> </w:t>
      </w:r>
      <w:r>
        <w:rPr>
          <w:rFonts w:ascii="Times New Roman" w:eastAsia="EC Square Sans Pro" w:hAnsi="Times New Roman" w:cs="Times New Roman"/>
          <w:sz w:val="18"/>
          <w:szCs w:val="18"/>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20">
    <w:p w14:paraId="2F8B7A73" w14:textId="555B7586" w:rsidR="00702291" w:rsidRDefault="00712B31">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Această</w:t>
      </w:r>
      <w:r w:rsidR="00FA4EAF">
        <w:rPr>
          <w:rFonts w:ascii="Times New Roman" w:hAnsi="Times New Roman" w:cs="Times New Roman"/>
          <w:sz w:val="18"/>
          <w:szCs w:val="18"/>
        </w:rPr>
        <w:t xml:space="preserve"> </w:t>
      </w:r>
      <w:r>
        <w:rPr>
          <w:rFonts w:ascii="Times New Roman" w:hAnsi="Times New Roman" w:cs="Times New Roman"/>
          <w:sz w:val="18"/>
          <w:szCs w:val="18"/>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1">
    <w:p w14:paraId="14E556AF" w14:textId="306F9DE9" w:rsidR="00702291" w:rsidRDefault="00712B31">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Această</w:t>
      </w:r>
      <w:r w:rsidR="00FA4EAF">
        <w:rPr>
          <w:rFonts w:ascii="Times New Roman" w:hAnsi="Times New Roman" w:cs="Times New Roman"/>
          <w:sz w:val="18"/>
          <w:szCs w:val="18"/>
        </w:rPr>
        <w:t xml:space="preserve"> </w:t>
      </w:r>
      <w:r>
        <w:rPr>
          <w:rFonts w:ascii="Times New Roman" w:hAnsi="Times New Roman" w:cs="Times New Roman"/>
          <w:sz w:val="18"/>
          <w:szCs w:val="18"/>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2">
    <w:p w14:paraId="3D3B474C" w14:textId="77777777" w:rsidR="00702291" w:rsidRDefault="00712B31">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eastAsia="Times New Roman" w:hAnsi="Times New Roman" w:cs="Times New Roman"/>
          <w:sz w:val="18"/>
          <w:szCs w:val="18"/>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23">
    <w:p w14:paraId="262B12A4" w14:textId="77777777" w:rsidR="00702291" w:rsidRDefault="00712B31">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4">
    <w:p w14:paraId="5D76E3DC" w14:textId="77777777" w:rsidR="00702291" w:rsidRDefault="00712B31">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eastAsia="EC Square Sans Pro" w:hAnsi="Times New Roman" w:cs="Times New Roman"/>
          <w:sz w:val="18"/>
          <w:szCs w:val="18"/>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5">
    <w:p w14:paraId="3510574C" w14:textId="77777777" w:rsidR="00702291" w:rsidRDefault="00712B31">
      <w:pPr>
        <w:pStyle w:val="P68B1DB1-FootnoteText93"/>
        <w:ind w:left="0" w:firstLine="0"/>
        <w:jc w:val="both"/>
        <w:rPr>
          <w:rFonts w:eastAsia="Times New Roman"/>
        </w:rPr>
      </w:pPr>
      <w:r>
        <w:footnoteRef/>
      </w:r>
      <w:r>
        <w:t xml:space="preserve"> Vehiculele poluante sunt definite ca vehicule fără emisii zero.</w:t>
      </w:r>
    </w:p>
  </w:footnote>
  <w:footnote w:id="26">
    <w:p w14:paraId="4EF1D96C" w14:textId="211D6240" w:rsidR="00702291" w:rsidRDefault="00712B31">
      <w:pPr>
        <w:pStyle w:val="FootnoteText"/>
        <w:ind w:left="0" w:firstLine="0"/>
        <w:jc w:val="both"/>
        <w:rPr>
          <w:rFonts w:eastAsia="Times New Roman" w:cs="Times New Roman"/>
        </w:rPr>
      </w:pPr>
      <w:r>
        <w:rPr>
          <w:rStyle w:val="FootnoteReference"/>
          <w:rFonts w:ascii="Times New Roman" w:hAnsi="Times New Roman" w:cs="Times New Roman"/>
          <w:b w:val="0"/>
          <w:sz w:val="18"/>
          <w:szCs w:val="18"/>
        </w:rPr>
        <w:footnoteRef/>
      </w:r>
      <w:r>
        <w:rPr>
          <w:rFonts w:ascii="Times New Roman" w:eastAsia="Times New Roman" w:hAnsi="Times New Roman" w:cs="Times New Roman"/>
          <w:sz w:val="18"/>
          <w:szCs w:val="18"/>
        </w:rPr>
        <w:t>Această</w:t>
      </w:r>
      <w:r w:rsidR="00FA4EAF">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7">
    <w:p w14:paraId="6BA4F4BD" w14:textId="49DB7BCB" w:rsidR="00702291" w:rsidRDefault="00712B31">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Acest lucru este valabil pentru 24 jaloane care trebuie atinse înainte de depunerea primei cereri de plată. O serie de măsuri cuprinse în componenta 8 sunt aliniate la angajamentele asumate de Ungaria în cadrul procedurii prevăzute la articolul 6 din Regulamentul</w:t>
      </w:r>
      <w:r w:rsidR="00494F0E">
        <w:rPr>
          <w:rFonts w:ascii="Times New Roman" w:hAnsi="Times New Roman" w:cs="Times New Roman"/>
          <w:sz w:val="18"/>
          <w:szCs w:val="18"/>
        </w:rPr>
        <w:t> </w:t>
      </w:r>
      <w:r>
        <w:rPr>
          <w:rFonts w:ascii="Times New Roman" w:hAnsi="Times New Roman" w:cs="Times New Roman"/>
          <w:sz w:val="18"/>
          <w:szCs w:val="18"/>
        </w:rPr>
        <w:t>(UE,</w:t>
      </w:r>
      <w:r w:rsidR="00494F0E">
        <w:rPr>
          <w:rFonts w:ascii="Times New Roman" w:hAnsi="Times New Roman" w:cs="Times New Roman"/>
          <w:sz w:val="18"/>
          <w:szCs w:val="18"/>
        </w:rPr>
        <w:t> </w:t>
      </w:r>
      <w:r>
        <w:rPr>
          <w:rFonts w:ascii="Times New Roman" w:hAnsi="Times New Roman" w:cs="Times New Roman"/>
          <w:sz w:val="18"/>
          <w:szCs w:val="18"/>
        </w:rPr>
        <w:t>Euratom) 2020/2092 privind un regim general de condiționalitate pentru protecția bugetului Uniunii.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69572" w14:textId="77777777" w:rsidR="00E3616B" w:rsidRPr="00E3616B" w:rsidRDefault="00E3616B" w:rsidP="00E3616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1F9AC" w14:textId="77777777" w:rsidR="00E3616B" w:rsidRPr="00E3616B" w:rsidRDefault="00E3616B" w:rsidP="00E3616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7C56D" w14:textId="77777777" w:rsidR="00E3616B" w:rsidRPr="00E3616B" w:rsidRDefault="00E3616B" w:rsidP="00E3616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31D94" w14:textId="77777777" w:rsidR="00702291" w:rsidRDefault="007022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1C962" w14:textId="77777777" w:rsidR="00702291" w:rsidRDefault="007022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18916" w14:textId="77777777" w:rsidR="00702291" w:rsidRDefault="007022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D05C9" w14:textId="77777777" w:rsidR="00702291" w:rsidRDefault="0070229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04CFC" w14:textId="77777777" w:rsidR="00702291" w:rsidRDefault="0070229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8AB02" w14:textId="77777777" w:rsidR="00702291" w:rsidRDefault="007022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A4733" w14:textId="77777777" w:rsidR="00702291" w:rsidRDefault="0070229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450D4" w14:textId="77777777" w:rsidR="00702291" w:rsidRDefault="0070229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9B7F7" w14:textId="77777777" w:rsidR="00702291" w:rsidRDefault="0070229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A6D8E" w14:textId="77777777" w:rsidR="00702291" w:rsidRDefault="0070229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9C7E9" w14:textId="77777777" w:rsidR="00702291" w:rsidRDefault="0070229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B8E96" w14:textId="77777777" w:rsidR="00702291" w:rsidRDefault="0070229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EB612" w14:textId="77777777" w:rsidR="00702291" w:rsidRDefault="0070229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D89D9" w14:textId="77777777" w:rsidR="00702291" w:rsidRDefault="0070229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9FF2C" w14:textId="77777777" w:rsidR="00702291" w:rsidRDefault="0070229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F3AC4" w14:textId="77777777" w:rsidR="00702291" w:rsidRDefault="0070229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8F7D8" w14:textId="77777777" w:rsidR="00702291" w:rsidRDefault="0070229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4E985" w14:textId="77777777" w:rsidR="00702291" w:rsidRDefault="0070229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49228" w14:textId="77777777" w:rsidR="00702291" w:rsidRDefault="0070229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20B29" w14:textId="77777777" w:rsidR="00702291" w:rsidRDefault="0070229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0FA61" w14:textId="77777777" w:rsidR="00702291" w:rsidRDefault="0070229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E3AB4" w14:textId="77777777" w:rsidR="00702291" w:rsidRDefault="0070229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8A54" w14:textId="77777777" w:rsidR="00702291" w:rsidRDefault="00702291">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51E7A" w14:textId="77777777" w:rsidR="00702291" w:rsidRDefault="0070229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639B6" w14:textId="77777777" w:rsidR="00702291" w:rsidRDefault="0070229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D325" w14:textId="77777777" w:rsidR="00702291" w:rsidRDefault="00702291">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E2A37" w14:textId="77777777" w:rsidR="00702291" w:rsidRDefault="0070229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40127" w14:textId="77777777" w:rsidR="00702291" w:rsidRDefault="0070229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B1B3A" w14:textId="77777777" w:rsidR="00702291" w:rsidRDefault="00702291">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F3AB6" w14:textId="77777777" w:rsidR="00702291" w:rsidRDefault="0070229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2ACB9" w14:textId="77777777" w:rsidR="00702291" w:rsidRDefault="0070229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5E89D" w14:textId="77777777" w:rsidR="00702291" w:rsidRDefault="00702291">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63455" w14:textId="77777777" w:rsidR="00702291" w:rsidRDefault="0070229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7CAF8" w14:textId="77777777" w:rsidR="00702291" w:rsidRDefault="0070229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4BCE2" w14:textId="77777777" w:rsidR="00702291" w:rsidRDefault="00702291">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33C77" w14:textId="77777777" w:rsidR="00702291" w:rsidRDefault="0070229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08108" w14:textId="77777777" w:rsidR="00702291" w:rsidRDefault="0070229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9474B" w14:textId="77777777" w:rsidR="00702291" w:rsidRDefault="00702291">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417A7" w14:textId="77777777" w:rsidR="00702291" w:rsidRDefault="0070229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62FF1" w14:textId="77777777" w:rsidR="00702291" w:rsidRDefault="0070229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C870" w14:textId="77777777" w:rsidR="00702291" w:rsidRDefault="00702291">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24F62" w14:textId="77777777" w:rsidR="00702291" w:rsidRDefault="0070229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25C5A" w14:textId="77777777" w:rsidR="00702291" w:rsidRDefault="0070229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347CC" w14:textId="77777777" w:rsidR="00702291" w:rsidRDefault="00702291">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B83C1" w14:textId="77777777" w:rsidR="00702291" w:rsidRDefault="0070229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82425" w14:textId="77777777" w:rsidR="00702291" w:rsidRDefault="0070229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EE3C5" w14:textId="77777777" w:rsidR="00702291" w:rsidRDefault="00702291">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9607B" w14:textId="77777777" w:rsidR="00702291" w:rsidRDefault="0070229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AF02" w14:textId="77777777" w:rsidR="00702291" w:rsidRDefault="0070229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EEFFE" w14:textId="77777777" w:rsidR="00702291" w:rsidRDefault="00702291">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D6FE3" w14:textId="77777777" w:rsidR="00702291" w:rsidRDefault="0070229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148B4" w14:textId="77777777" w:rsidR="00702291" w:rsidRDefault="0070229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6903" w14:textId="77777777" w:rsidR="00702291" w:rsidRDefault="00702291">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74781" w14:textId="77777777" w:rsidR="00702291" w:rsidRDefault="0070229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D2AAF" w14:textId="77777777" w:rsidR="00702291" w:rsidRDefault="0070229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BFC0D" w14:textId="77777777" w:rsidR="00702291" w:rsidRDefault="00702291">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22649" w14:textId="77777777" w:rsidR="00702291" w:rsidRDefault="00702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82DC92"/>
    <w:lvl w:ilvl="0">
      <w:start w:val="1"/>
      <w:numFmt w:val="decimal"/>
      <w:pStyle w:val="ListNumber51"/>
      <w:lvlText w:val="%1."/>
      <w:lvlJc w:val="left"/>
      <w:pPr>
        <w:tabs>
          <w:tab w:val="num" w:pos="1492"/>
        </w:tabs>
        <w:ind w:left="1492" w:hanging="360"/>
      </w:pPr>
    </w:lvl>
  </w:abstractNum>
  <w:abstractNum w:abstractNumId="1" w15:restartNumberingAfterBreak="0">
    <w:nsid w:val="FFFFFF7D"/>
    <w:multiLevelType w:val="singleLevel"/>
    <w:tmpl w:val="CED2C548"/>
    <w:lvl w:ilvl="0">
      <w:start w:val="1"/>
      <w:numFmt w:val="decimal"/>
      <w:pStyle w:val="ListNumber41"/>
      <w:lvlText w:val="%1."/>
      <w:lvlJc w:val="left"/>
      <w:pPr>
        <w:tabs>
          <w:tab w:val="num" w:pos="1209"/>
        </w:tabs>
        <w:ind w:left="1209" w:hanging="360"/>
      </w:pPr>
    </w:lvl>
  </w:abstractNum>
  <w:abstractNum w:abstractNumId="2" w15:restartNumberingAfterBreak="0">
    <w:nsid w:val="FFFFFF7E"/>
    <w:multiLevelType w:val="singleLevel"/>
    <w:tmpl w:val="62944516"/>
    <w:lvl w:ilvl="0">
      <w:start w:val="1"/>
      <w:numFmt w:val="decimal"/>
      <w:pStyle w:val="ListNumber31"/>
      <w:lvlText w:val="%1."/>
      <w:lvlJc w:val="left"/>
      <w:pPr>
        <w:tabs>
          <w:tab w:val="num" w:pos="926"/>
        </w:tabs>
        <w:ind w:left="926" w:hanging="360"/>
      </w:pPr>
    </w:lvl>
  </w:abstractNum>
  <w:abstractNum w:abstractNumId="3" w15:restartNumberingAfterBreak="0">
    <w:nsid w:val="FFFFFF7F"/>
    <w:multiLevelType w:val="singleLevel"/>
    <w:tmpl w:val="A23456D4"/>
    <w:lvl w:ilvl="0">
      <w:start w:val="1"/>
      <w:numFmt w:val="decimal"/>
      <w:pStyle w:val="ListNumber21"/>
      <w:lvlText w:val="%1."/>
      <w:lvlJc w:val="left"/>
      <w:pPr>
        <w:tabs>
          <w:tab w:val="num" w:pos="643"/>
        </w:tabs>
        <w:ind w:left="643" w:hanging="360"/>
      </w:pPr>
    </w:lvl>
  </w:abstractNum>
  <w:abstractNum w:abstractNumId="4" w15:restartNumberingAfterBreak="0">
    <w:nsid w:val="FFFFFF80"/>
    <w:multiLevelType w:val="singleLevel"/>
    <w:tmpl w:val="5CDCBF14"/>
    <w:lvl w:ilvl="0">
      <w:start w:val="1"/>
      <w:numFmt w:val="bullet"/>
      <w:pStyle w:val="ListBullet51"/>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0AB8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CAF416"/>
    <w:lvl w:ilvl="0">
      <w:start w:val="1"/>
      <w:numFmt w:val="decimal"/>
      <w:pStyle w:val="ListNumber1"/>
      <w:lvlText w:val="%1."/>
      <w:lvlJc w:val="left"/>
      <w:pPr>
        <w:tabs>
          <w:tab w:val="num" w:pos="360"/>
        </w:tabs>
        <w:ind w:left="360" w:hanging="360"/>
      </w:pPr>
    </w:lvl>
  </w:abstractNum>
  <w:abstractNum w:abstractNumId="9"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54533"/>
    <w:multiLevelType w:val="hybridMultilevel"/>
    <w:tmpl w:val="EE1C2D4C"/>
    <w:lvl w:ilvl="0" w:tplc="45EA78A4">
      <w:start w:val="1"/>
      <w:numFmt w:val="decimal"/>
      <w:lvlText w:val="%1)"/>
      <w:lvlJc w:val="left"/>
      <w:pPr>
        <w:ind w:left="1020" w:hanging="360"/>
      </w:pPr>
    </w:lvl>
    <w:lvl w:ilvl="1" w:tplc="B0C2A514">
      <w:start w:val="1"/>
      <w:numFmt w:val="decimal"/>
      <w:lvlText w:val="%2)"/>
      <w:lvlJc w:val="left"/>
      <w:pPr>
        <w:ind w:left="1020" w:hanging="360"/>
      </w:pPr>
    </w:lvl>
    <w:lvl w:ilvl="2" w:tplc="91920D46">
      <w:start w:val="1"/>
      <w:numFmt w:val="decimal"/>
      <w:lvlText w:val="%3)"/>
      <w:lvlJc w:val="left"/>
      <w:pPr>
        <w:ind w:left="1020" w:hanging="360"/>
      </w:pPr>
    </w:lvl>
    <w:lvl w:ilvl="3" w:tplc="8824559E">
      <w:start w:val="1"/>
      <w:numFmt w:val="decimal"/>
      <w:lvlText w:val="%4)"/>
      <w:lvlJc w:val="left"/>
      <w:pPr>
        <w:ind w:left="1020" w:hanging="360"/>
      </w:pPr>
    </w:lvl>
    <w:lvl w:ilvl="4" w:tplc="DEA6183C">
      <w:start w:val="1"/>
      <w:numFmt w:val="decimal"/>
      <w:lvlText w:val="%5)"/>
      <w:lvlJc w:val="left"/>
      <w:pPr>
        <w:ind w:left="1020" w:hanging="360"/>
      </w:pPr>
    </w:lvl>
    <w:lvl w:ilvl="5" w:tplc="1D0E144E">
      <w:start w:val="1"/>
      <w:numFmt w:val="decimal"/>
      <w:lvlText w:val="%6)"/>
      <w:lvlJc w:val="left"/>
      <w:pPr>
        <w:ind w:left="1020" w:hanging="360"/>
      </w:pPr>
    </w:lvl>
    <w:lvl w:ilvl="6" w:tplc="67A6C0D6">
      <w:start w:val="1"/>
      <w:numFmt w:val="decimal"/>
      <w:lvlText w:val="%7)"/>
      <w:lvlJc w:val="left"/>
      <w:pPr>
        <w:ind w:left="1020" w:hanging="360"/>
      </w:pPr>
    </w:lvl>
    <w:lvl w:ilvl="7" w:tplc="68B44098">
      <w:start w:val="1"/>
      <w:numFmt w:val="decimal"/>
      <w:lvlText w:val="%8)"/>
      <w:lvlJc w:val="left"/>
      <w:pPr>
        <w:ind w:left="1020" w:hanging="360"/>
      </w:pPr>
    </w:lvl>
    <w:lvl w:ilvl="8" w:tplc="900CB17A">
      <w:start w:val="1"/>
      <w:numFmt w:val="decimal"/>
      <w:lvlText w:val="%9)"/>
      <w:lvlJc w:val="left"/>
      <w:pPr>
        <w:ind w:left="1020" w:hanging="360"/>
      </w:pPr>
    </w:lvl>
  </w:abstractNum>
  <w:abstractNum w:abstractNumId="11" w15:restartNumberingAfterBreak="0">
    <w:nsid w:val="011664F7"/>
    <w:multiLevelType w:val="multilevel"/>
    <w:tmpl w:val="14DCBBC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237395B"/>
    <w:multiLevelType w:val="hybridMultilevel"/>
    <w:tmpl w:val="9334BE8C"/>
    <w:lvl w:ilvl="0" w:tplc="CF4AC1D4">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35F7889"/>
    <w:multiLevelType w:val="hybridMultilevel"/>
    <w:tmpl w:val="8046A0C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3CC9F4D"/>
    <w:multiLevelType w:val="hybridMultilevel"/>
    <w:tmpl w:val="FFFFFFFF"/>
    <w:lvl w:ilvl="0" w:tplc="48C89578">
      <w:start w:val="1"/>
      <w:numFmt w:val="bullet"/>
      <w:lvlText w:val="-"/>
      <w:lvlJc w:val="left"/>
      <w:pPr>
        <w:ind w:left="720" w:hanging="360"/>
      </w:pPr>
      <w:rPr>
        <w:rFonts w:ascii="Aptos" w:hAnsi="Aptos" w:hint="default"/>
      </w:rPr>
    </w:lvl>
    <w:lvl w:ilvl="1" w:tplc="AF560982">
      <w:start w:val="1"/>
      <w:numFmt w:val="bullet"/>
      <w:lvlText w:val="o"/>
      <w:lvlJc w:val="left"/>
      <w:pPr>
        <w:ind w:left="1440" w:hanging="360"/>
      </w:pPr>
      <w:rPr>
        <w:rFonts w:ascii="Courier New" w:hAnsi="Courier New" w:hint="default"/>
      </w:rPr>
    </w:lvl>
    <w:lvl w:ilvl="2" w:tplc="1FBA670C">
      <w:start w:val="1"/>
      <w:numFmt w:val="bullet"/>
      <w:lvlText w:val=""/>
      <w:lvlJc w:val="left"/>
      <w:pPr>
        <w:ind w:left="2160" w:hanging="360"/>
      </w:pPr>
      <w:rPr>
        <w:rFonts w:ascii="Wingdings" w:hAnsi="Wingdings" w:hint="default"/>
      </w:rPr>
    </w:lvl>
    <w:lvl w:ilvl="3" w:tplc="AFD62A7E">
      <w:start w:val="1"/>
      <w:numFmt w:val="bullet"/>
      <w:lvlText w:val=""/>
      <w:lvlJc w:val="left"/>
      <w:pPr>
        <w:ind w:left="2880" w:hanging="360"/>
      </w:pPr>
      <w:rPr>
        <w:rFonts w:ascii="Symbol" w:hAnsi="Symbol" w:hint="default"/>
      </w:rPr>
    </w:lvl>
    <w:lvl w:ilvl="4" w:tplc="B150FCB6">
      <w:start w:val="1"/>
      <w:numFmt w:val="bullet"/>
      <w:lvlText w:val="o"/>
      <w:lvlJc w:val="left"/>
      <w:pPr>
        <w:ind w:left="3600" w:hanging="360"/>
      </w:pPr>
      <w:rPr>
        <w:rFonts w:ascii="Courier New" w:hAnsi="Courier New" w:hint="default"/>
      </w:rPr>
    </w:lvl>
    <w:lvl w:ilvl="5" w:tplc="82B0330A">
      <w:start w:val="1"/>
      <w:numFmt w:val="bullet"/>
      <w:lvlText w:val=""/>
      <w:lvlJc w:val="left"/>
      <w:pPr>
        <w:ind w:left="4320" w:hanging="360"/>
      </w:pPr>
      <w:rPr>
        <w:rFonts w:ascii="Wingdings" w:hAnsi="Wingdings" w:hint="default"/>
      </w:rPr>
    </w:lvl>
    <w:lvl w:ilvl="6" w:tplc="678E28E4">
      <w:start w:val="1"/>
      <w:numFmt w:val="bullet"/>
      <w:lvlText w:val=""/>
      <w:lvlJc w:val="left"/>
      <w:pPr>
        <w:ind w:left="5040" w:hanging="360"/>
      </w:pPr>
      <w:rPr>
        <w:rFonts w:ascii="Symbol" w:hAnsi="Symbol" w:hint="default"/>
      </w:rPr>
    </w:lvl>
    <w:lvl w:ilvl="7" w:tplc="17F80DAC">
      <w:start w:val="1"/>
      <w:numFmt w:val="bullet"/>
      <w:lvlText w:val="o"/>
      <w:lvlJc w:val="left"/>
      <w:pPr>
        <w:ind w:left="5760" w:hanging="360"/>
      </w:pPr>
      <w:rPr>
        <w:rFonts w:ascii="Courier New" w:hAnsi="Courier New" w:hint="default"/>
      </w:rPr>
    </w:lvl>
    <w:lvl w:ilvl="8" w:tplc="FBC0870C">
      <w:start w:val="1"/>
      <w:numFmt w:val="bullet"/>
      <w:lvlText w:val=""/>
      <w:lvlJc w:val="left"/>
      <w:pPr>
        <w:ind w:left="6480" w:hanging="360"/>
      </w:pPr>
      <w:rPr>
        <w:rFonts w:ascii="Wingdings" w:hAnsi="Wingdings" w:hint="default"/>
      </w:rPr>
    </w:lvl>
  </w:abstractNum>
  <w:abstractNum w:abstractNumId="15" w15:restartNumberingAfterBreak="0">
    <w:nsid w:val="0544316D"/>
    <w:multiLevelType w:val="hybridMultilevel"/>
    <w:tmpl w:val="D602826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5B100CF"/>
    <w:multiLevelType w:val="hybridMultilevel"/>
    <w:tmpl w:val="FF10A39C"/>
    <w:lvl w:ilvl="0" w:tplc="02968176">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06FB6A91"/>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08BF266B"/>
    <w:multiLevelType w:val="hybridMultilevel"/>
    <w:tmpl w:val="94D0852C"/>
    <w:lvl w:ilvl="0" w:tplc="E3ACEAEA">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096D4BF2"/>
    <w:multiLevelType w:val="hybridMultilevel"/>
    <w:tmpl w:val="CD3C35A0"/>
    <w:lvl w:ilvl="0" w:tplc="42A059E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09942937"/>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0A301289"/>
    <w:multiLevelType w:val="hybridMultilevel"/>
    <w:tmpl w:val="0F663A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A5218D1"/>
    <w:multiLevelType w:val="hybridMultilevel"/>
    <w:tmpl w:val="35823712"/>
    <w:lvl w:ilvl="0" w:tplc="10A00F0A">
      <w:start w:val="1"/>
      <w:numFmt w:val="decimal"/>
      <w:lvlText w:val="%1."/>
      <w:lvlJc w:val="left"/>
      <w:pPr>
        <w:ind w:left="412" w:hanging="360"/>
      </w:pPr>
      <w:rPr>
        <w:rFonts w:ascii="Times New Roman" w:eastAsiaTheme="minorHAnsi" w:hAnsi="Times New Roman" w:cs="Times New Roman"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23" w15:restartNumberingAfterBreak="0">
    <w:nsid w:val="0AB45F4A"/>
    <w:multiLevelType w:val="hybridMultilevel"/>
    <w:tmpl w:val="D1B8F5C0"/>
    <w:lvl w:ilvl="0" w:tplc="05028048">
      <w:start w:val="1"/>
      <w:numFmt w:val="lowerRoman"/>
      <w:lvlText w:val="%1)"/>
      <w:lvlJc w:val="left"/>
      <w:pPr>
        <w:ind w:left="772" w:hanging="720"/>
      </w:pPr>
      <w:rPr>
        <w:rFonts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24" w15:restartNumberingAfterBreak="0">
    <w:nsid w:val="0AE52F8A"/>
    <w:multiLevelType w:val="hybridMultilevel"/>
    <w:tmpl w:val="C8387EE4"/>
    <w:lvl w:ilvl="0" w:tplc="53B25C9E">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18"/>
        <w:szCs w:val="18"/>
        <w:lang w:val="en-IE"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26" w15:restartNumberingAfterBreak="0">
    <w:nsid w:val="0C3F0A51"/>
    <w:multiLevelType w:val="hybridMultilevel"/>
    <w:tmpl w:val="C67CFD02"/>
    <w:lvl w:ilvl="0" w:tplc="CFE4D666">
      <w:start w:val="1"/>
      <w:numFmt w:val="lowerRoman"/>
      <w:lvlText w:val="(%1)"/>
      <w:lvlJc w:val="left"/>
      <w:pPr>
        <w:ind w:left="720" w:hanging="720"/>
      </w:pPr>
      <w:rPr>
        <w:rFonts w:ascii="Times New Roman" w:eastAsiaTheme="minorEastAsia" w:hAnsi="Times New Roman" w:cs="Times New Roman" w:hint="default"/>
        <w:sz w:val="18"/>
        <w:szCs w:val="1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0E5C1040"/>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0EB32A3A"/>
    <w:multiLevelType w:val="hybridMultilevel"/>
    <w:tmpl w:val="8046A0C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0ED9491A"/>
    <w:multiLevelType w:val="hybridMultilevel"/>
    <w:tmpl w:val="37F2A17A"/>
    <w:lvl w:ilvl="0" w:tplc="5A36237A">
      <w:start w:val="1"/>
      <w:numFmt w:val="decimal"/>
      <w:lvlText w:val="%1."/>
      <w:lvlJc w:val="left"/>
      <w:pPr>
        <w:ind w:left="1020" w:hanging="360"/>
      </w:pPr>
    </w:lvl>
    <w:lvl w:ilvl="1" w:tplc="86865B30">
      <w:start w:val="1"/>
      <w:numFmt w:val="decimal"/>
      <w:lvlText w:val="%2."/>
      <w:lvlJc w:val="left"/>
      <w:pPr>
        <w:ind w:left="1020" w:hanging="360"/>
      </w:pPr>
    </w:lvl>
    <w:lvl w:ilvl="2" w:tplc="DD76B6F0">
      <w:start w:val="1"/>
      <w:numFmt w:val="decimal"/>
      <w:lvlText w:val="%3."/>
      <w:lvlJc w:val="left"/>
      <w:pPr>
        <w:ind w:left="1020" w:hanging="360"/>
      </w:pPr>
    </w:lvl>
    <w:lvl w:ilvl="3" w:tplc="BFD62E80">
      <w:start w:val="1"/>
      <w:numFmt w:val="decimal"/>
      <w:lvlText w:val="%4."/>
      <w:lvlJc w:val="left"/>
      <w:pPr>
        <w:ind w:left="1020" w:hanging="360"/>
      </w:pPr>
    </w:lvl>
    <w:lvl w:ilvl="4" w:tplc="2E049EB8">
      <w:start w:val="1"/>
      <w:numFmt w:val="decimal"/>
      <w:lvlText w:val="%5."/>
      <w:lvlJc w:val="left"/>
      <w:pPr>
        <w:ind w:left="1020" w:hanging="360"/>
      </w:pPr>
    </w:lvl>
    <w:lvl w:ilvl="5" w:tplc="6484B9C0">
      <w:start w:val="1"/>
      <w:numFmt w:val="decimal"/>
      <w:lvlText w:val="%6."/>
      <w:lvlJc w:val="left"/>
      <w:pPr>
        <w:ind w:left="1020" w:hanging="360"/>
      </w:pPr>
    </w:lvl>
    <w:lvl w:ilvl="6" w:tplc="ADEA5C9C">
      <w:start w:val="1"/>
      <w:numFmt w:val="decimal"/>
      <w:lvlText w:val="%7."/>
      <w:lvlJc w:val="left"/>
      <w:pPr>
        <w:ind w:left="1020" w:hanging="360"/>
      </w:pPr>
    </w:lvl>
    <w:lvl w:ilvl="7" w:tplc="3DC075A8">
      <w:start w:val="1"/>
      <w:numFmt w:val="decimal"/>
      <w:lvlText w:val="%8."/>
      <w:lvlJc w:val="left"/>
      <w:pPr>
        <w:ind w:left="1020" w:hanging="360"/>
      </w:pPr>
    </w:lvl>
    <w:lvl w:ilvl="8" w:tplc="44840672">
      <w:start w:val="1"/>
      <w:numFmt w:val="decimal"/>
      <w:lvlText w:val="%9."/>
      <w:lvlJc w:val="left"/>
      <w:pPr>
        <w:ind w:left="1020" w:hanging="360"/>
      </w:pPr>
    </w:lvl>
  </w:abstractNum>
  <w:abstractNum w:abstractNumId="30" w15:restartNumberingAfterBreak="0">
    <w:nsid w:val="0F54349C"/>
    <w:multiLevelType w:val="hybridMultilevel"/>
    <w:tmpl w:val="29BED774"/>
    <w:lvl w:ilvl="0" w:tplc="B8CE3706">
      <w:start w:val="1"/>
      <w:numFmt w:val="lowerRoman"/>
      <w:lvlText w:val="(%1)"/>
      <w:lvlJc w:val="left"/>
      <w:pPr>
        <w:ind w:left="412" w:hanging="360"/>
      </w:pPr>
      <w:rPr>
        <w:rFonts w:ascii="Times New Roman" w:hAnsi="Times New Roman" w:cs="Times New Roman" w:hint="default"/>
        <w:color w:val="auto"/>
        <w:sz w:val="18"/>
        <w:szCs w:val="18"/>
      </w:rPr>
    </w:lvl>
    <w:lvl w:ilvl="1" w:tplc="08090003" w:tentative="1">
      <w:start w:val="1"/>
      <w:numFmt w:val="bullet"/>
      <w:lvlText w:val="o"/>
      <w:lvlJc w:val="left"/>
      <w:pPr>
        <w:ind w:left="1132" w:hanging="360"/>
      </w:pPr>
      <w:rPr>
        <w:rFonts w:ascii="Courier New" w:hAnsi="Courier New" w:cs="Courier New" w:hint="default"/>
      </w:rPr>
    </w:lvl>
    <w:lvl w:ilvl="2" w:tplc="08090005" w:tentative="1">
      <w:start w:val="1"/>
      <w:numFmt w:val="bullet"/>
      <w:lvlText w:val=""/>
      <w:lvlJc w:val="left"/>
      <w:pPr>
        <w:ind w:left="1852" w:hanging="360"/>
      </w:pPr>
      <w:rPr>
        <w:rFonts w:ascii="Wingdings" w:hAnsi="Wingdings" w:hint="default"/>
      </w:rPr>
    </w:lvl>
    <w:lvl w:ilvl="3" w:tplc="08090001" w:tentative="1">
      <w:start w:val="1"/>
      <w:numFmt w:val="bullet"/>
      <w:lvlText w:val=""/>
      <w:lvlJc w:val="left"/>
      <w:pPr>
        <w:ind w:left="2572" w:hanging="360"/>
      </w:pPr>
      <w:rPr>
        <w:rFonts w:ascii="Symbol" w:hAnsi="Symbol" w:hint="default"/>
      </w:rPr>
    </w:lvl>
    <w:lvl w:ilvl="4" w:tplc="08090003" w:tentative="1">
      <w:start w:val="1"/>
      <w:numFmt w:val="bullet"/>
      <w:lvlText w:val="o"/>
      <w:lvlJc w:val="left"/>
      <w:pPr>
        <w:ind w:left="3292" w:hanging="360"/>
      </w:pPr>
      <w:rPr>
        <w:rFonts w:ascii="Courier New" w:hAnsi="Courier New" w:cs="Courier New" w:hint="default"/>
      </w:rPr>
    </w:lvl>
    <w:lvl w:ilvl="5" w:tplc="08090005" w:tentative="1">
      <w:start w:val="1"/>
      <w:numFmt w:val="bullet"/>
      <w:lvlText w:val=""/>
      <w:lvlJc w:val="left"/>
      <w:pPr>
        <w:ind w:left="4012" w:hanging="360"/>
      </w:pPr>
      <w:rPr>
        <w:rFonts w:ascii="Wingdings" w:hAnsi="Wingdings" w:hint="default"/>
      </w:rPr>
    </w:lvl>
    <w:lvl w:ilvl="6" w:tplc="08090001" w:tentative="1">
      <w:start w:val="1"/>
      <w:numFmt w:val="bullet"/>
      <w:lvlText w:val=""/>
      <w:lvlJc w:val="left"/>
      <w:pPr>
        <w:ind w:left="4732" w:hanging="360"/>
      </w:pPr>
      <w:rPr>
        <w:rFonts w:ascii="Symbol" w:hAnsi="Symbol" w:hint="default"/>
      </w:rPr>
    </w:lvl>
    <w:lvl w:ilvl="7" w:tplc="08090003" w:tentative="1">
      <w:start w:val="1"/>
      <w:numFmt w:val="bullet"/>
      <w:lvlText w:val="o"/>
      <w:lvlJc w:val="left"/>
      <w:pPr>
        <w:ind w:left="5452" w:hanging="360"/>
      </w:pPr>
      <w:rPr>
        <w:rFonts w:ascii="Courier New" w:hAnsi="Courier New" w:cs="Courier New" w:hint="default"/>
      </w:rPr>
    </w:lvl>
    <w:lvl w:ilvl="8" w:tplc="08090005" w:tentative="1">
      <w:start w:val="1"/>
      <w:numFmt w:val="bullet"/>
      <w:lvlText w:val=""/>
      <w:lvlJc w:val="left"/>
      <w:pPr>
        <w:ind w:left="6172" w:hanging="360"/>
      </w:pPr>
      <w:rPr>
        <w:rFonts w:ascii="Wingdings" w:hAnsi="Wingdings" w:hint="default"/>
      </w:rPr>
    </w:lvl>
  </w:abstractNum>
  <w:abstractNum w:abstractNumId="31" w15:restartNumberingAfterBreak="0">
    <w:nsid w:val="0FB3065F"/>
    <w:multiLevelType w:val="hybridMultilevel"/>
    <w:tmpl w:val="FFFFFFFF"/>
    <w:lvl w:ilvl="0" w:tplc="DB4A215E">
      <w:start w:val="1"/>
      <w:numFmt w:val="lowerLetter"/>
      <w:lvlText w:val="(%1)"/>
      <w:lvlJc w:val="left"/>
      <w:pPr>
        <w:ind w:left="1440" w:hanging="360"/>
      </w:pPr>
    </w:lvl>
    <w:lvl w:ilvl="1" w:tplc="942E3434">
      <w:start w:val="1"/>
      <w:numFmt w:val="lowerLetter"/>
      <w:lvlText w:val="%2."/>
      <w:lvlJc w:val="left"/>
      <w:pPr>
        <w:ind w:left="2160" w:hanging="360"/>
      </w:pPr>
    </w:lvl>
    <w:lvl w:ilvl="2" w:tplc="2BA25704">
      <w:start w:val="1"/>
      <w:numFmt w:val="lowerRoman"/>
      <w:lvlText w:val="%3."/>
      <w:lvlJc w:val="right"/>
      <w:pPr>
        <w:ind w:left="2880" w:hanging="180"/>
      </w:pPr>
    </w:lvl>
    <w:lvl w:ilvl="3" w:tplc="AA923AD0">
      <w:start w:val="1"/>
      <w:numFmt w:val="decimal"/>
      <w:lvlText w:val="%4."/>
      <w:lvlJc w:val="left"/>
      <w:pPr>
        <w:ind w:left="3600" w:hanging="360"/>
      </w:pPr>
    </w:lvl>
    <w:lvl w:ilvl="4" w:tplc="8F483DE8">
      <w:start w:val="1"/>
      <w:numFmt w:val="lowerLetter"/>
      <w:lvlText w:val="%5."/>
      <w:lvlJc w:val="left"/>
      <w:pPr>
        <w:ind w:left="4320" w:hanging="360"/>
      </w:pPr>
    </w:lvl>
    <w:lvl w:ilvl="5" w:tplc="732CE638">
      <w:start w:val="1"/>
      <w:numFmt w:val="lowerRoman"/>
      <w:lvlText w:val="%6."/>
      <w:lvlJc w:val="right"/>
      <w:pPr>
        <w:ind w:left="5040" w:hanging="180"/>
      </w:pPr>
    </w:lvl>
    <w:lvl w:ilvl="6" w:tplc="977C1B6A">
      <w:start w:val="1"/>
      <w:numFmt w:val="decimal"/>
      <w:lvlText w:val="%7."/>
      <w:lvlJc w:val="left"/>
      <w:pPr>
        <w:ind w:left="5760" w:hanging="360"/>
      </w:pPr>
    </w:lvl>
    <w:lvl w:ilvl="7" w:tplc="0696EFF2">
      <w:start w:val="1"/>
      <w:numFmt w:val="lowerLetter"/>
      <w:lvlText w:val="%8."/>
      <w:lvlJc w:val="left"/>
      <w:pPr>
        <w:ind w:left="6480" w:hanging="360"/>
      </w:pPr>
    </w:lvl>
    <w:lvl w:ilvl="8" w:tplc="D542E396">
      <w:start w:val="1"/>
      <w:numFmt w:val="lowerRoman"/>
      <w:lvlText w:val="%9."/>
      <w:lvlJc w:val="right"/>
      <w:pPr>
        <w:ind w:left="7200" w:hanging="180"/>
      </w:pPr>
    </w:lvl>
  </w:abstractNum>
  <w:abstractNum w:abstractNumId="32" w15:restartNumberingAfterBreak="0">
    <w:nsid w:val="106E0F83"/>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1139773A"/>
    <w:multiLevelType w:val="hybridMultilevel"/>
    <w:tmpl w:val="9B267DEC"/>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148A2338"/>
    <w:multiLevelType w:val="hybridMultilevel"/>
    <w:tmpl w:val="3B86D608"/>
    <w:lvl w:ilvl="0" w:tplc="FFFFFFFF">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35" w15:restartNumberingAfterBreak="0">
    <w:nsid w:val="14C6357F"/>
    <w:multiLevelType w:val="hybridMultilevel"/>
    <w:tmpl w:val="29E47ABC"/>
    <w:lvl w:ilvl="0" w:tplc="E9F4FA6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151F72E6"/>
    <w:multiLevelType w:val="hybridMultilevel"/>
    <w:tmpl w:val="4704D86E"/>
    <w:lvl w:ilvl="0" w:tplc="1809000F">
      <w:start w:val="1"/>
      <w:numFmt w:val="decimal"/>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5E948EA"/>
    <w:multiLevelType w:val="hybridMultilevel"/>
    <w:tmpl w:val="F376A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6377DFB"/>
    <w:multiLevelType w:val="hybridMultilevel"/>
    <w:tmpl w:val="CA0CB422"/>
    <w:lvl w:ilvl="0" w:tplc="1DB62B90">
      <w:start w:val="1"/>
      <w:numFmt w:val="decimal"/>
      <w:lvlText w:val="%1)"/>
      <w:lvlJc w:val="left"/>
      <w:pPr>
        <w:ind w:left="1020" w:hanging="360"/>
      </w:pPr>
    </w:lvl>
    <w:lvl w:ilvl="1" w:tplc="77A69332">
      <w:start w:val="1"/>
      <w:numFmt w:val="decimal"/>
      <w:lvlText w:val="%2)"/>
      <w:lvlJc w:val="left"/>
      <w:pPr>
        <w:ind w:left="1020" w:hanging="360"/>
      </w:pPr>
    </w:lvl>
    <w:lvl w:ilvl="2" w:tplc="545E2DFA">
      <w:start w:val="1"/>
      <w:numFmt w:val="decimal"/>
      <w:lvlText w:val="%3)"/>
      <w:lvlJc w:val="left"/>
      <w:pPr>
        <w:ind w:left="1020" w:hanging="360"/>
      </w:pPr>
    </w:lvl>
    <w:lvl w:ilvl="3" w:tplc="1F36B93A">
      <w:start w:val="1"/>
      <w:numFmt w:val="decimal"/>
      <w:lvlText w:val="%4)"/>
      <w:lvlJc w:val="left"/>
      <w:pPr>
        <w:ind w:left="1020" w:hanging="360"/>
      </w:pPr>
    </w:lvl>
    <w:lvl w:ilvl="4" w:tplc="91862C80">
      <w:start w:val="1"/>
      <w:numFmt w:val="decimal"/>
      <w:lvlText w:val="%5)"/>
      <w:lvlJc w:val="left"/>
      <w:pPr>
        <w:ind w:left="1020" w:hanging="360"/>
      </w:pPr>
    </w:lvl>
    <w:lvl w:ilvl="5" w:tplc="A3D22564">
      <w:start w:val="1"/>
      <w:numFmt w:val="decimal"/>
      <w:lvlText w:val="%6)"/>
      <w:lvlJc w:val="left"/>
      <w:pPr>
        <w:ind w:left="1020" w:hanging="360"/>
      </w:pPr>
    </w:lvl>
    <w:lvl w:ilvl="6" w:tplc="F69C859C">
      <w:start w:val="1"/>
      <w:numFmt w:val="decimal"/>
      <w:lvlText w:val="%7)"/>
      <w:lvlJc w:val="left"/>
      <w:pPr>
        <w:ind w:left="1020" w:hanging="360"/>
      </w:pPr>
    </w:lvl>
    <w:lvl w:ilvl="7" w:tplc="25BA9942">
      <w:start w:val="1"/>
      <w:numFmt w:val="decimal"/>
      <w:lvlText w:val="%8)"/>
      <w:lvlJc w:val="left"/>
      <w:pPr>
        <w:ind w:left="1020" w:hanging="360"/>
      </w:pPr>
    </w:lvl>
    <w:lvl w:ilvl="8" w:tplc="EC96DCB0">
      <w:start w:val="1"/>
      <w:numFmt w:val="decimal"/>
      <w:lvlText w:val="%9)"/>
      <w:lvlJc w:val="left"/>
      <w:pPr>
        <w:ind w:left="1020" w:hanging="360"/>
      </w:pPr>
    </w:lvl>
  </w:abstractNum>
  <w:abstractNum w:abstractNumId="39" w15:restartNumberingAfterBreak="0">
    <w:nsid w:val="17056000"/>
    <w:multiLevelType w:val="hybridMultilevel"/>
    <w:tmpl w:val="B9CA1CD2"/>
    <w:lvl w:ilvl="0" w:tplc="FFFFFFFF">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7095C46"/>
    <w:multiLevelType w:val="hybridMultilevel"/>
    <w:tmpl w:val="B1580190"/>
    <w:lvl w:ilvl="0" w:tplc="EDD82E6E">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18220F9B"/>
    <w:multiLevelType w:val="multilevel"/>
    <w:tmpl w:val="ADE22D72"/>
    <w:lvl w:ilvl="0">
      <w:start w:val="1"/>
      <w:numFmt w:val="decimal"/>
      <w:lvlText w:val="%1."/>
      <w:lvlJc w:val="left"/>
      <w:pPr>
        <w:ind w:left="144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42" w15:restartNumberingAfterBreak="0">
    <w:nsid w:val="198007D6"/>
    <w:multiLevelType w:val="hybridMultilevel"/>
    <w:tmpl w:val="B66CC486"/>
    <w:lvl w:ilvl="0" w:tplc="F5708EC2">
      <w:start w:val="1"/>
      <w:numFmt w:val="decimal"/>
      <w:lvlText w:val="%1."/>
      <w:lvlJc w:val="left"/>
      <w:pPr>
        <w:ind w:left="1020" w:hanging="360"/>
      </w:pPr>
    </w:lvl>
    <w:lvl w:ilvl="1" w:tplc="16901636">
      <w:start w:val="1"/>
      <w:numFmt w:val="decimal"/>
      <w:lvlText w:val="%2."/>
      <w:lvlJc w:val="left"/>
      <w:pPr>
        <w:ind w:left="1020" w:hanging="360"/>
      </w:pPr>
    </w:lvl>
    <w:lvl w:ilvl="2" w:tplc="8F40FA72">
      <w:start w:val="1"/>
      <w:numFmt w:val="decimal"/>
      <w:lvlText w:val="%3."/>
      <w:lvlJc w:val="left"/>
      <w:pPr>
        <w:ind w:left="1020" w:hanging="360"/>
      </w:pPr>
    </w:lvl>
    <w:lvl w:ilvl="3" w:tplc="6E401D26">
      <w:start w:val="1"/>
      <w:numFmt w:val="decimal"/>
      <w:lvlText w:val="%4."/>
      <w:lvlJc w:val="left"/>
      <w:pPr>
        <w:ind w:left="1020" w:hanging="360"/>
      </w:pPr>
    </w:lvl>
    <w:lvl w:ilvl="4" w:tplc="7CFC659C">
      <w:start w:val="1"/>
      <w:numFmt w:val="decimal"/>
      <w:lvlText w:val="%5."/>
      <w:lvlJc w:val="left"/>
      <w:pPr>
        <w:ind w:left="1020" w:hanging="360"/>
      </w:pPr>
    </w:lvl>
    <w:lvl w:ilvl="5" w:tplc="A3162520">
      <w:start w:val="1"/>
      <w:numFmt w:val="decimal"/>
      <w:lvlText w:val="%6."/>
      <w:lvlJc w:val="left"/>
      <w:pPr>
        <w:ind w:left="1020" w:hanging="360"/>
      </w:pPr>
    </w:lvl>
    <w:lvl w:ilvl="6" w:tplc="A29E2E72">
      <w:start w:val="1"/>
      <w:numFmt w:val="decimal"/>
      <w:lvlText w:val="%7."/>
      <w:lvlJc w:val="left"/>
      <w:pPr>
        <w:ind w:left="1020" w:hanging="360"/>
      </w:pPr>
    </w:lvl>
    <w:lvl w:ilvl="7" w:tplc="1C0A326E">
      <w:start w:val="1"/>
      <w:numFmt w:val="decimal"/>
      <w:lvlText w:val="%8."/>
      <w:lvlJc w:val="left"/>
      <w:pPr>
        <w:ind w:left="1020" w:hanging="360"/>
      </w:pPr>
    </w:lvl>
    <w:lvl w:ilvl="8" w:tplc="FC283A3E">
      <w:start w:val="1"/>
      <w:numFmt w:val="decimal"/>
      <w:lvlText w:val="%9."/>
      <w:lvlJc w:val="left"/>
      <w:pPr>
        <w:ind w:left="1020" w:hanging="360"/>
      </w:pPr>
    </w:lvl>
  </w:abstractNum>
  <w:abstractNum w:abstractNumId="43" w15:restartNumberingAfterBreak="0">
    <w:nsid w:val="19C55B21"/>
    <w:multiLevelType w:val="hybridMultilevel"/>
    <w:tmpl w:val="9DB2660A"/>
    <w:lvl w:ilvl="0" w:tplc="E77E5008">
      <w:start w:val="1"/>
      <w:numFmt w:val="bullet"/>
      <w:lvlText w:val=""/>
      <w:lvlJc w:val="left"/>
      <w:pPr>
        <w:ind w:left="720" w:hanging="360"/>
      </w:pPr>
      <w:rPr>
        <w:rFonts w:ascii="Symbol" w:hAnsi="Symbol"/>
      </w:rPr>
    </w:lvl>
    <w:lvl w:ilvl="1" w:tplc="958248A4">
      <w:start w:val="1"/>
      <w:numFmt w:val="bullet"/>
      <w:lvlText w:val=""/>
      <w:lvlJc w:val="left"/>
      <w:pPr>
        <w:ind w:left="720" w:hanging="360"/>
      </w:pPr>
      <w:rPr>
        <w:rFonts w:ascii="Symbol" w:hAnsi="Symbol"/>
      </w:rPr>
    </w:lvl>
    <w:lvl w:ilvl="2" w:tplc="199AA188">
      <w:start w:val="1"/>
      <w:numFmt w:val="bullet"/>
      <w:lvlText w:val=""/>
      <w:lvlJc w:val="left"/>
      <w:pPr>
        <w:ind w:left="720" w:hanging="360"/>
      </w:pPr>
      <w:rPr>
        <w:rFonts w:ascii="Symbol" w:hAnsi="Symbol"/>
      </w:rPr>
    </w:lvl>
    <w:lvl w:ilvl="3" w:tplc="639CD994">
      <w:start w:val="1"/>
      <w:numFmt w:val="bullet"/>
      <w:lvlText w:val=""/>
      <w:lvlJc w:val="left"/>
      <w:pPr>
        <w:ind w:left="720" w:hanging="360"/>
      </w:pPr>
      <w:rPr>
        <w:rFonts w:ascii="Symbol" w:hAnsi="Symbol"/>
      </w:rPr>
    </w:lvl>
    <w:lvl w:ilvl="4" w:tplc="BBA8C25E">
      <w:start w:val="1"/>
      <w:numFmt w:val="bullet"/>
      <w:lvlText w:val=""/>
      <w:lvlJc w:val="left"/>
      <w:pPr>
        <w:ind w:left="720" w:hanging="360"/>
      </w:pPr>
      <w:rPr>
        <w:rFonts w:ascii="Symbol" w:hAnsi="Symbol"/>
      </w:rPr>
    </w:lvl>
    <w:lvl w:ilvl="5" w:tplc="358C821A">
      <w:start w:val="1"/>
      <w:numFmt w:val="bullet"/>
      <w:lvlText w:val=""/>
      <w:lvlJc w:val="left"/>
      <w:pPr>
        <w:ind w:left="720" w:hanging="360"/>
      </w:pPr>
      <w:rPr>
        <w:rFonts w:ascii="Symbol" w:hAnsi="Symbol"/>
      </w:rPr>
    </w:lvl>
    <w:lvl w:ilvl="6" w:tplc="A9942DD6">
      <w:start w:val="1"/>
      <w:numFmt w:val="bullet"/>
      <w:lvlText w:val=""/>
      <w:lvlJc w:val="left"/>
      <w:pPr>
        <w:ind w:left="720" w:hanging="360"/>
      </w:pPr>
      <w:rPr>
        <w:rFonts w:ascii="Symbol" w:hAnsi="Symbol"/>
      </w:rPr>
    </w:lvl>
    <w:lvl w:ilvl="7" w:tplc="D38AD4CC">
      <w:start w:val="1"/>
      <w:numFmt w:val="bullet"/>
      <w:lvlText w:val=""/>
      <w:lvlJc w:val="left"/>
      <w:pPr>
        <w:ind w:left="720" w:hanging="360"/>
      </w:pPr>
      <w:rPr>
        <w:rFonts w:ascii="Symbol" w:hAnsi="Symbol"/>
      </w:rPr>
    </w:lvl>
    <w:lvl w:ilvl="8" w:tplc="0D605F68">
      <w:start w:val="1"/>
      <w:numFmt w:val="bullet"/>
      <w:lvlText w:val=""/>
      <w:lvlJc w:val="left"/>
      <w:pPr>
        <w:ind w:left="720" w:hanging="360"/>
      </w:pPr>
      <w:rPr>
        <w:rFonts w:ascii="Symbol" w:hAnsi="Symbol"/>
      </w:rPr>
    </w:lvl>
  </w:abstractNum>
  <w:abstractNum w:abstractNumId="44" w15:restartNumberingAfterBreak="0">
    <w:nsid w:val="1B1355FE"/>
    <w:multiLevelType w:val="hybridMultilevel"/>
    <w:tmpl w:val="6944CAAE"/>
    <w:lvl w:ilvl="0" w:tplc="87900F7C">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6" w15:restartNumberingAfterBreak="0">
    <w:nsid w:val="1BE7C9D1"/>
    <w:multiLevelType w:val="hybridMultilevel"/>
    <w:tmpl w:val="FFFFFFFF"/>
    <w:lvl w:ilvl="0" w:tplc="021C64B8">
      <w:start w:val="1"/>
      <w:numFmt w:val="bullet"/>
      <w:lvlText w:val=""/>
      <w:lvlJc w:val="left"/>
      <w:pPr>
        <w:ind w:left="720" w:hanging="360"/>
      </w:pPr>
      <w:rPr>
        <w:rFonts w:ascii="Symbol" w:hAnsi="Symbol" w:hint="default"/>
      </w:rPr>
    </w:lvl>
    <w:lvl w:ilvl="1" w:tplc="4C5611E8">
      <w:start w:val="1"/>
      <w:numFmt w:val="bullet"/>
      <w:lvlText w:val="o"/>
      <w:lvlJc w:val="left"/>
      <w:pPr>
        <w:ind w:left="1440" w:hanging="360"/>
      </w:pPr>
      <w:rPr>
        <w:rFonts w:ascii="Courier New" w:hAnsi="Courier New" w:hint="default"/>
      </w:rPr>
    </w:lvl>
    <w:lvl w:ilvl="2" w:tplc="5292FCDA">
      <w:start w:val="1"/>
      <w:numFmt w:val="bullet"/>
      <w:lvlText w:val=""/>
      <w:lvlJc w:val="left"/>
      <w:pPr>
        <w:ind w:left="2160" w:hanging="360"/>
      </w:pPr>
      <w:rPr>
        <w:rFonts w:ascii="Wingdings" w:hAnsi="Wingdings" w:hint="default"/>
      </w:rPr>
    </w:lvl>
    <w:lvl w:ilvl="3" w:tplc="D6C288CC">
      <w:start w:val="1"/>
      <w:numFmt w:val="bullet"/>
      <w:lvlText w:val=""/>
      <w:lvlJc w:val="left"/>
      <w:pPr>
        <w:ind w:left="2880" w:hanging="360"/>
      </w:pPr>
      <w:rPr>
        <w:rFonts w:ascii="Symbol" w:hAnsi="Symbol" w:hint="default"/>
      </w:rPr>
    </w:lvl>
    <w:lvl w:ilvl="4" w:tplc="9C66A140">
      <w:start w:val="1"/>
      <w:numFmt w:val="bullet"/>
      <w:lvlText w:val="o"/>
      <w:lvlJc w:val="left"/>
      <w:pPr>
        <w:ind w:left="3600" w:hanging="360"/>
      </w:pPr>
      <w:rPr>
        <w:rFonts w:ascii="Courier New" w:hAnsi="Courier New" w:hint="default"/>
      </w:rPr>
    </w:lvl>
    <w:lvl w:ilvl="5" w:tplc="A08216B8">
      <w:start w:val="1"/>
      <w:numFmt w:val="bullet"/>
      <w:lvlText w:val=""/>
      <w:lvlJc w:val="left"/>
      <w:pPr>
        <w:ind w:left="4320" w:hanging="360"/>
      </w:pPr>
      <w:rPr>
        <w:rFonts w:ascii="Wingdings" w:hAnsi="Wingdings" w:hint="default"/>
      </w:rPr>
    </w:lvl>
    <w:lvl w:ilvl="6" w:tplc="DC146BEE">
      <w:start w:val="1"/>
      <w:numFmt w:val="bullet"/>
      <w:lvlText w:val=""/>
      <w:lvlJc w:val="left"/>
      <w:pPr>
        <w:ind w:left="5040" w:hanging="360"/>
      </w:pPr>
      <w:rPr>
        <w:rFonts w:ascii="Symbol" w:hAnsi="Symbol" w:hint="default"/>
      </w:rPr>
    </w:lvl>
    <w:lvl w:ilvl="7" w:tplc="2886E438">
      <w:start w:val="1"/>
      <w:numFmt w:val="bullet"/>
      <w:lvlText w:val="o"/>
      <w:lvlJc w:val="left"/>
      <w:pPr>
        <w:ind w:left="5760" w:hanging="360"/>
      </w:pPr>
      <w:rPr>
        <w:rFonts w:ascii="Courier New" w:hAnsi="Courier New" w:hint="default"/>
      </w:rPr>
    </w:lvl>
    <w:lvl w:ilvl="8" w:tplc="DF7AE31E">
      <w:start w:val="1"/>
      <w:numFmt w:val="bullet"/>
      <w:lvlText w:val=""/>
      <w:lvlJc w:val="left"/>
      <w:pPr>
        <w:ind w:left="6480" w:hanging="360"/>
      </w:pPr>
      <w:rPr>
        <w:rFonts w:ascii="Wingdings" w:hAnsi="Wingdings" w:hint="default"/>
      </w:rPr>
    </w:lvl>
  </w:abstractNum>
  <w:abstractNum w:abstractNumId="47" w15:restartNumberingAfterBreak="0">
    <w:nsid w:val="1C2C754A"/>
    <w:multiLevelType w:val="multilevel"/>
    <w:tmpl w:val="E752DD8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1DC42A60"/>
    <w:multiLevelType w:val="hybridMultilevel"/>
    <w:tmpl w:val="7F00B8C8"/>
    <w:lvl w:ilvl="0" w:tplc="98AA2F5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1DEE79D2"/>
    <w:multiLevelType w:val="hybridMultilevel"/>
    <w:tmpl w:val="3B86D608"/>
    <w:lvl w:ilvl="0" w:tplc="9C9A4DC4">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50" w15:restartNumberingAfterBreak="0">
    <w:nsid w:val="20476A4D"/>
    <w:multiLevelType w:val="hybridMultilevel"/>
    <w:tmpl w:val="D8A81E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213235A0"/>
    <w:multiLevelType w:val="hybridMultilevel"/>
    <w:tmpl w:val="ADB43F48"/>
    <w:lvl w:ilvl="0" w:tplc="FFFFFFFF">
      <w:start w:val="1"/>
      <w:numFmt w:val="lowerRoman"/>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21515FC5"/>
    <w:multiLevelType w:val="hybridMultilevel"/>
    <w:tmpl w:val="8534A802"/>
    <w:lvl w:ilvl="0" w:tplc="F1165A34">
      <w:start w:val="1"/>
      <w:numFmt w:val="decimal"/>
      <w:lvlText w:val="%1)"/>
      <w:lvlJc w:val="left"/>
      <w:pPr>
        <w:ind w:left="1020" w:hanging="360"/>
      </w:pPr>
    </w:lvl>
    <w:lvl w:ilvl="1" w:tplc="CF6A8F1E">
      <w:start w:val="1"/>
      <w:numFmt w:val="decimal"/>
      <w:lvlText w:val="%2)"/>
      <w:lvlJc w:val="left"/>
      <w:pPr>
        <w:ind w:left="1020" w:hanging="360"/>
      </w:pPr>
    </w:lvl>
    <w:lvl w:ilvl="2" w:tplc="152E052C">
      <w:start w:val="1"/>
      <w:numFmt w:val="decimal"/>
      <w:lvlText w:val="%3)"/>
      <w:lvlJc w:val="left"/>
      <w:pPr>
        <w:ind w:left="1020" w:hanging="360"/>
      </w:pPr>
    </w:lvl>
    <w:lvl w:ilvl="3" w:tplc="BFEA28F0">
      <w:start w:val="1"/>
      <w:numFmt w:val="decimal"/>
      <w:lvlText w:val="%4)"/>
      <w:lvlJc w:val="left"/>
      <w:pPr>
        <w:ind w:left="1020" w:hanging="360"/>
      </w:pPr>
    </w:lvl>
    <w:lvl w:ilvl="4" w:tplc="0BC859CC">
      <w:start w:val="1"/>
      <w:numFmt w:val="decimal"/>
      <w:lvlText w:val="%5)"/>
      <w:lvlJc w:val="left"/>
      <w:pPr>
        <w:ind w:left="1020" w:hanging="360"/>
      </w:pPr>
    </w:lvl>
    <w:lvl w:ilvl="5" w:tplc="43CC5D4A">
      <w:start w:val="1"/>
      <w:numFmt w:val="decimal"/>
      <w:lvlText w:val="%6)"/>
      <w:lvlJc w:val="left"/>
      <w:pPr>
        <w:ind w:left="1020" w:hanging="360"/>
      </w:pPr>
    </w:lvl>
    <w:lvl w:ilvl="6" w:tplc="47E22A80">
      <w:start w:val="1"/>
      <w:numFmt w:val="decimal"/>
      <w:lvlText w:val="%7)"/>
      <w:lvlJc w:val="left"/>
      <w:pPr>
        <w:ind w:left="1020" w:hanging="360"/>
      </w:pPr>
    </w:lvl>
    <w:lvl w:ilvl="7" w:tplc="E8B85C54">
      <w:start w:val="1"/>
      <w:numFmt w:val="decimal"/>
      <w:lvlText w:val="%8)"/>
      <w:lvlJc w:val="left"/>
      <w:pPr>
        <w:ind w:left="1020" w:hanging="360"/>
      </w:pPr>
    </w:lvl>
    <w:lvl w:ilvl="8" w:tplc="5AA83914">
      <w:start w:val="1"/>
      <w:numFmt w:val="decimal"/>
      <w:lvlText w:val="%9)"/>
      <w:lvlJc w:val="left"/>
      <w:pPr>
        <w:ind w:left="1020" w:hanging="360"/>
      </w:pPr>
    </w:lvl>
  </w:abstractNum>
  <w:abstractNum w:abstractNumId="5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5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243F2C43"/>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60A02CF"/>
    <w:multiLevelType w:val="hybridMultilevel"/>
    <w:tmpl w:val="BF48C61C"/>
    <w:lvl w:ilvl="0" w:tplc="A42EFFDA">
      <w:start w:val="1"/>
      <w:numFmt w:val="bullet"/>
      <w:lvlText w:val=""/>
      <w:lvlJc w:val="left"/>
      <w:pPr>
        <w:ind w:left="1080" w:hanging="360"/>
      </w:pPr>
      <w:rPr>
        <w:rFonts w:ascii="Symbol" w:hAnsi="Symbol"/>
      </w:rPr>
    </w:lvl>
    <w:lvl w:ilvl="1" w:tplc="D40A0BCA">
      <w:start w:val="1"/>
      <w:numFmt w:val="bullet"/>
      <w:lvlText w:val=""/>
      <w:lvlJc w:val="left"/>
      <w:pPr>
        <w:ind w:left="1080" w:hanging="360"/>
      </w:pPr>
      <w:rPr>
        <w:rFonts w:ascii="Symbol" w:hAnsi="Symbol"/>
      </w:rPr>
    </w:lvl>
    <w:lvl w:ilvl="2" w:tplc="86A2617A">
      <w:start w:val="1"/>
      <w:numFmt w:val="bullet"/>
      <w:lvlText w:val=""/>
      <w:lvlJc w:val="left"/>
      <w:pPr>
        <w:ind w:left="1080" w:hanging="360"/>
      </w:pPr>
      <w:rPr>
        <w:rFonts w:ascii="Symbol" w:hAnsi="Symbol"/>
      </w:rPr>
    </w:lvl>
    <w:lvl w:ilvl="3" w:tplc="E892B582">
      <w:start w:val="1"/>
      <w:numFmt w:val="bullet"/>
      <w:lvlText w:val=""/>
      <w:lvlJc w:val="left"/>
      <w:pPr>
        <w:ind w:left="1080" w:hanging="360"/>
      </w:pPr>
      <w:rPr>
        <w:rFonts w:ascii="Symbol" w:hAnsi="Symbol"/>
      </w:rPr>
    </w:lvl>
    <w:lvl w:ilvl="4" w:tplc="C06C705E">
      <w:start w:val="1"/>
      <w:numFmt w:val="bullet"/>
      <w:lvlText w:val=""/>
      <w:lvlJc w:val="left"/>
      <w:pPr>
        <w:ind w:left="1080" w:hanging="360"/>
      </w:pPr>
      <w:rPr>
        <w:rFonts w:ascii="Symbol" w:hAnsi="Symbol"/>
      </w:rPr>
    </w:lvl>
    <w:lvl w:ilvl="5" w:tplc="65CA71E2">
      <w:start w:val="1"/>
      <w:numFmt w:val="bullet"/>
      <w:lvlText w:val=""/>
      <w:lvlJc w:val="left"/>
      <w:pPr>
        <w:ind w:left="1080" w:hanging="360"/>
      </w:pPr>
      <w:rPr>
        <w:rFonts w:ascii="Symbol" w:hAnsi="Symbol"/>
      </w:rPr>
    </w:lvl>
    <w:lvl w:ilvl="6" w:tplc="60F2A99A">
      <w:start w:val="1"/>
      <w:numFmt w:val="bullet"/>
      <w:lvlText w:val=""/>
      <w:lvlJc w:val="left"/>
      <w:pPr>
        <w:ind w:left="1080" w:hanging="360"/>
      </w:pPr>
      <w:rPr>
        <w:rFonts w:ascii="Symbol" w:hAnsi="Symbol"/>
      </w:rPr>
    </w:lvl>
    <w:lvl w:ilvl="7" w:tplc="1C7E954E">
      <w:start w:val="1"/>
      <w:numFmt w:val="bullet"/>
      <w:lvlText w:val=""/>
      <w:lvlJc w:val="left"/>
      <w:pPr>
        <w:ind w:left="1080" w:hanging="360"/>
      </w:pPr>
      <w:rPr>
        <w:rFonts w:ascii="Symbol" w:hAnsi="Symbol"/>
      </w:rPr>
    </w:lvl>
    <w:lvl w:ilvl="8" w:tplc="58F41382">
      <w:start w:val="1"/>
      <w:numFmt w:val="bullet"/>
      <w:lvlText w:val=""/>
      <w:lvlJc w:val="left"/>
      <w:pPr>
        <w:ind w:left="1080" w:hanging="360"/>
      </w:pPr>
      <w:rPr>
        <w:rFonts w:ascii="Symbol" w:hAnsi="Symbol"/>
      </w:rPr>
    </w:lvl>
  </w:abstractNum>
  <w:abstractNum w:abstractNumId="57" w15:restartNumberingAfterBreak="0">
    <w:nsid w:val="26734684"/>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282C67BF"/>
    <w:multiLevelType w:val="hybridMultilevel"/>
    <w:tmpl w:val="FC8E59E0"/>
    <w:lvl w:ilvl="0" w:tplc="FFFFFFFF">
      <w:start w:val="1"/>
      <w:numFmt w:val="lowerLetter"/>
      <w:lvlText w:val="%1."/>
      <w:lvlJc w:val="left"/>
      <w:pPr>
        <w:ind w:left="720" w:hanging="360"/>
      </w:p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395275F8">
      <w:start w:val="1"/>
      <w:numFmt w:val="lowerRoman"/>
      <w:lvlText w:val="%4)"/>
      <w:lvlJc w:val="left"/>
      <w:pPr>
        <w:ind w:left="3240" w:hanging="72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2BC27D6D"/>
    <w:multiLevelType w:val="hybridMultilevel"/>
    <w:tmpl w:val="44387B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5" w15:restartNumberingAfterBreak="0">
    <w:nsid w:val="2D584D8E"/>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67" w15:restartNumberingAfterBreak="0">
    <w:nsid w:val="2E246628"/>
    <w:multiLevelType w:val="hybridMultilevel"/>
    <w:tmpl w:val="8E3AC5EE"/>
    <w:lvl w:ilvl="0" w:tplc="08090001">
      <w:start w:val="1"/>
      <w:numFmt w:val="bullet"/>
      <w:lvlText w:val=""/>
      <w:lvlJc w:val="left"/>
      <w:pPr>
        <w:ind w:left="720" w:hanging="360"/>
      </w:pPr>
      <w:rPr>
        <w:rFonts w:ascii="Symbol" w:hAnsi="Symbol" w:hint="default"/>
      </w:rPr>
    </w:lvl>
    <w:lvl w:ilvl="1" w:tplc="08090003" w:tentative="1">
      <w:start w:val="1"/>
      <w:numFmt w:val="bullet"/>
      <w:pStyle w:val="Heading21"/>
      <w:lvlText w:val="o"/>
      <w:lvlJc w:val="left"/>
      <w:pPr>
        <w:ind w:left="1440" w:hanging="360"/>
      </w:pPr>
      <w:rPr>
        <w:rFonts w:ascii="Courier New" w:hAnsi="Courier New" w:cs="Courier New" w:hint="default"/>
      </w:rPr>
    </w:lvl>
    <w:lvl w:ilvl="2" w:tplc="08090005" w:tentative="1">
      <w:start w:val="1"/>
      <w:numFmt w:val="bullet"/>
      <w:pStyle w:val="Heading31"/>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F8D66B4"/>
    <w:multiLevelType w:val="hybridMultilevel"/>
    <w:tmpl w:val="BCACA684"/>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0F555C2"/>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5B94142"/>
    <w:multiLevelType w:val="hybridMultilevel"/>
    <w:tmpl w:val="C2B8C4FE"/>
    <w:lvl w:ilvl="0" w:tplc="040E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6D0193F"/>
    <w:multiLevelType w:val="hybridMultilevel"/>
    <w:tmpl w:val="800235E0"/>
    <w:lvl w:ilvl="0" w:tplc="18090017">
      <w:start w:val="1"/>
      <w:numFmt w:val="lowerLetter"/>
      <w:lvlText w:val="%1)"/>
      <w:lvlJc w:val="left"/>
      <w:pPr>
        <w:ind w:left="788" w:hanging="360"/>
      </w:pPr>
      <w:rPr>
        <w:rFonts w:hint="default"/>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72" w15:restartNumberingAfterBreak="0">
    <w:nsid w:val="37BA08AD"/>
    <w:multiLevelType w:val="hybridMultilevel"/>
    <w:tmpl w:val="038C7A1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3" w15:restartNumberingAfterBreak="0">
    <w:nsid w:val="38E55C55"/>
    <w:multiLevelType w:val="hybridMultilevel"/>
    <w:tmpl w:val="4D809F9C"/>
    <w:lvl w:ilvl="0" w:tplc="E702EC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75" w15:restartNumberingAfterBreak="0">
    <w:nsid w:val="395264BE"/>
    <w:multiLevelType w:val="hybridMultilevel"/>
    <w:tmpl w:val="54C8D48C"/>
    <w:lvl w:ilvl="0" w:tplc="FFFFFFFF">
      <w:start w:val="1"/>
      <w:numFmt w:val="lowerRoman"/>
      <w:lvlText w:val="%1)"/>
      <w:lvlJc w:val="left"/>
      <w:pPr>
        <w:ind w:left="1080" w:hanging="360"/>
      </w:pPr>
    </w:lvl>
    <w:lvl w:ilvl="1" w:tplc="5E926BE6">
      <w:start w:val="1"/>
      <w:numFmt w:val="lowerLetter"/>
      <w:lvlText w:val="%2."/>
      <w:lvlJc w:val="left"/>
      <w:pPr>
        <w:ind w:left="1440" w:hanging="360"/>
      </w:pPr>
    </w:lvl>
    <w:lvl w:ilvl="2" w:tplc="E1A2BFC2">
      <w:start w:val="1"/>
      <w:numFmt w:val="lowerRoman"/>
      <w:lvlText w:val="%3."/>
      <w:lvlJc w:val="right"/>
      <w:pPr>
        <w:ind w:left="2160" w:hanging="180"/>
      </w:pPr>
    </w:lvl>
    <w:lvl w:ilvl="3" w:tplc="07C68370">
      <w:start w:val="1"/>
      <w:numFmt w:val="decimal"/>
      <w:lvlText w:val="%4."/>
      <w:lvlJc w:val="left"/>
      <w:pPr>
        <w:ind w:left="2880" w:hanging="360"/>
      </w:pPr>
    </w:lvl>
    <w:lvl w:ilvl="4" w:tplc="C6BC9BBE">
      <w:start w:val="1"/>
      <w:numFmt w:val="lowerLetter"/>
      <w:lvlText w:val="%5."/>
      <w:lvlJc w:val="left"/>
      <w:pPr>
        <w:ind w:left="3600" w:hanging="360"/>
      </w:pPr>
    </w:lvl>
    <w:lvl w:ilvl="5" w:tplc="6268C47A">
      <w:start w:val="1"/>
      <w:numFmt w:val="lowerRoman"/>
      <w:lvlText w:val="%6."/>
      <w:lvlJc w:val="right"/>
      <w:pPr>
        <w:ind w:left="4320" w:hanging="180"/>
      </w:pPr>
    </w:lvl>
    <w:lvl w:ilvl="6" w:tplc="078013DC">
      <w:start w:val="1"/>
      <w:numFmt w:val="decimal"/>
      <w:lvlText w:val="%7."/>
      <w:lvlJc w:val="left"/>
      <w:pPr>
        <w:ind w:left="5040" w:hanging="360"/>
      </w:pPr>
    </w:lvl>
    <w:lvl w:ilvl="7" w:tplc="5E88E316">
      <w:start w:val="1"/>
      <w:numFmt w:val="lowerLetter"/>
      <w:lvlText w:val="%8."/>
      <w:lvlJc w:val="left"/>
      <w:pPr>
        <w:ind w:left="5760" w:hanging="360"/>
      </w:pPr>
    </w:lvl>
    <w:lvl w:ilvl="8" w:tplc="89201066">
      <w:start w:val="1"/>
      <w:numFmt w:val="lowerRoman"/>
      <w:lvlText w:val="%9."/>
      <w:lvlJc w:val="right"/>
      <w:pPr>
        <w:ind w:left="6480" w:hanging="180"/>
      </w:pPr>
    </w:lvl>
  </w:abstractNum>
  <w:abstractNum w:abstractNumId="76" w15:restartNumberingAfterBreak="0">
    <w:nsid w:val="3A534033"/>
    <w:multiLevelType w:val="hybridMultilevel"/>
    <w:tmpl w:val="B73C0D8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3AE1050D"/>
    <w:multiLevelType w:val="hybridMultilevel"/>
    <w:tmpl w:val="A92C86DE"/>
    <w:lvl w:ilvl="0" w:tplc="A64093C0">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3C037935"/>
    <w:multiLevelType w:val="hybridMultilevel"/>
    <w:tmpl w:val="892283D2"/>
    <w:lvl w:ilvl="0" w:tplc="CF4AC1D4">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C500C07"/>
    <w:multiLevelType w:val="hybridMultilevel"/>
    <w:tmpl w:val="5AC0F1F6"/>
    <w:lvl w:ilvl="0" w:tplc="C576E85E">
      <w:start w:val="1"/>
      <w:numFmt w:val="lowerRoman"/>
      <w:lvlText w:val="%1)"/>
      <w:lvlJc w:val="left"/>
      <w:pPr>
        <w:ind w:left="1800" w:hanging="360"/>
      </w:pPr>
    </w:lvl>
    <w:lvl w:ilvl="1" w:tplc="E4F2B198">
      <w:start w:val="1"/>
      <w:numFmt w:val="lowerLetter"/>
      <w:lvlText w:val="%2."/>
      <w:lvlJc w:val="left"/>
      <w:pPr>
        <w:ind w:left="2520" w:hanging="360"/>
      </w:pPr>
    </w:lvl>
    <w:lvl w:ilvl="2" w:tplc="B8F2CBDA">
      <w:start w:val="1"/>
      <w:numFmt w:val="lowerRoman"/>
      <w:lvlText w:val="%3."/>
      <w:lvlJc w:val="right"/>
      <w:pPr>
        <w:ind w:left="3240" w:hanging="180"/>
      </w:pPr>
    </w:lvl>
    <w:lvl w:ilvl="3" w:tplc="025E36F2">
      <w:start w:val="1"/>
      <w:numFmt w:val="decimal"/>
      <w:lvlText w:val="%4."/>
      <w:lvlJc w:val="left"/>
      <w:pPr>
        <w:ind w:left="3960" w:hanging="360"/>
      </w:pPr>
    </w:lvl>
    <w:lvl w:ilvl="4" w:tplc="32BA79D4">
      <w:start w:val="1"/>
      <w:numFmt w:val="lowerLetter"/>
      <w:lvlText w:val="%5."/>
      <w:lvlJc w:val="left"/>
      <w:pPr>
        <w:ind w:left="4680" w:hanging="360"/>
      </w:pPr>
    </w:lvl>
    <w:lvl w:ilvl="5" w:tplc="49FCDC34">
      <w:start w:val="1"/>
      <w:numFmt w:val="lowerRoman"/>
      <w:lvlText w:val="%6."/>
      <w:lvlJc w:val="right"/>
      <w:pPr>
        <w:ind w:left="5400" w:hanging="180"/>
      </w:pPr>
    </w:lvl>
    <w:lvl w:ilvl="6" w:tplc="48CE59FA">
      <w:start w:val="1"/>
      <w:numFmt w:val="decimal"/>
      <w:lvlText w:val="%7."/>
      <w:lvlJc w:val="left"/>
      <w:pPr>
        <w:ind w:left="6120" w:hanging="360"/>
      </w:pPr>
    </w:lvl>
    <w:lvl w:ilvl="7" w:tplc="40488804">
      <w:start w:val="1"/>
      <w:numFmt w:val="lowerLetter"/>
      <w:lvlText w:val="%8."/>
      <w:lvlJc w:val="left"/>
      <w:pPr>
        <w:ind w:left="6840" w:hanging="360"/>
      </w:pPr>
    </w:lvl>
    <w:lvl w:ilvl="8" w:tplc="82A8CF7C">
      <w:start w:val="1"/>
      <w:numFmt w:val="lowerRoman"/>
      <w:lvlText w:val="%9."/>
      <w:lvlJc w:val="right"/>
      <w:pPr>
        <w:ind w:left="7560" w:hanging="180"/>
      </w:pPr>
    </w:lvl>
  </w:abstractNum>
  <w:abstractNum w:abstractNumId="80" w15:restartNumberingAfterBreak="0">
    <w:nsid w:val="3CA718AE"/>
    <w:multiLevelType w:val="hybridMultilevel"/>
    <w:tmpl w:val="25CAFE60"/>
    <w:lvl w:ilvl="0" w:tplc="3DF09560">
      <w:start w:val="1"/>
      <w:numFmt w:val="bullet"/>
      <w:lvlText w:val=""/>
      <w:lvlJc w:val="left"/>
      <w:pPr>
        <w:ind w:left="720" w:hanging="360"/>
      </w:pPr>
      <w:rPr>
        <w:rFonts w:ascii="Symbol" w:hAnsi="Symbol"/>
      </w:rPr>
    </w:lvl>
    <w:lvl w:ilvl="1" w:tplc="F146B046">
      <w:start w:val="1"/>
      <w:numFmt w:val="bullet"/>
      <w:lvlText w:val=""/>
      <w:lvlJc w:val="left"/>
      <w:pPr>
        <w:ind w:left="720" w:hanging="360"/>
      </w:pPr>
      <w:rPr>
        <w:rFonts w:ascii="Symbol" w:hAnsi="Symbol"/>
      </w:rPr>
    </w:lvl>
    <w:lvl w:ilvl="2" w:tplc="2086F58A">
      <w:start w:val="1"/>
      <w:numFmt w:val="bullet"/>
      <w:lvlText w:val=""/>
      <w:lvlJc w:val="left"/>
      <w:pPr>
        <w:ind w:left="720" w:hanging="360"/>
      </w:pPr>
      <w:rPr>
        <w:rFonts w:ascii="Symbol" w:hAnsi="Symbol"/>
      </w:rPr>
    </w:lvl>
    <w:lvl w:ilvl="3" w:tplc="78A84600">
      <w:start w:val="1"/>
      <w:numFmt w:val="bullet"/>
      <w:lvlText w:val=""/>
      <w:lvlJc w:val="left"/>
      <w:pPr>
        <w:ind w:left="720" w:hanging="360"/>
      </w:pPr>
      <w:rPr>
        <w:rFonts w:ascii="Symbol" w:hAnsi="Symbol"/>
      </w:rPr>
    </w:lvl>
    <w:lvl w:ilvl="4" w:tplc="E8EEB696">
      <w:start w:val="1"/>
      <w:numFmt w:val="bullet"/>
      <w:lvlText w:val=""/>
      <w:lvlJc w:val="left"/>
      <w:pPr>
        <w:ind w:left="720" w:hanging="360"/>
      </w:pPr>
      <w:rPr>
        <w:rFonts w:ascii="Symbol" w:hAnsi="Symbol"/>
      </w:rPr>
    </w:lvl>
    <w:lvl w:ilvl="5" w:tplc="1D2A421E">
      <w:start w:val="1"/>
      <w:numFmt w:val="bullet"/>
      <w:lvlText w:val=""/>
      <w:lvlJc w:val="left"/>
      <w:pPr>
        <w:ind w:left="720" w:hanging="360"/>
      </w:pPr>
      <w:rPr>
        <w:rFonts w:ascii="Symbol" w:hAnsi="Symbol"/>
      </w:rPr>
    </w:lvl>
    <w:lvl w:ilvl="6" w:tplc="C3FC4A68">
      <w:start w:val="1"/>
      <w:numFmt w:val="bullet"/>
      <w:lvlText w:val=""/>
      <w:lvlJc w:val="left"/>
      <w:pPr>
        <w:ind w:left="720" w:hanging="360"/>
      </w:pPr>
      <w:rPr>
        <w:rFonts w:ascii="Symbol" w:hAnsi="Symbol"/>
      </w:rPr>
    </w:lvl>
    <w:lvl w:ilvl="7" w:tplc="EF1EDEF0">
      <w:start w:val="1"/>
      <w:numFmt w:val="bullet"/>
      <w:lvlText w:val=""/>
      <w:lvlJc w:val="left"/>
      <w:pPr>
        <w:ind w:left="720" w:hanging="360"/>
      </w:pPr>
      <w:rPr>
        <w:rFonts w:ascii="Symbol" w:hAnsi="Symbol"/>
      </w:rPr>
    </w:lvl>
    <w:lvl w:ilvl="8" w:tplc="3A9018EC">
      <w:start w:val="1"/>
      <w:numFmt w:val="bullet"/>
      <w:lvlText w:val=""/>
      <w:lvlJc w:val="left"/>
      <w:pPr>
        <w:ind w:left="720" w:hanging="360"/>
      </w:pPr>
      <w:rPr>
        <w:rFonts w:ascii="Symbol" w:hAnsi="Symbol"/>
      </w:rPr>
    </w:lvl>
  </w:abstractNum>
  <w:abstractNum w:abstractNumId="8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82" w15:restartNumberingAfterBreak="0">
    <w:nsid w:val="3E5A3354"/>
    <w:multiLevelType w:val="hybridMultilevel"/>
    <w:tmpl w:val="52D87BB4"/>
    <w:lvl w:ilvl="0" w:tplc="E3BC3294">
      <w:start w:val="4"/>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3"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5" w15:restartNumberingAfterBreak="0">
    <w:nsid w:val="407A4ACB"/>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413C5769"/>
    <w:multiLevelType w:val="hybridMultilevel"/>
    <w:tmpl w:val="DB1E94DC"/>
    <w:lvl w:ilvl="0" w:tplc="B67AD618">
      <w:start w:val="1"/>
      <w:numFmt w:val="lowerRoman"/>
      <w:lvlText w:val="(%1)"/>
      <w:lvlJc w:val="left"/>
      <w:pPr>
        <w:ind w:left="1080" w:hanging="720"/>
      </w:pPr>
      <w:rPr>
        <w:rFonts w:eastAsia="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9" w15:restartNumberingAfterBreak="0">
    <w:nsid w:val="42FC077D"/>
    <w:multiLevelType w:val="singleLevel"/>
    <w:tmpl w:val="4128FD03"/>
    <w:lvl w:ilvl="0">
      <w:start w:val="1"/>
      <w:numFmt w:val="bullet"/>
      <w:lvlRestart w:val="0"/>
      <w:pStyle w:val="Tiret5"/>
      <w:lvlText w:val="–"/>
      <w:lvlJc w:val="left"/>
      <w:pPr>
        <w:tabs>
          <w:tab w:val="num" w:pos="3685"/>
        </w:tabs>
        <w:ind w:left="3685" w:hanging="567"/>
      </w:pPr>
    </w:lvl>
  </w:abstractNum>
  <w:abstractNum w:abstractNumId="90" w15:restartNumberingAfterBreak="0">
    <w:nsid w:val="42FD2264"/>
    <w:multiLevelType w:val="hybridMultilevel"/>
    <w:tmpl w:val="34F65000"/>
    <w:lvl w:ilvl="0" w:tplc="6B7A90AC">
      <w:start w:val="1"/>
      <w:numFmt w:val="lowerRoman"/>
      <w:lvlText w:val="%1)"/>
      <w:lvlJc w:val="left"/>
      <w:pPr>
        <w:ind w:left="1080" w:hanging="720"/>
      </w:pPr>
      <w:rPr>
        <w:rFonts w:hint="default"/>
        <w:sz w:val="18"/>
        <w:szCs w:val="18"/>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42FF7318"/>
    <w:multiLevelType w:val="hybridMultilevel"/>
    <w:tmpl w:val="6EECC6C4"/>
    <w:lvl w:ilvl="0" w:tplc="F6C20E62">
      <w:start w:val="1"/>
      <w:numFmt w:val="lowerRoman"/>
      <w:lvlText w:val="%1)"/>
      <w:lvlJc w:val="left"/>
      <w:pPr>
        <w:ind w:left="1080" w:hanging="360"/>
      </w:pPr>
      <w:rPr>
        <w:rFonts w:asciiTheme="minorHAnsi" w:eastAsiaTheme="minorHAnsi" w:hAnsiTheme="minorHAnsi" w:cstheme="minorBidi"/>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2" w15:restartNumberingAfterBreak="0">
    <w:nsid w:val="4322BE20"/>
    <w:multiLevelType w:val="hybridMultilevel"/>
    <w:tmpl w:val="33CA1446"/>
    <w:lvl w:ilvl="0" w:tplc="34EA6F6E">
      <w:start w:val="1"/>
      <w:numFmt w:val="bullet"/>
      <w:lvlText w:val="-"/>
      <w:lvlJc w:val="left"/>
      <w:pPr>
        <w:ind w:left="720" w:hanging="360"/>
      </w:pPr>
      <w:rPr>
        <w:rFonts w:ascii="Aptos" w:hAnsi="Aptos" w:hint="default"/>
      </w:rPr>
    </w:lvl>
    <w:lvl w:ilvl="1" w:tplc="693A5B3A">
      <w:start w:val="1"/>
      <w:numFmt w:val="bullet"/>
      <w:lvlText w:val="o"/>
      <w:lvlJc w:val="left"/>
      <w:pPr>
        <w:ind w:left="1440" w:hanging="360"/>
      </w:pPr>
      <w:rPr>
        <w:rFonts w:ascii="Courier New" w:hAnsi="Courier New" w:hint="default"/>
      </w:rPr>
    </w:lvl>
    <w:lvl w:ilvl="2" w:tplc="40DA6172">
      <w:start w:val="1"/>
      <w:numFmt w:val="bullet"/>
      <w:lvlText w:val=""/>
      <w:lvlJc w:val="left"/>
      <w:pPr>
        <w:ind w:left="2160" w:hanging="360"/>
      </w:pPr>
      <w:rPr>
        <w:rFonts w:ascii="Wingdings" w:hAnsi="Wingdings" w:hint="default"/>
      </w:rPr>
    </w:lvl>
    <w:lvl w:ilvl="3" w:tplc="E8D4A6BE">
      <w:start w:val="1"/>
      <w:numFmt w:val="bullet"/>
      <w:lvlText w:val=""/>
      <w:lvlJc w:val="left"/>
      <w:pPr>
        <w:ind w:left="2880" w:hanging="360"/>
      </w:pPr>
      <w:rPr>
        <w:rFonts w:ascii="Symbol" w:hAnsi="Symbol" w:hint="default"/>
      </w:rPr>
    </w:lvl>
    <w:lvl w:ilvl="4" w:tplc="4432AB2A">
      <w:start w:val="1"/>
      <w:numFmt w:val="bullet"/>
      <w:lvlText w:val="o"/>
      <w:lvlJc w:val="left"/>
      <w:pPr>
        <w:ind w:left="3600" w:hanging="360"/>
      </w:pPr>
      <w:rPr>
        <w:rFonts w:ascii="Courier New" w:hAnsi="Courier New" w:hint="default"/>
      </w:rPr>
    </w:lvl>
    <w:lvl w:ilvl="5" w:tplc="EB6C18D4">
      <w:start w:val="1"/>
      <w:numFmt w:val="bullet"/>
      <w:lvlText w:val=""/>
      <w:lvlJc w:val="left"/>
      <w:pPr>
        <w:ind w:left="4320" w:hanging="360"/>
      </w:pPr>
      <w:rPr>
        <w:rFonts w:ascii="Wingdings" w:hAnsi="Wingdings" w:hint="default"/>
      </w:rPr>
    </w:lvl>
    <w:lvl w:ilvl="6" w:tplc="CDE6731C">
      <w:start w:val="1"/>
      <w:numFmt w:val="bullet"/>
      <w:lvlText w:val=""/>
      <w:lvlJc w:val="left"/>
      <w:pPr>
        <w:ind w:left="5040" w:hanging="360"/>
      </w:pPr>
      <w:rPr>
        <w:rFonts w:ascii="Symbol" w:hAnsi="Symbol" w:hint="default"/>
      </w:rPr>
    </w:lvl>
    <w:lvl w:ilvl="7" w:tplc="63843FA8">
      <w:start w:val="1"/>
      <w:numFmt w:val="bullet"/>
      <w:lvlText w:val="o"/>
      <w:lvlJc w:val="left"/>
      <w:pPr>
        <w:ind w:left="5760" w:hanging="360"/>
      </w:pPr>
      <w:rPr>
        <w:rFonts w:ascii="Courier New" w:hAnsi="Courier New" w:hint="default"/>
      </w:rPr>
    </w:lvl>
    <w:lvl w:ilvl="8" w:tplc="68F4E8E4">
      <w:start w:val="1"/>
      <w:numFmt w:val="bullet"/>
      <w:lvlText w:val=""/>
      <w:lvlJc w:val="left"/>
      <w:pPr>
        <w:ind w:left="6480" w:hanging="360"/>
      </w:pPr>
      <w:rPr>
        <w:rFonts w:ascii="Wingdings" w:hAnsi="Wingdings" w:hint="default"/>
      </w:rPr>
    </w:lvl>
  </w:abstractNum>
  <w:abstractNum w:abstractNumId="93" w15:restartNumberingAfterBreak="0">
    <w:nsid w:val="43641013"/>
    <w:multiLevelType w:val="hybridMultilevel"/>
    <w:tmpl w:val="DC844BC8"/>
    <w:lvl w:ilvl="0" w:tplc="0478D9DC">
      <w:start w:val="1"/>
      <w:numFmt w:val="lowerRoman"/>
      <w:lvlText w:val="%1)"/>
      <w:lvlJc w:val="left"/>
      <w:pPr>
        <w:ind w:left="1080" w:hanging="360"/>
      </w:pPr>
    </w:lvl>
    <w:lvl w:ilvl="1" w:tplc="5BD0C87A">
      <w:start w:val="1"/>
      <w:numFmt w:val="lowerLetter"/>
      <w:lvlText w:val="%2."/>
      <w:lvlJc w:val="left"/>
      <w:pPr>
        <w:ind w:left="1800" w:hanging="360"/>
      </w:pPr>
    </w:lvl>
    <w:lvl w:ilvl="2" w:tplc="93082E8A">
      <w:start w:val="1"/>
      <w:numFmt w:val="lowerRoman"/>
      <w:lvlText w:val="%3."/>
      <w:lvlJc w:val="right"/>
      <w:pPr>
        <w:ind w:left="2520" w:hanging="180"/>
      </w:pPr>
    </w:lvl>
    <w:lvl w:ilvl="3" w:tplc="C64CDA6C">
      <w:start w:val="1"/>
      <w:numFmt w:val="decimal"/>
      <w:lvlText w:val="%4."/>
      <w:lvlJc w:val="left"/>
      <w:pPr>
        <w:ind w:left="3240" w:hanging="360"/>
      </w:pPr>
    </w:lvl>
    <w:lvl w:ilvl="4" w:tplc="1EA272D2">
      <w:start w:val="1"/>
      <w:numFmt w:val="lowerLetter"/>
      <w:lvlText w:val="%5."/>
      <w:lvlJc w:val="left"/>
      <w:pPr>
        <w:ind w:left="3960" w:hanging="360"/>
      </w:pPr>
    </w:lvl>
    <w:lvl w:ilvl="5" w:tplc="5922FC6E">
      <w:start w:val="1"/>
      <w:numFmt w:val="lowerRoman"/>
      <w:lvlText w:val="%6."/>
      <w:lvlJc w:val="right"/>
      <w:pPr>
        <w:ind w:left="4680" w:hanging="180"/>
      </w:pPr>
    </w:lvl>
    <w:lvl w:ilvl="6" w:tplc="AA76F890">
      <w:start w:val="1"/>
      <w:numFmt w:val="decimal"/>
      <w:lvlText w:val="%7."/>
      <w:lvlJc w:val="left"/>
      <w:pPr>
        <w:ind w:left="5400" w:hanging="360"/>
      </w:pPr>
    </w:lvl>
    <w:lvl w:ilvl="7" w:tplc="52FAB330">
      <w:start w:val="1"/>
      <w:numFmt w:val="lowerLetter"/>
      <w:lvlText w:val="%8."/>
      <w:lvlJc w:val="left"/>
      <w:pPr>
        <w:ind w:left="6120" w:hanging="360"/>
      </w:pPr>
    </w:lvl>
    <w:lvl w:ilvl="8" w:tplc="A7785018">
      <w:start w:val="1"/>
      <w:numFmt w:val="lowerRoman"/>
      <w:lvlText w:val="%9."/>
      <w:lvlJc w:val="right"/>
      <w:pPr>
        <w:ind w:left="6840" w:hanging="180"/>
      </w:pPr>
    </w:lvl>
  </w:abstractNum>
  <w:abstractNum w:abstractNumId="94" w15:restartNumberingAfterBreak="0">
    <w:nsid w:val="436E0A5D"/>
    <w:multiLevelType w:val="singleLevel"/>
    <w:tmpl w:val="9C807126"/>
    <w:lvl w:ilvl="0">
      <w:start w:val="1"/>
      <w:numFmt w:val="bullet"/>
      <w:pStyle w:val="Heading91"/>
      <w:lvlText w:val=""/>
      <w:lvlJc w:val="left"/>
      <w:pPr>
        <w:tabs>
          <w:tab w:val="num" w:pos="567"/>
        </w:tabs>
        <w:ind w:left="567" w:hanging="567"/>
      </w:pPr>
      <w:rPr>
        <w:rFonts w:ascii="Symbol" w:hAnsi="Symbol" w:hint="default"/>
      </w:rPr>
    </w:lvl>
  </w:abstractNum>
  <w:abstractNum w:abstractNumId="95" w15:restartNumberingAfterBreak="0">
    <w:nsid w:val="451904EB"/>
    <w:multiLevelType w:val="hybridMultilevel"/>
    <w:tmpl w:val="948C3092"/>
    <w:lvl w:ilvl="0" w:tplc="D1764C74">
      <w:start w:val="3"/>
      <w:numFmt w:val="decimal"/>
      <w:lvlText w:val="%1."/>
      <w:lvlJc w:val="left"/>
      <w:pPr>
        <w:ind w:left="360" w:hanging="360"/>
      </w:pPr>
      <w:rPr>
        <w:rFonts w:ascii="Times New Roman" w:eastAsiaTheme="minorEastAsia" w:hAnsi="Times New Roman"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97"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486FE229"/>
    <w:multiLevelType w:val="hybridMultilevel"/>
    <w:tmpl w:val="FFFFFFFF"/>
    <w:lvl w:ilvl="0" w:tplc="BF2458E0">
      <w:start w:val="1"/>
      <w:numFmt w:val="bullet"/>
      <w:lvlText w:val="-"/>
      <w:lvlJc w:val="left"/>
      <w:pPr>
        <w:ind w:left="720" w:hanging="360"/>
      </w:pPr>
      <w:rPr>
        <w:rFonts w:ascii="Calibri" w:hAnsi="Calibri" w:hint="default"/>
      </w:rPr>
    </w:lvl>
    <w:lvl w:ilvl="1" w:tplc="221CE3FA">
      <w:start w:val="1"/>
      <w:numFmt w:val="bullet"/>
      <w:lvlText w:val="o"/>
      <w:lvlJc w:val="left"/>
      <w:pPr>
        <w:ind w:left="1440" w:hanging="360"/>
      </w:pPr>
      <w:rPr>
        <w:rFonts w:ascii="Courier New" w:hAnsi="Courier New" w:hint="default"/>
      </w:rPr>
    </w:lvl>
    <w:lvl w:ilvl="2" w:tplc="90603DB2">
      <w:start w:val="1"/>
      <w:numFmt w:val="bullet"/>
      <w:lvlText w:val=""/>
      <w:lvlJc w:val="left"/>
      <w:pPr>
        <w:ind w:left="2160" w:hanging="360"/>
      </w:pPr>
      <w:rPr>
        <w:rFonts w:ascii="Wingdings" w:hAnsi="Wingdings" w:hint="default"/>
      </w:rPr>
    </w:lvl>
    <w:lvl w:ilvl="3" w:tplc="2D8CBC90">
      <w:start w:val="1"/>
      <w:numFmt w:val="bullet"/>
      <w:lvlText w:val=""/>
      <w:lvlJc w:val="left"/>
      <w:pPr>
        <w:ind w:left="2880" w:hanging="360"/>
      </w:pPr>
      <w:rPr>
        <w:rFonts w:ascii="Symbol" w:hAnsi="Symbol" w:hint="default"/>
      </w:rPr>
    </w:lvl>
    <w:lvl w:ilvl="4" w:tplc="817C02DE">
      <w:start w:val="1"/>
      <w:numFmt w:val="bullet"/>
      <w:lvlText w:val="o"/>
      <w:lvlJc w:val="left"/>
      <w:pPr>
        <w:ind w:left="3600" w:hanging="360"/>
      </w:pPr>
      <w:rPr>
        <w:rFonts w:ascii="Courier New" w:hAnsi="Courier New" w:hint="default"/>
      </w:rPr>
    </w:lvl>
    <w:lvl w:ilvl="5" w:tplc="69020254">
      <w:start w:val="1"/>
      <w:numFmt w:val="bullet"/>
      <w:lvlText w:val=""/>
      <w:lvlJc w:val="left"/>
      <w:pPr>
        <w:ind w:left="4320" w:hanging="360"/>
      </w:pPr>
      <w:rPr>
        <w:rFonts w:ascii="Wingdings" w:hAnsi="Wingdings" w:hint="default"/>
      </w:rPr>
    </w:lvl>
    <w:lvl w:ilvl="6" w:tplc="8818A5A6">
      <w:start w:val="1"/>
      <w:numFmt w:val="bullet"/>
      <w:lvlText w:val=""/>
      <w:lvlJc w:val="left"/>
      <w:pPr>
        <w:ind w:left="5040" w:hanging="360"/>
      </w:pPr>
      <w:rPr>
        <w:rFonts w:ascii="Symbol" w:hAnsi="Symbol" w:hint="default"/>
      </w:rPr>
    </w:lvl>
    <w:lvl w:ilvl="7" w:tplc="81B0E61A">
      <w:start w:val="1"/>
      <w:numFmt w:val="bullet"/>
      <w:lvlText w:val="o"/>
      <w:lvlJc w:val="left"/>
      <w:pPr>
        <w:ind w:left="5760" w:hanging="360"/>
      </w:pPr>
      <w:rPr>
        <w:rFonts w:ascii="Courier New" w:hAnsi="Courier New" w:hint="default"/>
      </w:rPr>
    </w:lvl>
    <w:lvl w:ilvl="8" w:tplc="F5EE461A">
      <w:start w:val="1"/>
      <w:numFmt w:val="bullet"/>
      <w:lvlText w:val=""/>
      <w:lvlJc w:val="left"/>
      <w:pPr>
        <w:ind w:left="6480" w:hanging="360"/>
      </w:pPr>
      <w:rPr>
        <w:rFonts w:ascii="Wingdings" w:hAnsi="Wingdings" w:hint="default"/>
      </w:rPr>
    </w:lvl>
  </w:abstractNum>
  <w:abstractNum w:abstractNumId="99" w15:restartNumberingAfterBreak="0">
    <w:nsid w:val="48A77BA5"/>
    <w:multiLevelType w:val="hybridMultilevel"/>
    <w:tmpl w:val="408244CC"/>
    <w:lvl w:ilvl="0" w:tplc="B8CE370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8B16EBA"/>
    <w:multiLevelType w:val="hybridMultilevel"/>
    <w:tmpl w:val="372607E4"/>
    <w:lvl w:ilvl="0" w:tplc="379E1BC0">
      <w:start w:val="1"/>
      <w:numFmt w:val="decimal"/>
      <w:lvlText w:val="%1)"/>
      <w:lvlJc w:val="left"/>
      <w:pPr>
        <w:ind w:left="1020" w:hanging="360"/>
      </w:pPr>
    </w:lvl>
    <w:lvl w:ilvl="1" w:tplc="D7B0FF58">
      <w:start w:val="1"/>
      <w:numFmt w:val="decimal"/>
      <w:lvlText w:val="%2)"/>
      <w:lvlJc w:val="left"/>
      <w:pPr>
        <w:ind w:left="1020" w:hanging="360"/>
      </w:pPr>
    </w:lvl>
    <w:lvl w:ilvl="2" w:tplc="6284F41A">
      <w:start w:val="1"/>
      <w:numFmt w:val="decimal"/>
      <w:lvlText w:val="%3)"/>
      <w:lvlJc w:val="left"/>
      <w:pPr>
        <w:ind w:left="1020" w:hanging="360"/>
      </w:pPr>
    </w:lvl>
    <w:lvl w:ilvl="3" w:tplc="28CEDBB2">
      <w:start w:val="1"/>
      <w:numFmt w:val="decimal"/>
      <w:lvlText w:val="%4)"/>
      <w:lvlJc w:val="left"/>
      <w:pPr>
        <w:ind w:left="1020" w:hanging="360"/>
      </w:pPr>
    </w:lvl>
    <w:lvl w:ilvl="4" w:tplc="F754091A">
      <w:start w:val="1"/>
      <w:numFmt w:val="decimal"/>
      <w:lvlText w:val="%5)"/>
      <w:lvlJc w:val="left"/>
      <w:pPr>
        <w:ind w:left="1020" w:hanging="360"/>
      </w:pPr>
    </w:lvl>
    <w:lvl w:ilvl="5" w:tplc="96FCD6EE">
      <w:start w:val="1"/>
      <w:numFmt w:val="decimal"/>
      <w:lvlText w:val="%6)"/>
      <w:lvlJc w:val="left"/>
      <w:pPr>
        <w:ind w:left="1020" w:hanging="360"/>
      </w:pPr>
    </w:lvl>
    <w:lvl w:ilvl="6" w:tplc="2396B4CE">
      <w:start w:val="1"/>
      <w:numFmt w:val="decimal"/>
      <w:lvlText w:val="%7)"/>
      <w:lvlJc w:val="left"/>
      <w:pPr>
        <w:ind w:left="1020" w:hanging="360"/>
      </w:pPr>
    </w:lvl>
    <w:lvl w:ilvl="7" w:tplc="CDA0F1CC">
      <w:start w:val="1"/>
      <w:numFmt w:val="decimal"/>
      <w:lvlText w:val="%8)"/>
      <w:lvlJc w:val="left"/>
      <w:pPr>
        <w:ind w:left="1020" w:hanging="360"/>
      </w:pPr>
    </w:lvl>
    <w:lvl w:ilvl="8" w:tplc="A6FEE148">
      <w:start w:val="1"/>
      <w:numFmt w:val="decimal"/>
      <w:lvlText w:val="%9)"/>
      <w:lvlJc w:val="left"/>
      <w:pPr>
        <w:ind w:left="1020" w:hanging="360"/>
      </w:pPr>
    </w:lvl>
  </w:abstractNum>
  <w:abstractNum w:abstractNumId="101" w15:restartNumberingAfterBreak="0">
    <w:nsid w:val="4A014D2D"/>
    <w:multiLevelType w:val="hybridMultilevel"/>
    <w:tmpl w:val="374CEF74"/>
    <w:lvl w:ilvl="0" w:tplc="FDDECD8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AF31D79"/>
    <w:multiLevelType w:val="hybridMultilevel"/>
    <w:tmpl w:val="CB2A7D70"/>
    <w:lvl w:ilvl="0" w:tplc="A2C2623E">
      <w:start w:val="1"/>
      <w:numFmt w:val="bullet"/>
      <w:lvlText w:val=""/>
      <w:lvlJc w:val="left"/>
      <w:pPr>
        <w:ind w:left="720" w:hanging="360"/>
      </w:pPr>
      <w:rPr>
        <w:rFonts w:ascii="Symbol" w:hAnsi="Symbol"/>
      </w:rPr>
    </w:lvl>
    <w:lvl w:ilvl="1" w:tplc="5D366B6A">
      <w:start w:val="1"/>
      <w:numFmt w:val="bullet"/>
      <w:lvlText w:val=""/>
      <w:lvlJc w:val="left"/>
      <w:pPr>
        <w:ind w:left="720" w:hanging="360"/>
      </w:pPr>
      <w:rPr>
        <w:rFonts w:ascii="Symbol" w:hAnsi="Symbol"/>
      </w:rPr>
    </w:lvl>
    <w:lvl w:ilvl="2" w:tplc="5B4CE0B6">
      <w:start w:val="1"/>
      <w:numFmt w:val="bullet"/>
      <w:lvlText w:val=""/>
      <w:lvlJc w:val="left"/>
      <w:pPr>
        <w:ind w:left="720" w:hanging="360"/>
      </w:pPr>
      <w:rPr>
        <w:rFonts w:ascii="Symbol" w:hAnsi="Symbol"/>
      </w:rPr>
    </w:lvl>
    <w:lvl w:ilvl="3" w:tplc="5B040128">
      <w:start w:val="1"/>
      <w:numFmt w:val="bullet"/>
      <w:lvlText w:val=""/>
      <w:lvlJc w:val="left"/>
      <w:pPr>
        <w:ind w:left="720" w:hanging="360"/>
      </w:pPr>
      <w:rPr>
        <w:rFonts w:ascii="Symbol" w:hAnsi="Symbol"/>
      </w:rPr>
    </w:lvl>
    <w:lvl w:ilvl="4" w:tplc="C5DAD28E">
      <w:start w:val="1"/>
      <w:numFmt w:val="bullet"/>
      <w:lvlText w:val=""/>
      <w:lvlJc w:val="left"/>
      <w:pPr>
        <w:ind w:left="720" w:hanging="360"/>
      </w:pPr>
      <w:rPr>
        <w:rFonts w:ascii="Symbol" w:hAnsi="Symbol"/>
      </w:rPr>
    </w:lvl>
    <w:lvl w:ilvl="5" w:tplc="4F747A70">
      <w:start w:val="1"/>
      <w:numFmt w:val="bullet"/>
      <w:lvlText w:val=""/>
      <w:lvlJc w:val="left"/>
      <w:pPr>
        <w:ind w:left="720" w:hanging="360"/>
      </w:pPr>
      <w:rPr>
        <w:rFonts w:ascii="Symbol" w:hAnsi="Symbol"/>
      </w:rPr>
    </w:lvl>
    <w:lvl w:ilvl="6" w:tplc="86D63202">
      <w:start w:val="1"/>
      <w:numFmt w:val="bullet"/>
      <w:lvlText w:val=""/>
      <w:lvlJc w:val="left"/>
      <w:pPr>
        <w:ind w:left="720" w:hanging="360"/>
      </w:pPr>
      <w:rPr>
        <w:rFonts w:ascii="Symbol" w:hAnsi="Symbol"/>
      </w:rPr>
    </w:lvl>
    <w:lvl w:ilvl="7" w:tplc="FF32DD20">
      <w:start w:val="1"/>
      <w:numFmt w:val="bullet"/>
      <w:lvlText w:val=""/>
      <w:lvlJc w:val="left"/>
      <w:pPr>
        <w:ind w:left="720" w:hanging="360"/>
      </w:pPr>
      <w:rPr>
        <w:rFonts w:ascii="Symbol" w:hAnsi="Symbol"/>
      </w:rPr>
    </w:lvl>
    <w:lvl w:ilvl="8" w:tplc="B8A6663A">
      <w:start w:val="1"/>
      <w:numFmt w:val="bullet"/>
      <w:lvlText w:val=""/>
      <w:lvlJc w:val="left"/>
      <w:pPr>
        <w:ind w:left="720" w:hanging="360"/>
      </w:pPr>
      <w:rPr>
        <w:rFonts w:ascii="Symbol" w:hAnsi="Symbol"/>
      </w:rPr>
    </w:lvl>
  </w:abstractNum>
  <w:abstractNum w:abstractNumId="103"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4" w15:restartNumberingAfterBreak="0">
    <w:nsid w:val="4C162D09"/>
    <w:multiLevelType w:val="hybridMultilevel"/>
    <w:tmpl w:val="083E6EC6"/>
    <w:lvl w:ilvl="0" w:tplc="9984EA60">
      <w:start w:val="1"/>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5" w15:restartNumberingAfterBreak="0">
    <w:nsid w:val="4D080266"/>
    <w:multiLevelType w:val="hybridMultilevel"/>
    <w:tmpl w:val="7AE2C4BA"/>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4E4F6309"/>
    <w:multiLevelType w:val="hybridMultilevel"/>
    <w:tmpl w:val="E3C0EAAC"/>
    <w:lvl w:ilvl="0" w:tplc="7CAC5CB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001729E"/>
    <w:multiLevelType w:val="hybridMultilevel"/>
    <w:tmpl w:val="C7FEEEAC"/>
    <w:lvl w:ilvl="0" w:tplc="16F28D62">
      <w:start w:val="14"/>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8" w15:restartNumberingAfterBreak="0">
    <w:nsid w:val="51463B43"/>
    <w:multiLevelType w:val="hybridMultilevel"/>
    <w:tmpl w:val="7750BDD8"/>
    <w:lvl w:ilvl="0" w:tplc="AEB839BA">
      <w:start w:val="1"/>
      <w:numFmt w:val="lowerRoman"/>
      <w:lvlText w:val="%1)"/>
      <w:lvlJc w:val="left"/>
      <w:pPr>
        <w:ind w:left="720" w:hanging="720"/>
      </w:pPr>
      <w:rPr>
        <w:rFonts w:ascii="Calibri" w:hAnsi="Calibri" w:cs="Calibri"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5271705A"/>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529B3B21"/>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2" w15:restartNumberingAfterBreak="0">
    <w:nsid w:val="55C10E65"/>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3"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83107B0"/>
    <w:multiLevelType w:val="hybridMultilevel"/>
    <w:tmpl w:val="39B680BC"/>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59DC0AE4"/>
    <w:multiLevelType w:val="hybridMultilevel"/>
    <w:tmpl w:val="CB9E24FA"/>
    <w:lvl w:ilvl="0" w:tplc="A8F09C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B1C13DB"/>
    <w:multiLevelType w:val="hybridMultilevel"/>
    <w:tmpl w:val="95E4DEFA"/>
    <w:lvl w:ilvl="0" w:tplc="3800E1F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8" w15:restartNumberingAfterBreak="0">
    <w:nsid w:val="5BE708DE"/>
    <w:multiLevelType w:val="hybridMultilevel"/>
    <w:tmpl w:val="A6B60094"/>
    <w:lvl w:ilvl="0" w:tplc="F68E2E8E">
      <w:start w:val="3"/>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5BEF197E"/>
    <w:multiLevelType w:val="hybridMultilevel"/>
    <w:tmpl w:val="61FC58F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22" w15:restartNumberingAfterBreak="0">
    <w:nsid w:val="5CEC061A"/>
    <w:multiLevelType w:val="hybridMultilevel"/>
    <w:tmpl w:val="A8044D64"/>
    <w:lvl w:ilvl="0" w:tplc="7688CABC">
      <w:start w:val="1"/>
      <w:numFmt w:val="bullet"/>
      <w:lvlText w:val=""/>
      <w:lvlJc w:val="left"/>
      <w:pPr>
        <w:ind w:left="720" w:hanging="360"/>
      </w:pPr>
      <w:rPr>
        <w:rFonts w:ascii="Symbol" w:hAnsi="Symbol"/>
      </w:rPr>
    </w:lvl>
    <w:lvl w:ilvl="1" w:tplc="20A83EEE">
      <w:start w:val="1"/>
      <w:numFmt w:val="bullet"/>
      <w:lvlText w:val=""/>
      <w:lvlJc w:val="left"/>
      <w:pPr>
        <w:ind w:left="720" w:hanging="360"/>
      </w:pPr>
      <w:rPr>
        <w:rFonts w:ascii="Symbol" w:hAnsi="Symbol"/>
      </w:rPr>
    </w:lvl>
    <w:lvl w:ilvl="2" w:tplc="C59A5462">
      <w:start w:val="1"/>
      <w:numFmt w:val="bullet"/>
      <w:lvlText w:val=""/>
      <w:lvlJc w:val="left"/>
      <w:pPr>
        <w:ind w:left="720" w:hanging="360"/>
      </w:pPr>
      <w:rPr>
        <w:rFonts w:ascii="Symbol" w:hAnsi="Symbol"/>
      </w:rPr>
    </w:lvl>
    <w:lvl w:ilvl="3" w:tplc="C1F2D5E0">
      <w:start w:val="1"/>
      <w:numFmt w:val="bullet"/>
      <w:lvlText w:val=""/>
      <w:lvlJc w:val="left"/>
      <w:pPr>
        <w:ind w:left="720" w:hanging="360"/>
      </w:pPr>
      <w:rPr>
        <w:rFonts w:ascii="Symbol" w:hAnsi="Symbol"/>
      </w:rPr>
    </w:lvl>
    <w:lvl w:ilvl="4" w:tplc="B4FCCE50">
      <w:start w:val="1"/>
      <w:numFmt w:val="bullet"/>
      <w:lvlText w:val=""/>
      <w:lvlJc w:val="left"/>
      <w:pPr>
        <w:ind w:left="720" w:hanging="360"/>
      </w:pPr>
      <w:rPr>
        <w:rFonts w:ascii="Symbol" w:hAnsi="Symbol"/>
      </w:rPr>
    </w:lvl>
    <w:lvl w:ilvl="5" w:tplc="804A34E6">
      <w:start w:val="1"/>
      <w:numFmt w:val="bullet"/>
      <w:lvlText w:val=""/>
      <w:lvlJc w:val="left"/>
      <w:pPr>
        <w:ind w:left="720" w:hanging="360"/>
      </w:pPr>
      <w:rPr>
        <w:rFonts w:ascii="Symbol" w:hAnsi="Symbol"/>
      </w:rPr>
    </w:lvl>
    <w:lvl w:ilvl="6" w:tplc="D8828D76">
      <w:start w:val="1"/>
      <w:numFmt w:val="bullet"/>
      <w:lvlText w:val=""/>
      <w:lvlJc w:val="left"/>
      <w:pPr>
        <w:ind w:left="720" w:hanging="360"/>
      </w:pPr>
      <w:rPr>
        <w:rFonts w:ascii="Symbol" w:hAnsi="Symbol"/>
      </w:rPr>
    </w:lvl>
    <w:lvl w:ilvl="7" w:tplc="526C70A2">
      <w:start w:val="1"/>
      <w:numFmt w:val="bullet"/>
      <w:lvlText w:val=""/>
      <w:lvlJc w:val="left"/>
      <w:pPr>
        <w:ind w:left="720" w:hanging="360"/>
      </w:pPr>
      <w:rPr>
        <w:rFonts w:ascii="Symbol" w:hAnsi="Symbol"/>
      </w:rPr>
    </w:lvl>
    <w:lvl w:ilvl="8" w:tplc="6B32DD94">
      <w:start w:val="1"/>
      <w:numFmt w:val="bullet"/>
      <w:lvlText w:val=""/>
      <w:lvlJc w:val="left"/>
      <w:pPr>
        <w:ind w:left="720" w:hanging="360"/>
      </w:pPr>
      <w:rPr>
        <w:rFonts w:ascii="Symbol" w:hAnsi="Symbol"/>
      </w:rPr>
    </w:lvl>
  </w:abstractNum>
  <w:abstractNum w:abstractNumId="123" w15:restartNumberingAfterBreak="0">
    <w:nsid w:val="5E22085C"/>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61E42B25"/>
    <w:multiLevelType w:val="hybridMultilevel"/>
    <w:tmpl w:val="24261472"/>
    <w:lvl w:ilvl="0" w:tplc="C4CC6FC4">
      <w:start w:val="1"/>
      <w:numFmt w:val="lowerLetter"/>
      <w:lvlText w:val="%1)"/>
      <w:lvlJc w:val="left"/>
      <w:pPr>
        <w:ind w:left="515" w:hanging="360"/>
      </w:pPr>
    </w:lvl>
    <w:lvl w:ilvl="1" w:tplc="18090019">
      <w:start w:val="1"/>
      <w:numFmt w:val="lowerLetter"/>
      <w:lvlText w:val="%2."/>
      <w:lvlJc w:val="left"/>
      <w:pPr>
        <w:ind w:left="1235" w:hanging="360"/>
      </w:pPr>
    </w:lvl>
    <w:lvl w:ilvl="2" w:tplc="1809001B">
      <w:start w:val="1"/>
      <w:numFmt w:val="lowerRoman"/>
      <w:lvlText w:val="%3."/>
      <w:lvlJc w:val="right"/>
      <w:pPr>
        <w:ind w:left="1955" w:hanging="180"/>
      </w:pPr>
    </w:lvl>
    <w:lvl w:ilvl="3" w:tplc="1809000F">
      <w:start w:val="1"/>
      <w:numFmt w:val="decimal"/>
      <w:lvlText w:val="%4."/>
      <w:lvlJc w:val="left"/>
      <w:pPr>
        <w:ind w:left="2675" w:hanging="360"/>
      </w:pPr>
    </w:lvl>
    <w:lvl w:ilvl="4" w:tplc="18090019">
      <w:start w:val="1"/>
      <w:numFmt w:val="lowerLetter"/>
      <w:lvlText w:val="%5."/>
      <w:lvlJc w:val="left"/>
      <w:pPr>
        <w:ind w:left="3395" w:hanging="360"/>
      </w:pPr>
    </w:lvl>
    <w:lvl w:ilvl="5" w:tplc="1809001B">
      <w:start w:val="1"/>
      <w:numFmt w:val="lowerRoman"/>
      <w:lvlText w:val="%6."/>
      <w:lvlJc w:val="right"/>
      <w:pPr>
        <w:ind w:left="4115" w:hanging="180"/>
      </w:pPr>
    </w:lvl>
    <w:lvl w:ilvl="6" w:tplc="1809000F">
      <w:start w:val="1"/>
      <w:numFmt w:val="decimal"/>
      <w:lvlText w:val="%7."/>
      <w:lvlJc w:val="left"/>
      <w:pPr>
        <w:ind w:left="4835" w:hanging="360"/>
      </w:pPr>
    </w:lvl>
    <w:lvl w:ilvl="7" w:tplc="18090019">
      <w:start w:val="1"/>
      <w:numFmt w:val="lowerLetter"/>
      <w:lvlText w:val="%8."/>
      <w:lvlJc w:val="left"/>
      <w:pPr>
        <w:ind w:left="5555" w:hanging="360"/>
      </w:pPr>
    </w:lvl>
    <w:lvl w:ilvl="8" w:tplc="1809001B">
      <w:start w:val="1"/>
      <w:numFmt w:val="lowerRoman"/>
      <w:lvlText w:val="%9."/>
      <w:lvlJc w:val="right"/>
      <w:pPr>
        <w:ind w:left="6275" w:hanging="180"/>
      </w:pPr>
    </w:lvl>
  </w:abstractNum>
  <w:abstractNum w:abstractNumId="125" w15:restartNumberingAfterBreak="0">
    <w:nsid w:val="64E26C23"/>
    <w:multiLevelType w:val="hybridMultilevel"/>
    <w:tmpl w:val="0FA0C5AE"/>
    <w:lvl w:ilvl="0" w:tplc="794CB97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69AEF6E"/>
    <w:multiLevelType w:val="hybridMultilevel"/>
    <w:tmpl w:val="FFFFFFFF"/>
    <w:lvl w:ilvl="0" w:tplc="B91C17A8">
      <w:start w:val="1"/>
      <w:numFmt w:val="bullet"/>
      <w:lvlText w:val="-"/>
      <w:lvlJc w:val="left"/>
      <w:pPr>
        <w:ind w:left="412" w:hanging="360"/>
      </w:pPr>
      <w:rPr>
        <w:rFonts w:ascii="Aptos" w:hAnsi="Aptos" w:hint="default"/>
      </w:rPr>
    </w:lvl>
    <w:lvl w:ilvl="1" w:tplc="F5820A96">
      <w:start w:val="1"/>
      <w:numFmt w:val="bullet"/>
      <w:lvlText w:val="o"/>
      <w:lvlJc w:val="left"/>
      <w:pPr>
        <w:ind w:left="1132" w:hanging="360"/>
      </w:pPr>
      <w:rPr>
        <w:rFonts w:ascii="Courier New" w:hAnsi="Courier New" w:hint="default"/>
      </w:rPr>
    </w:lvl>
    <w:lvl w:ilvl="2" w:tplc="9774AC64">
      <w:start w:val="1"/>
      <w:numFmt w:val="bullet"/>
      <w:lvlText w:val=""/>
      <w:lvlJc w:val="left"/>
      <w:pPr>
        <w:ind w:left="1852" w:hanging="360"/>
      </w:pPr>
      <w:rPr>
        <w:rFonts w:ascii="Wingdings" w:hAnsi="Wingdings" w:hint="default"/>
      </w:rPr>
    </w:lvl>
    <w:lvl w:ilvl="3" w:tplc="0700DB28">
      <w:start w:val="1"/>
      <w:numFmt w:val="bullet"/>
      <w:lvlText w:val=""/>
      <w:lvlJc w:val="left"/>
      <w:pPr>
        <w:ind w:left="2572" w:hanging="360"/>
      </w:pPr>
      <w:rPr>
        <w:rFonts w:ascii="Symbol" w:hAnsi="Symbol" w:hint="default"/>
      </w:rPr>
    </w:lvl>
    <w:lvl w:ilvl="4" w:tplc="0A0AA158">
      <w:start w:val="1"/>
      <w:numFmt w:val="bullet"/>
      <w:lvlText w:val="o"/>
      <w:lvlJc w:val="left"/>
      <w:pPr>
        <w:ind w:left="3292" w:hanging="360"/>
      </w:pPr>
      <w:rPr>
        <w:rFonts w:ascii="Courier New" w:hAnsi="Courier New" w:hint="default"/>
      </w:rPr>
    </w:lvl>
    <w:lvl w:ilvl="5" w:tplc="590441D6">
      <w:start w:val="1"/>
      <w:numFmt w:val="bullet"/>
      <w:lvlText w:val=""/>
      <w:lvlJc w:val="left"/>
      <w:pPr>
        <w:ind w:left="4012" w:hanging="360"/>
      </w:pPr>
      <w:rPr>
        <w:rFonts w:ascii="Wingdings" w:hAnsi="Wingdings" w:hint="default"/>
      </w:rPr>
    </w:lvl>
    <w:lvl w:ilvl="6" w:tplc="2FDC5F50">
      <w:start w:val="1"/>
      <w:numFmt w:val="bullet"/>
      <w:lvlText w:val=""/>
      <w:lvlJc w:val="left"/>
      <w:pPr>
        <w:ind w:left="4732" w:hanging="360"/>
      </w:pPr>
      <w:rPr>
        <w:rFonts w:ascii="Symbol" w:hAnsi="Symbol" w:hint="default"/>
      </w:rPr>
    </w:lvl>
    <w:lvl w:ilvl="7" w:tplc="06AC46D0">
      <w:start w:val="1"/>
      <w:numFmt w:val="bullet"/>
      <w:lvlText w:val="o"/>
      <w:lvlJc w:val="left"/>
      <w:pPr>
        <w:ind w:left="5452" w:hanging="360"/>
      </w:pPr>
      <w:rPr>
        <w:rFonts w:ascii="Courier New" w:hAnsi="Courier New" w:hint="default"/>
      </w:rPr>
    </w:lvl>
    <w:lvl w:ilvl="8" w:tplc="F3CC97AC">
      <w:start w:val="1"/>
      <w:numFmt w:val="bullet"/>
      <w:lvlText w:val=""/>
      <w:lvlJc w:val="left"/>
      <w:pPr>
        <w:ind w:left="6172" w:hanging="360"/>
      </w:pPr>
      <w:rPr>
        <w:rFonts w:ascii="Wingdings" w:hAnsi="Wingdings" w:hint="default"/>
      </w:rPr>
    </w:lvl>
  </w:abstractNum>
  <w:abstractNum w:abstractNumId="1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28" w15:restartNumberingAfterBreak="0">
    <w:nsid w:val="6829EC44"/>
    <w:multiLevelType w:val="hybridMultilevel"/>
    <w:tmpl w:val="FFFFFFFF"/>
    <w:lvl w:ilvl="0" w:tplc="75B4E6B4">
      <w:start w:val="1"/>
      <w:numFmt w:val="bullet"/>
      <w:lvlText w:val="-"/>
      <w:lvlJc w:val="left"/>
      <w:pPr>
        <w:ind w:left="412" w:hanging="360"/>
      </w:pPr>
      <w:rPr>
        <w:rFonts w:ascii="Aptos" w:hAnsi="Aptos" w:hint="default"/>
      </w:rPr>
    </w:lvl>
    <w:lvl w:ilvl="1" w:tplc="303248C8">
      <w:start w:val="1"/>
      <w:numFmt w:val="bullet"/>
      <w:lvlText w:val="o"/>
      <w:lvlJc w:val="left"/>
      <w:pPr>
        <w:ind w:left="1132" w:hanging="360"/>
      </w:pPr>
      <w:rPr>
        <w:rFonts w:ascii="Courier New" w:hAnsi="Courier New" w:hint="default"/>
      </w:rPr>
    </w:lvl>
    <w:lvl w:ilvl="2" w:tplc="A1D047F0">
      <w:start w:val="1"/>
      <w:numFmt w:val="bullet"/>
      <w:lvlText w:val=""/>
      <w:lvlJc w:val="left"/>
      <w:pPr>
        <w:ind w:left="1852" w:hanging="360"/>
      </w:pPr>
      <w:rPr>
        <w:rFonts w:ascii="Wingdings" w:hAnsi="Wingdings" w:hint="default"/>
      </w:rPr>
    </w:lvl>
    <w:lvl w:ilvl="3" w:tplc="43AC83EE">
      <w:start w:val="1"/>
      <w:numFmt w:val="bullet"/>
      <w:lvlText w:val=""/>
      <w:lvlJc w:val="left"/>
      <w:pPr>
        <w:ind w:left="2572" w:hanging="360"/>
      </w:pPr>
      <w:rPr>
        <w:rFonts w:ascii="Symbol" w:hAnsi="Symbol" w:hint="default"/>
      </w:rPr>
    </w:lvl>
    <w:lvl w:ilvl="4" w:tplc="9F9000CA">
      <w:start w:val="1"/>
      <w:numFmt w:val="bullet"/>
      <w:lvlText w:val="o"/>
      <w:lvlJc w:val="left"/>
      <w:pPr>
        <w:ind w:left="3292" w:hanging="360"/>
      </w:pPr>
      <w:rPr>
        <w:rFonts w:ascii="Courier New" w:hAnsi="Courier New" w:hint="default"/>
      </w:rPr>
    </w:lvl>
    <w:lvl w:ilvl="5" w:tplc="B894749C">
      <w:start w:val="1"/>
      <w:numFmt w:val="bullet"/>
      <w:lvlText w:val=""/>
      <w:lvlJc w:val="left"/>
      <w:pPr>
        <w:ind w:left="4012" w:hanging="360"/>
      </w:pPr>
      <w:rPr>
        <w:rFonts w:ascii="Wingdings" w:hAnsi="Wingdings" w:hint="default"/>
      </w:rPr>
    </w:lvl>
    <w:lvl w:ilvl="6" w:tplc="EEC80BF2">
      <w:start w:val="1"/>
      <w:numFmt w:val="bullet"/>
      <w:lvlText w:val=""/>
      <w:lvlJc w:val="left"/>
      <w:pPr>
        <w:ind w:left="4732" w:hanging="360"/>
      </w:pPr>
      <w:rPr>
        <w:rFonts w:ascii="Symbol" w:hAnsi="Symbol" w:hint="default"/>
      </w:rPr>
    </w:lvl>
    <w:lvl w:ilvl="7" w:tplc="AFEC6E52">
      <w:start w:val="1"/>
      <w:numFmt w:val="bullet"/>
      <w:lvlText w:val="o"/>
      <w:lvlJc w:val="left"/>
      <w:pPr>
        <w:ind w:left="5452" w:hanging="360"/>
      </w:pPr>
      <w:rPr>
        <w:rFonts w:ascii="Courier New" w:hAnsi="Courier New" w:hint="default"/>
      </w:rPr>
    </w:lvl>
    <w:lvl w:ilvl="8" w:tplc="AC54A14E">
      <w:start w:val="1"/>
      <w:numFmt w:val="bullet"/>
      <w:lvlText w:val=""/>
      <w:lvlJc w:val="left"/>
      <w:pPr>
        <w:ind w:left="6172" w:hanging="360"/>
      </w:pPr>
      <w:rPr>
        <w:rFonts w:ascii="Wingdings" w:hAnsi="Wingdings" w:hint="default"/>
      </w:rPr>
    </w:lvl>
  </w:abstractNum>
  <w:abstractNum w:abstractNumId="129" w15:restartNumberingAfterBreak="0">
    <w:nsid w:val="6A5F0F4B"/>
    <w:multiLevelType w:val="hybridMultilevel"/>
    <w:tmpl w:val="75C0D73A"/>
    <w:lvl w:ilvl="0" w:tplc="DA78AE1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0" w15:restartNumberingAfterBreak="0">
    <w:nsid w:val="6ADD0160"/>
    <w:multiLevelType w:val="hybridMultilevel"/>
    <w:tmpl w:val="E730C81A"/>
    <w:lvl w:ilvl="0" w:tplc="27E0058A">
      <w:start w:val="1"/>
      <w:numFmt w:val="decimal"/>
      <w:lvlText w:val="%1)"/>
      <w:lvlJc w:val="left"/>
      <w:pPr>
        <w:ind w:left="1020" w:hanging="360"/>
      </w:pPr>
    </w:lvl>
    <w:lvl w:ilvl="1" w:tplc="D7EAD768">
      <w:start w:val="1"/>
      <w:numFmt w:val="decimal"/>
      <w:lvlText w:val="%2)"/>
      <w:lvlJc w:val="left"/>
      <w:pPr>
        <w:ind w:left="1020" w:hanging="360"/>
      </w:pPr>
    </w:lvl>
    <w:lvl w:ilvl="2" w:tplc="5C54793C">
      <w:start w:val="1"/>
      <w:numFmt w:val="decimal"/>
      <w:lvlText w:val="%3)"/>
      <w:lvlJc w:val="left"/>
      <w:pPr>
        <w:ind w:left="1020" w:hanging="360"/>
      </w:pPr>
    </w:lvl>
    <w:lvl w:ilvl="3" w:tplc="641E34FC">
      <w:start w:val="1"/>
      <w:numFmt w:val="decimal"/>
      <w:lvlText w:val="%4)"/>
      <w:lvlJc w:val="left"/>
      <w:pPr>
        <w:ind w:left="1020" w:hanging="360"/>
      </w:pPr>
    </w:lvl>
    <w:lvl w:ilvl="4" w:tplc="3A008F92">
      <w:start w:val="1"/>
      <w:numFmt w:val="decimal"/>
      <w:lvlText w:val="%5)"/>
      <w:lvlJc w:val="left"/>
      <w:pPr>
        <w:ind w:left="1020" w:hanging="360"/>
      </w:pPr>
    </w:lvl>
    <w:lvl w:ilvl="5" w:tplc="74BA9E2A">
      <w:start w:val="1"/>
      <w:numFmt w:val="decimal"/>
      <w:lvlText w:val="%6)"/>
      <w:lvlJc w:val="left"/>
      <w:pPr>
        <w:ind w:left="1020" w:hanging="360"/>
      </w:pPr>
    </w:lvl>
    <w:lvl w:ilvl="6" w:tplc="1ED6385C">
      <w:start w:val="1"/>
      <w:numFmt w:val="decimal"/>
      <w:lvlText w:val="%7)"/>
      <w:lvlJc w:val="left"/>
      <w:pPr>
        <w:ind w:left="1020" w:hanging="360"/>
      </w:pPr>
    </w:lvl>
    <w:lvl w:ilvl="7" w:tplc="A10E072E">
      <w:start w:val="1"/>
      <w:numFmt w:val="decimal"/>
      <w:lvlText w:val="%8)"/>
      <w:lvlJc w:val="left"/>
      <w:pPr>
        <w:ind w:left="1020" w:hanging="360"/>
      </w:pPr>
    </w:lvl>
    <w:lvl w:ilvl="8" w:tplc="E678061A">
      <w:start w:val="1"/>
      <w:numFmt w:val="decimal"/>
      <w:lvlText w:val="%9)"/>
      <w:lvlJc w:val="left"/>
      <w:pPr>
        <w:ind w:left="1020" w:hanging="360"/>
      </w:pPr>
    </w:lvl>
  </w:abstractNum>
  <w:abstractNum w:abstractNumId="131" w15:restartNumberingAfterBreak="0">
    <w:nsid w:val="6ADF3DF3"/>
    <w:multiLevelType w:val="hybridMultilevel"/>
    <w:tmpl w:val="BBD6B2DC"/>
    <w:lvl w:ilvl="0" w:tplc="134210DC">
      <w:start w:val="1"/>
      <w:numFmt w:val="lowerRoman"/>
      <w:lvlText w:val="%1)"/>
      <w:lvlJc w:val="right"/>
      <w:pPr>
        <w:ind w:left="1020" w:hanging="360"/>
      </w:pPr>
    </w:lvl>
    <w:lvl w:ilvl="1" w:tplc="1212AE30">
      <w:start w:val="1"/>
      <w:numFmt w:val="lowerRoman"/>
      <w:lvlText w:val="%2)"/>
      <w:lvlJc w:val="right"/>
      <w:pPr>
        <w:ind w:left="1020" w:hanging="360"/>
      </w:pPr>
    </w:lvl>
    <w:lvl w:ilvl="2" w:tplc="19C4B658">
      <w:start w:val="1"/>
      <w:numFmt w:val="lowerRoman"/>
      <w:lvlText w:val="%3)"/>
      <w:lvlJc w:val="right"/>
      <w:pPr>
        <w:ind w:left="1020" w:hanging="360"/>
      </w:pPr>
    </w:lvl>
    <w:lvl w:ilvl="3" w:tplc="E710E6F8">
      <w:start w:val="1"/>
      <w:numFmt w:val="lowerRoman"/>
      <w:lvlText w:val="%4)"/>
      <w:lvlJc w:val="right"/>
      <w:pPr>
        <w:ind w:left="1020" w:hanging="360"/>
      </w:pPr>
    </w:lvl>
    <w:lvl w:ilvl="4" w:tplc="43C2E880">
      <w:start w:val="1"/>
      <w:numFmt w:val="lowerRoman"/>
      <w:lvlText w:val="%5)"/>
      <w:lvlJc w:val="right"/>
      <w:pPr>
        <w:ind w:left="1020" w:hanging="360"/>
      </w:pPr>
    </w:lvl>
    <w:lvl w:ilvl="5" w:tplc="15DAC00A">
      <w:start w:val="1"/>
      <w:numFmt w:val="lowerRoman"/>
      <w:lvlText w:val="%6)"/>
      <w:lvlJc w:val="right"/>
      <w:pPr>
        <w:ind w:left="1020" w:hanging="360"/>
      </w:pPr>
    </w:lvl>
    <w:lvl w:ilvl="6" w:tplc="D4E61F70">
      <w:start w:val="1"/>
      <w:numFmt w:val="lowerRoman"/>
      <w:lvlText w:val="%7)"/>
      <w:lvlJc w:val="right"/>
      <w:pPr>
        <w:ind w:left="1020" w:hanging="360"/>
      </w:pPr>
    </w:lvl>
    <w:lvl w:ilvl="7" w:tplc="8850C870">
      <w:start w:val="1"/>
      <w:numFmt w:val="lowerRoman"/>
      <w:lvlText w:val="%8)"/>
      <w:lvlJc w:val="right"/>
      <w:pPr>
        <w:ind w:left="1020" w:hanging="360"/>
      </w:pPr>
    </w:lvl>
    <w:lvl w:ilvl="8" w:tplc="EC901832">
      <w:start w:val="1"/>
      <w:numFmt w:val="lowerRoman"/>
      <w:lvlText w:val="%9)"/>
      <w:lvlJc w:val="right"/>
      <w:pPr>
        <w:ind w:left="1020" w:hanging="360"/>
      </w:pPr>
    </w:lvl>
  </w:abstractNum>
  <w:abstractNum w:abstractNumId="132" w15:restartNumberingAfterBreak="0">
    <w:nsid w:val="6AF51219"/>
    <w:multiLevelType w:val="hybridMultilevel"/>
    <w:tmpl w:val="F4BE9E7E"/>
    <w:lvl w:ilvl="0" w:tplc="167C157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3" w15:restartNumberingAfterBreak="0">
    <w:nsid w:val="6CC515E4"/>
    <w:multiLevelType w:val="hybridMultilevel"/>
    <w:tmpl w:val="70281464"/>
    <w:lvl w:ilvl="0" w:tplc="136210C4">
      <w:start w:val="1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5" w15:restartNumberingAfterBreak="0">
    <w:nsid w:val="6EAE5E87"/>
    <w:multiLevelType w:val="hybridMultilevel"/>
    <w:tmpl w:val="5B067C72"/>
    <w:lvl w:ilvl="0" w:tplc="50D444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FEF78F3"/>
    <w:multiLevelType w:val="hybridMultilevel"/>
    <w:tmpl w:val="C4DA8FCC"/>
    <w:lvl w:ilvl="0" w:tplc="35DE1178">
      <w:start w:val="1"/>
      <w:numFmt w:val="bullet"/>
      <w:lvlText w:val=""/>
      <w:lvlJc w:val="left"/>
      <w:pPr>
        <w:ind w:left="1080" w:hanging="360"/>
      </w:pPr>
      <w:rPr>
        <w:rFonts w:ascii="Symbol" w:hAnsi="Symbol" w:hint="default"/>
      </w:rPr>
    </w:lvl>
    <w:lvl w:ilvl="1" w:tplc="8B70BFD0">
      <w:start w:val="1"/>
      <w:numFmt w:val="bullet"/>
      <w:lvlText w:val="o"/>
      <w:lvlJc w:val="left"/>
      <w:pPr>
        <w:ind w:left="1800" w:hanging="360"/>
      </w:pPr>
      <w:rPr>
        <w:rFonts w:ascii="Courier New" w:hAnsi="Courier New" w:hint="default"/>
      </w:rPr>
    </w:lvl>
    <w:lvl w:ilvl="2" w:tplc="2C6A3C50">
      <w:start w:val="1"/>
      <w:numFmt w:val="bullet"/>
      <w:lvlText w:val=""/>
      <w:lvlJc w:val="left"/>
      <w:pPr>
        <w:ind w:left="2520" w:hanging="360"/>
      </w:pPr>
      <w:rPr>
        <w:rFonts w:ascii="Wingdings" w:hAnsi="Wingdings" w:hint="default"/>
      </w:rPr>
    </w:lvl>
    <w:lvl w:ilvl="3" w:tplc="127CA550">
      <w:start w:val="1"/>
      <w:numFmt w:val="bullet"/>
      <w:lvlText w:val=""/>
      <w:lvlJc w:val="left"/>
      <w:pPr>
        <w:ind w:left="3240" w:hanging="360"/>
      </w:pPr>
      <w:rPr>
        <w:rFonts w:ascii="Symbol" w:hAnsi="Symbol" w:hint="default"/>
      </w:rPr>
    </w:lvl>
    <w:lvl w:ilvl="4" w:tplc="6AFA6526">
      <w:start w:val="1"/>
      <w:numFmt w:val="bullet"/>
      <w:lvlText w:val="o"/>
      <w:lvlJc w:val="left"/>
      <w:pPr>
        <w:ind w:left="3960" w:hanging="360"/>
      </w:pPr>
      <w:rPr>
        <w:rFonts w:ascii="Courier New" w:hAnsi="Courier New" w:hint="default"/>
      </w:rPr>
    </w:lvl>
    <w:lvl w:ilvl="5" w:tplc="F69A07AE">
      <w:start w:val="1"/>
      <w:numFmt w:val="bullet"/>
      <w:lvlText w:val=""/>
      <w:lvlJc w:val="left"/>
      <w:pPr>
        <w:ind w:left="4680" w:hanging="360"/>
      </w:pPr>
      <w:rPr>
        <w:rFonts w:ascii="Wingdings" w:hAnsi="Wingdings" w:hint="default"/>
      </w:rPr>
    </w:lvl>
    <w:lvl w:ilvl="6" w:tplc="02525080">
      <w:start w:val="1"/>
      <w:numFmt w:val="bullet"/>
      <w:lvlText w:val=""/>
      <w:lvlJc w:val="left"/>
      <w:pPr>
        <w:ind w:left="5400" w:hanging="360"/>
      </w:pPr>
      <w:rPr>
        <w:rFonts w:ascii="Symbol" w:hAnsi="Symbol" w:hint="default"/>
      </w:rPr>
    </w:lvl>
    <w:lvl w:ilvl="7" w:tplc="D20494C0">
      <w:start w:val="1"/>
      <w:numFmt w:val="bullet"/>
      <w:lvlText w:val="o"/>
      <w:lvlJc w:val="left"/>
      <w:pPr>
        <w:ind w:left="6120" w:hanging="360"/>
      </w:pPr>
      <w:rPr>
        <w:rFonts w:ascii="Courier New" w:hAnsi="Courier New" w:hint="default"/>
      </w:rPr>
    </w:lvl>
    <w:lvl w:ilvl="8" w:tplc="2C0C5662">
      <w:start w:val="1"/>
      <w:numFmt w:val="bullet"/>
      <w:lvlText w:val=""/>
      <w:lvlJc w:val="left"/>
      <w:pPr>
        <w:ind w:left="6840" w:hanging="360"/>
      </w:pPr>
      <w:rPr>
        <w:rFonts w:ascii="Wingdings" w:hAnsi="Wingdings" w:hint="default"/>
      </w:rPr>
    </w:lvl>
  </w:abstractNum>
  <w:abstractNum w:abstractNumId="137" w15:restartNumberingAfterBreak="0">
    <w:nsid w:val="70D27178"/>
    <w:multiLevelType w:val="hybridMultilevel"/>
    <w:tmpl w:val="C8B43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71D13DD9"/>
    <w:multiLevelType w:val="hybridMultilevel"/>
    <w:tmpl w:val="9DE29658"/>
    <w:lvl w:ilvl="0" w:tplc="FFFFFFFF">
      <w:start w:val="1"/>
      <w:numFmt w:val="lowerRoman"/>
      <w:lvlText w:val="%1)"/>
      <w:lvlJc w:val="left"/>
      <w:pPr>
        <w:ind w:left="778" w:hanging="360"/>
      </w:pPr>
      <w:rPr>
        <w:rFonts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139" w15:restartNumberingAfterBreak="0">
    <w:nsid w:val="72806182"/>
    <w:multiLevelType w:val="hybridMultilevel"/>
    <w:tmpl w:val="EEF6D806"/>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73427F95"/>
    <w:multiLevelType w:val="hybridMultilevel"/>
    <w:tmpl w:val="B51C95F2"/>
    <w:lvl w:ilvl="0" w:tplc="E2264850">
      <w:start w:val="1"/>
      <w:numFmt w:val="decimal"/>
      <w:lvlText w:val="%1)"/>
      <w:lvlJc w:val="left"/>
      <w:pPr>
        <w:ind w:left="1020" w:hanging="360"/>
      </w:pPr>
    </w:lvl>
    <w:lvl w:ilvl="1" w:tplc="A550992C">
      <w:start w:val="1"/>
      <w:numFmt w:val="decimal"/>
      <w:lvlText w:val="%2)"/>
      <w:lvlJc w:val="left"/>
      <w:pPr>
        <w:ind w:left="1020" w:hanging="360"/>
      </w:pPr>
    </w:lvl>
    <w:lvl w:ilvl="2" w:tplc="C7826F2A">
      <w:start w:val="1"/>
      <w:numFmt w:val="decimal"/>
      <w:lvlText w:val="%3)"/>
      <w:lvlJc w:val="left"/>
      <w:pPr>
        <w:ind w:left="1020" w:hanging="360"/>
      </w:pPr>
    </w:lvl>
    <w:lvl w:ilvl="3" w:tplc="014C0F66">
      <w:start w:val="1"/>
      <w:numFmt w:val="decimal"/>
      <w:lvlText w:val="%4)"/>
      <w:lvlJc w:val="left"/>
      <w:pPr>
        <w:ind w:left="1020" w:hanging="360"/>
      </w:pPr>
    </w:lvl>
    <w:lvl w:ilvl="4" w:tplc="0F7EBF3E">
      <w:start w:val="1"/>
      <w:numFmt w:val="decimal"/>
      <w:lvlText w:val="%5)"/>
      <w:lvlJc w:val="left"/>
      <w:pPr>
        <w:ind w:left="1020" w:hanging="360"/>
      </w:pPr>
    </w:lvl>
    <w:lvl w:ilvl="5" w:tplc="4C84DACE">
      <w:start w:val="1"/>
      <w:numFmt w:val="decimal"/>
      <w:lvlText w:val="%6)"/>
      <w:lvlJc w:val="left"/>
      <w:pPr>
        <w:ind w:left="1020" w:hanging="360"/>
      </w:pPr>
    </w:lvl>
    <w:lvl w:ilvl="6" w:tplc="CDA00220">
      <w:start w:val="1"/>
      <w:numFmt w:val="decimal"/>
      <w:lvlText w:val="%7)"/>
      <w:lvlJc w:val="left"/>
      <w:pPr>
        <w:ind w:left="1020" w:hanging="360"/>
      </w:pPr>
    </w:lvl>
    <w:lvl w:ilvl="7" w:tplc="CB60C426">
      <w:start w:val="1"/>
      <w:numFmt w:val="decimal"/>
      <w:lvlText w:val="%8)"/>
      <w:lvlJc w:val="left"/>
      <w:pPr>
        <w:ind w:left="1020" w:hanging="360"/>
      </w:pPr>
    </w:lvl>
    <w:lvl w:ilvl="8" w:tplc="5FDCFD90">
      <w:start w:val="1"/>
      <w:numFmt w:val="decimal"/>
      <w:lvlText w:val="%9)"/>
      <w:lvlJc w:val="left"/>
      <w:pPr>
        <w:ind w:left="1020" w:hanging="360"/>
      </w:pPr>
    </w:lvl>
  </w:abstractNum>
  <w:abstractNum w:abstractNumId="141" w15:restartNumberingAfterBreak="0">
    <w:nsid w:val="74292CFE"/>
    <w:multiLevelType w:val="hybridMultilevel"/>
    <w:tmpl w:val="A25C559C"/>
    <w:lvl w:ilvl="0" w:tplc="DA162A70">
      <w:start w:val="1"/>
      <w:numFmt w:val="decimal"/>
      <w:lvlText w:val="%1."/>
      <w:lvlJc w:val="left"/>
      <w:pPr>
        <w:ind w:left="1020" w:hanging="360"/>
      </w:pPr>
    </w:lvl>
    <w:lvl w:ilvl="1" w:tplc="55EEF24A">
      <w:start w:val="1"/>
      <w:numFmt w:val="decimal"/>
      <w:lvlText w:val="%2."/>
      <w:lvlJc w:val="left"/>
      <w:pPr>
        <w:ind w:left="1020" w:hanging="360"/>
      </w:pPr>
    </w:lvl>
    <w:lvl w:ilvl="2" w:tplc="81A8686C">
      <w:start w:val="1"/>
      <w:numFmt w:val="decimal"/>
      <w:lvlText w:val="%3."/>
      <w:lvlJc w:val="left"/>
      <w:pPr>
        <w:ind w:left="1020" w:hanging="360"/>
      </w:pPr>
    </w:lvl>
    <w:lvl w:ilvl="3" w:tplc="983CDEFC">
      <w:start w:val="1"/>
      <w:numFmt w:val="decimal"/>
      <w:lvlText w:val="%4."/>
      <w:lvlJc w:val="left"/>
      <w:pPr>
        <w:ind w:left="1020" w:hanging="360"/>
      </w:pPr>
    </w:lvl>
    <w:lvl w:ilvl="4" w:tplc="F46A0E9E">
      <w:start w:val="1"/>
      <w:numFmt w:val="decimal"/>
      <w:lvlText w:val="%5."/>
      <w:lvlJc w:val="left"/>
      <w:pPr>
        <w:ind w:left="1020" w:hanging="360"/>
      </w:pPr>
    </w:lvl>
    <w:lvl w:ilvl="5" w:tplc="13ECB40E">
      <w:start w:val="1"/>
      <w:numFmt w:val="decimal"/>
      <w:lvlText w:val="%6."/>
      <w:lvlJc w:val="left"/>
      <w:pPr>
        <w:ind w:left="1020" w:hanging="360"/>
      </w:pPr>
    </w:lvl>
    <w:lvl w:ilvl="6" w:tplc="00A2946C">
      <w:start w:val="1"/>
      <w:numFmt w:val="decimal"/>
      <w:lvlText w:val="%7."/>
      <w:lvlJc w:val="left"/>
      <w:pPr>
        <w:ind w:left="1020" w:hanging="360"/>
      </w:pPr>
    </w:lvl>
    <w:lvl w:ilvl="7" w:tplc="795EA4CA">
      <w:start w:val="1"/>
      <w:numFmt w:val="decimal"/>
      <w:lvlText w:val="%8."/>
      <w:lvlJc w:val="left"/>
      <w:pPr>
        <w:ind w:left="1020" w:hanging="360"/>
      </w:pPr>
    </w:lvl>
    <w:lvl w:ilvl="8" w:tplc="4F74695A">
      <w:start w:val="1"/>
      <w:numFmt w:val="decimal"/>
      <w:lvlText w:val="%9."/>
      <w:lvlJc w:val="left"/>
      <w:pPr>
        <w:ind w:left="1020" w:hanging="360"/>
      </w:pPr>
    </w:lvl>
  </w:abstractNum>
  <w:abstractNum w:abstractNumId="142" w15:restartNumberingAfterBreak="0">
    <w:nsid w:val="74814AB4"/>
    <w:multiLevelType w:val="hybridMultilevel"/>
    <w:tmpl w:val="55389E68"/>
    <w:lvl w:ilvl="0" w:tplc="646E4144">
      <w:start w:val="1"/>
      <w:numFmt w:val="lowerRoman"/>
      <w:lvlText w:val="%1)"/>
      <w:lvlJc w:val="right"/>
      <w:pPr>
        <w:ind w:left="1020" w:hanging="360"/>
      </w:pPr>
    </w:lvl>
    <w:lvl w:ilvl="1" w:tplc="1DFEE6DC">
      <w:start w:val="1"/>
      <w:numFmt w:val="lowerRoman"/>
      <w:lvlText w:val="%2)"/>
      <w:lvlJc w:val="right"/>
      <w:pPr>
        <w:ind w:left="1020" w:hanging="360"/>
      </w:pPr>
    </w:lvl>
    <w:lvl w:ilvl="2" w:tplc="32CC0366">
      <w:start w:val="1"/>
      <w:numFmt w:val="lowerRoman"/>
      <w:lvlText w:val="%3)"/>
      <w:lvlJc w:val="right"/>
      <w:pPr>
        <w:ind w:left="1020" w:hanging="360"/>
      </w:pPr>
    </w:lvl>
    <w:lvl w:ilvl="3" w:tplc="C986C432">
      <w:start w:val="1"/>
      <w:numFmt w:val="lowerRoman"/>
      <w:lvlText w:val="%4)"/>
      <w:lvlJc w:val="right"/>
      <w:pPr>
        <w:ind w:left="1020" w:hanging="360"/>
      </w:pPr>
    </w:lvl>
    <w:lvl w:ilvl="4" w:tplc="577CBDF2">
      <w:start w:val="1"/>
      <w:numFmt w:val="lowerRoman"/>
      <w:lvlText w:val="%5)"/>
      <w:lvlJc w:val="right"/>
      <w:pPr>
        <w:ind w:left="1020" w:hanging="360"/>
      </w:pPr>
    </w:lvl>
    <w:lvl w:ilvl="5" w:tplc="9F2CDAB0">
      <w:start w:val="1"/>
      <w:numFmt w:val="lowerRoman"/>
      <w:lvlText w:val="%6)"/>
      <w:lvlJc w:val="right"/>
      <w:pPr>
        <w:ind w:left="1020" w:hanging="360"/>
      </w:pPr>
    </w:lvl>
    <w:lvl w:ilvl="6" w:tplc="3678280E">
      <w:start w:val="1"/>
      <w:numFmt w:val="lowerRoman"/>
      <w:lvlText w:val="%7)"/>
      <w:lvlJc w:val="right"/>
      <w:pPr>
        <w:ind w:left="1020" w:hanging="360"/>
      </w:pPr>
    </w:lvl>
    <w:lvl w:ilvl="7" w:tplc="F84C06F0">
      <w:start w:val="1"/>
      <w:numFmt w:val="lowerRoman"/>
      <w:lvlText w:val="%8)"/>
      <w:lvlJc w:val="right"/>
      <w:pPr>
        <w:ind w:left="1020" w:hanging="360"/>
      </w:pPr>
    </w:lvl>
    <w:lvl w:ilvl="8" w:tplc="98D833CA">
      <w:start w:val="1"/>
      <w:numFmt w:val="lowerRoman"/>
      <w:lvlText w:val="%9)"/>
      <w:lvlJc w:val="right"/>
      <w:pPr>
        <w:ind w:left="1020" w:hanging="360"/>
      </w:pPr>
    </w:lvl>
  </w:abstractNum>
  <w:abstractNum w:abstractNumId="143" w15:restartNumberingAfterBreak="0">
    <w:nsid w:val="756A1D1A"/>
    <w:multiLevelType w:val="hybridMultilevel"/>
    <w:tmpl w:val="FFFFFFFF"/>
    <w:lvl w:ilvl="0" w:tplc="AE826486">
      <w:start w:val="1"/>
      <w:numFmt w:val="bullet"/>
      <w:lvlText w:val="-"/>
      <w:lvlJc w:val="left"/>
      <w:pPr>
        <w:ind w:left="720" w:hanging="360"/>
      </w:pPr>
      <w:rPr>
        <w:rFonts w:ascii="Aptos" w:hAnsi="Aptos" w:hint="default"/>
      </w:rPr>
    </w:lvl>
    <w:lvl w:ilvl="1" w:tplc="E66AEDAE">
      <w:start w:val="1"/>
      <w:numFmt w:val="bullet"/>
      <w:lvlText w:val="o"/>
      <w:lvlJc w:val="left"/>
      <w:pPr>
        <w:ind w:left="1440" w:hanging="360"/>
      </w:pPr>
      <w:rPr>
        <w:rFonts w:ascii="Courier New" w:hAnsi="Courier New" w:hint="default"/>
      </w:rPr>
    </w:lvl>
    <w:lvl w:ilvl="2" w:tplc="AE1AB3A6">
      <w:start w:val="1"/>
      <w:numFmt w:val="bullet"/>
      <w:lvlText w:val=""/>
      <w:lvlJc w:val="left"/>
      <w:pPr>
        <w:ind w:left="2160" w:hanging="360"/>
      </w:pPr>
      <w:rPr>
        <w:rFonts w:ascii="Wingdings" w:hAnsi="Wingdings" w:hint="default"/>
      </w:rPr>
    </w:lvl>
    <w:lvl w:ilvl="3" w:tplc="58EA74E2">
      <w:start w:val="1"/>
      <w:numFmt w:val="bullet"/>
      <w:lvlText w:val=""/>
      <w:lvlJc w:val="left"/>
      <w:pPr>
        <w:ind w:left="2880" w:hanging="360"/>
      </w:pPr>
      <w:rPr>
        <w:rFonts w:ascii="Symbol" w:hAnsi="Symbol" w:hint="default"/>
      </w:rPr>
    </w:lvl>
    <w:lvl w:ilvl="4" w:tplc="7B165DC8">
      <w:start w:val="1"/>
      <w:numFmt w:val="bullet"/>
      <w:lvlText w:val="o"/>
      <w:lvlJc w:val="left"/>
      <w:pPr>
        <w:ind w:left="3600" w:hanging="360"/>
      </w:pPr>
      <w:rPr>
        <w:rFonts w:ascii="Courier New" w:hAnsi="Courier New" w:hint="default"/>
      </w:rPr>
    </w:lvl>
    <w:lvl w:ilvl="5" w:tplc="1D18711C">
      <w:start w:val="1"/>
      <w:numFmt w:val="bullet"/>
      <w:lvlText w:val=""/>
      <w:lvlJc w:val="left"/>
      <w:pPr>
        <w:ind w:left="4320" w:hanging="360"/>
      </w:pPr>
      <w:rPr>
        <w:rFonts w:ascii="Wingdings" w:hAnsi="Wingdings" w:hint="default"/>
      </w:rPr>
    </w:lvl>
    <w:lvl w:ilvl="6" w:tplc="DFB23FAC">
      <w:start w:val="1"/>
      <w:numFmt w:val="bullet"/>
      <w:lvlText w:val=""/>
      <w:lvlJc w:val="left"/>
      <w:pPr>
        <w:ind w:left="5040" w:hanging="360"/>
      </w:pPr>
      <w:rPr>
        <w:rFonts w:ascii="Symbol" w:hAnsi="Symbol" w:hint="default"/>
      </w:rPr>
    </w:lvl>
    <w:lvl w:ilvl="7" w:tplc="15D606A8">
      <w:start w:val="1"/>
      <w:numFmt w:val="bullet"/>
      <w:lvlText w:val="o"/>
      <w:lvlJc w:val="left"/>
      <w:pPr>
        <w:ind w:left="5760" w:hanging="360"/>
      </w:pPr>
      <w:rPr>
        <w:rFonts w:ascii="Courier New" w:hAnsi="Courier New" w:hint="default"/>
      </w:rPr>
    </w:lvl>
    <w:lvl w:ilvl="8" w:tplc="D4B0127C">
      <w:start w:val="1"/>
      <w:numFmt w:val="bullet"/>
      <w:lvlText w:val=""/>
      <w:lvlJc w:val="left"/>
      <w:pPr>
        <w:ind w:left="6480" w:hanging="360"/>
      </w:pPr>
      <w:rPr>
        <w:rFonts w:ascii="Wingdings" w:hAnsi="Wingdings" w:hint="default"/>
      </w:rPr>
    </w:lvl>
  </w:abstractNum>
  <w:abstractNum w:abstractNumId="144" w15:restartNumberingAfterBreak="0">
    <w:nsid w:val="758E0820"/>
    <w:multiLevelType w:val="hybridMultilevel"/>
    <w:tmpl w:val="F0F8F9F6"/>
    <w:lvl w:ilvl="0" w:tplc="307A22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76794BEC"/>
    <w:multiLevelType w:val="hybridMultilevel"/>
    <w:tmpl w:val="DAD602EA"/>
    <w:lvl w:ilvl="0" w:tplc="303004EC">
      <w:start w:val="1"/>
      <w:numFmt w:val="bullet"/>
      <w:lvlText w:val=""/>
      <w:lvlJc w:val="left"/>
      <w:pPr>
        <w:ind w:left="720" w:hanging="360"/>
      </w:pPr>
      <w:rPr>
        <w:rFonts w:ascii="Symbol" w:hAnsi="Symbol"/>
      </w:rPr>
    </w:lvl>
    <w:lvl w:ilvl="1" w:tplc="1A908D52">
      <w:start w:val="1"/>
      <w:numFmt w:val="bullet"/>
      <w:lvlText w:val=""/>
      <w:lvlJc w:val="left"/>
      <w:pPr>
        <w:ind w:left="720" w:hanging="360"/>
      </w:pPr>
      <w:rPr>
        <w:rFonts w:ascii="Symbol" w:hAnsi="Symbol"/>
      </w:rPr>
    </w:lvl>
    <w:lvl w:ilvl="2" w:tplc="10B2C684">
      <w:start w:val="1"/>
      <w:numFmt w:val="bullet"/>
      <w:lvlText w:val=""/>
      <w:lvlJc w:val="left"/>
      <w:pPr>
        <w:ind w:left="720" w:hanging="360"/>
      </w:pPr>
      <w:rPr>
        <w:rFonts w:ascii="Symbol" w:hAnsi="Symbol"/>
      </w:rPr>
    </w:lvl>
    <w:lvl w:ilvl="3" w:tplc="284E7D1C">
      <w:start w:val="1"/>
      <w:numFmt w:val="bullet"/>
      <w:lvlText w:val=""/>
      <w:lvlJc w:val="left"/>
      <w:pPr>
        <w:ind w:left="720" w:hanging="360"/>
      </w:pPr>
      <w:rPr>
        <w:rFonts w:ascii="Symbol" w:hAnsi="Symbol"/>
      </w:rPr>
    </w:lvl>
    <w:lvl w:ilvl="4" w:tplc="339C6912">
      <w:start w:val="1"/>
      <w:numFmt w:val="bullet"/>
      <w:lvlText w:val=""/>
      <w:lvlJc w:val="left"/>
      <w:pPr>
        <w:ind w:left="720" w:hanging="360"/>
      </w:pPr>
      <w:rPr>
        <w:rFonts w:ascii="Symbol" w:hAnsi="Symbol"/>
      </w:rPr>
    </w:lvl>
    <w:lvl w:ilvl="5" w:tplc="2F7867E8">
      <w:start w:val="1"/>
      <w:numFmt w:val="bullet"/>
      <w:lvlText w:val=""/>
      <w:lvlJc w:val="left"/>
      <w:pPr>
        <w:ind w:left="720" w:hanging="360"/>
      </w:pPr>
      <w:rPr>
        <w:rFonts w:ascii="Symbol" w:hAnsi="Symbol"/>
      </w:rPr>
    </w:lvl>
    <w:lvl w:ilvl="6" w:tplc="962C954C">
      <w:start w:val="1"/>
      <w:numFmt w:val="bullet"/>
      <w:lvlText w:val=""/>
      <w:lvlJc w:val="left"/>
      <w:pPr>
        <w:ind w:left="720" w:hanging="360"/>
      </w:pPr>
      <w:rPr>
        <w:rFonts w:ascii="Symbol" w:hAnsi="Symbol"/>
      </w:rPr>
    </w:lvl>
    <w:lvl w:ilvl="7" w:tplc="1A9E7470">
      <w:start w:val="1"/>
      <w:numFmt w:val="bullet"/>
      <w:lvlText w:val=""/>
      <w:lvlJc w:val="left"/>
      <w:pPr>
        <w:ind w:left="720" w:hanging="360"/>
      </w:pPr>
      <w:rPr>
        <w:rFonts w:ascii="Symbol" w:hAnsi="Symbol"/>
      </w:rPr>
    </w:lvl>
    <w:lvl w:ilvl="8" w:tplc="471A281A">
      <w:start w:val="1"/>
      <w:numFmt w:val="bullet"/>
      <w:lvlText w:val=""/>
      <w:lvlJc w:val="left"/>
      <w:pPr>
        <w:ind w:left="720" w:hanging="360"/>
      </w:pPr>
      <w:rPr>
        <w:rFonts w:ascii="Symbol" w:hAnsi="Symbol"/>
      </w:rPr>
    </w:lvl>
  </w:abstractNum>
  <w:abstractNum w:abstractNumId="146" w15:restartNumberingAfterBreak="0">
    <w:nsid w:val="76BE19F7"/>
    <w:multiLevelType w:val="hybridMultilevel"/>
    <w:tmpl w:val="BFC432FA"/>
    <w:lvl w:ilvl="0" w:tplc="EE62A748">
      <w:start w:val="1"/>
      <w:numFmt w:val="decimal"/>
      <w:lvlText w:val="%1)"/>
      <w:lvlJc w:val="left"/>
      <w:pPr>
        <w:ind w:left="1020" w:hanging="360"/>
      </w:pPr>
    </w:lvl>
    <w:lvl w:ilvl="1" w:tplc="F7DEA7BA">
      <w:start w:val="1"/>
      <w:numFmt w:val="decimal"/>
      <w:lvlText w:val="%2)"/>
      <w:lvlJc w:val="left"/>
      <w:pPr>
        <w:ind w:left="1020" w:hanging="360"/>
      </w:pPr>
    </w:lvl>
    <w:lvl w:ilvl="2" w:tplc="08B2D054">
      <w:start w:val="1"/>
      <w:numFmt w:val="decimal"/>
      <w:lvlText w:val="%3)"/>
      <w:lvlJc w:val="left"/>
      <w:pPr>
        <w:ind w:left="1020" w:hanging="360"/>
      </w:pPr>
    </w:lvl>
    <w:lvl w:ilvl="3" w:tplc="AC280068">
      <w:start w:val="1"/>
      <w:numFmt w:val="decimal"/>
      <w:lvlText w:val="%4)"/>
      <w:lvlJc w:val="left"/>
      <w:pPr>
        <w:ind w:left="1020" w:hanging="360"/>
      </w:pPr>
    </w:lvl>
    <w:lvl w:ilvl="4" w:tplc="025A7656">
      <w:start w:val="1"/>
      <w:numFmt w:val="decimal"/>
      <w:lvlText w:val="%5)"/>
      <w:lvlJc w:val="left"/>
      <w:pPr>
        <w:ind w:left="1020" w:hanging="360"/>
      </w:pPr>
    </w:lvl>
    <w:lvl w:ilvl="5" w:tplc="3190C126">
      <w:start w:val="1"/>
      <w:numFmt w:val="decimal"/>
      <w:lvlText w:val="%6)"/>
      <w:lvlJc w:val="left"/>
      <w:pPr>
        <w:ind w:left="1020" w:hanging="360"/>
      </w:pPr>
    </w:lvl>
    <w:lvl w:ilvl="6" w:tplc="4342897C">
      <w:start w:val="1"/>
      <w:numFmt w:val="decimal"/>
      <w:lvlText w:val="%7)"/>
      <w:lvlJc w:val="left"/>
      <w:pPr>
        <w:ind w:left="1020" w:hanging="360"/>
      </w:pPr>
    </w:lvl>
    <w:lvl w:ilvl="7" w:tplc="FB2C626A">
      <w:start w:val="1"/>
      <w:numFmt w:val="decimal"/>
      <w:lvlText w:val="%8)"/>
      <w:lvlJc w:val="left"/>
      <w:pPr>
        <w:ind w:left="1020" w:hanging="360"/>
      </w:pPr>
    </w:lvl>
    <w:lvl w:ilvl="8" w:tplc="0CA43CF2">
      <w:start w:val="1"/>
      <w:numFmt w:val="decimal"/>
      <w:lvlText w:val="%9)"/>
      <w:lvlJc w:val="left"/>
      <w:pPr>
        <w:ind w:left="1020" w:hanging="360"/>
      </w:pPr>
    </w:lvl>
  </w:abstractNum>
  <w:abstractNum w:abstractNumId="147" w15:restartNumberingAfterBreak="0">
    <w:nsid w:val="76C6BE55"/>
    <w:multiLevelType w:val="hybridMultilevel"/>
    <w:tmpl w:val="8DEAE136"/>
    <w:lvl w:ilvl="0" w:tplc="7910E60C">
      <w:start w:val="1"/>
      <w:numFmt w:val="bullet"/>
      <w:lvlText w:val="-"/>
      <w:lvlJc w:val="left"/>
      <w:pPr>
        <w:ind w:left="1440" w:hanging="360"/>
      </w:pPr>
      <w:rPr>
        <w:rFonts w:ascii="Calibri" w:hAnsi="Calibri" w:hint="default"/>
      </w:rPr>
    </w:lvl>
    <w:lvl w:ilvl="1" w:tplc="EF983430">
      <w:start w:val="1"/>
      <w:numFmt w:val="bullet"/>
      <w:lvlText w:val="o"/>
      <w:lvlJc w:val="left"/>
      <w:pPr>
        <w:ind w:left="1440" w:hanging="360"/>
      </w:pPr>
      <w:rPr>
        <w:rFonts w:ascii="Courier New" w:hAnsi="Courier New" w:hint="default"/>
      </w:rPr>
    </w:lvl>
    <w:lvl w:ilvl="2" w:tplc="757ED408">
      <w:start w:val="1"/>
      <w:numFmt w:val="bullet"/>
      <w:lvlText w:val=""/>
      <w:lvlJc w:val="left"/>
      <w:pPr>
        <w:ind w:left="2160" w:hanging="360"/>
      </w:pPr>
      <w:rPr>
        <w:rFonts w:ascii="Wingdings" w:hAnsi="Wingdings" w:hint="default"/>
      </w:rPr>
    </w:lvl>
    <w:lvl w:ilvl="3" w:tplc="EE70C862">
      <w:start w:val="1"/>
      <w:numFmt w:val="bullet"/>
      <w:lvlText w:val=""/>
      <w:lvlJc w:val="left"/>
      <w:pPr>
        <w:ind w:left="2880" w:hanging="360"/>
      </w:pPr>
      <w:rPr>
        <w:rFonts w:ascii="Symbol" w:hAnsi="Symbol" w:hint="default"/>
      </w:rPr>
    </w:lvl>
    <w:lvl w:ilvl="4" w:tplc="D41E1932">
      <w:start w:val="1"/>
      <w:numFmt w:val="bullet"/>
      <w:lvlText w:val="o"/>
      <w:lvlJc w:val="left"/>
      <w:pPr>
        <w:ind w:left="3600" w:hanging="360"/>
      </w:pPr>
      <w:rPr>
        <w:rFonts w:ascii="Courier New" w:hAnsi="Courier New" w:hint="default"/>
      </w:rPr>
    </w:lvl>
    <w:lvl w:ilvl="5" w:tplc="F3B05806">
      <w:start w:val="1"/>
      <w:numFmt w:val="bullet"/>
      <w:lvlText w:val=""/>
      <w:lvlJc w:val="left"/>
      <w:pPr>
        <w:ind w:left="4320" w:hanging="360"/>
      </w:pPr>
      <w:rPr>
        <w:rFonts w:ascii="Wingdings" w:hAnsi="Wingdings" w:hint="default"/>
      </w:rPr>
    </w:lvl>
    <w:lvl w:ilvl="6" w:tplc="5C84C988">
      <w:start w:val="1"/>
      <w:numFmt w:val="bullet"/>
      <w:lvlText w:val=""/>
      <w:lvlJc w:val="left"/>
      <w:pPr>
        <w:ind w:left="5040" w:hanging="360"/>
      </w:pPr>
      <w:rPr>
        <w:rFonts w:ascii="Symbol" w:hAnsi="Symbol" w:hint="default"/>
      </w:rPr>
    </w:lvl>
    <w:lvl w:ilvl="7" w:tplc="E27E93AA">
      <w:start w:val="1"/>
      <w:numFmt w:val="bullet"/>
      <w:lvlText w:val="o"/>
      <w:lvlJc w:val="left"/>
      <w:pPr>
        <w:ind w:left="5760" w:hanging="360"/>
      </w:pPr>
      <w:rPr>
        <w:rFonts w:ascii="Courier New" w:hAnsi="Courier New" w:hint="default"/>
      </w:rPr>
    </w:lvl>
    <w:lvl w:ilvl="8" w:tplc="4C548F18">
      <w:start w:val="1"/>
      <w:numFmt w:val="bullet"/>
      <w:lvlText w:val=""/>
      <w:lvlJc w:val="left"/>
      <w:pPr>
        <w:ind w:left="6480" w:hanging="360"/>
      </w:pPr>
      <w:rPr>
        <w:rFonts w:ascii="Wingdings" w:hAnsi="Wingdings" w:hint="default"/>
      </w:rPr>
    </w:lvl>
  </w:abstractNum>
  <w:abstractNum w:abstractNumId="148" w15:restartNumberingAfterBreak="0">
    <w:nsid w:val="777C30D1"/>
    <w:multiLevelType w:val="hybridMultilevel"/>
    <w:tmpl w:val="DF4ABE48"/>
    <w:lvl w:ilvl="0" w:tplc="3CA607EA">
      <w:start w:val="1"/>
      <w:numFmt w:val="bullet"/>
      <w:lvlText w:val="-"/>
      <w:lvlJc w:val="left"/>
      <w:pPr>
        <w:ind w:left="1440" w:hanging="360"/>
      </w:pPr>
      <w:rPr>
        <w:rFonts w:ascii="Calibri" w:eastAsiaTheme="minorHAnsi" w:hAnsi="Calibri"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9" w15:restartNumberingAfterBreak="0">
    <w:nsid w:val="799B07D2"/>
    <w:multiLevelType w:val="hybridMultilevel"/>
    <w:tmpl w:val="FEEEA5EA"/>
    <w:lvl w:ilvl="0" w:tplc="8586EDE4">
      <w:start w:val="1"/>
      <w:numFmt w:val="lowerLetter"/>
      <w:lvlText w:val="%1."/>
      <w:lvlJc w:val="left"/>
      <w:pPr>
        <w:ind w:left="720" w:hanging="360"/>
      </w:pPr>
      <w:rPr>
        <w:rFonts w:ascii="Times New Roman" w:eastAsiaTheme="minorHAnsi" w:hAnsi="Times New Roman" w:cs="Times New Roman" w:hint="default"/>
        <w:b w:val="0"/>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151" w15:restartNumberingAfterBreak="0">
    <w:nsid w:val="7B9E4192"/>
    <w:multiLevelType w:val="hybridMultilevel"/>
    <w:tmpl w:val="04769A02"/>
    <w:lvl w:ilvl="0" w:tplc="BFE4FE7A">
      <w:start w:val="1"/>
      <w:numFmt w:val="lowerRoman"/>
      <w:lvlText w:val="(%1)"/>
      <w:lvlJc w:val="left"/>
      <w:pPr>
        <w:ind w:left="720" w:hanging="720"/>
      </w:pPr>
      <w:rPr>
        <w:rFonts w:ascii="Times New Roman" w:eastAsiaTheme="minorEastAsia" w:hAnsi="Times New Roman" w:cs="Times New Roman" w:hint="default"/>
        <w:sz w:val="18"/>
        <w:szCs w:val="1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7CB33AA5"/>
    <w:multiLevelType w:val="hybridMultilevel"/>
    <w:tmpl w:val="326CA2A8"/>
    <w:lvl w:ilvl="0" w:tplc="08090001">
      <w:start w:val="1"/>
      <w:numFmt w:val="bullet"/>
      <w:lvlText w:val=""/>
      <w:lvlJc w:val="left"/>
      <w:pPr>
        <w:ind w:left="451" w:hanging="360"/>
      </w:pPr>
      <w:rPr>
        <w:rFonts w:ascii="Symbol" w:hAnsi="Symbol" w:hint="default"/>
      </w:rPr>
    </w:lvl>
    <w:lvl w:ilvl="1" w:tplc="08090003" w:tentative="1">
      <w:start w:val="1"/>
      <w:numFmt w:val="bullet"/>
      <w:lvlText w:val="o"/>
      <w:lvlJc w:val="left"/>
      <w:pPr>
        <w:ind w:left="1171" w:hanging="360"/>
      </w:pPr>
      <w:rPr>
        <w:rFonts w:ascii="Courier New" w:hAnsi="Courier New" w:cs="Courier New" w:hint="default"/>
      </w:rPr>
    </w:lvl>
    <w:lvl w:ilvl="2" w:tplc="08090005" w:tentative="1">
      <w:start w:val="1"/>
      <w:numFmt w:val="bullet"/>
      <w:lvlText w:val=""/>
      <w:lvlJc w:val="left"/>
      <w:pPr>
        <w:ind w:left="1891" w:hanging="360"/>
      </w:pPr>
      <w:rPr>
        <w:rFonts w:ascii="Wingdings" w:hAnsi="Wingdings" w:hint="default"/>
      </w:rPr>
    </w:lvl>
    <w:lvl w:ilvl="3" w:tplc="08090001" w:tentative="1">
      <w:start w:val="1"/>
      <w:numFmt w:val="bullet"/>
      <w:lvlText w:val=""/>
      <w:lvlJc w:val="left"/>
      <w:pPr>
        <w:ind w:left="2611" w:hanging="360"/>
      </w:pPr>
      <w:rPr>
        <w:rFonts w:ascii="Symbol" w:hAnsi="Symbol" w:hint="default"/>
      </w:rPr>
    </w:lvl>
    <w:lvl w:ilvl="4" w:tplc="08090003" w:tentative="1">
      <w:start w:val="1"/>
      <w:numFmt w:val="bullet"/>
      <w:lvlText w:val="o"/>
      <w:lvlJc w:val="left"/>
      <w:pPr>
        <w:ind w:left="3331" w:hanging="360"/>
      </w:pPr>
      <w:rPr>
        <w:rFonts w:ascii="Courier New" w:hAnsi="Courier New" w:cs="Courier New" w:hint="default"/>
      </w:rPr>
    </w:lvl>
    <w:lvl w:ilvl="5" w:tplc="08090005" w:tentative="1">
      <w:start w:val="1"/>
      <w:numFmt w:val="bullet"/>
      <w:lvlText w:val=""/>
      <w:lvlJc w:val="left"/>
      <w:pPr>
        <w:ind w:left="4051" w:hanging="360"/>
      </w:pPr>
      <w:rPr>
        <w:rFonts w:ascii="Wingdings" w:hAnsi="Wingdings" w:hint="default"/>
      </w:rPr>
    </w:lvl>
    <w:lvl w:ilvl="6" w:tplc="08090001" w:tentative="1">
      <w:start w:val="1"/>
      <w:numFmt w:val="bullet"/>
      <w:lvlText w:val=""/>
      <w:lvlJc w:val="left"/>
      <w:pPr>
        <w:ind w:left="4771" w:hanging="360"/>
      </w:pPr>
      <w:rPr>
        <w:rFonts w:ascii="Symbol" w:hAnsi="Symbol" w:hint="default"/>
      </w:rPr>
    </w:lvl>
    <w:lvl w:ilvl="7" w:tplc="08090003" w:tentative="1">
      <w:start w:val="1"/>
      <w:numFmt w:val="bullet"/>
      <w:lvlText w:val="o"/>
      <w:lvlJc w:val="left"/>
      <w:pPr>
        <w:ind w:left="5491" w:hanging="360"/>
      </w:pPr>
      <w:rPr>
        <w:rFonts w:ascii="Courier New" w:hAnsi="Courier New" w:cs="Courier New" w:hint="default"/>
      </w:rPr>
    </w:lvl>
    <w:lvl w:ilvl="8" w:tplc="08090005" w:tentative="1">
      <w:start w:val="1"/>
      <w:numFmt w:val="bullet"/>
      <w:lvlText w:val=""/>
      <w:lvlJc w:val="left"/>
      <w:pPr>
        <w:ind w:left="6211" w:hanging="360"/>
      </w:pPr>
      <w:rPr>
        <w:rFonts w:ascii="Wingdings" w:hAnsi="Wingdings" w:hint="default"/>
      </w:rPr>
    </w:lvl>
  </w:abstractNum>
  <w:abstractNum w:abstractNumId="153" w15:restartNumberingAfterBreak="0">
    <w:nsid w:val="7CBE4812"/>
    <w:multiLevelType w:val="singleLevel"/>
    <w:tmpl w:val="2D86CAC8"/>
    <w:name w:val="Considérant"/>
    <w:lvl w:ilvl="0">
      <w:start w:val="1"/>
      <w:numFmt w:val="decimal"/>
      <w:lvlRestart w:val="0"/>
      <w:pStyle w:val="Considrant"/>
      <w:lvlText w:val="(%1)"/>
      <w:lvlJc w:val="left"/>
      <w:pPr>
        <w:tabs>
          <w:tab w:val="num" w:pos="709"/>
        </w:tabs>
        <w:ind w:left="709" w:hanging="709"/>
      </w:pPr>
      <w:rPr>
        <w:b w:val="0"/>
        <w:bCs w:val="0"/>
      </w:rPr>
    </w:lvl>
  </w:abstractNum>
  <w:abstractNum w:abstractNumId="154" w15:restartNumberingAfterBreak="0">
    <w:nsid w:val="7D7420B9"/>
    <w:multiLevelType w:val="hybridMultilevel"/>
    <w:tmpl w:val="55DAF0C8"/>
    <w:lvl w:ilvl="0" w:tplc="F68E2E8E">
      <w:start w:val="3"/>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5" w15:restartNumberingAfterBreak="0">
    <w:nsid w:val="7D79678F"/>
    <w:multiLevelType w:val="hybridMultilevel"/>
    <w:tmpl w:val="064A8760"/>
    <w:lvl w:ilvl="0" w:tplc="ACEEB76C">
      <w:start w:val="1"/>
      <w:numFmt w:val="lowerRoman"/>
      <w:lvlText w:val="%1)"/>
      <w:lvlJc w:val="left"/>
      <w:pPr>
        <w:ind w:left="1440" w:hanging="720"/>
      </w:pPr>
    </w:lvl>
    <w:lvl w:ilvl="1" w:tplc="4ECAFBDE" w:tentative="1">
      <w:start w:val="1"/>
      <w:numFmt w:val="lowerLetter"/>
      <w:lvlText w:val="%2."/>
      <w:lvlJc w:val="left"/>
      <w:pPr>
        <w:ind w:left="1800" w:hanging="360"/>
      </w:pPr>
    </w:lvl>
    <w:lvl w:ilvl="2" w:tplc="3C7A607A" w:tentative="1">
      <w:start w:val="1"/>
      <w:numFmt w:val="lowerRoman"/>
      <w:lvlText w:val="%3."/>
      <w:lvlJc w:val="right"/>
      <w:pPr>
        <w:ind w:left="2520" w:hanging="180"/>
      </w:pPr>
    </w:lvl>
    <w:lvl w:ilvl="3" w:tplc="C402F77A" w:tentative="1">
      <w:start w:val="1"/>
      <w:numFmt w:val="decimal"/>
      <w:lvlText w:val="%4."/>
      <w:lvlJc w:val="left"/>
      <w:pPr>
        <w:ind w:left="3240" w:hanging="360"/>
      </w:pPr>
    </w:lvl>
    <w:lvl w:ilvl="4" w:tplc="B9429244" w:tentative="1">
      <w:start w:val="1"/>
      <w:numFmt w:val="lowerLetter"/>
      <w:lvlText w:val="%5."/>
      <w:lvlJc w:val="left"/>
      <w:pPr>
        <w:ind w:left="3960" w:hanging="360"/>
      </w:pPr>
    </w:lvl>
    <w:lvl w:ilvl="5" w:tplc="BEAC4012" w:tentative="1">
      <w:start w:val="1"/>
      <w:numFmt w:val="lowerRoman"/>
      <w:lvlText w:val="%6."/>
      <w:lvlJc w:val="right"/>
      <w:pPr>
        <w:ind w:left="4680" w:hanging="180"/>
      </w:pPr>
    </w:lvl>
    <w:lvl w:ilvl="6" w:tplc="44363450" w:tentative="1">
      <w:start w:val="1"/>
      <w:numFmt w:val="decimal"/>
      <w:lvlText w:val="%7."/>
      <w:lvlJc w:val="left"/>
      <w:pPr>
        <w:ind w:left="5400" w:hanging="360"/>
      </w:pPr>
    </w:lvl>
    <w:lvl w:ilvl="7" w:tplc="2F1EF086" w:tentative="1">
      <w:start w:val="1"/>
      <w:numFmt w:val="lowerLetter"/>
      <w:lvlText w:val="%8."/>
      <w:lvlJc w:val="left"/>
      <w:pPr>
        <w:ind w:left="6120" w:hanging="360"/>
      </w:pPr>
    </w:lvl>
    <w:lvl w:ilvl="8" w:tplc="E8103D6C" w:tentative="1">
      <w:start w:val="1"/>
      <w:numFmt w:val="lowerRoman"/>
      <w:lvlText w:val="%9."/>
      <w:lvlJc w:val="right"/>
      <w:pPr>
        <w:ind w:left="6840" w:hanging="180"/>
      </w:pPr>
    </w:lvl>
  </w:abstractNum>
  <w:abstractNum w:abstractNumId="156" w15:restartNumberingAfterBreak="0">
    <w:nsid w:val="7EE270E6"/>
    <w:multiLevelType w:val="hybridMultilevel"/>
    <w:tmpl w:val="39420980"/>
    <w:lvl w:ilvl="0" w:tplc="CF4AC1D4">
      <w:start w:val="1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7" w15:restartNumberingAfterBreak="0">
    <w:nsid w:val="7F727AB9"/>
    <w:multiLevelType w:val="hybridMultilevel"/>
    <w:tmpl w:val="418E646A"/>
    <w:lvl w:ilvl="0" w:tplc="60EE0B4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7"/>
  </w:num>
  <w:num w:numId="2">
    <w:abstractNumId w:val="75"/>
  </w:num>
  <w:num w:numId="3">
    <w:abstractNumId w:val="67"/>
  </w:num>
  <w:num w:numId="4">
    <w:abstractNumId w:val="135"/>
  </w:num>
  <w:num w:numId="5">
    <w:abstractNumId w:val="149"/>
  </w:num>
  <w:num w:numId="6">
    <w:abstractNumId w:val="144"/>
  </w:num>
  <w:num w:numId="7">
    <w:abstractNumId w:val="37"/>
  </w:num>
  <w:num w:numId="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5"/>
  </w:num>
  <w:num w:numId="10">
    <w:abstractNumId w:val="106"/>
  </w:num>
  <w:num w:numId="11">
    <w:abstractNumId w:val="63"/>
  </w:num>
  <w:num w:numId="12">
    <w:abstractNumId w:val="155"/>
  </w:num>
  <w:num w:numId="13">
    <w:abstractNumId w:val="93"/>
  </w:num>
  <w:num w:numId="14">
    <w:abstractNumId w:val="136"/>
  </w:num>
  <w:num w:numId="15">
    <w:abstractNumId w:val="79"/>
  </w:num>
  <w:num w:numId="16">
    <w:abstractNumId w:val="57"/>
  </w:num>
  <w:num w:numId="17">
    <w:abstractNumId w:val="152"/>
  </w:num>
  <w:num w:numId="18">
    <w:abstractNumId w:val="104"/>
  </w:num>
  <w:num w:numId="19">
    <w:abstractNumId w:val="73"/>
  </w:num>
  <w:num w:numId="20">
    <w:abstractNumId w:val="13"/>
  </w:num>
  <w:num w:numId="21">
    <w:abstractNumId w:val="99"/>
  </w:num>
  <w:num w:numId="22">
    <w:abstractNumId w:val="76"/>
  </w:num>
  <w:num w:numId="23">
    <w:abstractNumId w:val="115"/>
  </w:num>
  <w:num w:numId="24">
    <w:abstractNumId w:val="31"/>
  </w:num>
  <w:num w:numId="25">
    <w:abstractNumId w:val="97"/>
  </w:num>
  <w:num w:numId="26">
    <w:abstractNumId w:val="133"/>
  </w:num>
  <w:num w:numId="27">
    <w:abstractNumId w:val="101"/>
  </w:num>
  <w:num w:numId="28">
    <w:abstractNumId w:val="50"/>
  </w:num>
  <w:num w:numId="29">
    <w:abstractNumId w:val="121"/>
  </w:num>
  <w:num w:numId="30">
    <w:abstractNumId w:val="87"/>
  </w:num>
  <w:num w:numId="31">
    <w:abstractNumId w:val="127"/>
  </w:num>
  <w:num w:numId="32">
    <w:abstractNumId w:val="62"/>
  </w:num>
  <w:num w:numId="33">
    <w:abstractNumId w:val="88"/>
  </w:num>
  <w:num w:numId="34">
    <w:abstractNumId w:val="45"/>
  </w:num>
  <w:num w:numId="35">
    <w:abstractNumId w:val="96"/>
  </w:num>
  <w:num w:numId="36">
    <w:abstractNumId w:val="117"/>
  </w:num>
  <w:num w:numId="37">
    <w:abstractNumId w:val="120"/>
  </w:num>
  <w:num w:numId="38">
    <w:abstractNumId w:val="61"/>
  </w:num>
  <w:num w:numId="39">
    <w:abstractNumId w:val="111"/>
  </w:num>
  <w:num w:numId="40">
    <w:abstractNumId w:val="153"/>
  </w:num>
  <w:num w:numId="41">
    <w:abstractNumId w:val="9"/>
  </w:num>
  <w:num w:numId="42">
    <w:abstractNumId w:val="7"/>
  </w:num>
  <w:num w:numId="43">
    <w:abstractNumId w:val="6"/>
  </w:num>
  <w:num w:numId="44">
    <w:abstractNumId w:val="5"/>
  </w:num>
  <w:num w:numId="45">
    <w:abstractNumId w:val="89"/>
  </w:num>
  <w:num w:numId="46">
    <w:abstractNumId w:val="116"/>
  </w:num>
  <w:num w:numId="47">
    <w:abstractNumId w:val="60"/>
  </w:num>
  <w:num w:numId="48">
    <w:abstractNumId w:val="71"/>
  </w:num>
  <w:num w:numId="49">
    <w:abstractNumId w:val="58"/>
  </w:num>
  <w:num w:numId="50">
    <w:abstractNumId w:val="41"/>
  </w:num>
  <w:num w:numId="51">
    <w:abstractNumId w:val="70"/>
  </w:num>
  <w:num w:numId="52">
    <w:abstractNumId w:val="39"/>
  </w:num>
  <w:num w:numId="53">
    <w:abstractNumId w:val="36"/>
  </w:num>
  <w:num w:numId="54">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5"/>
  </w:num>
  <w:num w:numId="56">
    <w:abstractNumId w:val="139"/>
  </w:num>
  <w:num w:numId="57">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8"/>
  </w:num>
  <w:num w:numId="60">
    <w:abstractNumId w:val="15"/>
  </w:num>
  <w:num w:numId="61">
    <w:abstractNumId w:val="91"/>
  </w:num>
  <w:num w:numId="62">
    <w:abstractNumId w:val="148"/>
  </w:num>
  <w:num w:numId="63">
    <w:abstractNumId w:val="98"/>
  </w:num>
  <w:num w:numId="64">
    <w:abstractNumId w:val="114"/>
  </w:num>
  <w:num w:numId="65">
    <w:abstractNumId w:val="40"/>
  </w:num>
  <w:num w:numId="66">
    <w:abstractNumId w:val="12"/>
  </w:num>
  <w:num w:numId="67">
    <w:abstractNumId w:val="156"/>
  </w:num>
  <w:num w:numId="68">
    <w:abstractNumId w:val="118"/>
  </w:num>
  <w:num w:numId="69">
    <w:abstractNumId w:val="154"/>
  </w:num>
  <w:num w:numId="70">
    <w:abstractNumId w:val="47"/>
  </w:num>
  <w:num w:numId="71">
    <w:abstractNumId w:val="11"/>
  </w:num>
  <w:num w:numId="72">
    <w:abstractNumId w:val="65"/>
  </w:num>
  <w:num w:numId="73">
    <w:abstractNumId w:val="68"/>
  </w:num>
  <w:num w:numId="74">
    <w:abstractNumId w:val="84"/>
  </w:num>
  <w:num w:numId="75">
    <w:abstractNumId w:val="150"/>
  </w:num>
  <w:num w:numId="76">
    <w:abstractNumId w:val="94"/>
  </w:num>
  <w:num w:numId="77">
    <w:abstractNumId w:val="74"/>
  </w:num>
  <w:num w:numId="78">
    <w:abstractNumId w:val="134"/>
  </w:num>
  <w:num w:numId="79">
    <w:abstractNumId w:val="25"/>
  </w:num>
  <w:num w:numId="80">
    <w:abstractNumId w:val="53"/>
  </w:num>
  <w:num w:numId="81">
    <w:abstractNumId w:val="64"/>
  </w:num>
  <w:num w:numId="82">
    <w:abstractNumId w:val="66"/>
  </w:num>
  <w:num w:numId="83">
    <w:abstractNumId w:val="81"/>
  </w:num>
  <w:num w:numId="84">
    <w:abstractNumId w:val="113"/>
  </w:num>
  <w:num w:numId="85">
    <w:abstractNumId w:val="59"/>
  </w:num>
  <w:num w:numId="86">
    <w:abstractNumId w:val="83"/>
  </w:num>
  <w:num w:numId="87">
    <w:abstractNumId w:val="4"/>
  </w:num>
  <w:num w:numId="88">
    <w:abstractNumId w:val="8"/>
  </w:num>
  <w:num w:numId="89">
    <w:abstractNumId w:val="3"/>
  </w:num>
  <w:num w:numId="90">
    <w:abstractNumId w:val="2"/>
  </w:num>
  <w:num w:numId="91">
    <w:abstractNumId w:val="1"/>
  </w:num>
  <w:num w:numId="92">
    <w:abstractNumId w:val="0"/>
  </w:num>
  <w:num w:numId="93">
    <w:abstractNumId w:val="129"/>
  </w:num>
  <w:num w:numId="94">
    <w:abstractNumId w:val="29"/>
  </w:num>
  <w:num w:numId="95">
    <w:abstractNumId w:val="141"/>
  </w:num>
  <w:num w:numId="96">
    <w:abstractNumId w:val="52"/>
  </w:num>
  <w:num w:numId="97">
    <w:abstractNumId w:val="130"/>
  </w:num>
  <w:num w:numId="98">
    <w:abstractNumId w:val="146"/>
  </w:num>
  <w:num w:numId="99">
    <w:abstractNumId w:val="131"/>
  </w:num>
  <w:num w:numId="100">
    <w:abstractNumId w:val="142"/>
  </w:num>
  <w:num w:numId="101">
    <w:abstractNumId w:val="10"/>
  </w:num>
  <w:num w:numId="102">
    <w:abstractNumId w:val="140"/>
  </w:num>
  <w:num w:numId="103">
    <w:abstractNumId w:val="100"/>
  </w:num>
  <w:num w:numId="104">
    <w:abstractNumId w:val="26"/>
  </w:num>
  <w:num w:numId="105">
    <w:abstractNumId w:val="151"/>
  </w:num>
  <w:num w:numId="106">
    <w:abstractNumId w:val="143"/>
  </w:num>
  <w:num w:numId="10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4"/>
  </w:num>
  <w:num w:numId="111">
    <w:abstractNumId w:val="112"/>
  </w:num>
  <w:num w:numId="112">
    <w:abstractNumId w:val="20"/>
  </w:num>
  <w:num w:numId="113">
    <w:abstractNumId w:val="17"/>
  </w:num>
  <w:num w:numId="114">
    <w:abstractNumId w:val="85"/>
  </w:num>
  <w:num w:numId="115">
    <w:abstractNumId w:val="27"/>
  </w:num>
  <w:num w:numId="116">
    <w:abstractNumId w:val="32"/>
  </w:num>
  <w:num w:numId="117">
    <w:abstractNumId w:val="109"/>
  </w:num>
  <w:num w:numId="118">
    <w:abstractNumId w:val="46"/>
  </w:num>
  <w:num w:numId="119">
    <w:abstractNumId w:val="35"/>
  </w:num>
  <w:num w:numId="120">
    <w:abstractNumId w:val="14"/>
  </w:num>
  <w:num w:numId="121">
    <w:abstractNumId w:val="56"/>
  </w:num>
  <w:num w:numId="122">
    <w:abstractNumId w:val="102"/>
  </w:num>
  <w:num w:numId="123">
    <w:abstractNumId w:val="122"/>
  </w:num>
  <w:num w:numId="124">
    <w:abstractNumId w:val="145"/>
  </w:num>
  <w:num w:numId="125">
    <w:abstractNumId w:val="43"/>
  </w:num>
  <w:num w:numId="126">
    <w:abstractNumId w:val="80"/>
  </w:num>
  <w:num w:numId="127">
    <w:abstractNumId w:val="48"/>
  </w:num>
  <w:num w:numId="128">
    <w:abstractNumId w:val="86"/>
  </w:num>
  <w:num w:numId="129">
    <w:abstractNumId w:val="103"/>
  </w:num>
  <w:num w:numId="130">
    <w:abstractNumId w:val="137"/>
  </w:num>
  <w:num w:numId="131">
    <w:abstractNumId w:val="132"/>
  </w:num>
  <w:num w:numId="132">
    <w:abstractNumId w:val="24"/>
  </w:num>
  <w:num w:numId="133">
    <w:abstractNumId w:val="108"/>
  </w:num>
  <w:num w:numId="134">
    <w:abstractNumId w:val="18"/>
  </w:num>
  <w:num w:numId="135">
    <w:abstractNumId w:val="90"/>
  </w:num>
  <w:num w:numId="136">
    <w:abstractNumId w:val="157"/>
  </w:num>
  <w:num w:numId="137">
    <w:abstractNumId w:val="92"/>
  </w:num>
  <w:num w:numId="1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6"/>
  </w:num>
  <w:num w:numId="143">
    <w:abstractNumId w:val="82"/>
  </w:num>
  <w:num w:numId="144">
    <w:abstractNumId w:val="42"/>
  </w:num>
  <w:num w:numId="145">
    <w:abstractNumId w:val="95"/>
  </w:num>
  <w:num w:numId="146">
    <w:abstractNumId w:val="72"/>
  </w:num>
  <w:num w:numId="147">
    <w:abstractNumId w:val="138"/>
  </w:num>
  <w:num w:numId="148">
    <w:abstractNumId w:val="23"/>
  </w:num>
  <w:num w:numId="149">
    <w:abstractNumId w:val="22"/>
  </w:num>
  <w:num w:numId="150">
    <w:abstractNumId w:val="119"/>
  </w:num>
  <w:num w:numId="151">
    <w:abstractNumId w:val="16"/>
  </w:num>
  <w:num w:numId="152">
    <w:abstractNumId w:val="19"/>
  </w:num>
  <w:num w:numId="153">
    <w:abstractNumId w:val="21"/>
  </w:num>
  <w:num w:numId="154">
    <w:abstractNumId w:val="107"/>
  </w:num>
  <w:num w:numId="155">
    <w:abstractNumId w:val="128"/>
  </w:num>
  <w:num w:numId="156">
    <w:abstractNumId w:val="30"/>
  </w:num>
  <w:num w:numId="157">
    <w:abstractNumId w:val="33"/>
  </w:num>
  <w:num w:numId="158">
    <w:abstractNumId w:val="77"/>
  </w:num>
  <w:num w:numId="159">
    <w:abstractNumId w:val="110"/>
  </w:num>
  <w:num w:numId="160">
    <w:abstractNumId w:val="123"/>
  </w:num>
  <w:num w:numId="161">
    <w:abstractNumId w:val="69"/>
  </w:num>
  <w:num w:numId="162">
    <w:abstractNumId w:val="55"/>
  </w:num>
  <w:num w:numId="163">
    <w:abstractNumId w:val="38"/>
  </w:num>
  <w:num w:numId="164">
    <w:abstractNumId w:val="28"/>
  </w:num>
  <w:num w:numId="165">
    <w:abstractNumId w:val="51"/>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trackedChange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0.5&quot; technicalblockguid=&quot;547564495420839511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 /&gt;_x000d__x000a_  &lt;/metadata&gt;_x000d__x000a_  &lt;metadata key=&quot;md_DocumentLanguagesAutomatic&quot;&gt;_x000d__x000a_    &lt;text&gt;&lt;/text&gt;_x000d__x000a_  &lt;/metadata&gt;_x000d__x000a_  &lt;metadata key=&quot;md_UniqueHeading&quot;&gt;_x000d__x000a_    &lt;basicdatatype&gt;_x000d__x000a_      &lt;heading key=&quot;uh_70&quot; text=&quot;LEGISLATIVE ACTS AND OTHER INSTRUMENTS: CORRIGENDUM/RECTIFICATIF&quot; /&gt;_x000d__x000a_    &lt;/basicdatatype&gt;_x000d__x000a_  &lt;/metadata&gt;_x000d__x000a_  &lt;metadata key=&quot;md_HeadingText&quot;&gt;_x000d__x000a_    &lt;headingtext text=&quot;LEGISLATIVE ACTS AND OTHER INSTRUMENTS: CORRIGENDUM/RECTIFICATIF&quot;&gt;_x000d__x000a_      &lt;formattedtext&gt;_x000d__x000a_        &lt;xaml text=&quot;LEGISLATIVE ACTS AND OTHER INSTRUMENTS: CORRIGENDUM/RECTIFICATIF&quot;&gt;&amp;lt;FlowDocument xmlns=&quot;http://schemas.microsoft.com/winfx/2006/xaml/presentation&quot;&amp;gt;&amp;lt;Paragraph&amp;gt;LEGISLATIVE ACTS AND OTHER INSTRUMENTS: CORRIGENDUM/RECTIFICATIF&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4-12-06&lt;/text&gt;_x000d__x000a_  &lt;/metadata&gt;_x000d__x000a_  &lt;metadata key=&quot;md_Prefix&quot;&gt;_x000d__x000a_    &lt;text&gt;&lt;/text&gt;_x000d__x000a_  &lt;/metadata&gt;_x000d__x000a_  &lt;metadata key=&quot;md_DocumentNumber&quot;&gt;_x000d__x000a_    &lt;text&gt;14435&lt;/text&gt;_x000d__x000a_  &lt;/metadata&gt;_x000d__x000a_  &lt;metadata key=&quot;md_YearDocumentNumber&quot;&gt;_x000d__x000a_    &lt;text&gt;2024&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UR 510&lt;/text&gt;_x000d__x000a_      &lt;text&gt;ECOFIN 1131&lt;/text&gt;_x000d__x000a_      &lt;text&gt;UEM 341&lt;/text&gt;_x000d__x000a_      &lt;text&gt;FIN 894&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31(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15 December 2022 on the approval of the assessment of the recovery and resilience plan for Hungary&quot;&gt;&amp;lt;FlowDocument FontFamily=&quot;Segoe UI&quot; FontSize=&quot;12&quot; LineHeight=&quot;6&quot; PageWidth=&quot;329&quot; PagePadding=&quot;2,2,2,2&quot; AllowDrop=&quot;False&quot; xmlns=&quot;http://schemas.microsoft.com/winfx/2006/xaml/presentation&quot;&amp;gt;&amp;lt;Paragraph LineHeight=&quot;6&quot; FontFamily=&quot;Arial Unicode MS&quot; FontSize=&quot;12&quot;&amp;gt;ANNEX to the COUNCIL IMPLEMENTING DECISION amending Implementing Decision of 15 December 2022 on the approval of the assessment of the recovery and resilience plan for Hungary&amp;lt;/Paragraph&amp;gt;&amp;lt;/FlowDocument&amp;gt;&lt;/xaml&gt;_x000d__x000a_  &lt;/metadata&gt;_x000d__x000a_  &lt;metadata key=&quot;md_SubjectFootnote&quot; /&gt;_x000d__x000a_  &lt;metadata key=&quot;md_DG&quot;&gt;_x000d__x000a_    &lt;text&gt;JUR.7&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rect_proc_2c&quot; text=&quot;Procedure 2c)&quot; /&gt;_x000d__x000a_    &lt;/basicdatatype&gt;_x000d__x000a_  &lt;/metadata&gt;_x000d__x000a_  &lt;metadata key=&quot;md_RectifLanguagesBase&quot;&gt;_x000d__x000a_    &lt;text&gt;24&lt;/text&gt;_x000d__x000a_  &lt;/metadata&gt;_x000d__x000a_  &lt;metadata key=&quot;md_RectifLanguagesConcerned&quot;&gt;_x000d__x000a_    &lt;text&gt;;BG;ES;CS;DA;DE;ET;EL;EN;FR;GA;HR;IT;LV;LT;HU;MT;NL;PL;PT;RO;SK;SL;FI;SV;&lt;/text&gt;_x000d__x000a_  &lt;/metadata&gt;_x000d__x000a_  &lt;metadata key=&quot;md_RectifIsLangSpec&quot;&gt;_x000d__x000a_    &lt;text&gt;&lt;/text&gt;_x000d__x000a_  &lt;/metadata&gt;_x000d__x000a_  &lt;metadata key=&quot;md_RectifLangSpecValue&quot; /&gt;_x000d__x000a_  &lt;metadata key=&quot;md_RectifNumberOfMistakes&quot;&gt;_x000d__x000a_    &lt;text&gt;Num_One&lt;/text&gt;_x000d__x000a_  &lt;/metadata&gt;_x000d__x000a_  &lt;metadata key=&quot;md_RectifHasRemarks&quot;&gt;_x000d__x000a_    &lt;text&gt;False&lt;/text&gt;_x000d__x000a_  &lt;/metadata&gt;_x000d__x000a_  &lt;metadata key=&quot;md_RectifUseDocRef&quot;&gt;_x000d__x000a_    &lt;text&gt;True&lt;/text&gt;_x000d__x000a_  &lt;/metadata&gt;_x000d__x000a_  &lt;metadata key=&quot;md_RectifDocRefNumber&quot;&gt;_x000d__x000a_    &lt;text&gt;ST 15964/23 ADD 1&lt;/text&gt;_x000d__x000a_  &lt;/metadata&gt;_x000d__x000a_  &lt;metadata key=&quot;md_RectifDocRefDate&quot;&gt;_x000d__x000a_    &lt;text&gt;2023-11-27T00:00:00&lt;/text&gt;_x000d__x000a_  &lt;/metadata&gt;_x000d__x000a_  &lt;metadata key=&quot;md_RectifUseOJRef&quot;&gt;_x000d__x000a_    &lt;text&gt;False&lt;/text&gt;_x000d__x000a_  &lt;/metadata&gt;_x000d__x000a_  &lt;metadata key=&quot;md_RectifOJRefType&quot;&gt;_x000d__x000a_    &lt;text&gt;&lt;/text&gt;_x000d__x000a_  &lt;/metadata&gt;_x000d__x000a_  &lt;metadata key=&quot;md_RectifOJLRefNumber&quot;&gt;_x000d__x000a_    &lt;text&gt;&lt;/text&gt;_x000d__x000a_  &lt;/metadata&gt;_x000d__x000a_  &lt;metadata key=&quot;md_RectifOJCRefNumber&quot;&gt;_x000d__x000a_    &lt;text&gt;&lt;/text&gt;_x000d__x000a_  &lt;/metadata&gt;_x000d__x000a_  &lt;metadata key=&quot;md_RectifOJLRefDate&quot;&gt;_x000d__x000a_    &lt;text&gt;&lt;/text&gt;_x000d__x000a_  &lt;/metadata&gt;_x000d__x000a_  &lt;metadata key=&quot;md_RectifOJCRefDate&quot;&gt;_x000d__x000a_    &lt;text&gt;&lt;/text&gt;_x000d__x000a_  &lt;/metadata&gt;_x000d__x000a_  &lt;metadata key=&quot;md_RectifOJLRefPage&quot;&gt;_x000d__x000a_    &lt;text&gt;&lt;/text&gt;_x000d__x000a_  &lt;/metadata&gt;_x000d__x000a_  &lt;metadata key=&quot;md_RectifOJCRefPage&quot;&gt;_x000d__x000a_    &lt;text&gt;&lt;/text&gt;_x000d__x000a_  &lt;/metadata&gt;_x000d__x000a_  &lt;metadata key=&quot;md_RectifUseOJCorRef&quot;&gt;_x000d__x000a_    &lt;text&gt;False&lt;/text&gt;_x000d__x000a_  &lt;/metadata&gt;_x000d__x000a_  &lt;metadata key=&quot;md_RectifOJCorRefNumber&quot;&gt;_x000d__x000a_    &lt;text&gt;&lt;/text&gt;_x000d__x000a_  &lt;/metadata&gt;_x000d__x000a_  &lt;metadata key=&quot;md_RectifOJCorRefDate&quot;&gt;_x000d__x000a_    &lt;text&gt;&lt;/text&gt;_x000d__x000a_  &lt;/metadata&gt;_x000d__x000a_  &lt;metadata key=&quot;md_RectifOJCorRefPage&quot;&gt;_x000d__x000a_    &lt;text&gt;&lt;/text&gt;_x000d__x000a_  &lt;/metadata&gt;_x000d__x000a_  &lt;metadata key=&quot;md_RectifTimeLimit&quot;&gt;_x000d__x000a_    &lt;text&gt;8&lt;/text&gt;_x000d__x000a_  &lt;/metadata&gt;_x000d__x000a_  &lt;metadata key=&quot;md_RectifCodecision&quot;&gt;_x000d__x000a_    &lt;text&gt;False&lt;/text&gt;_x000d__x000a_  &lt;/metadata&gt;_x000d__x000a_  &lt;metadata key=&quot;md_RectifCorrectionNewLang&quot;&gt;_x000d__x000a_    &lt;text&gt;False&lt;/text&gt;_x000d__x000a_  &lt;/metadata&gt;_x000d__x000a_  &lt;metadata key=&quot;md_RectifAgreement&quot;&gt;_x000d__x000a_    &lt;text&gt;False&lt;/text&gt;_x000d__x000a_  &lt;/metadata&gt;_x000d__x000a_  &lt;metadata key=&quot;md_RectifSignature&quot; /&gt;_x000d__x000a_  &lt;metadata key=&quot;md_RectifLastMergeDate&quot;&gt;_x000d__x000a_    &lt;text&gt;;BG;18/11/24 17:41:14;ES;18/11/24 17:37:10;CS;18/11/24 17:40:52;DA;18/11/24 17:59:58;DE;18/11/24 17:53:14;ET;18/11/24 18:02:46;EL;18/11/24 17:59:30;EN;14/11/24 15:48:40;FR;18/11/24 17:39:36;GA;18/11/24 19:49:08;HR;18/11/24 18:03:20;IT;18/11/24 18:03:22;LV;18/11/24 18:02:10;LT;18/11/24 17:56:00;HU;19/11/24 16:30:13;MT;18/11/24 17:41:08;NL;18/11/24 17:59:58;PL;18/11/24 18:00:48;PT;18/11/24 18:00:28;RO;18/11/24 17:58:42;SK;18/11/24 18:01:48;SL;20/11/24 09:31:56;FI;18/11/24 17:53:34;SV;20/11/24 09:29:40;&lt;/text&gt;_x000d__x000a_  &lt;/metadata&gt;_x000d__x000a_  &lt;metadata key=&quot;md_Rectif_Source1_UniqueHeading&quot;&gt;_x000d__x000a_    &lt;basicdatatype&gt;_x000d__x000a_      &lt;heading key=&quot;uh_26&quot; text=&quot;LEGISLATIVE ACTS AND OTHER INSTRUMENTS: CORRIGENDUM/RECTIFICATIF&quot; /&gt;_x000d__x000a_    &lt;/basicdatatype&gt;_x000d__x000a_  &lt;/metadata&gt;_x000d__x000a_  &lt;metadata key=&quot;md_Rectif_Source1_DocumentType&quot;&gt;_x000d__x000a_    &lt;basicdatatype&gt;_x000d__x000a_      &lt;doc_type key=&quot;dt_ST&quot; text=&quot;ST&quot; /&gt;_x000d__x000a_    &lt;/basicdatatype&gt;_x000d__x000a_  &lt;/metadata&gt;_x000d__x000a_  &lt;metadata key=&quot;md_Rectif_Source1_DocumentNumber&quot;&gt;_x000d__x000a_    &lt;text&gt;14435&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4&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DW_RECTIF"/>
    <w:docVar w:name="EPKit_DocumentHasBeenSaved" w:val="true"/>
    <w:docVar w:name="LW_ACCOMPAGNANT.CP" w:val="la "/>
    <w:docVar w:name="LW_ANNEX_NBR_FIRST" w:val="1"/>
    <w:docVar w:name="LW_ANNEX_NBR_LAST" w:val="1"/>
    <w:docVar w:name="LW_ANNEX_UNIQUE" w:val="1"/>
    <w:docVar w:name="LW_CORRIGENDUM" w:val="&lt;UNUSED&gt;"/>
    <w:docVar w:name="LW_COVERPAGE_EXISTS" w:val="True"/>
    <w:docVar w:name="LW_COVERPAGE_GUID" w:val="699C8691-971A-4B29-AAFD-93EEBA4D1707"/>
    <w:docVar w:name="LW_COVERPAGE_TYPE" w:val="1"/>
    <w:docVar w:name="LW_CROSSREFERENCE" w:val="{SWD(2026) 171 final}"/>
    <w:docVar w:name="LW_DocType" w:val="DW_RECTIF"/>
    <w:docVar w:name="LW_EMISSION" w:val="19.6.2026"/>
    <w:docVar w:name="LW_EMISSION_ISODATE" w:val="2026-06-1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Font=Calibri CE&gt;de modificare a deciziei de punere în aplicare a Consiliului din 15 decembrie 2022 de aprobare a evalu\u259?rii planului de redresare \u537?i rezilien\u539?\u259? al Ungariei&lt;/FMT&gt;"/>
    <w:docVar w:name="LW_PART_NBR" w:val="1"/>
    <w:docVar w:name="LW_PART_NBR_TOTAL" w:val="1"/>
    <w:docVar w:name="LW_REF.INST.NEW" w:val="COM"/>
    <w:docVar w:name="LW_REF.INST.NEW_ADOPTED" w:val="final"/>
    <w:docVar w:name="LW_REF.INST.NEW_TEXT" w:val="(2026) 3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CB1843"/>
    <w:rsid w:val="0000010B"/>
    <w:rsid w:val="0000010E"/>
    <w:rsid w:val="0000026F"/>
    <w:rsid w:val="0000029D"/>
    <w:rsid w:val="000002E3"/>
    <w:rsid w:val="00000365"/>
    <w:rsid w:val="000003C8"/>
    <w:rsid w:val="00000405"/>
    <w:rsid w:val="00000437"/>
    <w:rsid w:val="0000043C"/>
    <w:rsid w:val="0000054F"/>
    <w:rsid w:val="00000675"/>
    <w:rsid w:val="0000068D"/>
    <w:rsid w:val="00000767"/>
    <w:rsid w:val="00000816"/>
    <w:rsid w:val="0000083B"/>
    <w:rsid w:val="0000099B"/>
    <w:rsid w:val="00000A4F"/>
    <w:rsid w:val="00000A94"/>
    <w:rsid w:val="00000ACF"/>
    <w:rsid w:val="00000B03"/>
    <w:rsid w:val="00000B35"/>
    <w:rsid w:val="00000B54"/>
    <w:rsid w:val="00000BB2"/>
    <w:rsid w:val="00000C37"/>
    <w:rsid w:val="00000C5C"/>
    <w:rsid w:val="00000CAF"/>
    <w:rsid w:val="00000CE0"/>
    <w:rsid w:val="00000DB1"/>
    <w:rsid w:val="00000DDD"/>
    <w:rsid w:val="00000E11"/>
    <w:rsid w:val="00000E1F"/>
    <w:rsid w:val="00000E33"/>
    <w:rsid w:val="00000EB6"/>
    <w:rsid w:val="00000F12"/>
    <w:rsid w:val="0000102E"/>
    <w:rsid w:val="0000109F"/>
    <w:rsid w:val="00001163"/>
    <w:rsid w:val="000011B7"/>
    <w:rsid w:val="000011C4"/>
    <w:rsid w:val="000011C6"/>
    <w:rsid w:val="0000127D"/>
    <w:rsid w:val="0000128D"/>
    <w:rsid w:val="0000131E"/>
    <w:rsid w:val="00001320"/>
    <w:rsid w:val="00001372"/>
    <w:rsid w:val="00001386"/>
    <w:rsid w:val="000013B1"/>
    <w:rsid w:val="000013DB"/>
    <w:rsid w:val="000013EF"/>
    <w:rsid w:val="00001412"/>
    <w:rsid w:val="00001413"/>
    <w:rsid w:val="0000151A"/>
    <w:rsid w:val="00001587"/>
    <w:rsid w:val="000015EA"/>
    <w:rsid w:val="000016C7"/>
    <w:rsid w:val="000017D5"/>
    <w:rsid w:val="00001841"/>
    <w:rsid w:val="00001854"/>
    <w:rsid w:val="00001900"/>
    <w:rsid w:val="00001983"/>
    <w:rsid w:val="000019D1"/>
    <w:rsid w:val="00001A47"/>
    <w:rsid w:val="00001AC4"/>
    <w:rsid w:val="00001C86"/>
    <w:rsid w:val="00001C93"/>
    <w:rsid w:val="00001CFE"/>
    <w:rsid w:val="00001D60"/>
    <w:rsid w:val="00001DB2"/>
    <w:rsid w:val="00001DBC"/>
    <w:rsid w:val="00001DE1"/>
    <w:rsid w:val="00001E06"/>
    <w:rsid w:val="00001E0B"/>
    <w:rsid w:val="00001E57"/>
    <w:rsid w:val="00001EAE"/>
    <w:rsid w:val="00001F7F"/>
    <w:rsid w:val="00001FBB"/>
    <w:rsid w:val="00002045"/>
    <w:rsid w:val="00002090"/>
    <w:rsid w:val="00002217"/>
    <w:rsid w:val="00002223"/>
    <w:rsid w:val="000022B3"/>
    <w:rsid w:val="00002342"/>
    <w:rsid w:val="00002382"/>
    <w:rsid w:val="000023C6"/>
    <w:rsid w:val="000023F8"/>
    <w:rsid w:val="0000251A"/>
    <w:rsid w:val="00002540"/>
    <w:rsid w:val="000025CF"/>
    <w:rsid w:val="000025E6"/>
    <w:rsid w:val="000025E8"/>
    <w:rsid w:val="00002603"/>
    <w:rsid w:val="000026B6"/>
    <w:rsid w:val="000028BE"/>
    <w:rsid w:val="000028C7"/>
    <w:rsid w:val="00002901"/>
    <w:rsid w:val="00002960"/>
    <w:rsid w:val="00002AD5"/>
    <w:rsid w:val="00002B2F"/>
    <w:rsid w:val="00002C41"/>
    <w:rsid w:val="00002CE4"/>
    <w:rsid w:val="00002DC8"/>
    <w:rsid w:val="00002DDA"/>
    <w:rsid w:val="00002DE0"/>
    <w:rsid w:val="00002E11"/>
    <w:rsid w:val="00002E6B"/>
    <w:rsid w:val="00002E9C"/>
    <w:rsid w:val="00002F5C"/>
    <w:rsid w:val="00002F65"/>
    <w:rsid w:val="00003131"/>
    <w:rsid w:val="0000318A"/>
    <w:rsid w:val="00003296"/>
    <w:rsid w:val="000032AD"/>
    <w:rsid w:val="000032AE"/>
    <w:rsid w:val="000032B7"/>
    <w:rsid w:val="000033ED"/>
    <w:rsid w:val="000034CC"/>
    <w:rsid w:val="00003520"/>
    <w:rsid w:val="00003523"/>
    <w:rsid w:val="00003701"/>
    <w:rsid w:val="000037A7"/>
    <w:rsid w:val="000037BE"/>
    <w:rsid w:val="000037FB"/>
    <w:rsid w:val="0000380D"/>
    <w:rsid w:val="00003876"/>
    <w:rsid w:val="00003935"/>
    <w:rsid w:val="00003A49"/>
    <w:rsid w:val="00003B5B"/>
    <w:rsid w:val="00003B6C"/>
    <w:rsid w:val="00003C34"/>
    <w:rsid w:val="00003D46"/>
    <w:rsid w:val="00003D7C"/>
    <w:rsid w:val="00003E18"/>
    <w:rsid w:val="00003F3F"/>
    <w:rsid w:val="00003F6A"/>
    <w:rsid w:val="00003F96"/>
    <w:rsid w:val="00003FB6"/>
    <w:rsid w:val="00004060"/>
    <w:rsid w:val="00004071"/>
    <w:rsid w:val="000040AE"/>
    <w:rsid w:val="000040E2"/>
    <w:rsid w:val="00004109"/>
    <w:rsid w:val="0000424F"/>
    <w:rsid w:val="0000425B"/>
    <w:rsid w:val="000042B7"/>
    <w:rsid w:val="000042DC"/>
    <w:rsid w:val="00004326"/>
    <w:rsid w:val="00004393"/>
    <w:rsid w:val="0000449B"/>
    <w:rsid w:val="000044EA"/>
    <w:rsid w:val="00004507"/>
    <w:rsid w:val="0000458F"/>
    <w:rsid w:val="000045B3"/>
    <w:rsid w:val="00004655"/>
    <w:rsid w:val="000046C1"/>
    <w:rsid w:val="00004750"/>
    <w:rsid w:val="0000476D"/>
    <w:rsid w:val="00004842"/>
    <w:rsid w:val="000048FE"/>
    <w:rsid w:val="00004909"/>
    <w:rsid w:val="00004912"/>
    <w:rsid w:val="0000492D"/>
    <w:rsid w:val="000049C0"/>
    <w:rsid w:val="00004AAA"/>
    <w:rsid w:val="00004B2C"/>
    <w:rsid w:val="00004B58"/>
    <w:rsid w:val="00004B5F"/>
    <w:rsid w:val="00004B61"/>
    <w:rsid w:val="00004BE7"/>
    <w:rsid w:val="00004BEC"/>
    <w:rsid w:val="00004D21"/>
    <w:rsid w:val="00004E6C"/>
    <w:rsid w:val="00005031"/>
    <w:rsid w:val="0000506C"/>
    <w:rsid w:val="0000506E"/>
    <w:rsid w:val="0000508F"/>
    <w:rsid w:val="000050C9"/>
    <w:rsid w:val="000051DA"/>
    <w:rsid w:val="0000526C"/>
    <w:rsid w:val="00005385"/>
    <w:rsid w:val="0000539D"/>
    <w:rsid w:val="000053A1"/>
    <w:rsid w:val="000053A4"/>
    <w:rsid w:val="00005436"/>
    <w:rsid w:val="00005564"/>
    <w:rsid w:val="000055E6"/>
    <w:rsid w:val="000055FC"/>
    <w:rsid w:val="00005617"/>
    <w:rsid w:val="000056DB"/>
    <w:rsid w:val="0000578A"/>
    <w:rsid w:val="0000586F"/>
    <w:rsid w:val="000058D4"/>
    <w:rsid w:val="000058F3"/>
    <w:rsid w:val="0000599C"/>
    <w:rsid w:val="00005B37"/>
    <w:rsid w:val="00005BBE"/>
    <w:rsid w:val="00005CC8"/>
    <w:rsid w:val="00005CD2"/>
    <w:rsid w:val="00005DC8"/>
    <w:rsid w:val="00005F06"/>
    <w:rsid w:val="00005F4C"/>
    <w:rsid w:val="00005F58"/>
    <w:rsid w:val="00005FF8"/>
    <w:rsid w:val="0000616E"/>
    <w:rsid w:val="00006281"/>
    <w:rsid w:val="000062E0"/>
    <w:rsid w:val="000062F4"/>
    <w:rsid w:val="00006355"/>
    <w:rsid w:val="0000638D"/>
    <w:rsid w:val="000063B3"/>
    <w:rsid w:val="000063F7"/>
    <w:rsid w:val="000064A2"/>
    <w:rsid w:val="000064C9"/>
    <w:rsid w:val="000065FA"/>
    <w:rsid w:val="00006641"/>
    <w:rsid w:val="0000669B"/>
    <w:rsid w:val="000066CC"/>
    <w:rsid w:val="000066D1"/>
    <w:rsid w:val="00006783"/>
    <w:rsid w:val="000067B0"/>
    <w:rsid w:val="0000681D"/>
    <w:rsid w:val="0000683C"/>
    <w:rsid w:val="0000684C"/>
    <w:rsid w:val="00006865"/>
    <w:rsid w:val="0000690F"/>
    <w:rsid w:val="00006964"/>
    <w:rsid w:val="00006A22"/>
    <w:rsid w:val="00006A5E"/>
    <w:rsid w:val="00006A9E"/>
    <w:rsid w:val="00006AEC"/>
    <w:rsid w:val="00006B35"/>
    <w:rsid w:val="00006B61"/>
    <w:rsid w:val="00006B6A"/>
    <w:rsid w:val="00006BE2"/>
    <w:rsid w:val="00006BFA"/>
    <w:rsid w:val="00006C2E"/>
    <w:rsid w:val="00006CF8"/>
    <w:rsid w:val="00006D27"/>
    <w:rsid w:val="00006DAF"/>
    <w:rsid w:val="00006DBF"/>
    <w:rsid w:val="00006DD6"/>
    <w:rsid w:val="00006E3E"/>
    <w:rsid w:val="00006E87"/>
    <w:rsid w:val="00006ED6"/>
    <w:rsid w:val="00006F33"/>
    <w:rsid w:val="000070C3"/>
    <w:rsid w:val="000071AA"/>
    <w:rsid w:val="000071C1"/>
    <w:rsid w:val="0000721D"/>
    <w:rsid w:val="0000729A"/>
    <w:rsid w:val="000072B7"/>
    <w:rsid w:val="00007321"/>
    <w:rsid w:val="000073EB"/>
    <w:rsid w:val="00007404"/>
    <w:rsid w:val="00007562"/>
    <w:rsid w:val="0000758B"/>
    <w:rsid w:val="00007595"/>
    <w:rsid w:val="000075BD"/>
    <w:rsid w:val="00007604"/>
    <w:rsid w:val="000077A9"/>
    <w:rsid w:val="000077B4"/>
    <w:rsid w:val="000077CF"/>
    <w:rsid w:val="0000780B"/>
    <w:rsid w:val="0000781A"/>
    <w:rsid w:val="00007830"/>
    <w:rsid w:val="00007A94"/>
    <w:rsid w:val="00007AA0"/>
    <w:rsid w:val="00007AC3"/>
    <w:rsid w:val="00007B22"/>
    <w:rsid w:val="00007BAF"/>
    <w:rsid w:val="00007C16"/>
    <w:rsid w:val="00007C7B"/>
    <w:rsid w:val="00007CAF"/>
    <w:rsid w:val="00007CCA"/>
    <w:rsid w:val="00007EB0"/>
    <w:rsid w:val="00007ECD"/>
    <w:rsid w:val="00007F81"/>
    <w:rsid w:val="00007FB5"/>
    <w:rsid w:val="00007FED"/>
    <w:rsid w:val="00010002"/>
    <w:rsid w:val="00010025"/>
    <w:rsid w:val="00010087"/>
    <w:rsid w:val="00010098"/>
    <w:rsid w:val="000100E1"/>
    <w:rsid w:val="0001011F"/>
    <w:rsid w:val="0001016E"/>
    <w:rsid w:val="0001018E"/>
    <w:rsid w:val="00010294"/>
    <w:rsid w:val="000103A2"/>
    <w:rsid w:val="0001050F"/>
    <w:rsid w:val="00010523"/>
    <w:rsid w:val="00010544"/>
    <w:rsid w:val="000105A3"/>
    <w:rsid w:val="000105B5"/>
    <w:rsid w:val="000105F1"/>
    <w:rsid w:val="0001068C"/>
    <w:rsid w:val="00010898"/>
    <w:rsid w:val="000108EE"/>
    <w:rsid w:val="0001099F"/>
    <w:rsid w:val="000109FB"/>
    <w:rsid w:val="00010ABD"/>
    <w:rsid w:val="00010AF4"/>
    <w:rsid w:val="00010BBE"/>
    <w:rsid w:val="00010BCC"/>
    <w:rsid w:val="00010BF5"/>
    <w:rsid w:val="00010C81"/>
    <w:rsid w:val="00010CC2"/>
    <w:rsid w:val="00010CE1"/>
    <w:rsid w:val="00010D69"/>
    <w:rsid w:val="00010D8F"/>
    <w:rsid w:val="00010D91"/>
    <w:rsid w:val="00010E9D"/>
    <w:rsid w:val="00010F3A"/>
    <w:rsid w:val="00010FFA"/>
    <w:rsid w:val="00011001"/>
    <w:rsid w:val="0001100D"/>
    <w:rsid w:val="00011022"/>
    <w:rsid w:val="0001103A"/>
    <w:rsid w:val="00011063"/>
    <w:rsid w:val="00011193"/>
    <w:rsid w:val="000111A1"/>
    <w:rsid w:val="0001121A"/>
    <w:rsid w:val="0001127C"/>
    <w:rsid w:val="000112BE"/>
    <w:rsid w:val="00011317"/>
    <w:rsid w:val="0001143A"/>
    <w:rsid w:val="00011458"/>
    <w:rsid w:val="00011483"/>
    <w:rsid w:val="000114D7"/>
    <w:rsid w:val="00011513"/>
    <w:rsid w:val="00011562"/>
    <w:rsid w:val="00011584"/>
    <w:rsid w:val="00011649"/>
    <w:rsid w:val="00011665"/>
    <w:rsid w:val="0001168E"/>
    <w:rsid w:val="00011691"/>
    <w:rsid w:val="000116A5"/>
    <w:rsid w:val="0001170D"/>
    <w:rsid w:val="00011730"/>
    <w:rsid w:val="00011758"/>
    <w:rsid w:val="000117C7"/>
    <w:rsid w:val="0001184D"/>
    <w:rsid w:val="00011861"/>
    <w:rsid w:val="00011924"/>
    <w:rsid w:val="000119A6"/>
    <w:rsid w:val="00011A36"/>
    <w:rsid w:val="00011B42"/>
    <w:rsid w:val="00011B57"/>
    <w:rsid w:val="00011B95"/>
    <w:rsid w:val="00011BAF"/>
    <w:rsid w:val="00011BB4"/>
    <w:rsid w:val="00011C39"/>
    <w:rsid w:val="00011C4E"/>
    <w:rsid w:val="00011CE9"/>
    <w:rsid w:val="00011D80"/>
    <w:rsid w:val="00011E27"/>
    <w:rsid w:val="00011EA7"/>
    <w:rsid w:val="00011F56"/>
    <w:rsid w:val="00011FC5"/>
    <w:rsid w:val="00012005"/>
    <w:rsid w:val="00012385"/>
    <w:rsid w:val="000123C8"/>
    <w:rsid w:val="000123D2"/>
    <w:rsid w:val="0001243E"/>
    <w:rsid w:val="000124EB"/>
    <w:rsid w:val="000124F4"/>
    <w:rsid w:val="0001255E"/>
    <w:rsid w:val="000125B0"/>
    <w:rsid w:val="000125F8"/>
    <w:rsid w:val="0001260D"/>
    <w:rsid w:val="00012638"/>
    <w:rsid w:val="0001267C"/>
    <w:rsid w:val="00012738"/>
    <w:rsid w:val="000127E2"/>
    <w:rsid w:val="0001287B"/>
    <w:rsid w:val="00012998"/>
    <w:rsid w:val="0001299D"/>
    <w:rsid w:val="00012A46"/>
    <w:rsid w:val="00012A5A"/>
    <w:rsid w:val="00012B30"/>
    <w:rsid w:val="00012BB3"/>
    <w:rsid w:val="00012BCF"/>
    <w:rsid w:val="00012C87"/>
    <w:rsid w:val="00012C9F"/>
    <w:rsid w:val="00012CCA"/>
    <w:rsid w:val="00012CE8"/>
    <w:rsid w:val="00012CED"/>
    <w:rsid w:val="00012D49"/>
    <w:rsid w:val="00012DF4"/>
    <w:rsid w:val="00012E35"/>
    <w:rsid w:val="00012E79"/>
    <w:rsid w:val="00012F0E"/>
    <w:rsid w:val="00012F8B"/>
    <w:rsid w:val="00012F94"/>
    <w:rsid w:val="00012FFD"/>
    <w:rsid w:val="0001303C"/>
    <w:rsid w:val="000130F7"/>
    <w:rsid w:val="0001313F"/>
    <w:rsid w:val="00013210"/>
    <w:rsid w:val="00013337"/>
    <w:rsid w:val="0001349A"/>
    <w:rsid w:val="00013513"/>
    <w:rsid w:val="0001352F"/>
    <w:rsid w:val="000135E8"/>
    <w:rsid w:val="00013680"/>
    <w:rsid w:val="00013695"/>
    <w:rsid w:val="0001373E"/>
    <w:rsid w:val="00013771"/>
    <w:rsid w:val="000137E4"/>
    <w:rsid w:val="000138B5"/>
    <w:rsid w:val="000138E1"/>
    <w:rsid w:val="000138F1"/>
    <w:rsid w:val="00013907"/>
    <w:rsid w:val="0001390B"/>
    <w:rsid w:val="0001399F"/>
    <w:rsid w:val="000139B2"/>
    <w:rsid w:val="00013A42"/>
    <w:rsid w:val="00013A85"/>
    <w:rsid w:val="00013A8F"/>
    <w:rsid w:val="00013AD0"/>
    <w:rsid w:val="00013AD9"/>
    <w:rsid w:val="00013AFC"/>
    <w:rsid w:val="00013BD4"/>
    <w:rsid w:val="00013BDC"/>
    <w:rsid w:val="00013C19"/>
    <w:rsid w:val="00013C7B"/>
    <w:rsid w:val="00013C97"/>
    <w:rsid w:val="00013DBA"/>
    <w:rsid w:val="00013DBE"/>
    <w:rsid w:val="00013DC8"/>
    <w:rsid w:val="00013E51"/>
    <w:rsid w:val="00013E54"/>
    <w:rsid w:val="00013EA2"/>
    <w:rsid w:val="00013F1B"/>
    <w:rsid w:val="00013F1F"/>
    <w:rsid w:val="00013F84"/>
    <w:rsid w:val="00014048"/>
    <w:rsid w:val="00014093"/>
    <w:rsid w:val="000140DA"/>
    <w:rsid w:val="0001418D"/>
    <w:rsid w:val="000141AE"/>
    <w:rsid w:val="000141FD"/>
    <w:rsid w:val="00014205"/>
    <w:rsid w:val="00014251"/>
    <w:rsid w:val="000142D1"/>
    <w:rsid w:val="00014329"/>
    <w:rsid w:val="0001432C"/>
    <w:rsid w:val="000143D2"/>
    <w:rsid w:val="000143DD"/>
    <w:rsid w:val="00014417"/>
    <w:rsid w:val="00014459"/>
    <w:rsid w:val="000144BA"/>
    <w:rsid w:val="000144BB"/>
    <w:rsid w:val="000144D7"/>
    <w:rsid w:val="00014513"/>
    <w:rsid w:val="0001454A"/>
    <w:rsid w:val="000146F6"/>
    <w:rsid w:val="00014721"/>
    <w:rsid w:val="0001478C"/>
    <w:rsid w:val="0001485C"/>
    <w:rsid w:val="00014891"/>
    <w:rsid w:val="000148AF"/>
    <w:rsid w:val="0001491B"/>
    <w:rsid w:val="0001493A"/>
    <w:rsid w:val="000149C7"/>
    <w:rsid w:val="000149F4"/>
    <w:rsid w:val="00014A6E"/>
    <w:rsid w:val="00014A82"/>
    <w:rsid w:val="00014B2E"/>
    <w:rsid w:val="00014CD0"/>
    <w:rsid w:val="00014D76"/>
    <w:rsid w:val="00014ECA"/>
    <w:rsid w:val="00014ED9"/>
    <w:rsid w:val="00014F40"/>
    <w:rsid w:val="00014F44"/>
    <w:rsid w:val="00014FD4"/>
    <w:rsid w:val="00015056"/>
    <w:rsid w:val="00015072"/>
    <w:rsid w:val="00015104"/>
    <w:rsid w:val="0001514A"/>
    <w:rsid w:val="000151E1"/>
    <w:rsid w:val="000152FC"/>
    <w:rsid w:val="0001540C"/>
    <w:rsid w:val="0001543E"/>
    <w:rsid w:val="000154AB"/>
    <w:rsid w:val="0001555B"/>
    <w:rsid w:val="000156E5"/>
    <w:rsid w:val="000156E6"/>
    <w:rsid w:val="000157EC"/>
    <w:rsid w:val="00015841"/>
    <w:rsid w:val="00015884"/>
    <w:rsid w:val="000158F6"/>
    <w:rsid w:val="0001598C"/>
    <w:rsid w:val="00015B35"/>
    <w:rsid w:val="00015C41"/>
    <w:rsid w:val="00015CA4"/>
    <w:rsid w:val="00015D18"/>
    <w:rsid w:val="00015D7D"/>
    <w:rsid w:val="00015DF9"/>
    <w:rsid w:val="00015E34"/>
    <w:rsid w:val="00015E42"/>
    <w:rsid w:val="00015ECB"/>
    <w:rsid w:val="00015EE4"/>
    <w:rsid w:val="00015F4D"/>
    <w:rsid w:val="00016007"/>
    <w:rsid w:val="00016106"/>
    <w:rsid w:val="0001614E"/>
    <w:rsid w:val="000161FD"/>
    <w:rsid w:val="0001622B"/>
    <w:rsid w:val="0001623D"/>
    <w:rsid w:val="0001632E"/>
    <w:rsid w:val="00016359"/>
    <w:rsid w:val="00016364"/>
    <w:rsid w:val="00016418"/>
    <w:rsid w:val="000164E6"/>
    <w:rsid w:val="000164F8"/>
    <w:rsid w:val="00016507"/>
    <w:rsid w:val="00016510"/>
    <w:rsid w:val="000165BA"/>
    <w:rsid w:val="000165FA"/>
    <w:rsid w:val="00016600"/>
    <w:rsid w:val="00016668"/>
    <w:rsid w:val="000166E3"/>
    <w:rsid w:val="000166F8"/>
    <w:rsid w:val="0001670A"/>
    <w:rsid w:val="000167A3"/>
    <w:rsid w:val="000167AA"/>
    <w:rsid w:val="00016864"/>
    <w:rsid w:val="000168E9"/>
    <w:rsid w:val="00016924"/>
    <w:rsid w:val="00016938"/>
    <w:rsid w:val="0001695D"/>
    <w:rsid w:val="000169BD"/>
    <w:rsid w:val="00016B87"/>
    <w:rsid w:val="00016C10"/>
    <w:rsid w:val="00016C7C"/>
    <w:rsid w:val="00016CF5"/>
    <w:rsid w:val="00016E3E"/>
    <w:rsid w:val="00016F3B"/>
    <w:rsid w:val="00016F3F"/>
    <w:rsid w:val="00016FC7"/>
    <w:rsid w:val="000170C3"/>
    <w:rsid w:val="000171EE"/>
    <w:rsid w:val="00017213"/>
    <w:rsid w:val="00017246"/>
    <w:rsid w:val="000172B0"/>
    <w:rsid w:val="000172CA"/>
    <w:rsid w:val="00017333"/>
    <w:rsid w:val="000173D3"/>
    <w:rsid w:val="000173F9"/>
    <w:rsid w:val="0001744E"/>
    <w:rsid w:val="000174D3"/>
    <w:rsid w:val="000174E9"/>
    <w:rsid w:val="00017524"/>
    <w:rsid w:val="00017584"/>
    <w:rsid w:val="000175A3"/>
    <w:rsid w:val="000175B9"/>
    <w:rsid w:val="000176FF"/>
    <w:rsid w:val="00017755"/>
    <w:rsid w:val="00017839"/>
    <w:rsid w:val="00017853"/>
    <w:rsid w:val="000178CB"/>
    <w:rsid w:val="0001799E"/>
    <w:rsid w:val="000179F4"/>
    <w:rsid w:val="00017B6D"/>
    <w:rsid w:val="00017B81"/>
    <w:rsid w:val="00017B92"/>
    <w:rsid w:val="00017BEC"/>
    <w:rsid w:val="00017C07"/>
    <w:rsid w:val="00017C2D"/>
    <w:rsid w:val="00017C6E"/>
    <w:rsid w:val="00017CD8"/>
    <w:rsid w:val="00017DAD"/>
    <w:rsid w:val="00017DC2"/>
    <w:rsid w:val="00017DC4"/>
    <w:rsid w:val="00017DE0"/>
    <w:rsid w:val="00017F11"/>
    <w:rsid w:val="00017F75"/>
    <w:rsid w:val="000200B0"/>
    <w:rsid w:val="00020110"/>
    <w:rsid w:val="000202CD"/>
    <w:rsid w:val="000202F2"/>
    <w:rsid w:val="0002033D"/>
    <w:rsid w:val="0002037B"/>
    <w:rsid w:val="000203EC"/>
    <w:rsid w:val="0002042B"/>
    <w:rsid w:val="00020480"/>
    <w:rsid w:val="000204CE"/>
    <w:rsid w:val="00020637"/>
    <w:rsid w:val="000206CA"/>
    <w:rsid w:val="00020876"/>
    <w:rsid w:val="00020901"/>
    <w:rsid w:val="000209B5"/>
    <w:rsid w:val="000209FF"/>
    <w:rsid w:val="00020A28"/>
    <w:rsid w:val="00020B88"/>
    <w:rsid w:val="00020B8C"/>
    <w:rsid w:val="00020C1E"/>
    <w:rsid w:val="00020C85"/>
    <w:rsid w:val="00020CB1"/>
    <w:rsid w:val="00020D22"/>
    <w:rsid w:val="00020D65"/>
    <w:rsid w:val="00020DE9"/>
    <w:rsid w:val="00020EB7"/>
    <w:rsid w:val="00020EC4"/>
    <w:rsid w:val="00020F0D"/>
    <w:rsid w:val="00020F14"/>
    <w:rsid w:val="00020F3A"/>
    <w:rsid w:val="00020F46"/>
    <w:rsid w:val="00020FDE"/>
    <w:rsid w:val="0002111A"/>
    <w:rsid w:val="00021153"/>
    <w:rsid w:val="0002118D"/>
    <w:rsid w:val="000211A4"/>
    <w:rsid w:val="00021261"/>
    <w:rsid w:val="0002126D"/>
    <w:rsid w:val="00021287"/>
    <w:rsid w:val="00021298"/>
    <w:rsid w:val="00021374"/>
    <w:rsid w:val="00021433"/>
    <w:rsid w:val="00021442"/>
    <w:rsid w:val="00021490"/>
    <w:rsid w:val="0002149D"/>
    <w:rsid w:val="000214C5"/>
    <w:rsid w:val="000215AF"/>
    <w:rsid w:val="000215FE"/>
    <w:rsid w:val="00021603"/>
    <w:rsid w:val="00021713"/>
    <w:rsid w:val="00021787"/>
    <w:rsid w:val="000217B1"/>
    <w:rsid w:val="00021816"/>
    <w:rsid w:val="0002181D"/>
    <w:rsid w:val="000218C2"/>
    <w:rsid w:val="0002199E"/>
    <w:rsid w:val="00021AF6"/>
    <w:rsid w:val="00021B07"/>
    <w:rsid w:val="00021CA5"/>
    <w:rsid w:val="00021D12"/>
    <w:rsid w:val="00021D5E"/>
    <w:rsid w:val="00021D7D"/>
    <w:rsid w:val="00021E0C"/>
    <w:rsid w:val="00021FDE"/>
    <w:rsid w:val="00022072"/>
    <w:rsid w:val="00022086"/>
    <w:rsid w:val="000220F6"/>
    <w:rsid w:val="00022105"/>
    <w:rsid w:val="00022288"/>
    <w:rsid w:val="000222B8"/>
    <w:rsid w:val="00022303"/>
    <w:rsid w:val="0002238B"/>
    <w:rsid w:val="000224D8"/>
    <w:rsid w:val="000224F5"/>
    <w:rsid w:val="000225D6"/>
    <w:rsid w:val="000225E2"/>
    <w:rsid w:val="000225FC"/>
    <w:rsid w:val="00022605"/>
    <w:rsid w:val="00022635"/>
    <w:rsid w:val="0002263D"/>
    <w:rsid w:val="00022664"/>
    <w:rsid w:val="00022721"/>
    <w:rsid w:val="0002280A"/>
    <w:rsid w:val="00022838"/>
    <w:rsid w:val="000229C6"/>
    <w:rsid w:val="000229D1"/>
    <w:rsid w:val="00022A01"/>
    <w:rsid w:val="00022A26"/>
    <w:rsid w:val="00022AAE"/>
    <w:rsid w:val="00022B1C"/>
    <w:rsid w:val="00022B42"/>
    <w:rsid w:val="00022BD7"/>
    <w:rsid w:val="00022BF4"/>
    <w:rsid w:val="00022C23"/>
    <w:rsid w:val="00022CF0"/>
    <w:rsid w:val="00022D33"/>
    <w:rsid w:val="00022D34"/>
    <w:rsid w:val="00022D3B"/>
    <w:rsid w:val="00022D45"/>
    <w:rsid w:val="00022DA9"/>
    <w:rsid w:val="00022DAB"/>
    <w:rsid w:val="00022F71"/>
    <w:rsid w:val="00022F8F"/>
    <w:rsid w:val="00022FA1"/>
    <w:rsid w:val="00023075"/>
    <w:rsid w:val="00023161"/>
    <w:rsid w:val="00023169"/>
    <w:rsid w:val="00023269"/>
    <w:rsid w:val="00023344"/>
    <w:rsid w:val="00023453"/>
    <w:rsid w:val="00023456"/>
    <w:rsid w:val="0002346C"/>
    <w:rsid w:val="000234B0"/>
    <w:rsid w:val="000234FA"/>
    <w:rsid w:val="0002350E"/>
    <w:rsid w:val="0002363C"/>
    <w:rsid w:val="000236B4"/>
    <w:rsid w:val="000237A9"/>
    <w:rsid w:val="000237C6"/>
    <w:rsid w:val="000238C7"/>
    <w:rsid w:val="000238D1"/>
    <w:rsid w:val="000239D8"/>
    <w:rsid w:val="00023A3F"/>
    <w:rsid w:val="00023A6D"/>
    <w:rsid w:val="00023A83"/>
    <w:rsid w:val="00023B51"/>
    <w:rsid w:val="00023B6C"/>
    <w:rsid w:val="00023BA8"/>
    <w:rsid w:val="00023C66"/>
    <w:rsid w:val="00023C6E"/>
    <w:rsid w:val="00023C87"/>
    <w:rsid w:val="00023D32"/>
    <w:rsid w:val="00023D53"/>
    <w:rsid w:val="00023D85"/>
    <w:rsid w:val="00023E04"/>
    <w:rsid w:val="00023EBC"/>
    <w:rsid w:val="00023EC2"/>
    <w:rsid w:val="00023F28"/>
    <w:rsid w:val="00023FA6"/>
    <w:rsid w:val="0002407C"/>
    <w:rsid w:val="000240D7"/>
    <w:rsid w:val="0002419E"/>
    <w:rsid w:val="000241BC"/>
    <w:rsid w:val="00024223"/>
    <w:rsid w:val="00024287"/>
    <w:rsid w:val="000242E3"/>
    <w:rsid w:val="000242F0"/>
    <w:rsid w:val="000243AA"/>
    <w:rsid w:val="0002454C"/>
    <w:rsid w:val="0002467D"/>
    <w:rsid w:val="00024693"/>
    <w:rsid w:val="000246B2"/>
    <w:rsid w:val="000246D2"/>
    <w:rsid w:val="0002472C"/>
    <w:rsid w:val="0002475F"/>
    <w:rsid w:val="0002476E"/>
    <w:rsid w:val="0002483C"/>
    <w:rsid w:val="0002484B"/>
    <w:rsid w:val="000248B3"/>
    <w:rsid w:val="000248E2"/>
    <w:rsid w:val="0002490F"/>
    <w:rsid w:val="00024930"/>
    <w:rsid w:val="00024989"/>
    <w:rsid w:val="00024A3D"/>
    <w:rsid w:val="00024A83"/>
    <w:rsid w:val="00024CA2"/>
    <w:rsid w:val="00024CBB"/>
    <w:rsid w:val="00024D27"/>
    <w:rsid w:val="00024D93"/>
    <w:rsid w:val="00024E7A"/>
    <w:rsid w:val="00024F0E"/>
    <w:rsid w:val="00024F3E"/>
    <w:rsid w:val="00024FA7"/>
    <w:rsid w:val="0002502B"/>
    <w:rsid w:val="0002508F"/>
    <w:rsid w:val="000251D3"/>
    <w:rsid w:val="00025217"/>
    <w:rsid w:val="00025264"/>
    <w:rsid w:val="00025297"/>
    <w:rsid w:val="000252BD"/>
    <w:rsid w:val="000252D1"/>
    <w:rsid w:val="000254CB"/>
    <w:rsid w:val="00025523"/>
    <w:rsid w:val="00025565"/>
    <w:rsid w:val="00025635"/>
    <w:rsid w:val="000256C2"/>
    <w:rsid w:val="0002575D"/>
    <w:rsid w:val="00025760"/>
    <w:rsid w:val="000257AB"/>
    <w:rsid w:val="00025926"/>
    <w:rsid w:val="0002592C"/>
    <w:rsid w:val="00025970"/>
    <w:rsid w:val="0002597B"/>
    <w:rsid w:val="0002597C"/>
    <w:rsid w:val="00025A1D"/>
    <w:rsid w:val="00025B35"/>
    <w:rsid w:val="00025B4B"/>
    <w:rsid w:val="00025B60"/>
    <w:rsid w:val="00025B9C"/>
    <w:rsid w:val="00025BA0"/>
    <w:rsid w:val="00025BFC"/>
    <w:rsid w:val="00025C34"/>
    <w:rsid w:val="00025C5D"/>
    <w:rsid w:val="00025C8C"/>
    <w:rsid w:val="00025C94"/>
    <w:rsid w:val="00025CD1"/>
    <w:rsid w:val="00025CE0"/>
    <w:rsid w:val="00025D2E"/>
    <w:rsid w:val="00025D67"/>
    <w:rsid w:val="00025E07"/>
    <w:rsid w:val="00025E82"/>
    <w:rsid w:val="00025E92"/>
    <w:rsid w:val="00025EC7"/>
    <w:rsid w:val="00025F00"/>
    <w:rsid w:val="00025F0D"/>
    <w:rsid w:val="00025FD2"/>
    <w:rsid w:val="00026046"/>
    <w:rsid w:val="0002616C"/>
    <w:rsid w:val="000261F4"/>
    <w:rsid w:val="000262AD"/>
    <w:rsid w:val="000263B9"/>
    <w:rsid w:val="000263E1"/>
    <w:rsid w:val="00026444"/>
    <w:rsid w:val="000264BB"/>
    <w:rsid w:val="000264F0"/>
    <w:rsid w:val="000264F8"/>
    <w:rsid w:val="000265C2"/>
    <w:rsid w:val="0002662C"/>
    <w:rsid w:val="00026685"/>
    <w:rsid w:val="000266A3"/>
    <w:rsid w:val="00026744"/>
    <w:rsid w:val="00026751"/>
    <w:rsid w:val="000267C6"/>
    <w:rsid w:val="00026842"/>
    <w:rsid w:val="00026869"/>
    <w:rsid w:val="0002686F"/>
    <w:rsid w:val="00026877"/>
    <w:rsid w:val="00026896"/>
    <w:rsid w:val="00026943"/>
    <w:rsid w:val="00026950"/>
    <w:rsid w:val="0002697C"/>
    <w:rsid w:val="00026A28"/>
    <w:rsid w:val="00026A31"/>
    <w:rsid w:val="00026A53"/>
    <w:rsid w:val="00026A72"/>
    <w:rsid w:val="00026A7B"/>
    <w:rsid w:val="00026AB3"/>
    <w:rsid w:val="00026AC5"/>
    <w:rsid w:val="00026B6C"/>
    <w:rsid w:val="00026BB1"/>
    <w:rsid w:val="00026BE5"/>
    <w:rsid w:val="00026C33"/>
    <w:rsid w:val="00026C9F"/>
    <w:rsid w:val="00026D07"/>
    <w:rsid w:val="00026DA5"/>
    <w:rsid w:val="00026E18"/>
    <w:rsid w:val="00026E45"/>
    <w:rsid w:val="00026FA7"/>
    <w:rsid w:val="00026FBC"/>
    <w:rsid w:val="00027034"/>
    <w:rsid w:val="0002705E"/>
    <w:rsid w:val="000270C1"/>
    <w:rsid w:val="000270D9"/>
    <w:rsid w:val="000270DD"/>
    <w:rsid w:val="00027170"/>
    <w:rsid w:val="0002717E"/>
    <w:rsid w:val="00027212"/>
    <w:rsid w:val="0002725D"/>
    <w:rsid w:val="000272A4"/>
    <w:rsid w:val="000272DD"/>
    <w:rsid w:val="0002741F"/>
    <w:rsid w:val="00027529"/>
    <w:rsid w:val="00027551"/>
    <w:rsid w:val="0002759D"/>
    <w:rsid w:val="000275A9"/>
    <w:rsid w:val="00027653"/>
    <w:rsid w:val="00027689"/>
    <w:rsid w:val="000276AB"/>
    <w:rsid w:val="00027725"/>
    <w:rsid w:val="0002774D"/>
    <w:rsid w:val="00027871"/>
    <w:rsid w:val="000278A0"/>
    <w:rsid w:val="000278C2"/>
    <w:rsid w:val="000278EB"/>
    <w:rsid w:val="0002796B"/>
    <w:rsid w:val="00027A1E"/>
    <w:rsid w:val="00027A35"/>
    <w:rsid w:val="00027B0B"/>
    <w:rsid w:val="00027BE8"/>
    <w:rsid w:val="00027C93"/>
    <w:rsid w:val="00027CDA"/>
    <w:rsid w:val="00027CEE"/>
    <w:rsid w:val="00027CFB"/>
    <w:rsid w:val="00027D17"/>
    <w:rsid w:val="00027D56"/>
    <w:rsid w:val="00027D97"/>
    <w:rsid w:val="00027DA6"/>
    <w:rsid w:val="00027DBA"/>
    <w:rsid w:val="00027DC2"/>
    <w:rsid w:val="00027E21"/>
    <w:rsid w:val="00027E35"/>
    <w:rsid w:val="00027F04"/>
    <w:rsid w:val="00027F19"/>
    <w:rsid w:val="00027F5B"/>
    <w:rsid w:val="00027F94"/>
    <w:rsid w:val="00027FD7"/>
    <w:rsid w:val="00030003"/>
    <w:rsid w:val="0003005F"/>
    <w:rsid w:val="00030133"/>
    <w:rsid w:val="0003014E"/>
    <w:rsid w:val="000301CD"/>
    <w:rsid w:val="00030210"/>
    <w:rsid w:val="00030239"/>
    <w:rsid w:val="00030241"/>
    <w:rsid w:val="00030283"/>
    <w:rsid w:val="0003032F"/>
    <w:rsid w:val="000303CC"/>
    <w:rsid w:val="00030432"/>
    <w:rsid w:val="0003043D"/>
    <w:rsid w:val="000304B9"/>
    <w:rsid w:val="00030510"/>
    <w:rsid w:val="0003055E"/>
    <w:rsid w:val="00030588"/>
    <w:rsid w:val="000305C5"/>
    <w:rsid w:val="00030648"/>
    <w:rsid w:val="0003070A"/>
    <w:rsid w:val="00030775"/>
    <w:rsid w:val="0003079B"/>
    <w:rsid w:val="000307AB"/>
    <w:rsid w:val="000307F9"/>
    <w:rsid w:val="00030899"/>
    <w:rsid w:val="000308FC"/>
    <w:rsid w:val="00030902"/>
    <w:rsid w:val="00030922"/>
    <w:rsid w:val="00030926"/>
    <w:rsid w:val="00030990"/>
    <w:rsid w:val="00030A4A"/>
    <w:rsid w:val="00030AB2"/>
    <w:rsid w:val="00030ABF"/>
    <w:rsid w:val="00030B2C"/>
    <w:rsid w:val="00030B68"/>
    <w:rsid w:val="00030DEE"/>
    <w:rsid w:val="00030E27"/>
    <w:rsid w:val="00030F22"/>
    <w:rsid w:val="0003112D"/>
    <w:rsid w:val="00031169"/>
    <w:rsid w:val="00031176"/>
    <w:rsid w:val="0003125F"/>
    <w:rsid w:val="000312AD"/>
    <w:rsid w:val="000312D5"/>
    <w:rsid w:val="000312E2"/>
    <w:rsid w:val="00031337"/>
    <w:rsid w:val="000313A9"/>
    <w:rsid w:val="000313B4"/>
    <w:rsid w:val="000313E0"/>
    <w:rsid w:val="000313FC"/>
    <w:rsid w:val="00031482"/>
    <w:rsid w:val="0003150F"/>
    <w:rsid w:val="000315A2"/>
    <w:rsid w:val="000315BA"/>
    <w:rsid w:val="000315E8"/>
    <w:rsid w:val="000316C6"/>
    <w:rsid w:val="0003181C"/>
    <w:rsid w:val="00031820"/>
    <w:rsid w:val="000318E3"/>
    <w:rsid w:val="00031928"/>
    <w:rsid w:val="000319B5"/>
    <w:rsid w:val="000319E0"/>
    <w:rsid w:val="00031BFC"/>
    <w:rsid w:val="00031C10"/>
    <w:rsid w:val="00031C56"/>
    <w:rsid w:val="00031D20"/>
    <w:rsid w:val="00031D51"/>
    <w:rsid w:val="00031D72"/>
    <w:rsid w:val="00031DB2"/>
    <w:rsid w:val="00031DB7"/>
    <w:rsid w:val="00031DE1"/>
    <w:rsid w:val="00031E2D"/>
    <w:rsid w:val="00031E8A"/>
    <w:rsid w:val="00031E95"/>
    <w:rsid w:val="00031F1E"/>
    <w:rsid w:val="00032016"/>
    <w:rsid w:val="000320ED"/>
    <w:rsid w:val="00032290"/>
    <w:rsid w:val="00032306"/>
    <w:rsid w:val="00032341"/>
    <w:rsid w:val="00032398"/>
    <w:rsid w:val="000323FE"/>
    <w:rsid w:val="00032414"/>
    <w:rsid w:val="000324AD"/>
    <w:rsid w:val="00032512"/>
    <w:rsid w:val="00032516"/>
    <w:rsid w:val="00032542"/>
    <w:rsid w:val="00032595"/>
    <w:rsid w:val="000325D7"/>
    <w:rsid w:val="000325DC"/>
    <w:rsid w:val="000325ED"/>
    <w:rsid w:val="0003262D"/>
    <w:rsid w:val="000327BE"/>
    <w:rsid w:val="000327F8"/>
    <w:rsid w:val="00032845"/>
    <w:rsid w:val="0003284E"/>
    <w:rsid w:val="000328C9"/>
    <w:rsid w:val="000329FF"/>
    <w:rsid w:val="00032A45"/>
    <w:rsid w:val="00032A9E"/>
    <w:rsid w:val="00032AEC"/>
    <w:rsid w:val="00032B08"/>
    <w:rsid w:val="00032B19"/>
    <w:rsid w:val="00032D24"/>
    <w:rsid w:val="00032D6A"/>
    <w:rsid w:val="00032ECC"/>
    <w:rsid w:val="00032EE8"/>
    <w:rsid w:val="00032FE7"/>
    <w:rsid w:val="00033030"/>
    <w:rsid w:val="00033169"/>
    <w:rsid w:val="000331C5"/>
    <w:rsid w:val="000331E3"/>
    <w:rsid w:val="00033256"/>
    <w:rsid w:val="0003327F"/>
    <w:rsid w:val="000332A1"/>
    <w:rsid w:val="000332C6"/>
    <w:rsid w:val="000332D0"/>
    <w:rsid w:val="00033429"/>
    <w:rsid w:val="0003342C"/>
    <w:rsid w:val="00033434"/>
    <w:rsid w:val="0003346F"/>
    <w:rsid w:val="000334AA"/>
    <w:rsid w:val="000334AF"/>
    <w:rsid w:val="00033597"/>
    <w:rsid w:val="000335EE"/>
    <w:rsid w:val="00033642"/>
    <w:rsid w:val="0003367B"/>
    <w:rsid w:val="000336A2"/>
    <w:rsid w:val="000336C0"/>
    <w:rsid w:val="000336FA"/>
    <w:rsid w:val="0003374A"/>
    <w:rsid w:val="0003374E"/>
    <w:rsid w:val="00033837"/>
    <w:rsid w:val="00033841"/>
    <w:rsid w:val="000338A0"/>
    <w:rsid w:val="000338BF"/>
    <w:rsid w:val="00033992"/>
    <w:rsid w:val="000339A5"/>
    <w:rsid w:val="000339BC"/>
    <w:rsid w:val="00033A0C"/>
    <w:rsid w:val="00033A3F"/>
    <w:rsid w:val="00033A7E"/>
    <w:rsid w:val="00033AB1"/>
    <w:rsid w:val="00033B00"/>
    <w:rsid w:val="00033B27"/>
    <w:rsid w:val="00033B6A"/>
    <w:rsid w:val="00033BB6"/>
    <w:rsid w:val="00033BDD"/>
    <w:rsid w:val="00033C99"/>
    <w:rsid w:val="00033CA6"/>
    <w:rsid w:val="00033E02"/>
    <w:rsid w:val="00033EA0"/>
    <w:rsid w:val="00033F1D"/>
    <w:rsid w:val="00033F8A"/>
    <w:rsid w:val="00034006"/>
    <w:rsid w:val="00034076"/>
    <w:rsid w:val="000340A9"/>
    <w:rsid w:val="00034117"/>
    <w:rsid w:val="00034124"/>
    <w:rsid w:val="000341EF"/>
    <w:rsid w:val="0003425C"/>
    <w:rsid w:val="00034294"/>
    <w:rsid w:val="000342A7"/>
    <w:rsid w:val="000342C5"/>
    <w:rsid w:val="000342D6"/>
    <w:rsid w:val="0003436D"/>
    <w:rsid w:val="000343A9"/>
    <w:rsid w:val="000343BD"/>
    <w:rsid w:val="000343C2"/>
    <w:rsid w:val="000343CD"/>
    <w:rsid w:val="000343EE"/>
    <w:rsid w:val="000343F5"/>
    <w:rsid w:val="00034422"/>
    <w:rsid w:val="00034428"/>
    <w:rsid w:val="0003460D"/>
    <w:rsid w:val="00034621"/>
    <w:rsid w:val="00034644"/>
    <w:rsid w:val="00034655"/>
    <w:rsid w:val="000346AA"/>
    <w:rsid w:val="00034727"/>
    <w:rsid w:val="00034735"/>
    <w:rsid w:val="00034853"/>
    <w:rsid w:val="000348EA"/>
    <w:rsid w:val="00034979"/>
    <w:rsid w:val="0003498A"/>
    <w:rsid w:val="00034A48"/>
    <w:rsid w:val="00034A59"/>
    <w:rsid w:val="00034B0E"/>
    <w:rsid w:val="00034B57"/>
    <w:rsid w:val="00034B71"/>
    <w:rsid w:val="00034B7A"/>
    <w:rsid w:val="00034BAE"/>
    <w:rsid w:val="00034BB3"/>
    <w:rsid w:val="00034BFC"/>
    <w:rsid w:val="00034C62"/>
    <w:rsid w:val="00034D76"/>
    <w:rsid w:val="00034E0A"/>
    <w:rsid w:val="00034E90"/>
    <w:rsid w:val="00034ECC"/>
    <w:rsid w:val="00034EF4"/>
    <w:rsid w:val="00034F03"/>
    <w:rsid w:val="00034F5B"/>
    <w:rsid w:val="00034F67"/>
    <w:rsid w:val="00034F7D"/>
    <w:rsid w:val="00034F91"/>
    <w:rsid w:val="00034FCE"/>
    <w:rsid w:val="00035018"/>
    <w:rsid w:val="000351CD"/>
    <w:rsid w:val="00035215"/>
    <w:rsid w:val="0003532F"/>
    <w:rsid w:val="0003533A"/>
    <w:rsid w:val="00035391"/>
    <w:rsid w:val="000353D0"/>
    <w:rsid w:val="00035412"/>
    <w:rsid w:val="0003551E"/>
    <w:rsid w:val="0003553D"/>
    <w:rsid w:val="0003555A"/>
    <w:rsid w:val="00035571"/>
    <w:rsid w:val="0003559C"/>
    <w:rsid w:val="000355A4"/>
    <w:rsid w:val="0003561E"/>
    <w:rsid w:val="000356C3"/>
    <w:rsid w:val="000357B2"/>
    <w:rsid w:val="000357FD"/>
    <w:rsid w:val="00035807"/>
    <w:rsid w:val="0003587A"/>
    <w:rsid w:val="000358D9"/>
    <w:rsid w:val="000358F6"/>
    <w:rsid w:val="00035968"/>
    <w:rsid w:val="000359B3"/>
    <w:rsid w:val="000359E5"/>
    <w:rsid w:val="00035A72"/>
    <w:rsid w:val="00035A91"/>
    <w:rsid w:val="00035AB5"/>
    <w:rsid w:val="00035B23"/>
    <w:rsid w:val="00035BCD"/>
    <w:rsid w:val="00035BFB"/>
    <w:rsid w:val="00035C54"/>
    <w:rsid w:val="00035D16"/>
    <w:rsid w:val="00035D1F"/>
    <w:rsid w:val="00035E35"/>
    <w:rsid w:val="00035E68"/>
    <w:rsid w:val="00035EDD"/>
    <w:rsid w:val="00035F38"/>
    <w:rsid w:val="00035F87"/>
    <w:rsid w:val="00035F90"/>
    <w:rsid w:val="00036046"/>
    <w:rsid w:val="0003607D"/>
    <w:rsid w:val="00036108"/>
    <w:rsid w:val="000361B9"/>
    <w:rsid w:val="00036208"/>
    <w:rsid w:val="00036319"/>
    <w:rsid w:val="00036324"/>
    <w:rsid w:val="0003632E"/>
    <w:rsid w:val="000363F1"/>
    <w:rsid w:val="00036408"/>
    <w:rsid w:val="00036490"/>
    <w:rsid w:val="0003653D"/>
    <w:rsid w:val="0003657A"/>
    <w:rsid w:val="000365EF"/>
    <w:rsid w:val="00036606"/>
    <w:rsid w:val="0003663C"/>
    <w:rsid w:val="00036660"/>
    <w:rsid w:val="00036675"/>
    <w:rsid w:val="0003669D"/>
    <w:rsid w:val="000366C8"/>
    <w:rsid w:val="0003679B"/>
    <w:rsid w:val="000367E0"/>
    <w:rsid w:val="00036889"/>
    <w:rsid w:val="000368F2"/>
    <w:rsid w:val="000368F8"/>
    <w:rsid w:val="00036935"/>
    <w:rsid w:val="0003696E"/>
    <w:rsid w:val="0003698D"/>
    <w:rsid w:val="0003699A"/>
    <w:rsid w:val="000369A1"/>
    <w:rsid w:val="00036BB3"/>
    <w:rsid w:val="00036C1B"/>
    <w:rsid w:val="00036C1E"/>
    <w:rsid w:val="00036C28"/>
    <w:rsid w:val="00036CB6"/>
    <w:rsid w:val="00036D5C"/>
    <w:rsid w:val="00036DEB"/>
    <w:rsid w:val="00036E18"/>
    <w:rsid w:val="00036E9D"/>
    <w:rsid w:val="00036EFB"/>
    <w:rsid w:val="00037023"/>
    <w:rsid w:val="000370ED"/>
    <w:rsid w:val="00037261"/>
    <w:rsid w:val="000373C6"/>
    <w:rsid w:val="0003746A"/>
    <w:rsid w:val="00037497"/>
    <w:rsid w:val="00037513"/>
    <w:rsid w:val="0003763F"/>
    <w:rsid w:val="000376CC"/>
    <w:rsid w:val="000376EE"/>
    <w:rsid w:val="0003776E"/>
    <w:rsid w:val="000377B1"/>
    <w:rsid w:val="000377E5"/>
    <w:rsid w:val="00037819"/>
    <w:rsid w:val="00037828"/>
    <w:rsid w:val="00037974"/>
    <w:rsid w:val="000379CE"/>
    <w:rsid w:val="000379D7"/>
    <w:rsid w:val="00037B46"/>
    <w:rsid w:val="00037B81"/>
    <w:rsid w:val="00037BF0"/>
    <w:rsid w:val="00037C18"/>
    <w:rsid w:val="00037CB3"/>
    <w:rsid w:val="00037CDF"/>
    <w:rsid w:val="00037D85"/>
    <w:rsid w:val="00037DA1"/>
    <w:rsid w:val="00037DA2"/>
    <w:rsid w:val="00037DFF"/>
    <w:rsid w:val="00037E78"/>
    <w:rsid w:val="00037E7D"/>
    <w:rsid w:val="00037E8F"/>
    <w:rsid w:val="00037EB9"/>
    <w:rsid w:val="00037F43"/>
    <w:rsid w:val="0003CF71"/>
    <w:rsid w:val="00040045"/>
    <w:rsid w:val="00040078"/>
    <w:rsid w:val="000400EA"/>
    <w:rsid w:val="00040171"/>
    <w:rsid w:val="000401D9"/>
    <w:rsid w:val="00040220"/>
    <w:rsid w:val="000402A0"/>
    <w:rsid w:val="000402C2"/>
    <w:rsid w:val="00040302"/>
    <w:rsid w:val="0004031B"/>
    <w:rsid w:val="000403B2"/>
    <w:rsid w:val="000403C8"/>
    <w:rsid w:val="0004042E"/>
    <w:rsid w:val="000404E9"/>
    <w:rsid w:val="00040524"/>
    <w:rsid w:val="00040603"/>
    <w:rsid w:val="000406E0"/>
    <w:rsid w:val="00040777"/>
    <w:rsid w:val="00040795"/>
    <w:rsid w:val="000407A9"/>
    <w:rsid w:val="000407DE"/>
    <w:rsid w:val="00040875"/>
    <w:rsid w:val="000408A6"/>
    <w:rsid w:val="000408E9"/>
    <w:rsid w:val="0004095D"/>
    <w:rsid w:val="00040967"/>
    <w:rsid w:val="000409D6"/>
    <w:rsid w:val="00040A65"/>
    <w:rsid w:val="00040A76"/>
    <w:rsid w:val="00040BBD"/>
    <w:rsid w:val="00040C2B"/>
    <w:rsid w:val="00040C6D"/>
    <w:rsid w:val="00040CB3"/>
    <w:rsid w:val="00040D2E"/>
    <w:rsid w:val="00040D64"/>
    <w:rsid w:val="00040DB6"/>
    <w:rsid w:val="00040E17"/>
    <w:rsid w:val="00040F05"/>
    <w:rsid w:val="00040FCA"/>
    <w:rsid w:val="0004104C"/>
    <w:rsid w:val="000410F1"/>
    <w:rsid w:val="00041110"/>
    <w:rsid w:val="00041137"/>
    <w:rsid w:val="0004114E"/>
    <w:rsid w:val="000411A0"/>
    <w:rsid w:val="000411EB"/>
    <w:rsid w:val="000411EE"/>
    <w:rsid w:val="00041305"/>
    <w:rsid w:val="0004136C"/>
    <w:rsid w:val="00041453"/>
    <w:rsid w:val="00041533"/>
    <w:rsid w:val="000415E7"/>
    <w:rsid w:val="0004162B"/>
    <w:rsid w:val="0004168E"/>
    <w:rsid w:val="00041708"/>
    <w:rsid w:val="0004176C"/>
    <w:rsid w:val="0004178F"/>
    <w:rsid w:val="0004182E"/>
    <w:rsid w:val="0004184C"/>
    <w:rsid w:val="00041884"/>
    <w:rsid w:val="00041898"/>
    <w:rsid w:val="00041998"/>
    <w:rsid w:val="000419BA"/>
    <w:rsid w:val="000419EB"/>
    <w:rsid w:val="00041A46"/>
    <w:rsid w:val="00041B3C"/>
    <w:rsid w:val="00041B6C"/>
    <w:rsid w:val="00041C35"/>
    <w:rsid w:val="00041C53"/>
    <w:rsid w:val="00041CE1"/>
    <w:rsid w:val="00041D05"/>
    <w:rsid w:val="00041D47"/>
    <w:rsid w:val="00041E15"/>
    <w:rsid w:val="00041E30"/>
    <w:rsid w:val="00041E9D"/>
    <w:rsid w:val="00041F08"/>
    <w:rsid w:val="00041F15"/>
    <w:rsid w:val="00041F30"/>
    <w:rsid w:val="00041F8E"/>
    <w:rsid w:val="00041F91"/>
    <w:rsid w:val="00041F96"/>
    <w:rsid w:val="0004206D"/>
    <w:rsid w:val="00042238"/>
    <w:rsid w:val="0004227C"/>
    <w:rsid w:val="0004229E"/>
    <w:rsid w:val="00042304"/>
    <w:rsid w:val="00042314"/>
    <w:rsid w:val="000423A3"/>
    <w:rsid w:val="000423B3"/>
    <w:rsid w:val="000423DB"/>
    <w:rsid w:val="000423EC"/>
    <w:rsid w:val="000423F0"/>
    <w:rsid w:val="0004248B"/>
    <w:rsid w:val="000424E9"/>
    <w:rsid w:val="000424FD"/>
    <w:rsid w:val="00042523"/>
    <w:rsid w:val="000425C5"/>
    <w:rsid w:val="00042617"/>
    <w:rsid w:val="00042634"/>
    <w:rsid w:val="0004264D"/>
    <w:rsid w:val="00042699"/>
    <w:rsid w:val="000426D3"/>
    <w:rsid w:val="00042741"/>
    <w:rsid w:val="000427C7"/>
    <w:rsid w:val="00042880"/>
    <w:rsid w:val="00042992"/>
    <w:rsid w:val="00042A40"/>
    <w:rsid w:val="00042ABF"/>
    <w:rsid w:val="00042BA5"/>
    <w:rsid w:val="00042C13"/>
    <w:rsid w:val="00042CF0"/>
    <w:rsid w:val="00042EF6"/>
    <w:rsid w:val="00042F7D"/>
    <w:rsid w:val="00042FA8"/>
    <w:rsid w:val="0004300E"/>
    <w:rsid w:val="0004303F"/>
    <w:rsid w:val="0004306A"/>
    <w:rsid w:val="00043086"/>
    <w:rsid w:val="000430CC"/>
    <w:rsid w:val="000431C9"/>
    <w:rsid w:val="000431DC"/>
    <w:rsid w:val="00043259"/>
    <w:rsid w:val="000432DC"/>
    <w:rsid w:val="0004339B"/>
    <w:rsid w:val="000433B7"/>
    <w:rsid w:val="000433C8"/>
    <w:rsid w:val="00043449"/>
    <w:rsid w:val="0004345C"/>
    <w:rsid w:val="00043465"/>
    <w:rsid w:val="000434E1"/>
    <w:rsid w:val="00043565"/>
    <w:rsid w:val="00043570"/>
    <w:rsid w:val="00043578"/>
    <w:rsid w:val="000436DF"/>
    <w:rsid w:val="00043722"/>
    <w:rsid w:val="0004372A"/>
    <w:rsid w:val="0004377A"/>
    <w:rsid w:val="000437DE"/>
    <w:rsid w:val="00043835"/>
    <w:rsid w:val="000438D5"/>
    <w:rsid w:val="0004395B"/>
    <w:rsid w:val="0004396C"/>
    <w:rsid w:val="00043972"/>
    <w:rsid w:val="0004399B"/>
    <w:rsid w:val="000439B1"/>
    <w:rsid w:val="00043A05"/>
    <w:rsid w:val="00043AFD"/>
    <w:rsid w:val="00043BD6"/>
    <w:rsid w:val="00043DC3"/>
    <w:rsid w:val="00043DF5"/>
    <w:rsid w:val="00043E97"/>
    <w:rsid w:val="00043EDB"/>
    <w:rsid w:val="00043FD6"/>
    <w:rsid w:val="00043FD8"/>
    <w:rsid w:val="000440A7"/>
    <w:rsid w:val="0004411E"/>
    <w:rsid w:val="00044124"/>
    <w:rsid w:val="00044130"/>
    <w:rsid w:val="0004413F"/>
    <w:rsid w:val="0004417D"/>
    <w:rsid w:val="00044185"/>
    <w:rsid w:val="000441D4"/>
    <w:rsid w:val="000441EE"/>
    <w:rsid w:val="000442C6"/>
    <w:rsid w:val="00044364"/>
    <w:rsid w:val="00044371"/>
    <w:rsid w:val="00044408"/>
    <w:rsid w:val="000444E1"/>
    <w:rsid w:val="000444ED"/>
    <w:rsid w:val="00044552"/>
    <w:rsid w:val="0004459A"/>
    <w:rsid w:val="00044636"/>
    <w:rsid w:val="0004464F"/>
    <w:rsid w:val="00044697"/>
    <w:rsid w:val="000446AF"/>
    <w:rsid w:val="000446BA"/>
    <w:rsid w:val="0004473A"/>
    <w:rsid w:val="000447C7"/>
    <w:rsid w:val="00044810"/>
    <w:rsid w:val="00044854"/>
    <w:rsid w:val="0004488A"/>
    <w:rsid w:val="000448F2"/>
    <w:rsid w:val="0004495B"/>
    <w:rsid w:val="000449B3"/>
    <w:rsid w:val="000449BC"/>
    <w:rsid w:val="000449E6"/>
    <w:rsid w:val="00044A36"/>
    <w:rsid w:val="00044A41"/>
    <w:rsid w:val="00044ABA"/>
    <w:rsid w:val="00044AEE"/>
    <w:rsid w:val="00044AF0"/>
    <w:rsid w:val="00044C22"/>
    <w:rsid w:val="00044CB1"/>
    <w:rsid w:val="00044D92"/>
    <w:rsid w:val="00044D97"/>
    <w:rsid w:val="00044DC7"/>
    <w:rsid w:val="00044E66"/>
    <w:rsid w:val="00044EC8"/>
    <w:rsid w:val="00044EFB"/>
    <w:rsid w:val="00044FC9"/>
    <w:rsid w:val="00045030"/>
    <w:rsid w:val="00045060"/>
    <w:rsid w:val="00045075"/>
    <w:rsid w:val="0004508F"/>
    <w:rsid w:val="000450F6"/>
    <w:rsid w:val="000450FE"/>
    <w:rsid w:val="00045119"/>
    <w:rsid w:val="0004512F"/>
    <w:rsid w:val="0004516E"/>
    <w:rsid w:val="0004518A"/>
    <w:rsid w:val="000451F9"/>
    <w:rsid w:val="0004523A"/>
    <w:rsid w:val="00045252"/>
    <w:rsid w:val="0004529C"/>
    <w:rsid w:val="000452E1"/>
    <w:rsid w:val="0004534C"/>
    <w:rsid w:val="0004541B"/>
    <w:rsid w:val="0004552E"/>
    <w:rsid w:val="000455F7"/>
    <w:rsid w:val="0004563E"/>
    <w:rsid w:val="000456E2"/>
    <w:rsid w:val="0004579D"/>
    <w:rsid w:val="000457B0"/>
    <w:rsid w:val="0004584F"/>
    <w:rsid w:val="00045878"/>
    <w:rsid w:val="00045895"/>
    <w:rsid w:val="000458E5"/>
    <w:rsid w:val="0004595E"/>
    <w:rsid w:val="00045A43"/>
    <w:rsid w:val="00045B19"/>
    <w:rsid w:val="00045BEA"/>
    <w:rsid w:val="00045BFF"/>
    <w:rsid w:val="00045C3B"/>
    <w:rsid w:val="00045C9D"/>
    <w:rsid w:val="00045DA7"/>
    <w:rsid w:val="00045EB4"/>
    <w:rsid w:val="00045F24"/>
    <w:rsid w:val="00045F67"/>
    <w:rsid w:val="00046037"/>
    <w:rsid w:val="0004604D"/>
    <w:rsid w:val="000461D2"/>
    <w:rsid w:val="000461EB"/>
    <w:rsid w:val="00046204"/>
    <w:rsid w:val="00046259"/>
    <w:rsid w:val="000462D1"/>
    <w:rsid w:val="00046311"/>
    <w:rsid w:val="00046372"/>
    <w:rsid w:val="00046464"/>
    <w:rsid w:val="0004652C"/>
    <w:rsid w:val="00046577"/>
    <w:rsid w:val="000466D3"/>
    <w:rsid w:val="00046725"/>
    <w:rsid w:val="0004681E"/>
    <w:rsid w:val="0004685A"/>
    <w:rsid w:val="00046885"/>
    <w:rsid w:val="000468AE"/>
    <w:rsid w:val="000468B9"/>
    <w:rsid w:val="000468D6"/>
    <w:rsid w:val="000468F3"/>
    <w:rsid w:val="000468F6"/>
    <w:rsid w:val="0004693D"/>
    <w:rsid w:val="00046957"/>
    <w:rsid w:val="00046958"/>
    <w:rsid w:val="00046A1C"/>
    <w:rsid w:val="00046A46"/>
    <w:rsid w:val="00046A67"/>
    <w:rsid w:val="00046AC6"/>
    <w:rsid w:val="00046AFC"/>
    <w:rsid w:val="00046B78"/>
    <w:rsid w:val="00046BB7"/>
    <w:rsid w:val="00046BD1"/>
    <w:rsid w:val="00046BF1"/>
    <w:rsid w:val="00046CAA"/>
    <w:rsid w:val="00046D14"/>
    <w:rsid w:val="00046D6B"/>
    <w:rsid w:val="00046DAC"/>
    <w:rsid w:val="00046DB9"/>
    <w:rsid w:val="00046E3C"/>
    <w:rsid w:val="00046EF0"/>
    <w:rsid w:val="00046F0C"/>
    <w:rsid w:val="000470C3"/>
    <w:rsid w:val="00047136"/>
    <w:rsid w:val="0004716A"/>
    <w:rsid w:val="0004724D"/>
    <w:rsid w:val="00047263"/>
    <w:rsid w:val="00047286"/>
    <w:rsid w:val="0004736A"/>
    <w:rsid w:val="0004739B"/>
    <w:rsid w:val="0004747A"/>
    <w:rsid w:val="00047527"/>
    <w:rsid w:val="000475C1"/>
    <w:rsid w:val="000475FE"/>
    <w:rsid w:val="00047630"/>
    <w:rsid w:val="00047646"/>
    <w:rsid w:val="0004766A"/>
    <w:rsid w:val="00047687"/>
    <w:rsid w:val="000477E4"/>
    <w:rsid w:val="0004783E"/>
    <w:rsid w:val="0004784C"/>
    <w:rsid w:val="00047901"/>
    <w:rsid w:val="000479C9"/>
    <w:rsid w:val="00047A1C"/>
    <w:rsid w:val="00047A78"/>
    <w:rsid w:val="00047ABA"/>
    <w:rsid w:val="00047AEF"/>
    <w:rsid w:val="00047BF7"/>
    <w:rsid w:val="00047C47"/>
    <w:rsid w:val="00047C88"/>
    <w:rsid w:val="00047CBF"/>
    <w:rsid w:val="00047CEC"/>
    <w:rsid w:val="00047D71"/>
    <w:rsid w:val="00047DBF"/>
    <w:rsid w:val="00047E6A"/>
    <w:rsid w:val="00047E8D"/>
    <w:rsid w:val="00047F23"/>
    <w:rsid w:val="00047FAF"/>
    <w:rsid w:val="00050038"/>
    <w:rsid w:val="00050212"/>
    <w:rsid w:val="00050271"/>
    <w:rsid w:val="000502CA"/>
    <w:rsid w:val="00050340"/>
    <w:rsid w:val="00050378"/>
    <w:rsid w:val="000503BA"/>
    <w:rsid w:val="000503D7"/>
    <w:rsid w:val="000503E5"/>
    <w:rsid w:val="00050558"/>
    <w:rsid w:val="0005074A"/>
    <w:rsid w:val="000507BA"/>
    <w:rsid w:val="000507D0"/>
    <w:rsid w:val="0005088D"/>
    <w:rsid w:val="000508A9"/>
    <w:rsid w:val="000508F2"/>
    <w:rsid w:val="0005094B"/>
    <w:rsid w:val="00050956"/>
    <w:rsid w:val="0005096D"/>
    <w:rsid w:val="0005098C"/>
    <w:rsid w:val="000509D9"/>
    <w:rsid w:val="000509EB"/>
    <w:rsid w:val="00050A00"/>
    <w:rsid w:val="00050B6F"/>
    <w:rsid w:val="00050B87"/>
    <w:rsid w:val="00050C65"/>
    <w:rsid w:val="00050CC7"/>
    <w:rsid w:val="00050E05"/>
    <w:rsid w:val="00050E9C"/>
    <w:rsid w:val="00050F1B"/>
    <w:rsid w:val="00050F3C"/>
    <w:rsid w:val="00050F3E"/>
    <w:rsid w:val="00051010"/>
    <w:rsid w:val="00051077"/>
    <w:rsid w:val="0005109C"/>
    <w:rsid w:val="000510E4"/>
    <w:rsid w:val="00051143"/>
    <w:rsid w:val="00051201"/>
    <w:rsid w:val="00051218"/>
    <w:rsid w:val="0005126E"/>
    <w:rsid w:val="00051337"/>
    <w:rsid w:val="00051370"/>
    <w:rsid w:val="00051426"/>
    <w:rsid w:val="00051455"/>
    <w:rsid w:val="00051486"/>
    <w:rsid w:val="000514CF"/>
    <w:rsid w:val="000514FC"/>
    <w:rsid w:val="00051655"/>
    <w:rsid w:val="00051668"/>
    <w:rsid w:val="0005168C"/>
    <w:rsid w:val="000516A6"/>
    <w:rsid w:val="000516C5"/>
    <w:rsid w:val="00051714"/>
    <w:rsid w:val="00051745"/>
    <w:rsid w:val="00051771"/>
    <w:rsid w:val="00051844"/>
    <w:rsid w:val="000518BE"/>
    <w:rsid w:val="00051966"/>
    <w:rsid w:val="000519AF"/>
    <w:rsid w:val="000519DD"/>
    <w:rsid w:val="00051B7C"/>
    <w:rsid w:val="00051C47"/>
    <w:rsid w:val="00051CAE"/>
    <w:rsid w:val="00051DBE"/>
    <w:rsid w:val="00051DCD"/>
    <w:rsid w:val="00051DD6"/>
    <w:rsid w:val="00051DF6"/>
    <w:rsid w:val="00051E0D"/>
    <w:rsid w:val="00051EA7"/>
    <w:rsid w:val="00051ED3"/>
    <w:rsid w:val="00051EF3"/>
    <w:rsid w:val="00051EFD"/>
    <w:rsid w:val="00052002"/>
    <w:rsid w:val="00052004"/>
    <w:rsid w:val="000520D8"/>
    <w:rsid w:val="00052112"/>
    <w:rsid w:val="0005218B"/>
    <w:rsid w:val="0005219B"/>
    <w:rsid w:val="000521CA"/>
    <w:rsid w:val="00052303"/>
    <w:rsid w:val="00052344"/>
    <w:rsid w:val="00052351"/>
    <w:rsid w:val="00052399"/>
    <w:rsid w:val="000523F5"/>
    <w:rsid w:val="00052407"/>
    <w:rsid w:val="0005245B"/>
    <w:rsid w:val="0005246A"/>
    <w:rsid w:val="000524AE"/>
    <w:rsid w:val="00052540"/>
    <w:rsid w:val="00052664"/>
    <w:rsid w:val="000527AB"/>
    <w:rsid w:val="000527CB"/>
    <w:rsid w:val="00052812"/>
    <w:rsid w:val="00052886"/>
    <w:rsid w:val="000528A8"/>
    <w:rsid w:val="0005298D"/>
    <w:rsid w:val="000529F7"/>
    <w:rsid w:val="00052A15"/>
    <w:rsid w:val="00052BA3"/>
    <w:rsid w:val="00052C35"/>
    <w:rsid w:val="00052C5B"/>
    <w:rsid w:val="00052D21"/>
    <w:rsid w:val="00052D37"/>
    <w:rsid w:val="00052DFB"/>
    <w:rsid w:val="00052E59"/>
    <w:rsid w:val="00052F03"/>
    <w:rsid w:val="00052F74"/>
    <w:rsid w:val="00052F9F"/>
    <w:rsid w:val="0005308F"/>
    <w:rsid w:val="00053146"/>
    <w:rsid w:val="0005315A"/>
    <w:rsid w:val="0005326E"/>
    <w:rsid w:val="000532A2"/>
    <w:rsid w:val="000532A3"/>
    <w:rsid w:val="000532C6"/>
    <w:rsid w:val="000532E7"/>
    <w:rsid w:val="0005331B"/>
    <w:rsid w:val="0005338A"/>
    <w:rsid w:val="00053461"/>
    <w:rsid w:val="00053537"/>
    <w:rsid w:val="00053610"/>
    <w:rsid w:val="00053656"/>
    <w:rsid w:val="000536DB"/>
    <w:rsid w:val="0005379C"/>
    <w:rsid w:val="000538A3"/>
    <w:rsid w:val="000538FD"/>
    <w:rsid w:val="00053902"/>
    <w:rsid w:val="00053920"/>
    <w:rsid w:val="00053921"/>
    <w:rsid w:val="00053962"/>
    <w:rsid w:val="000539AB"/>
    <w:rsid w:val="000539C7"/>
    <w:rsid w:val="00053A40"/>
    <w:rsid w:val="00053B88"/>
    <w:rsid w:val="00053C65"/>
    <w:rsid w:val="00053C96"/>
    <w:rsid w:val="00053CC7"/>
    <w:rsid w:val="00053CEB"/>
    <w:rsid w:val="00053D1F"/>
    <w:rsid w:val="00053E26"/>
    <w:rsid w:val="00053E32"/>
    <w:rsid w:val="00053F80"/>
    <w:rsid w:val="00053F8D"/>
    <w:rsid w:val="00053FAB"/>
    <w:rsid w:val="00053FE4"/>
    <w:rsid w:val="00054031"/>
    <w:rsid w:val="00054045"/>
    <w:rsid w:val="00054080"/>
    <w:rsid w:val="000540AF"/>
    <w:rsid w:val="00054126"/>
    <w:rsid w:val="000541DA"/>
    <w:rsid w:val="00054230"/>
    <w:rsid w:val="00054264"/>
    <w:rsid w:val="0005428D"/>
    <w:rsid w:val="000542C8"/>
    <w:rsid w:val="000542F8"/>
    <w:rsid w:val="0005430A"/>
    <w:rsid w:val="000543AA"/>
    <w:rsid w:val="000543CB"/>
    <w:rsid w:val="00054434"/>
    <w:rsid w:val="00054471"/>
    <w:rsid w:val="00054498"/>
    <w:rsid w:val="0005455C"/>
    <w:rsid w:val="00054604"/>
    <w:rsid w:val="00054619"/>
    <w:rsid w:val="0005464F"/>
    <w:rsid w:val="000546B7"/>
    <w:rsid w:val="00054791"/>
    <w:rsid w:val="000547A8"/>
    <w:rsid w:val="000547CA"/>
    <w:rsid w:val="00054827"/>
    <w:rsid w:val="000548AD"/>
    <w:rsid w:val="000548D7"/>
    <w:rsid w:val="000548EB"/>
    <w:rsid w:val="000549A0"/>
    <w:rsid w:val="00054A3C"/>
    <w:rsid w:val="00054A58"/>
    <w:rsid w:val="00054A90"/>
    <w:rsid w:val="00054A9E"/>
    <w:rsid w:val="00054ADE"/>
    <w:rsid w:val="00054B20"/>
    <w:rsid w:val="00054BD6"/>
    <w:rsid w:val="00054C7F"/>
    <w:rsid w:val="00054C93"/>
    <w:rsid w:val="00054C94"/>
    <w:rsid w:val="00054D9F"/>
    <w:rsid w:val="00054E01"/>
    <w:rsid w:val="00054E8E"/>
    <w:rsid w:val="00054F60"/>
    <w:rsid w:val="00054F7A"/>
    <w:rsid w:val="00054FED"/>
    <w:rsid w:val="000550F0"/>
    <w:rsid w:val="0005513B"/>
    <w:rsid w:val="0005513C"/>
    <w:rsid w:val="0005513D"/>
    <w:rsid w:val="0005519C"/>
    <w:rsid w:val="0005524A"/>
    <w:rsid w:val="00055260"/>
    <w:rsid w:val="0005531D"/>
    <w:rsid w:val="00055348"/>
    <w:rsid w:val="000553BE"/>
    <w:rsid w:val="00055421"/>
    <w:rsid w:val="00055473"/>
    <w:rsid w:val="00055497"/>
    <w:rsid w:val="000554A7"/>
    <w:rsid w:val="000554B1"/>
    <w:rsid w:val="00055535"/>
    <w:rsid w:val="000555A6"/>
    <w:rsid w:val="000555BD"/>
    <w:rsid w:val="0005574D"/>
    <w:rsid w:val="00055771"/>
    <w:rsid w:val="00055834"/>
    <w:rsid w:val="00055A51"/>
    <w:rsid w:val="00055A84"/>
    <w:rsid w:val="00055B27"/>
    <w:rsid w:val="00055C81"/>
    <w:rsid w:val="00055C98"/>
    <w:rsid w:val="00055CC7"/>
    <w:rsid w:val="00055CE8"/>
    <w:rsid w:val="00055DF6"/>
    <w:rsid w:val="00055DFF"/>
    <w:rsid w:val="00055E6E"/>
    <w:rsid w:val="00055ED7"/>
    <w:rsid w:val="00055EE3"/>
    <w:rsid w:val="00055F31"/>
    <w:rsid w:val="00055F52"/>
    <w:rsid w:val="00055FCA"/>
    <w:rsid w:val="00055FFA"/>
    <w:rsid w:val="00056014"/>
    <w:rsid w:val="00056038"/>
    <w:rsid w:val="000560A0"/>
    <w:rsid w:val="00056144"/>
    <w:rsid w:val="000561DE"/>
    <w:rsid w:val="00056206"/>
    <w:rsid w:val="00056284"/>
    <w:rsid w:val="00056302"/>
    <w:rsid w:val="000563CB"/>
    <w:rsid w:val="0005657A"/>
    <w:rsid w:val="00056597"/>
    <w:rsid w:val="000565F9"/>
    <w:rsid w:val="00056667"/>
    <w:rsid w:val="000567BD"/>
    <w:rsid w:val="000567F1"/>
    <w:rsid w:val="00056833"/>
    <w:rsid w:val="00056871"/>
    <w:rsid w:val="000568E6"/>
    <w:rsid w:val="000569C7"/>
    <w:rsid w:val="000569C8"/>
    <w:rsid w:val="00056A15"/>
    <w:rsid w:val="00056A40"/>
    <w:rsid w:val="00056A6E"/>
    <w:rsid w:val="00056A98"/>
    <w:rsid w:val="00056AB5"/>
    <w:rsid w:val="00056B19"/>
    <w:rsid w:val="00056B77"/>
    <w:rsid w:val="00056CE2"/>
    <w:rsid w:val="00056D6C"/>
    <w:rsid w:val="00056DEB"/>
    <w:rsid w:val="00056DFF"/>
    <w:rsid w:val="00056EEE"/>
    <w:rsid w:val="00056F27"/>
    <w:rsid w:val="00056F28"/>
    <w:rsid w:val="00056FB4"/>
    <w:rsid w:val="000570F5"/>
    <w:rsid w:val="00057116"/>
    <w:rsid w:val="0005711E"/>
    <w:rsid w:val="000571C6"/>
    <w:rsid w:val="000571F0"/>
    <w:rsid w:val="000572FF"/>
    <w:rsid w:val="0005731E"/>
    <w:rsid w:val="0005734D"/>
    <w:rsid w:val="00057385"/>
    <w:rsid w:val="000573C6"/>
    <w:rsid w:val="000573E7"/>
    <w:rsid w:val="0005740D"/>
    <w:rsid w:val="000574C2"/>
    <w:rsid w:val="0005750F"/>
    <w:rsid w:val="00057566"/>
    <w:rsid w:val="000575D1"/>
    <w:rsid w:val="0005766D"/>
    <w:rsid w:val="000576FD"/>
    <w:rsid w:val="00057775"/>
    <w:rsid w:val="000577A5"/>
    <w:rsid w:val="000577D9"/>
    <w:rsid w:val="000577E4"/>
    <w:rsid w:val="00057826"/>
    <w:rsid w:val="00057832"/>
    <w:rsid w:val="0005789E"/>
    <w:rsid w:val="000578AB"/>
    <w:rsid w:val="000578CD"/>
    <w:rsid w:val="00057AC1"/>
    <w:rsid w:val="00057AF2"/>
    <w:rsid w:val="00057B3C"/>
    <w:rsid w:val="00057C48"/>
    <w:rsid w:val="00057C58"/>
    <w:rsid w:val="00057D37"/>
    <w:rsid w:val="00057E2D"/>
    <w:rsid w:val="00057E2F"/>
    <w:rsid w:val="00057F4B"/>
    <w:rsid w:val="00060014"/>
    <w:rsid w:val="00060044"/>
    <w:rsid w:val="0006009D"/>
    <w:rsid w:val="000601B7"/>
    <w:rsid w:val="0006021C"/>
    <w:rsid w:val="00060238"/>
    <w:rsid w:val="0006038E"/>
    <w:rsid w:val="000603EE"/>
    <w:rsid w:val="000603F4"/>
    <w:rsid w:val="00060410"/>
    <w:rsid w:val="000604C2"/>
    <w:rsid w:val="000605DB"/>
    <w:rsid w:val="000605EE"/>
    <w:rsid w:val="000605FE"/>
    <w:rsid w:val="0006062E"/>
    <w:rsid w:val="0006065F"/>
    <w:rsid w:val="0006068E"/>
    <w:rsid w:val="00060713"/>
    <w:rsid w:val="0006076F"/>
    <w:rsid w:val="0006079F"/>
    <w:rsid w:val="000607B3"/>
    <w:rsid w:val="000607BB"/>
    <w:rsid w:val="000607F1"/>
    <w:rsid w:val="00060865"/>
    <w:rsid w:val="0006096C"/>
    <w:rsid w:val="000609C0"/>
    <w:rsid w:val="00060AE3"/>
    <w:rsid w:val="00060BA6"/>
    <w:rsid w:val="00060BB8"/>
    <w:rsid w:val="00060C6D"/>
    <w:rsid w:val="00060CE5"/>
    <w:rsid w:val="00060D03"/>
    <w:rsid w:val="00060D69"/>
    <w:rsid w:val="00060DB7"/>
    <w:rsid w:val="00060E4E"/>
    <w:rsid w:val="00060EA3"/>
    <w:rsid w:val="00060F47"/>
    <w:rsid w:val="00060F60"/>
    <w:rsid w:val="00060F9E"/>
    <w:rsid w:val="00060FE7"/>
    <w:rsid w:val="00061044"/>
    <w:rsid w:val="000610EA"/>
    <w:rsid w:val="0006116D"/>
    <w:rsid w:val="000611E2"/>
    <w:rsid w:val="0006126E"/>
    <w:rsid w:val="00061329"/>
    <w:rsid w:val="00061395"/>
    <w:rsid w:val="0006147E"/>
    <w:rsid w:val="000614E9"/>
    <w:rsid w:val="0006156A"/>
    <w:rsid w:val="000616F2"/>
    <w:rsid w:val="000617D0"/>
    <w:rsid w:val="000617FA"/>
    <w:rsid w:val="00061834"/>
    <w:rsid w:val="00061853"/>
    <w:rsid w:val="0006185F"/>
    <w:rsid w:val="000618E7"/>
    <w:rsid w:val="000618E9"/>
    <w:rsid w:val="00061907"/>
    <w:rsid w:val="00061919"/>
    <w:rsid w:val="00061968"/>
    <w:rsid w:val="00061A44"/>
    <w:rsid w:val="00061A75"/>
    <w:rsid w:val="00061B70"/>
    <w:rsid w:val="00061BB5"/>
    <w:rsid w:val="00061D36"/>
    <w:rsid w:val="00061DA0"/>
    <w:rsid w:val="00061DB6"/>
    <w:rsid w:val="00061E47"/>
    <w:rsid w:val="00061E9A"/>
    <w:rsid w:val="00061EEA"/>
    <w:rsid w:val="00061F36"/>
    <w:rsid w:val="00061F9D"/>
    <w:rsid w:val="00061FCC"/>
    <w:rsid w:val="0006205A"/>
    <w:rsid w:val="0006205C"/>
    <w:rsid w:val="000620B1"/>
    <w:rsid w:val="000620D1"/>
    <w:rsid w:val="000620EA"/>
    <w:rsid w:val="000622A2"/>
    <w:rsid w:val="000622F4"/>
    <w:rsid w:val="0006231A"/>
    <w:rsid w:val="00062324"/>
    <w:rsid w:val="0006232B"/>
    <w:rsid w:val="000623B1"/>
    <w:rsid w:val="000623FC"/>
    <w:rsid w:val="0006244C"/>
    <w:rsid w:val="000624B8"/>
    <w:rsid w:val="000624DD"/>
    <w:rsid w:val="000625EF"/>
    <w:rsid w:val="0006265D"/>
    <w:rsid w:val="00062688"/>
    <w:rsid w:val="0006268E"/>
    <w:rsid w:val="000626BF"/>
    <w:rsid w:val="000626E5"/>
    <w:rsid w:val="0006271F"/>
    <w:rsid w:val="00062726"/>
    <w:rsid w:val="00062754"/>
    <w:rsid w:val="00062838"/>
    <w:rsid w:val="00062849"/>
    <w:rsid w:val="0006291C"/>
    <w:rsid w:val="00062A3C"/>
    <w:rsid w:val="00062A4E"/>
    <w:rsid w:val="00062A7E"/>
    <w:rsid w:val="00062B56"/>
    <w:rsid w:val="00062B71"/>
    <w:rsid w:val="00062BE7"/>
    <w:rsid w:val="00062D76"/>
    <w:rsid w:val="00062D87"/>
    <w:rsid w:val="00062DFD"/>
    <w:rsid w:val="00062EC1"/>
    <w:rsid w:val="00062EE8"/>
    <w:rsid w:val="00062F33"/>
    <w:rsid w:val="00062F6F"/>
    <w:rsid w:val="00063140"/>
    <w:rsid w:val="00063244"/>
    <w:rsid w:val="0006324C"/>
    <w:rsid w:val="0006336D"/>
    <w:rsid w:val="0006341A"/>
    <w:rsid w:val="00063443"/>
    <w:rsid w:val="000634DC"/>
    <w:rsid w:val="000635ED"/>
    <w:rsid w:val="00063626"/>
    <w:rsid w:val="00063790"/>
    <w:rsid w:val="000637F7"/>
    <w:rsid w:val="000638DC"/>
    <w:rsid w:val="00063917"/>
    <w:rsid w:val="0006393F"/>
    <w:rsid w:val="000639C0"/>
    <w:rsid w:val="000639C2"/>
    <w:rsid w:val="00063A1A"/>
    <w:rsid w:val="00063A1F"/>
    <w:rsid w:val="00063A8E"/>
    <w:rsid w:val="00063BB1"/>
    <w:rsid w:val="00063C56"/>
    <w:rsid w:val="00063C6F"/>
    <w:rsid w:val="00063D25"/>
    <w:rsid w:val="00063D79"/>
    <w:rsid w:val="00063DDD"/>
    <w:rsid w:val="00063E37"/>
    <w:rsid w:val="00063E79"/>
    <w:rsid w:val="00063E91"/>
    <w:rsid w:val="00063F23"/>
    <w:rsid w:val="00063F4C"/>
    <w:rsid w:val="00063F9C"/>
    <w:rsid w:val="000640B9"/>
    <w:rsid w:val="000640E6"/>
    <w:rsid w:val="00064104"/>
    <w:rsid w:val="000641AF"/>
    <w:rsid w:val="0006420B"/>
    <w:rsid w:val="00064297"/>
    <w:rsid w:val="000642A1"/>
    <w:rsid w:val="000642C9"/>
    <w:rsid w:val="0006431C"/>
    <w:rsid w:val="00064382"/>
    <w:rsid w:val="000643EC"/>
    <w:rsid w:val="0006449D"/>
    <w:rsid w:val="00064577"/>
    <w:rsid w:val="00064627"/>
    <w:rsid w:val="0006465C"/>
    <w:rsid w:val="0006469F"/>
    <w:rsid w:val="000646E1"/>
    <w:rsid w:val="0006470F"/>
    <w:rsid w:val="0006488C"/>
    <w:rsid w:val="000648FB"/>
    <w:rsid w:val="000649CA"/>
    <w:rsid w:val="000649D3"/>
    <w:rsid w:val="00064A3F"/>
    <w:rsid w:val="00064A96"/>
    <w:rsid w:val="00064B0C"/>
    <w:rsid w:val="00064B5A"/>
    <w:rsid w:val="00064C22"/>
    <w:rsid w:val="00064CB7"/>
    <w:rsid w:val="00064CD2"/>
    <w:rsid w:val="00064D04"/>
    <w:rsid w:val="00064EA4"/>
    <w:rsid w:val="00064EB0"/>
    <w:rsid w:val="00064EB4"/>
    <w:rsid w:val="00064EC4"/>
    <w:rsid w:val="00064EF9"/>
    <w:rsid w:val="00065009"/>
    <w:rsid w:val="00065167"/>
    <w:rsid w:val="0006521F"/>
    <w:rsid w:val="00065220"/>
    <w:rsid w:val="0006524F"/>
    <w:rsid w:val="000652E0"/>
    <w:rsid w:val="000652EF"/>
    <w:rsid w:val="0006539E"/>
    <w:rsid w:val="00065416"/>
    <w:rsid w:val="0006545C"/>
    <w:rsid w:val="0006548C"/>
    <w:rsid w:val="000654F5"/>
    <w:rsid w:val="00065504"/>
    <w:rsid w:val="00065558"/>
    <w:rsid w:val="000655A0"/>
    <w:rsid w:val="00065671"/>
    <w:rsid w:val="000656E6"/>
    <w:rsid w:val="0006571D"/>
    <w:rsid w:val="0006572B"/>
    <w:rsid w:val="00065743"/>
    <w:rsid w:val="0006579B"/>
    <w:rsid w:val="00065896"/>
    <w:rsid w:val="00065922"/>
    <w:rsid w:val="000659E9"/>
    <w:rsid w:val="00065A4D"/>
    <w:rsid w:val="00065AF0"/>
    <w:rsid w:val="00065B15"/>
    <w:rsid w:val="00065CB2"/>
    <w:rsid w:val="00065CD1"/>
    <w:rsid w:val="00065D60"/>
    <w:rsid w:val="00065E4A"/>
    <w:rsid w:val="00065E90"/>
    <w:rsid w:val="00065F46"/>
    <w:rsid w:val="00066010"/>
    <w:rsid w:val="00066054"/>
    <w:rsid w:val="0006606C"/>
    <w:rsid w:val="000660A1"/>
    <w:rsid w:val="0006612F"/>
    <w:rsid w:val="0006616F"/>
    <w:rsid w:val="00066269"/>
    <w:rsid w:val="00066311"/>
    <w:rsid w:val="00066453"/>
    <w:rsid w:val="000664A5"/>
    <w:rsid w:val="000664CA"/>
    <w:rsid w:val="000664E0"/>
    <w:rsid w:val="00066517"/>
    <w:rsid w:val="0006655A"/>
    <w:rsid w:val="00066567"/>
    <w:rsid w:val="0006661D"/>
    <w:rsid w:val="00066710"/>
    <w:rsid w:val="00066746"/>
    <w:rsid w:val="0006675C"/>
    <w:rsid w:val="0006675F"/>
    <w:rsid w:val="0006677F"/>
    <w:rsid w:val="00066783"/>
    <w:rsid w:val="000667F1"/>
    <w:rsid w:val="00066827"/>
    <w:rsid w:val="00066847"/>
    <w:rsid w:val="000668AF"/>
    <w:rsid w:val="00066975"/>
    <w:rsid w:val="000669DD"/>
    <w:rsid w:val="000669E1"/>
    <w:rsid w:val="00066A0C"/>
    <w:rsid w:val="00066A19"/>
    <w:rsid w:val="00066A82"/>
    <w:rsid w:val="00066AEA"/>
    <w:rsid w:val="00066B30"/>
    <w:rsid w:val="00066B7B"/>
    <w:rsid w:val="00066BE4"/>
    <w:rsid w:val="00066C6C"/>
    <w:rsid w:val="00066CFF"/>
    <w:rsid w:val="00066D03"/>
    <w:rsid w:val="00066D35"/>
    <w:rsid w:val="00066DFC"/>
    <w:rsid w:val="00066E3C"/>
    <w:rsid w:val="00066E80"/>
    <w:rsid w:val="00066E91"/>
    <w:rsid w:val="00066F1E"/>
    <w:rsid w:val="00066F47"/>
    <w:rsid w:val="00066F5C"/>
    <w:rsid w:val="00066FBF"/>
    <w:rsid w:val="0006705B"/>
    <w:rsid w:val="00067088"/>
    <w:rsid w:val="00067111"/>
    <w:rsid w:val="00067180"/>
    <w:rsid w:val="00067244"/>
    <w:rsid w:val="0006733E"/>
    <w:rsid w:val="0006735D"/>
    <w:rsid w:val="0006746B"/>
    <w:rsid w:val="000674A8"/>
    <w:rsid w:val="000674C4"/>
    <w:rsid w:val="00067551"/>
    <w:rsid w:val="00067567"/>
    <w:rsid w:val="0006766D"/>
    <w:rsid w:val="000676BE"/>
    <w:rsid w:val="000676E8"/>
    <w:rsid w:val="000677C7"/>
    <w:rsid w:val="000677FF"/>
    <w:rsid w:val="00067849"/>
    <w:rsid w:val="0006786E"/>
    <w:rsid w:val="0006787C"/>
    <w:rsid w:val="000678BE"/>
    <w:rsid w:val="000678E7"/>
    <w:rsid w:val="00067985"/>
    <w:rsid w:val="0006799F"/>
    <w:rsid w:val="00067A1B"/>
    <w:rsid w:val="00067A26"/>
    <w:rsid w:val="00067A54"/>
    <w:rsid w:val="00067B86"/>
    <w:rsid w:val="00067C15"/>
    <w:rsid w:val="00067CC2"/>
    <w:rsid w:val="00067CD5"/>
    <w:rsid w:val="00067CF2"/>
    <w:rsid w:val="00067DCA"/>
    <w:rsid w:val="00067E10"/>
    <w:rsid w:val="00067E5D"/>
    <w:rsid w:val="00067E71"/>
    <w:rsid w:val="00067EBD"/>
    <w:rsid w:val="00067ECA"/>
    <w:rsid w:val="00067EE8"/>
    <w:rsid w:val="00067F31"/>
    <w:rsid w:val="000701B4"/>
    <w:rsid w:val="000702AB"/>
    <w:rsid w:val="000702EC"/>
    <w:rsid w:val="000702F5"/>
    <w:rsid w:val="00070316"/>
    <w:rsid w:val="0007031A"/>
    <w:rsid w:val="0007035B"/>
    <w:rsid w:val="00070409"/>
    <w:rsid w:val="0007048E"/>
    <w:rsid w:val="00070495"/>
    <w:rsid w:val="000704FE"/>
    <w:rsid w:val="000704FF"/>
    <w:rsid w:val="0007053E"/>
    <w:rsid w:val="00070594"/>
    <w:rsid w:val="000705A6"/>
    <w:rsid w:val="000705C6"/>
    <w:rsid w:val="000705EA"/>
    <w:rsid w:val="0007062A"/>
    <w:rsid w:val="000706DA"/>
    <w:rsid w:val="0007070F"/>
    <w:rsid w:val="00070769"/>
    <w:rsid w:val="000707EF"/>
    <w:rsid w:val="000707F8"/>
    <w:rsid w:val="00070863"/>
    <w:rsid w:val="000708B3"/>
    <w:rsid w:val="000708B7"/>
    <w:rsid w:val="00070928"/>
    <w:rsid w:val="00070945"/>
    <w:rsid w:val="0007098F"/>
    <w:rsid w:val="000709FC"/>
    <w:rsid w:val="00070A1B"/>
    <w:rsid w:val="00070A60"/>
    <w:rsid w:val="00070C2D"/>
    <w:rsid w:val="00070C5E"/>
    <w:rsid w:val="00070C99"/>
    <w:rsid w:val="00070CB2"/>
    <w:rsid w:val="00070CBA"/>
    <w:rsid w:val="00070CE9"/>
    <w:rsid w:val="00070CEB"/>
    <w:rsid w:val="00070CF3"/>
    <w:rsid w:val="00070D1E"/>
    <w:rsid w:val="00070DFF"/>
    <w:rsid w:val="00070E5C"/>
    <w:rsid w:val="00070F02"/>
    <w:rsid w:val="00070F40"/>
    <w:rsid w:val="00070F67"/>
    <w:rsid w:val="00070F9C"/>
    <w:rsid w:val="00070F9F"/>
    <w:rsid w:val="0007109C"/>
    <w:rsid w:val="000710B4"/>
    <w:rsid w:val="000710DB"/>
    <w:rsid w:val="00071104"/>
    <w:rsid w:val="00071138"/>
    <w:rsid w:val="000711EE"/>
    <w:rsid w:val="000711F5"/>
    <w:rsid w:val="00071274"/>
    <w:rsid w:val="000712A4"/>
    <w:rsid w:val="000712C6"/>
    <w:rsid w:val="00071370"/>
    <w:rsid w:val="00071384"/>
    <w:rsid w:val="00071461"/>
    <w:rsid w:val="000714AC"/>
    <w:rsid w:val="000714C2"/>
    <w:rsid w:val="00071524"/>
    <w:rsid w:val="00071535"/>
    <w:rsid w:val="0007154C"/>
    <w:rsid w:val="0007158B"/>
    <w:rsid w:val="00071596"/>
    <w:rsid w:val="000715FE"/>
    <w:rsid w:val="0007161B"/>
    <w:rsid w:val="00071670"/>
    <w:rsid w:val="000716B1"/>
    <w:rsid w:val="0007173F"/>
    <w:rsid w:val="00071758"/>
    <w:rsid w:val="000717A1"/>
    <w:rsid w:val="000718BF"/>
    <w:rsid w:val="0007190E"/>
    <w:rsid w:val="00071943"/>
    <w:rsid w:val="00071AA0"/>
    <w:rsid w:val="00071ACF"/>
    <w:rsid w:val="00071B1A"/>
    <w:rsid w:val="00071B6E"/>
    <w:rsid w:val="00071BE9"/>
    <w:rsid w:val="00071C55"/>
    <w:rsid w:val="00071CE6"/>
    <w:rsid w:val="00071D85"/>
    <w:rsid w:val="00071DB0"/>
    <w:rsid w:val="00071E10"/>
    <w:rsid w:val="00071E16"/>
    <w:rsid w:val="00072041"/>
    <w:rsid w:val="00072068"/>
    <w:rsid w:val="000720A8"/>
    <w:rsid w:val="000720DC"/>
    <w:rsid w:val="000720E1"/>
    <w:rsid w:val="00072115"/>
    <w:rsid w:val="0007219B"/>
    <w:rsid w:val="0007219F"/>
    <w:rsid w:val="0007221D"/>
    <w:rsid w:val="00072224"/>
    <w:rsid w:val="000722FD"/>
    <w:rsid w:val="000723B1"/>
    <w:rsid w:val="000723CF"/>
    <w:rsid w:val="0007243E"/>
    <w:rsid w:val="00072448"/>
    <w:rsid w:val="00072486"/>
    <w:rsid w:val="000724A5"/>
    <w:rsid w:val="000724D7"/>
    <w:rsid w:val="000725B0"/>
    <w:rsid w:val="00072685"/>
    <w:rsid w:val="000726A6"/>
    <w:rsid w:val="000727C5"/>
    <w:rsid w:val="0007284F"/>
    <w:rsid w:val="000729F1"/>
    <w:rsid w:val="00072B1C"/>
    <w:rsid w:val="00072B73"/>
    <w:rsid w:val="00072BA8"/>
    <w:rsid w:val="00072BB0"/>
    <w:rsid w:val="00072BF3"/>
    <w:rsid w:val="00072C63"/>
    <w:rsid w:val="00072CDE"/>
    <w:rsid w:val="00072DC2"/>
    <w:rsid w:val="00072DD8"/>
    <w:rsid w:val="00072E7C"/>
    <w:rsid w:val="00072F26"/>
    <w:rsid w:val="00072F3F"/>
    <w:rsid w:val="00072F59"/>
    <w:rsid w:val="00072FCB"/>
    <w:rsid w:val="00072FE0"/>
    <w:rsid w:val="000731AE"/>
    <w:rsid w:val="00073223"/>
    <w:rsid w:val="0007329D"/>
    <w:rsid w:val="0007346C"/>
    <w:rsid w:val="0007349D"/>
    <w:rsid w:val="0007350B"/>
    <w:rsid w:val="00073517"/>
    <w:rsid w:val="0007363A"/>
    <w:rsid w:val="000736AA"/>
    <w:rsid w:val="00073793"/>
    <w:rsid w:val="0007380A"/>
    <w:rsid w:val="000738E0"/>
    <w:rsid w:val="00073959"/>
    <w:rsid w:val="000739E8"/>
    <w:rsid w:val="00073A1A"/>
    <w:rsid w:val="00073A98"/>
    <w:rsid w:val="00073ADE"/>
    <w:rsid w:val="00073BFD"/>
    <w:rsid w:val="00073C1F"/>
    <w:rsid w:val="00073C2D"/>
    <w:rsid w:val="00073C41"/>
    <w:rsid w:val="00073C74"/>
    <w:rsid w:val="00073C7A"/>
    <w:rsid w:val="00073C82"/>
    <w:rsid w:val="00073CBE"/>
    <w:rsid w:val="00073E61"/>
    <w:rsid w:val="00073E84"/>
    <w:rsid w:val="00073E91"/>
    <w:rsid w:val="00073F3E"/>
    <w:rsid w:val="00073F7F"/>
    <w:rsid w:val="00073FBF"/>
    <w:rsid w:val="000740B9"/>
    <w:rsid w:val="0007416B"/>
    <w:rsid w:val="00074175"/>
    <w:rsid w:val="00074360"/>
    <w:rsid w:val="00074371"/>
    <w:rsid w:val="0007441B"/>
    <w:rsid w:val="00074435"/>
    <w:rsid w:val="000744FD"/>
    <w:rsid w:val="00074580"/>
    <w:rsid w:val="000745D6"/>
    <w:rsid w:val="0007460F"/>
    <w:rsid w:val="00074631"/>
    <w:rsid w:val="0007465D"/>
    <w:rsid w:val="00074707"/>
    <w:rsid w:val="00074745"/>
    <w:rsid w:val="00074785"/>
    <w:rsid w:val="000747DB"/>
    <w:rsid w:val="0007499F"/>
    <w:rsid w:val="000749B0"/>
    <w:rsid w:val="000749FC"/>
    <w:rsid w:val="00074A89"/>
    <w:rsid w:val="00074B1C"/>
    <w:rsid w:val="00074B25"/>
    <w:rsid w:val="00074B98"/>
    <w:rsid w:val="00074BB5"/>
    <w:rsid w:val="00074BE3"/>
    <w:rsid w:val="00074C07"/>
    <w:rsid w:val="00074C13"/>
    <w:rsid w:val="00074C95"/>
    <w:rsid w:val="00074CD1"/>
    <w:rsid w:val="00074CE1"/>
    <w:rsid w:val="00074D64"/>
    <w:rsid w:val="00074DAB"/>
    <w:rsid w:val="00074E39"/>
    <w:rsid w:val="00074E7E"/>
    <w:rsid w:val="00074EBF"/>
    <w:rsid w:val="00074FF8"/>
    <w:rsid w:val="00075172"/>
    <w:rsid w:val="000751E6"/>
    <w:rsid w:val="000751F5"/>
    <w:rsid w:val="00075239"/>
    <w:rsid w:val="00075244"/>
    <w:rsid w:val="0007529D"/>
    <w:rsid w:val="0007531D"/>
    <w:rsid w:val="00075436"/>
    <w:rsid w:val="00075444"/>
    <w:rsid w:val="00075450"/>
    <w:rsid w:val="000754DA"/>
    <w:rsid w:val="00075540"/>
    <w:rsid w:val="0007558C"/>
    <w:rsid w:val="0007563E"/>
    <w:rsid w:val="00075655"/>
    <w:rsid w:val="00075656"/>
    <w:rsid w:val="0007568B"/>
    <w:rsid w:val="000756ED"/>
    <w:rsid w:val="00075738"/>
    <w:rsid w:val="000758A1"/>
    <w:rsid w:val="000758BB"/>
    <w:rsid w:val="00075A01"/>
    <w:rsid w:val="00075A35"/>
    <w:rsid w:val="00075A77"/>
    <w:rsid w:val="00075ABF"/>
    <w:rsid w:val="00075AD3"/>
    <w:rsid w:val="00075B03"/>
    <w:rsid w:val="00075B4E"/>
    <w:rsid w:val="00075B60"/>
    <w:rsid w:val="00075C34"/>
    <w:rsid w:val="00075C3F"/>
    <w:rsid w:val="00075C6A"/>
    <w:rsid w:val="00075D8C"/>
    <w:rsid w:val="00075E29"/>
    <w:rsid w:val="00075E4F"/>
    <w:rsid w:val="00075E8E"/>
    <w:rsid w:val="00075EED"/>
    <w:rsid w:val="0007607B"/>
    <w:rsid w:val="00076089"/>
    <w:rsid w:val="0007614C"/>
    <w:rsid w:val="00076281"/>
    <w:rsid w:val="000762B4"/>
    <w:rsid w:val="000762C5"/>
    <w:rsid w:val="000762E7"/>
    <w:rsid w:val="0007635D"/>
    <w:rsid w:val="0007637B"/>
    <w:rsid w:val="0007641B"/>
    <w:rsid w:val="0007643C"/>
    <w:rsid w:val="00076497"/>
    <w:rsid w:val="000764C1"/>
    <w:rsid w:val="000764D9"/>
    <w:rsid w:val="000764E2"/>
    <w:rsid w:val="00076785"/>
    <w:rsid w:val="0007682E"/>
    <w:rsid w:val="000768A6"/>
    <w:rsid w:val="000769A1"/>
    <w:rsid w:val="000769FD"/>
    <w:rsid w:val="00076A03"/>
    <w:rsid w:val="00076A20"/>
    <w:rsid w:val="00076B64"/>
    <w:rsid w:val="00076C27"/>
    <w:rsid w:val="00076C44"/>
    <w:rsid w:val="00076CE7"/>
    <w:rsid w:val="00076CF4"/>
    <w:rsid w:val="00076D0F"/>
    <w:rsid w:val="00076E12"/>
    <w:rsid w:val="00076F2D"/>
    <w:rsid w:val="00076F3C"/>
    <w:rsid w:val="00076FA0"/>
    <w:rsid w:val="00076FE7"/>
    <w:rsid w:val="0007715B"/>
    <w:rsid w:val="00077192"/>
    <w:rsid w:val="000771C8"/>
    <w:rsid w:val="00077249"/>
    <w:rsid w:val="00077289"/>
    <w:rsid w:val="0007731D"/>
    <w:rsid w:val="000773E6"/>
    <w:rsid w:val="000773ED"/>
    <w:rsid w:val="000774E5"/>
    <w:rsid w:val="000774F6"/>
    <w:rsid w:val="0007751E"/>
    <w:rsid w:val="00077570"/>
    <w:rsid w:val="0007759F"/>
    <w:rsid w:val="000775FE"/>
    <w:rsid w:val="00077614"/>
    <w:rsid w:val="000776C7"/>
    <w:rsid w:val="000776D6"/>
    <w:rsid w:val="000776F5"/>
    <w:rsid w:val="00077785"/>
    <w:rsid w:val="00077831"/>
    <w:rsid w:val="00077848"/>
    <w:rsid w:val="00077884"/>
    <w:rsid w:val="000778DD"/>
    <w:rsid w:val="00077934"/>
    <w:rsid w:val="0007797F"/>
    <w:rsid w:val="000779AA"/>
    <w:rsid w:val="000779FD"/>
    <w:rsid w:val="00077A00"/>
    <w:rsid w:val="00077B57"/>
    <w:rsid w:val="00077B6D"/>
    <w:rsid w:val="00077C42"/>
    <w:rsid w:val="00077CB1"/>
    <w:rsid w:val="00077CB6"/>
    <w:rsid w:val="00077CCD"/>
    <w:rsid w:val="00077D81"/>
    <w:rsid w:val="00077DCE"/>
    <w:rsid w:val="00077E38"/>
    <w:rsid w:val="00077E41"/>
    <w:rsid w:val="00077E65"/>
    <w:rsid w:val="00077E7E"/>
    <w:rsid w:val="00077F9B"/>
    <w:rsid w:val="00080017"/>
    <w:rsid w:val="0008010A"/>
    <w:rsid w:val="000801CC"/>
    <w:rsid w:val="00080229"/>
    <w:rsid w:val="0008022F"/>
    <w:rsid w:val="00080276"/>
    <w:rsid w:val="0008028E"/>
    <w:rsid w:val="00080320"/>
    <w:rsid w:val="000803A8"/>
    <w:rsid w:val="00080441"/>
    <w:rsid w:val="00080500"/>
    <w:rsid w:val="00080520"/>
    <w:rsid w:val="00080537"/>
    <w:rsid w:val="0008057C"/>
    <w:rsid w:val="000805F7"/>
    <w:rsid w:val="00080726"/>
    <w:rsid w:val="00080790"/>
    <w:rsid w:val="0008085B"/>
    <w:rsid w:val="000808C3"/>
    <w:rsid w:val="000808EB"/>
    <w:rsid w:val="0008091B"/>
    <w:rsid w:val="00080930"/>
    <w:rsid w:val="000809C4"/>
    <w:rsid w:val="00080A1D"/>
    <w:rsid w:val="00080A6E"/>
    <w:rsid w:val="00080A82"/>
    <w:rsid w:val="00080AFC"/>
    <w:rsid w:val="00080B58"/>
    <w:rsid w:val="00080CAA"/>
    <w:rsid w:val="00080CB4"/>
    <w:rsid w:val="00080CBA"/>
    <w:rsid w:val="00080DC3"/>
    <w:rsid w:val="00080DD0"/>
    <w:rsid w:val="00080E00"/>
    <w:rsid w:val="00080E4D"/>
    <w:rsid w:val="00080E78"/>
    <w:rsid w:val="00080EA3"/>
    <w:rsid w:val="00080EBF"/>
    <w:rsid w:val="00080F6E"/>
    <w:rsid w:val="00081170"/>
    <w:rsid w:val="000811B3"/>
    <w:rsid w:val="0008128E"/>
    <w:rsid w:val="0008133D"/>
    <w:rsid w:val="00081369"/>
    <w:rsid w:val="00081373"/>
    <w:rsid w:val="000814F6"/>
    <w:rsid w:val="00081612"/>
    <w:rsid w:val="00081625"/>
    <w:rsid w:val="0008162F"/>
    <w:rsid w:val="00081690"/>
    <w:rsid w:val="0008170D"/>
    <w:rsid w:val="00081740"/>
    <w:rsid w:val="00081844"/>
    <w:rsid w:val="000818E2"/>
    <w:rsid w:val="00081938"/>
    <w:rsid w:val="0008194F"/>
    <w:rsid w:val="0008197D"/>
    <w:rsid w:val="00081A3F"/>
    <w:rsid w:val="00081AEA"/>
    <w:rsid w:val="00081B09"/>
    <w:rsid w:val="00081D1B"/>
    <w:rsid w:val="00081DC2"/>
    <w:rsid w:val="00081E0B"/>
    <w:rsid w:val="00081E50"/>
    <w:rsid w:val="00081E5C"/>
    <w:rsid w:val="00081F07"/>
    <w:rsid w:val="00082003"/>
    <w:rsid w:val="00082031"/>
    <w:rsid w:val="000820CB"/>
    <w:rsid w:val="000821D5"/>
    <w:rsid w:val="00082295"/>
    <w:rsid w:val="000822B6"/>
    <w:rsid w:val="00082429"/>
    <w:rsid w:val="0008249B"/>
    <w:rsid w:val="00082511"/>
    <w:rsid w:val="000825B6"/>
    <w:rsid w:val="00082616"/>
    <w:rsid w:val="0008265C"/>
    <w:rsid w:val="000826C8"/>
    <w:rsid w:val="0008274F"/>
    <w:rsid w:val="0008277C"/>
    <w:rsid w:val="00082832"/>
    <w:rsid w:val="000828DA"/>
    <w:rsid w:val="000828F4"/>
    <w:rsid w:val="0008293E"/>
    <w:rsid w:val="00082943"/>
    <w:rsid w:val="000829DB"/>
    <w:rsid w:val="000829FC"/>
    <w:rsid w:val="00082AAC"/>
    <w:rsid w:val="00082B07"/>
    <w:rsid w:val="00082B43"/>
    <w:rsid w:val="00082BED"/>
    <w:rsid w:val="00082EED"/>
    <w:rsid w:val="00082F26"/>
    <w:rsid w:val="00082F50"/>
    <w:rsid w:val="00082FCB"/>
    <w:rsid w:val="00082FD7"/>
    <w:rsid w:val="00083196"/>
    <w:rsid w:val="000831C4"/>
    <w:rsid w:val="000831DB"/>
    <w:rsid w:val="0008333E"/>
    <w:rsid w:val="00083377"/>
    <w:rsid w:val="00083435"/>
    <w:rsid w:val="0008344F"/>
    <w:rsid w:val="000834FB"/>
    <w:rsid w:val="0008356C"/>
    <w:rsid w:val="0008363F"/>
    <w:rsid w:val="00083688"/>
    <w:rsid w:val="000836E9"/>
    <w:rsid w:val="00083709"/>
    <w:rsid w:val="00083717"/>
    <w:rsid w:val="0008385C"/>
    <w:rsid w:val="00083876"/>
    <w:rsid w:val="000838E8"/>
    <w:rsid w:val="00083922"/>
    <w:rsid w:val="00083AFE"/>
    <w:rsid w:val="00083B73"/>
    <w:rsid w:val="00083B84"/>
    <w:rsid w:val="00083C4B"/>
    <w:rsid w:val="00083D16"/>
    <w:rsid w:val="00083DB5"/>
    <w:rsid w:val="00083E2F"/>
    <w:rsid w:val="00083E76"/>
    <w:rsid w:val="00083EB0"/>
    <w:rsid w:val="00083F72"/>
    <w:rsid w:val="00083FA5"/>
    <w:rsid w:val="000840CE"/>
    <w:rsid w:val="00084117"/>
    <w:rsid w:val="0008411F"/>
    <w:rsid w:val="00084178"/>
    <w:rsid w:val="00084253"/>
    <w:rsid w:val="000842C0"/>
    <w:rsid w:val="000842DD"/>
    <w:rsid w:val="0008430B"/>
    <w:rsid w:val="00084451"/>
    <w:rsid w:val="000844BB"/>
    <w:rsid w:val="000844E0"/>
    <w:rsid w:val="000844FF"/>
    <w:rsid w:val="0008450A"/>
    <w:rsid w:val="000845BD"/>
    <w:rsid w:val="000845D4"/>
    <w:rsid w:val="000846AD"/>
    <w:rsid w:val="000847AD"/>
    <w:rsid w:val="00084875"/>
    <w:rsid w:val="0008496A"/>
    <w:rsid w:val="000849E9"/>
    <w:rsid w:val="00084AD0"/>
    <w:rsid w:val="00084ADB"/>
    <w:rsid w:val="00084CA6"/>
    <w:rsid w:val="00084CD4"/>
    <w:rsid w:val="00084DA3"/>
    <w:rsid w:val="00084EAB"/>
    <w:rsid w:val="00084ED9"/>
    <w:rsid w:val="0008505A"/>
    <w:rsid w:val="000850CD"/>
    <w:rsid w:val="000850E0"/>
    <w:rsid w:val="00085177"/>
    <w:rsid w:val="000853CA"/>
    <w:rsid w:val="000853E8"/>
    <w:rsid w:val="000853FD"/>
    <w:rsid w:val="0008548E"/>
    <w:rsid w:val="000854EA"/>
    <w:rsid w:val="00085598"/>
    <w:rsid w:val="00085692"/>
    <w:rsid w:val="000856AA"/>
    <w:rsid w:val="00085841"/>
    <w:rsid w:val="0008587B"/>
    <w:rsid w:val="000859E6"/>
    <w:rsid w:val="00085A70"/>
    <w:rsid w:val="00085ADC"/>
    <w:rsid w:val="00085B08"/>
    <w:rsid w:val="00085B21"/>
    <w:rsid w:val="00085B73"/>
    <w:rsid w:val="00085BF7"/>
    <w:rsid w:val="00085C10"/>
    <w:rsid w:val="00085C20"/>
    <w:rsid w:val="00085C92"/>
    <w:rsid w:val="00085CDD"/>
    <w:rsid w:val="00085CED"/>
    <w:rsid w:val="00085D03"/>
    <w:rsid w:val="00085D0F"/>
    <w:rsid w:val="00085D89"/>
    <w:rsid w:val="00085D91"/>
    <w:rsid w:val="000860D8"/>
    <w:rsid w:val="000860D9"/>
    <w:rsid w:val="00086140"/>
    <w:rsid w:val="000861CD"/>
    <w:rsid w:val="0008623C"/>
    <w:rsid w:val="00086241"/>
    <w:rsid w:val="000862AF"/>
    <w:rsid w:val="00086329"/>
    <w:rsid w:val="0008634F"/>
    <w:rsid w:val="000863D6"/>
    <w:rsid w:val="000863EB"/>
    <w:rsid w:val="00086440"/>
    <w:rsid w:val="000864BA"/>
    <w:rsid w:val="000864C7"/>
    <w:rsid w:val="00086518"/>
    <w:rsid w:val="000865F5"/>
    <w:rsid w:val="00086608"/>
    <w:rsid w:val="00086703"/>
    <w:rsid w:val="00086805"/>
    <w:rsid w:val="00086856"/>
    <w:rsid w:val="0008692B"/>
    <w:rsid w:val="000869D8"/>
    <w:rsid w:val="00086A65"/>
    <w:rsid w:val="00086AC4"/>
    <w:rsid w:val="00086B34"/>
    <w:rsid w:val="00086C68"/>
    <w:rsid w:val="00086D75"/>
    <w:rsid w:val="00086FB9"/>
    <w:rsid w:val="00087018"/>
    <w:rsid w:val="000871AD"/>
    <w:rsid w:val="00087265"/>
    <w:rsid w:val="000875A0"/>
    <w:rsid w:val="00087602"/>
    <w:rsid w:val="0008769C"/>
    <w:rsid w:val="000876BB"/>
    <w:rsid w:val="000876D9"/>
    <w:rsid w:val="000876ED"/>
    <w:rsid w:val="000877B1"/>
    <w:rsid w:val="00087803"/>
    <w:rsid w:val="00087873"/>
    <w:rsid w:val="0008787B"/>
    <w:rsid w:val="000878B0"/>
    <w:rsid w:val="000878EC"/>
    <w:rsid w:val="000879DB"/>
    <w:rsid w:val="00087A3E"/>
    <w:rsid w:val="00087A41"/>
    <w:rsid w:val="00087A96"/>
    <w:rsid w:val="00087AA9"/>
    <w:rsid w:val="00087BC8"/>
    <w:rsid w:val="00087BD4"/>
    <w:rsid w:val="00087D26"/>
    <w:rsid w:val="00087D31"/>
    <w:rsid w:val="00087D44"/>
    <w:rsid w:val="00087E4C"/>
    <w:rsid w:val="00087E6C"/>
    <w:rsid w:val="00087F28"/>
    <w:rsid w:val="00087F6A"/>
    <w:rsid w:val="000900B9"/>
    <w:rsid w:val="00090162"/>
    <w:rsid w:val="00090285"/>
    <w:rsid w:val="0009033C"/>
    <w:rsid w:val="00090453"/>
    <w:rsid w:val="00090454"/>
    <w:rsid w:val="000904C6"/>
    <w:rsid w:val="000904CB"/>
    <w:rsid w:val="000904E0"/>
    <w:rsid w:val="000904FC"/>
    <w:rsid w:val="00090527"/>
    <w:rsid w:val="00090573"/>
    <w:rsid w:val="000905A0"/>
    <w:rsid w:val="00090627"/>
    <w:rsid w:val="00090633"/>
    <w:rsid w:val="0009067B"/>
    <w:rsid w:val="0009067C"/>
    <w:rsid w:val="000906D6"/>
    <w:rsid w:val="00090728"/>
    <w:rsid w:val="00090758"/>
    <w:rsid w:val="0009083C"/>
    <w:rsid w:val="00090902"/>
    <w:rsid w:val="0009095D"/>
    <w:rsid w:val="00090A1C"/>
    <w:rsid w:val="00090A7F"/>
    <w:rsid w:val="00090A96"/>
    <w:rsid w:val="00090B82"/>
    <w:rsid w:val="00090B85"/>
    <w:rsid w:val="00090B87"/>
    <w:rsid w:val="00090C42"/>
    <w:rsid w:val="00090C7E"/>
    <w:rsid w:val="00090CAC"/>
    <w:rsid w:val="00090CF0"/>
    <w:rsid w:val="00090D09"/>
    <w:rsid w:val="00090D0F"/>
    <w:rsid w:val="00090D33"/>
    <w:rsid w:val="00090E1E"/>
    <w:rsid w:val="00090E27"/>
    <w:rsid w:val="00090E38"/>
    <w:rsid w:val="00090E6A"/>
    <w:rsid w:val="00090E86"/>
    <w:rsid w:val="00090F51"/>
    <w:rsid w:val="00090FA6"/>
    <w:rsid w:val="00091022"/>
    <w:rsid w:val="00091037"/>
    <w:rsid w:val="000910B2"/>
    <w:rsid w:val="0009113D"/>
    <w:rsid w:val="00091149"/>
    <w:rsid w:val="00091173"/>
    <w:rsid w:val="00091312"/>
    <w:rsid w:val="00091360"/>
    <w:rsid w:val="00091501"/>
    <w:rsid w:val="00091553"/>
    <w:rsid w:val="000915CD"/>
    <w:rsid w:val="000916EE"/>
    <w:rsid w:val="000917D3"/>
    <w:rsid w:val="00091805"/>
    <w:rsid w:val="0009181C"/>
    <w:rsid w:val="00091916"/>
    <w:rsid w:val="00091946"/>
    <w:rsid w:val="000919D5"/>
    <w:rsid w:val="00091A15"/>
    <w:rsid w:val="00091A1E"/>
    <w:rsid w:val="00091AFC"/>
    <w:rsid w:val="00091BF3"/>
    <w:rsid w:val="00091C6C"/>
    <w:rsid w:val="00091DEF"/>
    <w:rsid w:val="00091E10"/>
    <w:rsid w:val="00091E39"/>
    <w:rsid w:val="00091E74"/>
    <w:rsid w:val="00091EE1"/>
    <w:rsid w:val="00091FBE"/>
    <w:rsid w:val="00091FD9"/>
    <w:rsid w:val="0009203F"/>
    <w:rsid w:val="00092083"/>
    <w:rsid w:val="00092117"/>
    <w:rsid w:val="000921BE"/>
    <w:rsid w:val="000921DA"/>
    <w:rsid w:val="00092214"/>
    <w:rsid w:val="0009222B"/>
    <w:rsid w:val="00092252"/>
    <w:rsid w:val="0009229C"/>
    <w:rsid w:val="000922B1"/>
    <w:rsid w:val="000924AF"/>
    <w:rsid w:val="000924F5"/>
    <w:rsid w:val="0009250D"/>
    <w:rsid w:val="00092548"/>
    <w:rsid w:val="00092559"/>
    <w:rsid w:val="00092631"/>
    <w:rsid w:val="000927AD"/>
    <w:rsid w:val="00092823"/>
    <w:rsid w:val="0009284B"/>
    <w:rsid w:val="0009289D"/>
    <w:rsid w:val="00092937"/>
    <w:rsid w:val="000929C8"/>
    <w:rsid w:val="00092A4D"/>
    <w:rsid w:val="00092A8D"/>
    <w:rsid w:val="00092A9F"/>
    <w:rsid w:val="00092B86"/>
    <w:rsid w:val="00092CAD"/>
    <w:rsid w:val="00092CFB"/>
    <w:rsid w:val="00092EFE"/>
    <w:rsid w:val="00092F1B"/>
    <w:rsid w:val="00092FA8"/>
    <w:rsid w:val="000930D8"/>
    <w:rsid w:val="000931BB"/>
    <w:rsid w:val="000931E0"/>
    <w:rsid w:val="00093348"/>
    <w:rsid w:val="00093359"/>
    <w:rsid w:val="00093363"/>
    <w:rsid w:val="00093386"/>
    <w:rsid w:val="000934B1"/>
    <w:rsid w:val="000934EF"/>
    <w:rsid w:val="000934F1"/>
    <w:rsid w:val="000934F6"/>
    <w:rsid w:val="00093567"/>
    <w:rsid w:val="00093574"/>
    <w:rsid w:val="0009357B"/>
    <w:rsid w:val="000935B7"/>
    <w:rsid w:val="000935BA"/>
    <w:rsid w:val="000936FE"/>
    <w:rsid w:val="0009370E"/>
    <w:rsid w:val="0009373E"/>
    <w:rsid w:val="00093743"/>
    <w:rsid w:val="0009379F"/>
    <w:rsid w:val="00093807"/>
    <w:rsid w:val="00093846"/>
    <w:rsid w:val="0009385E"/>
    <w:rsid w:val="00093A6B"/>
    <w:rsid w:val="00093AA8"/>
    <w:rsid w:val="00093B76"/>
    <w:rsid w:val="00093C74"/>
    <w:rsid w:val="00093C99"/>
    <w:rsid w:val="00093CDF"/>
    <w:rsid w:val="00093CEE"/>
    <w:rsid w:val="00093D97"/>
    <w:rsid w:val="00093DBE"/>
    <w:rsid w:val="00093DDA"/>
    <w:rsid w:val="00093DE5"/>
    <w:rsid w:val="00093E1A"/>
    <w:rsid w:val="00093E38"/>
    <w:rsid w:val="00093E4A"/>
    <w:rsid w:val="00093EFD"/>
    <w:rsid w:val="00093F07"/>
    <w:rsid w:val="00094010"/>
    <w:rsid w:val="000940C5"/>
    <w:rsid w:val="000941B3"/>
    <w:rsid w:val="000941D3"/>
    <w:rsid w:val="0009422D"/>
    <w:rsid w:val="0009428A"/>
    <w:rsid w:val="00094418"/>
    <w:rsid w:val="00094506"/>
    <w:rsid w:val="000945BA"/>
    <w:rsid w:val="0009465F"/>
    <w:rsid w:val="0009469A"/>
    <w:rsid w:val="0009472D"/>
    <w:rsid w:val="000947A5"/>
    <w:rsid w:val="000947B1"/>
    <w:rsid w:val="000947DD"/>
    <w:rsid w:val="000947E9"/>
    <w:rsid w:val="000948BD"/>
    <w:rsid w:val="00094911"/>
    <w:rsid w:val="00094991"/>
    <w:rsid w:val="000949AA"/>
    <w:rsid w:val="00094A37"/>
    <w:rsid w:val="00094AB8"/>
    <w:rsid w:val="00094C21"/>
    <w:rsid w:val="00094CDB"/>
    <w:rsid w:val="00094D01"/>
    <w:rsid w:val="00094D3A"/>
    <w:rsid w:val="00094D66"/>
    <w:rsid w:val="00094D70"/>
    <w:rsid w:val="00094DDD"/>
    <w:rsid w:val="00094E11"/>
    <w:rsid w:val="00094EED"/>
    <w:rsid w:val="00094EF9"/>
    <w:rsid w:val="00094F19"/>
    <w:rsid w:val="00094F68"/>
    <w:rsid w:val="00094F6E"/>
    <w:rsid w:val="00095026"/>
    <w:rsid w:val="0009504E"/>
    <w:rsid w:val="00095236"/>
    <w:rsid w:val="00095275"/>
    <w:rsid w:val="000952CC"/>
    <w:rsid w:val="000952E6"/>
    <w:rsid w:val="0009537D"/>
    <w:rsid w:val="000953CC"/>
    <w:rsid w:val="000954D8"/>
    <w:rsid w:val="000954ED"/>
    <w:rsid w:val="00095546"/>
    <w:rsid w:val="00095575"/>
    <w:rsid w:val="0009559A"/>
    <w:rsid w:val="000956E2"/>
    <w:rsid w:val="00095756"/>
    <w:rsid w:val="000957F1"/>
    <w:rsid w:val="00095898"/>
    <w:rsid w:val="000958AF"/>
    <w:rsid w:val="000958DB"/>
    <w:rsid w:val="000959A5"/>
    <w:rsid w:val="00095A21"/>
    <w:rsid w:val="00095ADA"/>
    <w:rsid w:val="00095AF4"/>
    <w:rsid w:val="00095B3D"/>
    <w:rsid w:val="00095B5C"/>
    <w:rsid w:val="00095B7A"/>
    <w:rsid w:val="00095BD6"/>
    <w:rsid w:val="00095C1F"/>
    <w:rsid w:val="00095C39"/>
    <w:rsid w:val="00095CFA"/>
    <w:rsid w:val="00095D1A"/>
    <w:rsid w:val="00095DD9"/>
    <w:rsid w:val="00095F94"/>
    <w:rsid w:val="00095FEE"/>
    <w:rsid w:val="0009607A"/>
    <w:rsid w:val="000960CE"/>
    <w:rsid w:val="00096173"/>
    <w:rsid w:val="000961C6"/>
    <w:rsid w:val="00096259"/>
    <w:rsid w:val="000962B2"/>
    <w:rsid w:val="0009631D"/>
    <w:rsid w:val="00096321"/>
    <w:rsid w:val="000963D4"/>
    <w:rsid w:val="00096413"/>
    <w:rsid w:val="000964AD"/>
    <w:rsid w:val="000964FE"/>
    <w:rsid w:val="00096569"/>
    <w:rsid w:val="00096571"/>
    <w:rsid w:val="0009657A"/>
    <w:rsid w:val="000965AC"/>
    <w:rsid w:val="00096634"/>
    <w:rsid w:val="0009678B"/>
    <w:rsid w:val="000967F4"/>
    <w:rsid w:val="000968B1"/>
    <w:rsid w:val="000968BD"/>
    <w:rsid w:val="000968F2"/>
    <w:rsid w:val="00096904"/>
    <w:rsid w:val="0009693F"/>
    <w:rsid w:val="00096990"/>
    <w:rsid w:val="000969B4"/>
    <w:rsid w:val="000969CD"/>
    <w:rsid w:val="00096A2B"/>
    <w:rsid w:val="00096A43"/>
    <w:rsid w:val="00096ABE"/>
    <w:rsid w:val="00096AEF"/>
    <w:rsid w:val="00096B57"/>
    <w:rsid w:val="00096B6D"/>
    <w:rsid w:val="00096BCE"/>
    <w:rsid w:val="00096C52"/>
    <w:rsid w:val="00096C62"/>
    <w:rsid w:val="00096C6D"/>
    <w:rsid w:val="00096CB9"/>
    <w:rsid w:val="00096D54"/>
    <w:rsid w:val="00096D61"/>
    <w:rsid w:val="00096D7F"/>
    <w:rsid w:val="00096DCD"/>
    <w:rsid w:val="00096E8C"/>
    <w:rsid w:val="00096EE0"/>
    <w:rsid w:val="00096F10"/>
    <w:rsid w:val="00097026"/>
    <w:rsid w:val="0009703B"/>
    <w:rsid w:val="00097057"/>
    <w:rsid w:val="000970D5"/>
    <w:rsid w:val="00097170"/>
    <w:rsid w:val="0009727C"/>
    <w:rsid w:val="000972F0"/>
    <w:rsid w:val="00097317"/>
    <w:rsid w:val="0009739F"/>
    <w:rsid w:val="0009745B"/>
    <w:rsid w:val="00097464"/>
    <w:rsid w:val="000974EC"/>
    <w:rsid w:val="000974FB"/>
    <w:rsid w:val="0009754B"/>
    <w:rsid w:val="000975AA"/>
    <w:rsid w:val="00097634"/>
    <w:rsid w:val="000977B4"/>
    <w:rsid w:val="000978E1"/>
    <w:rsid w:val="0009793F"/>
    <w:rsid w:val="00097A2C"/>
    <w:rsid w:val="00097AD3"/>
    <w:rsid w:val="00097AFE"/>
    <w:rsid w:val="00097B20"/>
    <w:rsid w:val="00097B46"/>
    <w:rsid w:val="00097B5B"/>
    <w:rsid w:val="00097B8B"/>
    <w:rsid w:val="00097BA1"/>
    <w:rsid w:val="00097C0E"/>
    <w:rsid w:val="00097C3F"/>
    <w:rsid w:val="00097C69"/>
    <w:rsid w:val="00097CB4"/>
    <w:rsid w:val="00097D97"/>
    <w:rsid w:val="00097DEF"/>
    <w:rsid w:val="00097DF4"/>
    <w:rsid w:val="00097E02"/>
    <w:rsid w:val="00097E30"/>
    <w:rsid w:val="00097E59"/>
    <w:rsid w:val="00097E73"/>
    <w:rsid w:val="00097E86"/>
    <w:rsid w:val="000A000C"/>
    <w:rsid w:val="000A00A3"/>
    <w:rsid w:val="000A0142"/>
    <w:rsid w:val="000A015F"/>
    <w:rsid w:val="000A023A"/>
    <w:rsid w:val="000A0285"/>
    <w:rsid w:val="000A02C2"/>
    <w:rsid w:val="000A03C8"/>
    <w:rsid w:val="000A03E3"/>
    <w:rsid w:val="000A03FE"/>
    <w:rsid w:val="000A0467"/>
    <w:rsid w:val="000A047A"/>
    <w:rsid w:val="000A04D3"/>
    <w:rsid w:val="000A052C"/>
    <w:rsid w:val="000A0568"/>
    <w:rsid w:val="000A05C7"/>
    <w:rsid w:val="000A0634"/>
    <w:rsid w:val="000A0643"/>
    <w:rsid w:val="000A07EF"/>
    <w:rsid w:val="000A0816"/>
    <w:rsid w:val="000A086F"/>
    <w:rsid w:val="000A08DB"/>
    <w:rsid w:val="000A08FE"/>
    <w:rsid w:val="000A091D"/>
    <w:rsid w:val="000A09BB"/>
    <w:rsid w:val="000A09D4"/>
    <w:rsid w:val="000A0AEA"/>
    <w:rsid w:val="000A0B34"/>
    <w:rsid w:val="000A0C30"/>
    <w:rsid w:val="000A0C55"/>
    <w:rsid w:val="000A0C78"/>
    <w:rsid w:val="000A0CBA"/>
    <w:rsid w:val="000A0D40"/>
    <w:rsid w:val="000A0DDE"/>
    <w:rsid w:val="000A0E1C"/>
    <w:rsid w:val="000A0E46"/>
    <w:rsid w:val="000A0E98"/>
    <w:rsid w:val="000A0EB0"/>
    <w:rsid w:val="000A0F45"/>
    <w:rsid w:val="000A0F48"/>
    <w:rsid w:val="000A0F52"/>
    <w:rsid w:val="000A0F8D"/>
    <w:rsid w:val="000A0FEB"/>
    <w:rsid w:val="000A1005"/>
    <w:rsid w:val="000A112C"/>
    <w:rsid w:val="000A116C"/>
    <w:rsid w:val="000A11CF"/>
    <w:rsid w:val="000A128D"/>
    <w:rsid w:val="000A134B"/>
    <w:rsid w:val="000A13A8"/>
    <w:rsid w:val="000A1402"/>
    <w:rsid w:val="000A14EC"/>
    <w:rsid w:val="000A15F6"/>
    <w:rsid w:val="000A160F"/>
    <w:rsid w:val="000A1670"/>
    <w:rsid w:val="000A16FE"/>
    <w:rsid w:val="000A1845"/>
    <w:rsid w:val="000A195B"/>
    <w:rsid w:val="000A198A"/>
    <w:rsid w:val="000A19AD"/>
    <w:rsid w:val="000A1A1B"/>
    <w:rsid w:val="000A1A2E"/>
    <w:rsid w:val="000A1A45"/>
    <w:rsid w:val="000A1B87"/>
    <w:rsid w:val="000A1BF5"/>
    <w:rsid w:val="000A1C4B"/>
    <w:rsid w:val="000A1C72"/>
    <w:rsid w:val="000A1C7C"/>
    <w:rsid w:val="000A1D19"/>
    <w:rsid w:val="000A1D75"/>
    <w:rsid w:val="000A1DBA"/>
    <w:rsid w:val="000A1F36"/>
    <w:rsid w:val="000A1F7B"/>
    <w:rsid w:val="000A1FCA"/>
    <w:rsid w:val="000A20E4"/>
    <w:rsid w:val="000A21B4"/>
    <w:rsid w:val="000A224C"/>
    <w:rsid w:val="000A2253"/>
    <w:rsid w:val="000A229E"/>
    <w:rsid w:val="000A22C8"/>
    <w:rsid w:val="000A22D0"/>
    <w:rsid w:val="000A2330"/>
    <w:rsid w:val="000A2340"/>
    <w:rsid w:val="000A2375"/>
    <w:rsid w:val="000A238B"/>
    <w:rsid w:val="000A23D2"/>
    <w:rsid w:val="000A240E"/>
    <w:rsid w:val="000A2474"/>
    <w:rsid w:val="000A2519"/>
    <w:rsid w:val="000A2545"/>
    <w:rsid w:val="000A2631"/>
    <w:rsid w:val="000A268D"/>
    <w:rsid w:val="000A26DE"/>
    <w:rsid w:val="000A26DF"/>
    <w:rsid w:val="000A26F8"/>
    <w:rsid w:val="000A2700"/>
    <w:rsid w:val="000A2718"/>
    <w:rsid w:val="000A2817"/>
    <w:rsid w:val="000A2856"/>
    <w:rsid w:val="000A28B2"/>
    <w:rsid w:val="000A28BB"/>
    <w:rsid w:val="000A29AB"/>
    <w:rsid w:val="000A29C7"/>
    <w:rsid w:val="000A2A76"/>
    <w:rsid w:val="000A2A99"/>
    <w:rsid w:val="000A2AE7"/>
    <w:rsid w:val="000A2B82"/>
    <w:rsid w:val="000A2CD0"/>
    <w:rsid w:val="000A2CF9"/>
    <w:rsid w:val="000A2D40"/>
    <w:rsid w:val="000A2D5F"/>
    <w:rsid w:val="000A2DD1"/>
    <w:rsid w:val="000A2E68"/>
    <w:rsid w:val="000A2ED9"/>
    <w:rsid w:val="000A2F72"/>
    <w:rsid w:val="000A2F7A"/>
    <w:rsid w:val="000A2F9D"/>
    <w:rsid w:val="000A308F"/>
    <w:rsid w:val="000A3097"/>
    <w:rsid w:val="000A30F3"/>
    <w:rsid w:val="000A314E"/>
    <w:rsid w:val="000A3175"/>
    <w:rsid w:val="000A319B"/>
    <w:rsid w:val="000A3263"/>
    <w:rsid w:val="000A326B"/>
    <w:rsid w:val="000A32C9"/>
    <w:rsid w:val="000A32E4"/>
    <w:rsid w:val="000A32FD"/>
    <w:rsid w:val="000A3345"/>
    <w:rsid w:val="000A346B"/>
    <w:rsid w:val="000A347F"/>
    <w:rsid w:val="000A3550"/>
    <w:rsid w:val="000A36BA"/>
    <w:rsid w:val="000A386E"/>
    <w:rsid w:val="000A3886"/>
    <w:rsid w:val="000A38D6"/>
    <w:rsid w:val="000A38FC"/>
    <w:rsid w:val="000A3A99"/>
    <w:rsid w:val="000A3AC2"/>
    <w:rsid w:val="000A3AE3"/>
    <w:rsid w:val="000A3B50"/>
    <w:rsid w:val="000A3B81"/>
    <w:rsid w:val="000A3BDA"/>
    <w:rsid w:val="000A3C05"/>
    <w:rsid w:val="000A3C43"/>
    <w:rsid w:val="000A3CAA"/>
    <w:rsid w:val="000A3DE8"/>
    <w:rsid w:val="000A3E49"/>
    <w:rsid w:val="000A3E5C"/>
    <w:rsid w:val="000A3EE4"/>
    <w:rsid w:val="000A3F46"/>
    <w:rsid w:val="000A404B"/>
    <w:rsid w:val="000A4094"/>
    <w:rsid w:val="000A40EE"/>
    <w:rsid w:val="000A4174"/>
    <w:rsid w:val="000A4179"/>
    <w:rsid w:val="000A41F5"/>
    <w:rsid w:val="000A42D1"/>
    <w:rsid w:val="000A4374"/>
    <w:rsid w:val="000A43FF"/>
    <w:rsid w:val="000A440A"/>
    <w:rsid w:val="000A4476"/>
    <w:rsid w:val="000A44D5"/>
    <w:rsid w:val="000A45F9"/>
    <w:rsid w:val="000A45FE"/>
    <w:rsid w:val="000A46DB"/>
    <w:rsid w:val="000A47BF"/>
    <w:rsid w:val="000A47ED"/>
    <w:rsid w:val="000A4804"/>
    <w:rsid w:val="000A4807"/>
    <w:rsid w:val="000A4817"/>
    <w:rsid w:val="000A485F"/>
    <w:rsid w:val="000A489D"/>
    <w:rsid w:val="000A4929"/>
    <w:rsid w:val="000A49E4"/>
    <w:rsid w:val="000A49FE"/>
    <w:rsid w:val="000A4A06"/>
    <w:rsid w:val="000A4A09"/>
    <w:rsid w:val="000A4A1E"/>
    <w:rsid w:val="000A4B82"/>
    <w:rsid w:val="000A4BE7"/>
    <w:rsid w:val="000A4C0A"/>
    <w:rsid w:val="000A4C71"/>
    <w:rsid w:val="000A4C84"/>
    <w:rsid w:val="000A4CAF"/>
    <w:rsid w:val="000A4CC4"/>
    <w:rsid w:val="000A4D40"/>
    <w:rsid w:val="000A4D4B"/>
    <w:rsid w:val="000A4D5D"/>
    <w:rsid w:val="000A4DC0"/>
    <w:rsid w:val="000A4E1B"/>
    <w:rsid w:val="000A4ED6"/>
    <w:rsid w:val="000A4EF5"/>
    <w:rsid w:val="000A4FE5"/>
    <w:rsid w:val="000A5061"/>
    <w:rsid w:val="000A513D"/>
    <w:rsid w:val="000A514F"/>
    <w:rsid w:val="000A51D3"/>
    <w:rsid w:val="000A52DE"/>
    <w:rsid w:val="000A53FD"/>
    <w:rsid w:val="000A5435"/>
    <w:rsid w:val="000A5497"/>
    <w:rsid w:val="000A54D4"/>
    <w:rsid w:val="000A550A"/>
    <w:rsid w:val="000A551D"/>
    <w:rsid w:val="000A5522"/>
    <w:rsid w:val="000A553B"/>
    <w:rsid w:val="000A55E4"/>
    <w:rsid w:val="000A5683"/>
    <w:rsid w:val="000A56D3"/>
    <w:rsid w:val="000A5758"/>
    <w:rsid w:val="000A589D"/>
    <w:rsid w:val="000A58F6"/>
    <w:rsid w:val="000A5922"/>
    <w:rsid w:val="000A5A3A"/>
    <w:rsid w:val="000A5AC0"/>
    <w:rsid w:val="000A5B41"/>
    <w:rsid w:val="000A5B88"/>
    <w:rsid w:val="000A5C0C"/>
    <w:rsid w:val="000A5CAE"/>
    <w:rsid w:val="000A5CCF"/>
    <w:rsid w:val="000A5D71"/>
    <w:rsid w:val="000A5EF1"/>
    <w:rsid w:val="000A5F56"/>
    <w:rsid w:val="000A5F9A"/>
    <w:rsid w:val="000A5FA8"/>
    <w:rsid w:val="000A60C6"/>
    <w:rsid w:val="000A6121"/>
    <w:rsid w:val="000A616B"/>
    <w:rsid w:val="000A6209"/>
    <w:rsid w:val="000A628D"/>
    <w:rsid w:val="000A6308"/>
    <w:rsid w:val="000A6350"/>
    <w:rsid w:val="000A63B7"/>
    <w:rsid w:val="000A6462"/>
    <w:rsid w:val="000A6492"/>
    <w:rsid w:val="000A649F"/>
    <w:rsid w:val="000A64B9"/>
    <w:rsid w:val="000A6594"/>
    <w:rsid w:val="000A66C8"/>
    <w:rsid w:val="000A677C"/>
    <w:rsid w:val="000A684D"/>
    <w:rsid w:val="000A686B"/>
    <w:rsid w:val="000A6925"/>
    <w:rsid w:val="000A698E"/>
    <w:rsid w:val="000A69BE"/>
    <w:rsid w:val="000A69ED"/>
    <w:rsid w:val="000A6A29"/>
    <w:rsid w:val="000A6A87"/>
    <w:rsid w:val="000A6A9B"/>
    <w:rsid w:val="000A6B60"/>
    <w:rsid w:val="000A6BB1"/>
    <w:rsid w:val="000A6BC8"/>
    <w:rsid w:val="000A6D99"/>
    <w:rsid w:val="000A6DB5"/>
    <w:rsid w:val="000A6DDE"/>
    <w:rsid w:val="000A6E42"/>
    <w:rsid w:val="000A6EF8"/>
    <w:rsid w:val="000A6FD9"/>
    <w:rsid w:val="000A7101"/>
    <w:rsid w:val="000A7264"/>
    <w:rsid w:val="000A728E"/>
    <w:rsid w:val="000A7312"/>
    <w:rsid w:val="000A73DA"/>
    <w:rsid w:val="000A74A2"/>
    <w:rsid w:val="000A7558"/>
    <w:rsid w:val="000A75B0"/>
    <w:rsid w:val="000A75FA"/>
    <w:rsid w:val="000A7603"/>
    <w:rsid w:val="000A76D3"/>
    <w:rsid w:val="000A76E8"/>
    <w:rsid w:val="000A76EB"/>
    <w:rsid w:val="000A76FF"/>
    <w:rsid w:val="000A770E"/>
    <w:rsid w:val="000A7761"/>
    <w:rsid w:val="000A776E"/>
    <w:rsid w:val="000A77A5"/>
    <w:rsid w:val="000A77F4"/>
    <w:rsid w:val="000A7824"/>
    <w:rsid w:val="000A7829"/>
    <w:rsid w:val="000A788B"/>
    <w:rsid w:val="000A78D3"/>
    <w:rsid w:val="000A7940"/>
    <w:rsid w:val="000A7A09"/>
    <w:rsid w:val="000A7AB9"/>
    <w:rsid w:val="000A7AE3"/>
    <w:rsid w:val="000A7B66"/>
    <w:rsid w:val="000A7BF0"/>
    <w:rsid w:val="000A7C09"/>
    <w:rsid w:val="000A7C60"/>
    <w:rsid w:val="000A7CAA"/>
    <w:rsid w:val="000A7D7D"/>
    <w:rsid w:val="000A7DA1"/>
    <w:rsid w:val="000A7DBD"/>
    <w:rsid w:val="000A7DF2"/>
    <w:rsid w:val="000A7E07"/>
    <w:rsid w:val="000A7E93"/>
    <w:rsid w:val="000A7EA3"/>
    <w:rsid w:val="000A7EFA"/>
    <w:rsid w:val="000A7F04"/>
    <w:rsid w:val="000A7F6D"/>
    <w:rsid w:val="000A7F97"/>
    <w:rsid w:val="000A7FAD"/>
    <w:rsid w:val="000A7FB7"/>
    <w:rsid w:val="000B004F"/>
    <w:rsid w:val="000B0069"/>
    <w:rsid w:val="000B0079"/>
    <w:rsid w:val="000B018F"/>
    <w:rsid w:val="000B01A9"/>
    <w:rsid w:val="000B0256"/>
    <w:rsid w:val="000B02BD"/>
    <w:rsid w:val="000B03E8"/>
    <w:rsid w:val="000B03EB"/>
    <w:rsid w:val="000B043E"/>
    <w:rsid w:val="000B0488"/>
    <w:rsid w:val="000B04D4"/>
    <w:rsid w:val="000B0551"/>
    <w:rsid w:val="000B0581"/>
    <w:rsid w:val="000B059A"/>
    <w:rsid w:val="000B0642"/>
    <w:rsid w:val="000B064C"/>
    <w:rsid w:val="000B0699"/>
    <w:rsid w:val="000B06B4"/>
    <w:rsid w:val="000B06C6"/>
    <w:rsid w:val="000B06FB"/>
    <w:rsid w:val="000B0720"/>
    <w:rsid w:val="000B075F"/>
    <w:rsid w:val="000B07E6"/>
    <w:rsid w:val="000B090D"/>
    <w:rsid w:val="000B098E"/>
    <w:rsid w:val="000B09B8"/>
    <w:rsid w:val="000B09F8"/>
    <w:rsid w:val="000B0A67"/>
    <w:rsid w:val="000B0A74"/>
    <w:rsid w:val="000B0AA1"/>
    <w:rsid w:val="000B0AC8"/>
    <w:rsid w:val="000B0BA5"/>
    <w:rsid w:val="000B0D2D"/>
    <w:rsid w:val="000B0D2F"/>
    <w:rsid w:val="000B0E0F"/>
    <w:rsid w:val="000B0EE8"/>
    <w:rsid w:val="000B1046"/>
    <w:rsid w:val="000B107A"/>
    <w:rsid w:val="000B109C"/>
    <w:rsid w:val="000B10BD"/>
    <w:rsid w:val="000B10F9"/>
    <w:rsid w:val="000B113C"/>
    <w:rsid w:val="000B114C"/>
    <w:rsid w:val="000B11DE"/>
    <w:rsid w:val="000B1222"/>
    <w:rsid w:val="000B124B"/>
    <w:rsid w:val="000B1297"/>
    <w:rsid w:val="000B1301"/>
    <w:rsid w:val="000B135B"/>
    <w:rsid w:val="000B13AC"/>
    <w:rsid w:val="000B14BC"/>
    <w:rsid w:val="000B153C"/>
    <w:rsid w:val="000B1573"/>
    <w:rsid w:val="000B1581"/>
    <w:rsid w:val="000B1680"/>
    <w:rsid w:val="000B1724"/>
    <w:rsid w:val="000B17A2"/>
    <w:rsid w:val="000B17BA"/>
    <w:rsid w:val="000B17BE"/>
    <w:rsid w:val="000B17C1"/>
    <w:rsid w:val="000B17CD"/>
    <w:rsid w:val="000B17D4"/>
    <w:rsid w:val="000B1877"/>
    <w:rsid w:val="000B1894"/>
    <w:rsid w:val="000B1999"/>
    <w:rsid w:val="000B1A70"/>
    <w:rsid w:val="000B1A7A"/>
    <w:rsid w:val="000B1AB8"/>
    <w:rsid w:val="000B1B17"/>
    <w:rsid w:val="000B1B4D"/>
    <w:rsid w:val="000B1B59"/>
    <w:rsid w:val="000B1C3C"/>
    <w:rsid w:val="000B1C50"/>
    <w:rsid w:val="000B1CBB"/>
    <w:rsid w:val="000B1D3D"/>
    <w:rsid w:val="000B1D9C"/>
    <w:rsid w:val="000B1E8A"/>
    <w:rsid w:val="000B1ECA"/>
    <w:rsid w:val="000B1FE9"/>
    <w:rsid w:val="000B205E"/>
    <w:rsid w:val="000B2080"/>
    <w:rsid w:val="000B208F"/>
    <w:rsid w:val="000B209D"/>
    <w:rsid w:val="000B20AC"/>
    <w:rsid w:val="000B20B6"/>
    <w:rsid w:val="000B20F2"/>
    <w:rsid w:val="000B2181"/>
    <w:rsid w:val="000B21BD"/>
    <w:rsid w:val="000B21D7"/>
    <w:rsid w:val="000B221C"/>
    <w:rsid w:val="000B2239"/>
    <w:rsid w:val="000B2250"/>
    <w:rsid w:val="000B2329"/>
    <w:rsid w:val="000B23DC"/>
    <w:rsid w:val="000B2412"/>
    <w:rsid w:val="000B2635"/>
    <w:rsid w:val="000B267B"/>
    <w:rsid w:val="000B272D"/>
    <w:rsid w:val="000B2774"/>
    <w:rsid w:val="000B27FF"/>
    <w:rsid w:val="000B28FE"/>
    <w:rsid w:val="000B2935"/>
    <w:rsid w:val="000B2969"/>
    <w:rsid w:val="000B2B10"/>
    <w:rsid w:val="000B2B45"/>
    <w:rsid w:val="000B2BFA"/>
    <w:rsid w:val="000B2D48"/>
    <w:rsid w:val="000B2D4A"/>
    <w:rsid w:val="000B2ED4"/>
    <w:rsid w:val="000B2F27"/>
    <w:rsid w:val="000B2F92"/>
    <w:rsid w:val="000B2F93"/>
    <w:rsid w:val="000B30AE"/>
    <w:rsid w:val="000B30B3"/>
    <w:rsid w:val="000B313E"/>
    <w:rsid w:val="000B317D"/>
    <w:rsid w:val="000B3186"/>
    <w:rsid w:val="000B32B4"/>
    <w:rsid w:val="000B32C3"/>
    <w:rsid w:val="000B3340"/>
    <w:rsid w:val="000B334A"/>
    <w:rsid w:val="000B337E"/>
    <w:rsid w:val="000B34AC"/>
    <w:rsid w:val="000B34E3"/>
    <w:rsid w:val="000B3518"/>
    <w:rsid w:val="000B35CC"/>
    <w:rsid w:val="000B365E"/>
    <w:rsid w:val="000B36CC"/>
    <w:rsid w:val="000B37C7"/>
    <w:rsid w:val="000B3805"/>
    <w:rsid w:val="000B380B"/>
    <w:rsid w:val="000B3890"/>
    <w:rsid w:val="000B38B1"/>
    <w:rsid w:val="000B38C5"/>
    <w:rsid w:val="000B38D6"/>
    <w:rsid w:val="000B39A6"/>
    <w:rsid w:val="000B39B0"/>
    <w:rsid w:val="000B39F8"/>
    <w:rsid w:val="000B3A2D"/>
    <w:rsid w:val="000B3A99"/>
    <w:rsid w:val="000B3D08"/>
    <w:rsid w:val="000B3DC7"/>
    <w:rsid w:val="000B3DCB"/>
    <w:rsid w:val="000B3E84"/>
    <w:rsid w:val="000B3EBA"/>
    <w:rsid w:val="000B3FA9"/>
    <w:rsid w:val="000B3FFF"/>
    <w:rsid w:val="000B404D"/>
    <w:rsid w:val="000B404E"/>
    <w:rsid w:val="000B4110"/>
    <w:rsid w:val="000B4166"/>
    <w:rsid w:val="000B416F"/>
    <w:rsid w:val="000B41AF"/>
    <w:rsid w:val="000B41C0"/>
    <w:rsid w:val="000B4202"/>
    <w:rsid w:val="000B4218"/>
    <w:rsid w:val="000B426C"/>
    <w:rsid w:val="000B4402"/>
    <w:rsid w:val="000B4623"/>
    <w:rsid w:val="000B4682"/>
    <w:rsid w:val="000B4979"/>
    <w:rsid w:val="000B49E2"/>
    <w:rsid w:val="000B49F8"/>
    <w:rsid w:val="000B4B0C"/>
    <w:rsid w:val="000B4D76"/>
    <w:rsid w:val="000B4E17"/>
    <w:rsid w:val="000B4E7E"/>
    <w:rsid w:val="000B4ECC"/>
    <w:rsid w:val="000B4EFE"/>
    <w:rsid w:val="000B4F22"/>
    <w:rsid w:val="000B5096"/>
    <w:rsid w:val="000B518A"/>
    <w:rsid w:val="000B51BA"/>
    <w:rsid w:val="000B53D6"/>
    <w:rsid w:val="000B5551"/>
    <w:rsid w:val="000B560C"/>
    <w:rsid w:val="000B5642"/>
    <w:rsid w:val="000B572D"/>
    <w:rsid w:val="000B575B"/>
    <w:rsid w:val="000B57C0"/>
    <w:rsid w:val="000B5818"/>
    <w:rsid w:val="000B5877"/>
    <w:rsid w:val="000B5884"/>
    <w:rsid w:val="000B58CE"/>
    <w:rsid w:val="000B592A"/>
    <w:rsid w:val="000B59EB"/>
    <w:rsid w:val="000B5A40"/>
    <w:rsid w:val="000B5A51"/>
    <w:rsid w:val="000B5B29"/>
    <w:rsid w:val="000B5B51"/>
    <w:rsid w:val="000B5B93"/>
    <w:rsid w:val="000B5BD5"/>
    <w:rsid w:val="000B5CE8"/>
    <w:rsid w:val="000B5D27"/>
    <w:rsid w:val="000B5DA4"/>
    <w:rsid w:val="000B5DD8"/>
    <w:rsid w:val="000B5E9A"/>
    <w:rsid w:val="000B5F6B"/>
    <w:rsid w:val="000B6022"/>
    <w:rsid w:val="000B602D"/>
    <w:rsid w:val="000B6089"/>
    <w:rsid w:val="000B60AB"/>
    <w:rsid w:val="000B61AD"/>
    <w:rsid w:val="000B6258"/>
    <w:rsid w:val="000B6346"/>
    <w:rsid w:val="000B638B"/>
    <w:rsid w:val="000B63CE"/>
    <w:rsid w:val="000B63F1"/>
    <w:rsid w:val="000B6421"/>
    <w:rsid w:val="000B6445"/>
    <w:rsid w:val="000B64E9"/>
    <w:rsid w:val="000B64FC"/>
    <w:rsid w:val="000B65C8"/>
    <w:rsid w:val="000B6696"/>
    <w:rsid w:val="000B66B1"/>
    <w:rsid w:val="000B670F"/>
    <w:rsid w:val="000B6781"/>
    <w:rsid w:val="000B67C8"/>
    <w:rsid w:val="000B67F6"/>
    <w:rsid w:val="000B68A5"/>
    <w:rsid w:val="000B69B3"/>
    <w:rsid w:val="000B69B4"/>
    <w:rsid w:val="000B69CB"/>
    <w:rsid w:val="000B69F7"/>
    <w:rsid w:val="000B6A3D"/>
    <w:rsid w:val="000B6B12"/>
    <w:rsid w:val="000B6B76"/>
    <w:rsid w:val="000B6BCF"/>
    <w:rsid w:val="000B6CDD"/>
    <w:rsid w:val="000B6D02"/>
    <w:rsid w:val="000B6D45"/>
    <w:rsid w:val="000B6D4A"/>
    <w:rsid w:val="000B6D6C"/>
    <w:rsid w:val="000B6DE4"/>
    <w:rsid w:val="000B6E25"/>
    <w:rsid w:val="000B6E57"/>
    <w:rsid w:val="000B6EC4"/>
    <w:rsid w:val="000B6ED9"/>
    <w:rsid w:val="000B6EE8"/>
    <w:rsid w:val="000B6FAA"/>
    <w:rsid w:val="000B71B1"/>
    <w:rsid w:val="000B72A3"/>
    <w:rsid w:val="000B73CF"/>
    <w:rsid w:val="000B7428"/>
    <w:rsid w:val="000B7452"/>
    <w:rsid w:val="000B7575"/>
    <w:rsid w:val="000B76FD"/>
    <w:rsid w:val="000B775D"/>
    <w:rsid w:val="000B7867"/>
    <w:rsid w:val="000B78B1"/>
    <w:rsid w:val="000B79C0"/>
    <w:rsid w:val="000B7AD5"/>
    <w:rsid w:val="000B7B7E"/>
    <w:rsid w:val="000B7BB7"/>
    <w:rsid w:val="000B7C9C"/>
    <w:rsid w:val="000B7CB5"/>
    <w:rsid w:val="000B7CF1"/>
    <w:rsid w:val="000B7D20"/>
    <w:rsid w:val="000B7D35"/>
    <w:rsid w:val="000B7D40"/>
    <w:rsid w:val="000B7E2F"/>
    <w:rsid w:val="000B7E39"/>
    <w:rsid w:val="000B7E77"/>
    <w:rsid w:val="000B7E82"/>
    <w:rsid w:val="000B7E8A"/>
    <w:rsid w:val="000B7E94"/>
    <w:rsid w:val="000B7EF5"/>
    <w:rsid w:val="000B7F8B"/>
    <w:rsid w:val="000C02B1"/>
    <w:rsid w:val="000C02DE"/>
    <w:rsid w:val="000C034C"/>
    <w:rsid w:val="000C03C1"/>
    <w:rsid w:val="000C0458"/>
    <w:rsid w:val="000C0552"/>
    <w:rsid w:val="000C05B6"/>
    <w:rsid w:val="000C060A"/>
    <w:rsid w:val="000C0684"/>
    <w:rsid w:val="000C0719"/>
    <w:rsid w:val="000C072A"/>
    <w:rsid w:val="000C073E"/>
    <w:rsid w:val="000C089A"/>
    <w:rsid w:val="000C0941"/>
    <w:rsid w:val="000C09BC"/>
    <w:rsid w:val="000C0A2A"/>
    <w:rsid w:val="000C0AB4"/>
    <w:rsid w:val="000C0B4E"/>
    <w:rsid w:val="000C0B56"/>
    <w:rsid w:val="000C0B67"/>
    <w:rsid w:val="000C0BA8"/>
    <w:rsid w:val="000C0BD6"/>
    <w:rsid w:val="000C0D06"/>
    <w:rsid w:val="000C0DAC"/>
    <w:rsid w:val="000C0DE5"/>
    <w:rsid w:val="000C0E1E"/>
    <w:rsid w:val="000C0E5C"/>
    <w:rsid w:val="000C0F03"/>
    <w:rsid w:val="000C0FA3"/>
    <w:rsid w:val="000C0FBB"/>
    <w:rsid w:val="000C1006"/>
    <w:rsid w:val="000C120A"/>
    <w:rsid w:val="000C1228"/>
    <w:rsid w:val="000C13C5"/>
    <w:rsid w:val="000C14FB"/>
    <w:rsid w:val="000C1603"/>
    <w:rsid w:val="000C1613"/>
    <w:rsid w:val="000C1658"/>
    <w:rsid w:val="000C16B0"/>
    <w:rsid w:val="000C16D8"/>
    <w:rsid w:val="000C1728"/>
    <w:rsid w:val="000C1741"/>
    <w:rsid w:val="000C174C"/>
    <w:rsid w:val="000C178D"/>
    <w:rsid w:val="000C17AC"/>
    <w:rsid w:val="000C17C4"/>
    <w:rsid w:val="000C181A"/>
    <w:rsid w:val="000C181B"/>
    <w:rsid w:val="000C189F"/>
    <w:rsid w:val="000C1901"/>
    <w:rsid w:val="000C1903"/>
    <w:rsid w:val="000C190B"/>
    <w:rsid w:val="000C1950"/>
    <w:rsid w:val="000C19B0"/>
    <w:rsid w:val="000C1A0A"/>
    <w:rsid w:val="000C1A73"/>
    <w:rsid w:val="000C1AA4"/>
    <w:rsid w:val="000C1AF0"/>
    <w:rsid w:val="000C1B52"/>
    <w:rsid w:val="000C1B5E"/>
    <w:rsid w:val="000C1B7C"/>
    <w:rsid w:val="000C1BD3"/>
    <w:rsid w:val="000C1BD9"/>
    <w:rsid w:val="000C1BF8"/>
    <w:rsid w:val="000C1C0C"/>
    <w:rsid w:val="000C1C3D"/>
    <w:rsid w:val="000C1CD7"/>
    <w:rsid w:val="000C1D06"/>
    <w:rsid w:val="000C1D9A"/>
    <w:rsid w:val="000C1DE5"/>
    <w:rsid w:val="000C1E18"/>
    <w:rsid w:val="000C1E1D"/>
    <w:rsid w:val="000C1E9C"/>
    <w:rsid w:val="000C1EFB"/>
    <w:rsid w:val="000C200E"/>
    <w:rsid w:val="000C2010"/>
    <w:rsid w:val="000C2028"/>
    <w:rsid w:val="000C2034"/>
    <w:rsid w:val="000C2116"/>
    <w:rsid w:val="000C2129"/>
    <w:rsid w:val="000C21AA"/>
    <w:rsid w:val="000C2335"/>
    <w:rsid w:val="000C2363"/>
    <w:rsid w:val="000C24DB"/>
    <w:rsid w:val="000C25B0"/>
    <w:rsid w:val="000C264F"/>
    <w:rsid w:val="000C2690"/>
    <w:rsid w:val="000C26AD"/>
    <w:rsid w:val="000C26B5"/>
    <w:rsid w:val="000C26D3"/>
    <w:rsid w:val="000C28D3"/>
    <w:rsid w:val="000C28E7"/>
    <w:rsid w:val="000C28FF"/>
    <w:rsid w:val="000C29C5"/>
    <w:rsid w:val="000C29C8"/>
    <w:rsid w:val="000C29F8"/>
    <w:rsid w:val="000C2A9F"/>
    <w:rsid w:val="000C2AC9"/>
    <w:rsid w:val="000C2B4A"/>
    <w:rsid w:val="000C2B82"/>
    <w:rsid w:val="000C2BDE"/>
    <w:rsid w:val="000C2BEA"/>
    <w:rsid w:val="000C2C51"/>
    <w:rsid w:val="000C2C9A"/>
    <w:rsid w:val="000C2CB7"/>
    <w:rsid w:val="000C2CD1"/>
    <w:rsid w:val="000C2CF3"/>
    <w:rsid w:val="000C2CFB"/>
    <w:rsid w:val="000C2D03"/>
    <w:rsid w:val="000C2D23"/>
    <w:rsid w:val="000C2D9A"/>
    <w:rsid w:val="000C2E43"/>
    <w:rsid w:val="000C3058"/>
    <w:rsid w:val="000C3112"/>
    <w:rsid w:val="000C31B7"/>
    <w:rsid w:val="000C31EB"/>
    <w:rsid w:val="000C325D"/>
    <w:rsid w:val="000C32E8"/>
    <w:rsid w:val="000C3322"/>
    <w:rsid w:val="000C3331"/>
    <w:rsid w:val="000C3343"/>
    <w:rsid w:val="000C344F"/>
    <w:rsid w:val="000C34B7"/>
    <w:rsid w:val="000C3554"/>
    <w:rsid w:val="000C357D"/>
    <w:rsid w:val="000C359E"/>
    <w:rsid w:val="000C36F9"/>
    <w:rsid w:val="000C373B"/>
    <w:rsid w:val="000C3790"/>
    <w:rsid w:val="000C3808"/>
    <w:rsid w:val="000C3890"/>
    <w:rsid w:val="000C38F1"/>
    <w:rsid w:val="000C3911"/>
    <w:rsid w:val="000C3936"/>
    <w:rsid w:val="000C39E2"/>
    <w:rsid w:val="000C3A36"/>
    <w:rsid w:val="000C3A40"/>
    <w:rsid w:val="000C3A50"/>
    <w:rsid w:val="000C3B09"/>
    <w:rsid w:val="000C3B62"/>
    <w:rsid w:val="000C3B6B"/>
    <w:rsid w:val="000C3B8E"/>
    <w:rsid w:val="000C3BD6"/>
    <w:rsid w:val="000C3BF2"/>
    <w:rsid w:val="000C3C05"/>
    <w:rsid w:val="000C3D2A"/>
    <w:rsid w:val="000C3D34"/>
    <w:rsid w:val="000C3D6F"/>
    <w:rsid w:val="000C3E08"/>
    <w:rsid w:val="000C3E67"/>
    <w:rsid w:val="000C3E6D"/>
    <w:rsid w:val="000C3E97"/>
    <w:rsid w:val="000C3F00"/>
    <w:rsid w:val="000C3F12"/>
    <w:rsid w:val="000C3F39"/>
    <w:rsid w:val="000C3F7B"/>
    <w:rsid w:val="000C3F99"/>
    <w:rsid w:val="000C4064"/>
    <w:rsid w:val="000C4147"/>
    <w:rsid w:val="000C4171"/>
    <w:rsid w:val="000C41A3"/>
    <w:rsid w:val="000C4216"/>
    <w:rsid w:val="000C4340"/>
    <w:rsid w:val="000C449B"/>
    <w:rsid w:val="000C459B"/>
    <w:rsid w:val="000C45EF"/>
    <w:rsid w:val="000C45FA"/>
    <w:rsid w:val="000C4633"/>
    <w:rsid w:val="000C468B"/>
    <w:rsid w:val="000C46AC"/>
    <w:rsid w:val="000C46AE"/>
    <w:rsid w:val="000C46F2"/>
    <w:rsid w:val="000C4768"/>
    <w:rsid w:val="000C476E"/>
    <w:rsid w:val="000C47DF"/>
    <w:rsid w:val="000C4866"/>
    <w:rsid w:val="000C4998"/>
    <w:rsid w:val="000C4A2D"/>
    <w:rsid w:val="000C4A43"/>
    <w:rsid w:val="000C4A52"/>
    <w:rsid w:val="000C4A93"/>
    <w:rsid w:val="000C4B37"/>
    <w:rsid w:val="000C4C04"/>
    <w:rsid w:val="000C4D64"/>
    <w:rsid w:val="000C4D69"/>
    <w:rsid w:val="000C4F79"/>
    <w:rsid w:val="000C4F99"/>
    <w:rsid w:val="000C4FC4"/>
    <w:rsid w:val="000C5072"/>
    <w:rsid w:val="000C512C"/>
    <w:rsid w:val="000C5156"/>
    <w:rsid w:val="000C5192"/>
    <w:rsid w:val="000C522F"/>
    <w:rsid w:val="000C5236"/>
    <w:rsid w:val="000C5252"/>
    <w:rsid w:val="000C5292"/>
    <w:rsid w:val="000C52B0"/>
    <w:rsid w:val="000C52C6"/>
    <w:rsid w:val="000C52D0"/>
    <w:rsid w:val="000C52FC"/>
    <w:rsid w:val="000C532A"/>
    <w:rsid w:val="000C536C"/>
    <w:rsid w:val="000C5449"/>
    <w:rsid w:val="000C54B7"/>
    <w:rsid w:val="000C54F4"/>
    <w:rsid w:val="000C5502"/>
    <w:rsid w:val="000C5519"/>
    <w:rsid w:val="000C55E6"/>
    <w:rsid w:val="000C55FF"/>
    <w:rsid w:val="000C57D2"/>
    <w:rsid w:val="000C5897"/>
    <w:rsid w:val="000C58CA"/>
    <w:rsid w:val="000C59C8"/>
    <w:rsid w:val="000C5A06"/>
    <w:rsid w:val="000C5AC8"/>
    <w:rsid w:val="000C5AEF"/>
    <w:rsid w:val="000C5B3E"/>
    <w:rsid w:val="000C5B49"/>
    <w:rsid w:val="000C5B7A"/>
    <w:rsid w:val="000C5B8B"/>
    <w:rsid w:val="000C5C85"/>
    <w:rsid w:val="000C5F17"/>
    <w:rsid w:val="000C6103"/>
    <w:rsid w:val="000C612F"/>
    <w:rsid w:val="000C6257"/>
    <w:rsid w:val="000C6275"/>
    <w:rsid w:val="000C6282"/>
    <w:rsid w:val="000C62E5"/>
    <w:rsid w:val="000C6367"/>
    <w:rsid w:val="000C6383"/>
    <w:rsid w:val="000C642C"/>
    <w:rsid w:val="000C6452"/>
    <w:rsid w:val="000C6574"/>
    <w:rsid w:val="000C6652"/>
    <w:rsid w:val="000C66DF"/>
    <w:rsid w:val="000C6770"/>
    <w:rsid w:val="000C6773"/>
    <w:rsid w:val="000C67F6"/>
    <w:rsid w:val="000C68C2"/>
    <w:rsid w:val="000C694A"/>
    <w:rsid w:val="000C69E5"/>
    <w:rsid w:val="000C6A0A"/>
    <w:rsid w:val="000C6A57"/>
    <w:rsid w:val="000C6A99"/>
    <w:rsid w:val="000C6B03"/>
    <w:rsid w:val="000C6B5D"/>
    <w:rsid w:val="000C6C72"/>
    <w:rsid w:val="000C6C9A"/>
    <w:rsid w:val="000C6D5E"/>
    <w:rsid w:val="000C6DFF"/>
    <w:rsid w:val="000C6E86"/>
    <w:rsid w:val="000C7032"/>
    <w:rsid w:val="000C706F"/>
    <w:rsid w:val="000C71E0"/>
    <w:rsid w:val="000C72C7"/>
    <w:rsid w:val="000C72FA"/>
    <w:rsid w:val="000C7309"/>
    <w:rsid w:val="000C73B8"/>
    <w:rsid w:val="000C7466"/>
    <w:rsid w:val="000C754D"/>
    <w:rsid w:val="000C755E"/>
    <w:rsid w:val="000C75BE"/>
    <w:rsid w:val="000C7665"/>
    <w:rsid w:val="000C76DB"/>
    <w:rsid w:val="000C77FF"/>
    <w:rsid w:val="000C784C"/>
    <w:rsid w:val="000C7947"/>
    <w:rsid w:val="000C7958"/>
    <w:rsid w:val="000C797B"/>
    <w:rsid w:val="000C7B15"/>
    <w:rsid w:val="000C7C01"/>
    <w:rsid w:val="000C7CA3"/>
    <w:rsid w:val="000C7CB2"/>
    <w:rsid w:val="000C7CB7"/>
    <w:rsid w:val="000C7D4F"/>
    <w:rsid w:val="000C7DE1"/>
    <w:rsid w:val="000C7E1B"/>
    <w:rsid w:val="000C7E28"/>
    <w:rsid w:val="000C7E9A"/>
    <w:rsid w:val="000C7ED6"/>
    <w:rsid w:val="000C7F04"/>
    <w:rsid w:val="000C7F8D"/>
    <w:rsid w:val="000C7FA6"/>
    <w:rsid w:val="000C7FEE"/>
    <w:rsid w:val="000CC502"/>
    <w:rsid w:val="000D0005"/>
    <w:rsid w:val="000D002F"/>
    <w:rsid w:val="000D00C0"/>
    <w:rsid w:val="000D00C6"/>
    <w:rsid w:val="000D016B"/>
    <w:rsid w:val="000D0199"/>
    <w:rsid w:val="000D019F"/>
    <w:rsid w:val="000D0355"/>
    <w:rsid w:val="000D0377"/>
    <w:rsid w:val="000D039D"/>
    <w:rsid w:val="000D0400"/>
    <w:rsid w:val="000D04CE"/>
    <w:rsid w:val="000D05D8"/>
    <w:rsid w:val="000D0604"/>
    <w:rsid w:val="000D06DD"/>
    <w:rsid w:val="000D07E0"/>
    <w:rsid w:val="000D0813"/>
    <w:rsid w:val="000D08A8"/>
    <w:rsid w:val="000D08F8"/>
    <w:rsid w:val="000D0904"/>
    <w:rsid w:val="000D0972"/>
    <w:rsid w:val="000D0B23"/>
    <w:rsid w:val="000D0B72"/>
    <w:rsid w:val="000D0B7B"/>
    <w:rsid w:val="000D0B94"/>
    <w:rsid w:val="000D0C14"/>
    <w:rsid w:val="000D0CCE"/>
    <w:rsid w:val="000D0E4C"/>
    <w:rsid w:val="000D0EC7"/>
    <w:rsid w:val="000D107B"/>
    <w:rsid w:val="000D110E"/>
    <w:rsid w:val="000D11BD"/>
    <w:rsid w:val="000D11C7"/>
    <w:rsid w:val="000D1233"/>
    <w:rsid w:val="000D12F6"/>
    <w:rsid w:val="000D1324"/>
    <w:rsid w:val="000D1339"/>
    <w:rsid w:val="000D1406"/>
    <w:rsid w:val="000D1439"/>
    <w:rsid w:val="000D14D3"/>
    <w:rsid w:val="000D1537"/>
    <w:rsid w:val="000D15EC"/>
    <w:rsid w:val="000D1640"/>
    <w:rsid w:val="000D16C1"/>
    <w:rsid w:val="000D1722"/>
    <w:rsid w:val="000D18E1"/>
    <w:rsid w:val="000D1912"/>
    <w:rsid w:val="000D1990"/>
    <w:rsid w:val="000D1A13"/>
    <w:rsid w:val="000D1A78"/>
    <w:rsid w:val="000D1AB4"/>
    <w:rsid w:val="000D1B7B"/>
    <w:rsid w:val="000D1BA2"/>
    <w:rsid w:val="000D1BB9"/>
    <w:rsid w:val="000D1C80"/>
    <w:rsid w:val="000D1CBB"/>
    <w:rsid w:val="000D1CC7"/>
    <w:rsid w:val="000D1CCD"/>
    <w:rsid w:val="000D1D4F"/>
    <w:rsid w:val="000D1D51"/>
    <w:rsid w:val="000D1D88"/>
    <w:rsid w:val="000D1DF1"/>
    <w:rsid w:val="000D1E3E"/>
    <w:rsid w:val="000D1E8F"/>
    <w:rsid w:val="000D1F0D"/>
    <w:rsid w:val="000D1FB7"/>
    <w:rsid w:val="000D216F"/>
    <w:rsid w:val="000D219B"/>
    <w:rsid w:val="000D219C"/>
    <w:rsid w:val="000D21AB"/>
    <w:rsid w:val="000D2222"/>
    <w:rsid w:val="000D22AD"/>
    <w:rsid w:val="000D2337"/>
    <w:rsid w:val="000D2374"/>
    <w:rsid w:val="000D2380"/>
    <w:rsid w:val="000D25BD"/>
    <w:rsid w:val="000D26E5"/>
    <w:rsid w:val="000D2713"/>
    <w:rsid w:val="000D2732"/>
    <w:rsid w:val="000D284B"/>
    <w:rsid w:val="000D2965"/>
    <w:rsid w:val="000D299B"/>
    <w:rsid w:val="000D2A6E"/>
    <w:rsid w:val="000D2B06"/>
    <w:rsid w:val="000D2B34"/>
    <w:rsid w:val="000D2CA8"/>
    <w:rsid w:val="000D2CC6"/>
    <w:rsid w:val="000D2D1F"/>
    <w:rsid w:val="000D2D35"/>
    <w:rsid w:val="000D2D41"/>
    <w:rsid w:val="000D2E34"/>
    <w:rsid w:val="000D2EEF"/>
    <w:rsid w:val="000D2F35"/>
    <w:rsid w:val="000D2F86"/>
    <w:rsid w:val="000D3070"/>
    <w:rsid w:val="000D313B"/>
    <w:rsid w:val="000D314D"/>
    <w:rsid w:val="000D3239"/>
    <w:rsid w:val="000D32A0"/>
    <w:rsid w:val="000D330C"/>
    <w:rsid w:val="000D332A"/>
    <w:rsid w:val="000D3338"/>
    <w:rsid w:val="000D3374"/>
    <w:rsid w:val="000D3404"/>
    <w:rsid w:val="000D3412"/>
    <w:rsid w:val="000D3429"/>
    <w:rsid w:val="000D343B"/>
    <w:rsid w:val="000D3491"/>
    <w:rsid w:val="000D3534"/>
    <w:rsid w:val="000D354A"/>
    <w:rsid w:val="000D3562"/>
    <w:rsid w:val="000D3737"/>
    <w:rsid w:val="000D38E7"/>
    <w:rsid w:val="000D3969"/>
    <w:rsid w:val="000D39F5"/>
    <w:rsid w:val="000D3ADC"/>
    <w:rsid w:val="000D3AF4"/>
    <w:rsid w:val="000D3B0B"/>
    <w:rsid w:val="000D3B10"/>
    <w:rsid w:val="000D3BD0"/>
    <w:rsid w:val="000D3BD1"/>
    <w:rsid w:val="000D3C40"/>
    <w:rsid w:val="000D3C68"/>
    <w:rsid w:val="000D3C74"/>
    <w:rsid w:val="000D3CEF"/>
    <w:rsid w:val="000D3D53"/>
    <w:rsid w:val="000D3DBC"/>
    <w:rsid w:val="000D3E3C"/>
    <w:rsid w:val="000D3E9E"/>
    <w:rsid w:val="000D3FEF"/>
    <w:rsid w:val="000D3FFE"/>
    <w:rsid w:val="000D4055"/>
    <w:rsid w:val="000D4078"/>
    <w:rsid w:val="000D4102"/>
    <w:rsid w:val="000D42A9"/>
    <w:rsid w:val="000D4348"/>
    <w:rsid w:val="000D4372"/>
    <w:rsid w:val="000D43D4"/>
    <w:rsid w:val="000D43DF"/>
    <w:rsid w:val="000D43E9"/>
    <w:rsid w:val="000D43ED"/>
    <w:rsid w:val="000D43FF"/>
    <w:rsid w:val="000D4406"/>
    <w:rsid w:val="000D4460"/>
    <w:rsid w:val="000D4472"/>
    <w:rsid w:val="000D447D"/>
    <w:rsid w:val="000D4485"/>
    <w:rsid w:val="000D44D1"/>
    <w:rsid w:val="000D44F1"/>
    <w:rsid w:val="000D45C0"/>
    <w:rsid w:val="000D46FF"/>
    <w:rsid w:val="000D4737"/>
    <w:rsid w:val="000D473C"/>
    <w:rsid w:val="000D4791"/>
    <w:rsid w:val="000D479B"/>
    <w:rsid w:val="000D47D0"/>
    <w:rsid w:val="000D47FF"/>
    <w:rsid w:val="000D48CD"/>
    <w:rsid w:val="000D48EF"/>
    <w:rsid w:val="000D491C"/>
    <w:rsid w:val="000D49C0"/>
    <w:rsid w:val="000D4A08"/>
    <w:rsid w:val="000D4A1A"/>
    <w:rsid w:val="000D4A88"/>
    <w:rsid w:val="000D4BA1"/>
    <w:rsid w:val="000D4BDB"/>
    <w:rsid w:val="000D4C17"/>
    <w:rsid w:val="000D4C8E"/>
    <w:rsid w:val="000D4E1F"/>
    <w:rsid w:val="000D4E2D"/>
    <w:rsid w:val="000D4E47"/>
    <w:rsid w:val="000D4FC5"/>
    <w:rsid w:val="000D4FF2"/>
    <w:rsid w:val="000D5067"/>
    <w:rsid w:val="000D511D"/>
    <w:rsid w:val="000D51C8"/>
    <w:rsid w:val="000D51EE"/>
    <w:rsid w:val="000D521B"/>
    <w:rsid w:val="000D52A6"/>
    <w:rsid w:val="000D52A7"/>
    <w:rsid w:val="000D52BD"/>
    <w:rsid w:val="000D5399"/>
    <w:rsid w:val="000D539E"/>
    <w:rsid w:val="000D53A7"/>
    <w:rsid w:val="000D543C"/>
    <w:rsid w:val="000D547F"/>
    <w:rsid w:val="000D54FA"/>
    <w:rsid w:val="000D5613"/>
    <w:rsid w:val="000D56A7"/>
    <w:rsid w:val="000D56E8"/>
    <w:rsid w:val="000D571A"/>
    <w:rsid w:val="000D57C2"/>
    <w:rsid w:val="000D5808"/>
    <w:rsid w:val="000D5812"/>
    <w:rsid w:val="000D5835"/>
    <w:rsid w:val="000D5844"/>
    <w:rsid w:val="000D584C"/>
    <w:rsid w:val="000D58C0"/>
    <w:rsid w:val="000D58FA"/>
    <w:rsid w:val="000D5973"/>
    <w:rsid w:val="000D59D7"/>
    <w:rsid w:val="000D5BB2"/>
    <w:rsid w:val="000D5BF5"/>
    <w:rsid w:val="000D5C37"/>
    <w:rsid w:val="000D5D12"/>
    <w:rsid w:val="000D5DFA"/>
    <w:rsid w:val="000D5E31"/>
    <w:rsid w:val="000D5E32"/>
    <w:rsid w:val="000D5EC9"/>
    <w:rsid w:val="000D5F0E"/>
    <w:rsid w:val="000D5FD5"/>
    <w:rsid w:val="000D6067"/>
    <w:rsid w:val="000D611D"/>
    <w:rsid w:val="000D6183"/>
    <w:rsid w:val="000D6230"/>
    <w:rsid w:val="000D6267"/>
    <w:rsid w:val="000D62AE"/>
    <w:rsid w:val="000D634B"/>
    <w:rsid w:val="000D6352"/>
    <w:rsid w:val="000D63A0"/>
    <w:rsid w:val="000D6400"/>
    <w:rsid w:val="000D6408"/>
    <w:rsid w:val="000D640B"/>
    <w:rsid w:val="000D6465"/>
    <w:rsid w:val="000D6494"/>
    <w:rsid w:val="000D64A2"/>
    <w:rsid w:val="000D64F5"/>
    <w:rsid w:val="000D6501"/>
    <w:rsid w:val="000D6505"/>
    <w:rsid w:val="000D6533"/>
    <w:rsid w:val="000D6617"/>
    <w:rsid w:val="000D6637"/>
    <w:rsid w:val="000D663B"/>
    <w:rsid w:val="000D6678"/>
    <w:rsid w:val="000D66B0"/>
    <w:rsid w:val="000D67A3"/>
    <w:rsid w:val="000D67F2"/>
    <w:rsid w:val="000D6822"/>
    <w:rsid w:val="000D6845"/>
    <w:rsid w:val="000D684E"/>
    <w:rsid w:val="000D686C"/>
    <w:rsid w:val="000D6933"/>
    <w:rsid w:val="000D69A0"/>
    <w:rsid w:val="000D69B7"/>
    <w:rsid w:val="000D6A42"/>
    <w:rsid w:val="000D6AA6"/>
    <w:rsid w:val="000D6B0D"/>
    <w:rsid w:val="000D6B36"/>
    <w:rsid w:val="000D6C4C"/>
    <w:rsid w:val="000D6C53"/>
    <w:rsid w:val="000D6D16"/>
    <w:rsid w:val="000D6D22"/>
    <w:rsid w:val="000D6D6F"/>
    <w:rsid w:val="000D6E9A"/>
    <w:rsid w:val="000D6FD2"/>
    <w:rsid w:val="000D701D"/>
    <w:rsid w:val="000D7085"/>
    <w:rsid w:val="000D70AE"/>
    <w:rsid w:val="000D7138"/>
    <w:rsid w:val="000D71A7"/>
    <w:rsid w:val="000D71B3"/>
    <w:rsid w:val="000D71C7"/>
    <w:rsid w:val="000D721D"/>
    <w:rsid w:val="000D725B"/>
    <w:rsid w:val="000D72B5"/>
    <w:rsid w:val="000D7300"/>
    <w:rsid w:val="000D731C"/>
    <w:rsid w:val="000D733E"/>
    <w:rsid w:val="000D7482"/>
    <w:rsid w:val="000D74AA"/>
    <w:rsid w:val="000D74B2"/>
    <w:rsid w:val="000D7565"/>
    <w:rsid w:val="000D7612"/>
    <w:rsid w:val="000D7666"/>
    <w:rsid w:val="000D7684"/>
    <w:rsid w:val="000D76A5"/>
    <w:rsid w:val="000D7763"/>
    <w:rsid w:val="000D778F"/>
    <w:rsid w:val="000D7797"/>
    <w:rsid w:val="000D78D4"/>
    <w:rsid w:val="000D78E9"/>
    <w:rsid w:val="000D7964"/>
    <w:rsid w:val="000D7967"/>
    <w:rsid w:val="000D79AD"/>
    <w:rsid w:val="000D7A19"/>
    <w:rsid w:val="000D7A55"/>
    <w:rsid w:val="000D7B3A"/>
    <w:rsid w:val="000D7B5B"/>
    <w:rsid w:val="000D7BAB"/>
    <w:rsid w:val="000D7C5A"/>
    <w:rsid w:val="000D7C99"/>
    <w:rsid w:val="000D7D66"/>
    <w:rsid w:val="000D7D72"/>
    <w:rsid w:val="000D7EAD"/>
    <w:rsid w:val="000D7F75"/>
    <w:rsid w:val="000D7F94"/>
    <w:rsid w:val="000D7FC8"/>
    <w:rsid w:val="000D7FD7"/>
    <w:rsid w:val="000E00CD"/>
    <w:rsid w:val="000E00E4"/>
    <w:rsid w:val="000E0131"/>
    <w:rsid w:val="000E0216"/>
    <w:rsid w:val="000E0254"/>
    <w:rsid w:val="000E0271"/>
    <w:rsid w:val="000E0276"/>
    <w:rsid w:val="000E02C7"/>
    <w:rsid w:val="000E0470"/>
    <w:rsid w:val="000E0493"/>
    <w:rsid w:val="000E04BE"/>
    <w:rsid w:val="000E04E8"/>
    <w:rsid w:val="000E0667"/>
    <w:rsid w:val="000E06D1"/>
    <w:rsid w:val="000E0747"/>
    <w:rsid w:val="000E0755"/>
    <w:rsid w:val="000E07DD"/>
    <w:rsid w:val="000E088F"/>
    <w:rsid w:val="000E0892"/>
    <w:rsid w:val="000E0976"/>
    <w:rsid w:val="000E09FE"/>
    <w:rsid w:val="000E0A19"/>
    <w:rsid w:val="000E0ADA"/>
    <w:rsid w:val="000E0B4F"/>
    <w:rsid w:val="000E0BB2"/>
    <w:rsid w:val="000E0C97"/>
    <w:rsid w:val="000E0D4B"/>
    <w:rsid w:val="000E0DE7"/>
    <w:rsid w:val="000E0F15"/>
    <w:rsid w:val="000E0F4D"/>
    <w:rsid w:val="000E0F8A"/>
    <w:rsid w:val="000E0FF3"/>
    <w:rsid w:val="000E10D0"/>
    <w:rsid w:val="000E11CC"/>
    <w:rsid w:val="000E129B"/>
    <w:rsid w:val="000E12ED"/>
    <w:rsid w:val="000E130A"/>
    <w:rsid w:val="000E1333"/>
    <w:rsid w:val="000E136B"/>
    <w:rsid w:val="000E1383"/>
    <w:rsid w:val="000E13EF"/>
    <w:rsid w:val="000E1470"/>
    <w:rsid w:val="000E14C8"/>
    <w:rsid w:val="000E14EC"/>
    <w:rsid w:val="000E155A"/>
    <w:rsid w:val="000E1677"/>
    <w:rsid w:val="000E16B2"/>
    <w:rsid w:val="000E16B5"/>
    <w:rsid w:val="000E16C1"/>
    <w:rsid w:val="000E16E1"/>
    <w:rsid w:val="000E1753"/>
    <w:rsid w:val="000E1816"/>
    <w:rsid w:val="000E1848"/>
    <w:rsid w:val="000E185C"/>
    <w:rsid w:val="000E186B"/>
    <w:rsid w:val="000E1875"/>
    <w:rsid w:val="000E1955"/>
    <w:rsid w:val="000E19F1"/>
    <w:rsid w:val="000E1A8E"/>
    <w:rsid w:val="000E1AD2"/>
    <w:rsid w:val="000E1B2A"/>
    <w:rsid w:val="000E1BCC"/>
    <w:rsid w:val="000E1C62"/>
    <w:rsid w:val="000E1CA4"/>
    <w:rsid w:val="000E1CAD"/>
    <w:rsid w:val="000E1CC4"/>
    <w:rsid w:val="000E1D4A"/>
    <w:rsid w:val="000E1DA8"/>
    <w:rsid w:val="000E1DC0"/>
    <w:rsid w:val="000E1E16"/>
    <w:rsid w:val="000E1EE9"/>
    <w:rsid w:val="000E1FAB"/>
    <w:rsid w:val="000E2010"/>
    <w:rsid w:val="000E2054"/>
    <w:rsid w:val="000E2099"/>
    <w:rsid w:val="000E20EF"/>
    <w:rsid w:val="000E211E"/>
    <w:rsid w:val="000E2173"/>
    <w:rsid w:val="000E223A"/>
    <w:rsid w:val="000E229A"/>
    <w:rsid w:val="000E2316"/>
    <w:rsid w:val="000E234C"/>
    <w:rsid w:val="000E253A"/>
    <w:rsid w:val="000E262F"/>
    <w:rsid w:val="000E26FF"/>
    <w:rsid w:val="000E272D"/>
    <w:rsid w:val="000E27D7"/>
    <w:rsid w:val="000E27ED"/>
    <w:rsid w:val="000E2854"/>
    <w:rsid w:val="000E28F0"/>
    <w:rsid w:val="000E28F2"/>
    <w:rsid w:val="000E290F"/>
    <w:rsid w:val="000E2976"/>
    <w:rsid w:val="000E29AE"/>
    <w:rsid w:val="000E29F3"/>
    <w:rsid w:val="000E2A02"/>
    <w:rsid w:val="000E2B04"/>
    <w:rsid w:val="000E2B4C"/>
    <w:rsid w:val="000E2B90"/>
    <w:rsid w:val="000E2C21"/>
    <w:rsid w:val="000E2C38"/>
    <w:rsid w:val="000E2C56"/>
    <w:rsid w:val="000E2CBF"/>
    <w:rsid w:val="000E2CE9"/>
    <w:rsid w:val="000E2D2E"/>
    <w:rsid w:val="000E2D92"/>
    <w:rsid w:val="000E2DB5"/>
    <w:rsid w:val="000E2E89"/>
    <w:rsid w:val="000E2E95"/>
    <w:rsid w:val="000E2EC3"/>
    <w:rsid w:val="000E2F28"/>
    <w:rsid w:val="000E3046"/>
    <w:rsid w:val="000E307C"/>
    <w:rsid w:val="000E30D6"/>
    <w:rsid w:val="000E30EB"/>
    <w:rsid w:val="000E3120"/>
    <w:rsid w:val="000E312E"/>
    <w:rsid w:val="000E3235"/>
    <w:rsid w:val="000E326B"/>
    <w:rsid w:val="000E330B"/>
    <w:rsid w:val="000E33A6"/>
    <w:rsid w:val="000E3509"/>
    <w:rsid w:val="000E35C0"/>
    <w:rsid w:val="000E3655"/>
    <w:rsid w:val="000E36C0"/>
    <w:rsid w:val="000E36C6"/>
    <w:rsid w:val="000E37AB"/>
    <w:rsid w:val="000E37B2"/>
    <w:rsid w:val="000E3830"/>
    <w:rsid w:val="000E3876"/>
    <w:rsid w:val="000E391B"/>
    <w:rsid w:val="000E392C"/>
    <w:rsid w:val="000E392D"/>
    <w:rsid w:val="000E3955"/>
    <w:rsid w:val="000E395F"/>
    <w:rsid w:val="000E39DB"/>
    <w:rsid w:val="000E3A2B"/>
    <w:rsid w:val="000E3A3C"/>
    <w:rsid w:val="000E3B01"/>
    <w:rsid w:val="000E3B61"/>
    <w:rsid w:val="000E3B76"/>
    <w:rsid w:val="000E3B80"/>
    <w:rsid w:val="000E3BA0"/>
    <w:rsid w:val="000E3BCB"/>
    <w:rsid w:val="000E3C1A"/>
    <w:rsid w:val="000E3C3D"/>
    <w:rsid w:val="000E3CA9"/>
    <w:rsid w:val="000E3D36"/>
    <w:rsid w:val="000E3D88"/>
    <w:rsid w:val="000E3E54"/>
    <w:rsid w:val="000E3E5C"/>
    <w:rsid w:val="000E3E6D"/>
    <w:rsid w:val="000E3E72"/>
    <w:rsid w:val="000E3EAF"/>
    <w:rsid w:val="000E3F46"/>
    <w:rsid w:val="000E3FEF"/>
    <w:rsid w:val="000E4005"/>
    <w:rsid w:val="000E4039"/>
    <w:rsid w:val="000E4139"/>
    <w:rsid w:val="000E4140"/>
    <w:rsid w:val="000E4346"/>
    <w:rsid w:val="000E435B"/>
    <w:rsid w:val="000E4391"/>
    <w:rsid w:val="000E4444"/>
    <w:rsid w:val="000E44CB"/>
    <w:rsid w:val="000E44CC"/>
    <w:rsid w:val="000E44D0"/>
    <w:rsid w:val="000E44D8"/>
    <w:rsid w:val="000E44E9"/>
    <w:rsid w:val="000E4533"/>
    <w:rsid w:val="000E4546"/>
    <w:rsid w:val="000E4552"/>
    <w:rsid w:val="000E458A"/>
    <w:rsid w:val="000E45B9"/>
    <w:rsid w:val="000E45E7"/>
    <w:rsid w:val="000E4747"/>
    <w:rsid w:val="000E4752"/>
    <w:rsid w:val="000E4820"/>
    <w:rsid w:val="000E482F"/>
    <w:rsid w:val="000E485C"/>
    <w:rsid w:val="000E4894"/>
    <w:rsid w:val="000E48D2"/>
    <w:rsid w:val="000E48E4"/>
    <w:rsid w:val="000E4A07"/>
    <w:rsid w:val="000E4AF5"/>
    <w:rsid w:val="000E4B46"/>
    <w:rsid w:val="000E4CD0"/>
    <w:rsid w:val="000E4CFC"/>
    <w:rsid w:val="000E4D3B"/>
    <w:rsid w:val="000E4DED"/>
    <w:rsid w:val="000E4DFB"/>
    <w:rsid w:val="000E4E22"/>
    <w:rsid w:val="000E4E94"/>
    <w:rsid w:val="000E4F20"/>
    <w:rsid w:val="000E4F4C"/>
    <w:rsid w:val="000E4F98"/>
    <w:rsid w:val="000E4FD0"/>
    <w:rsid w:val="000E506E"/>
    <w:rsid w:val="000E5187"/>
    <w:rsid w:val="000E5222"/>
    <w:rsid w:val="000E52BA"/>
    <w:rsid w:val="000E52EB"/>
    <w:rsid w:val="000E5351"/>
    <w:rsid w:val="000E542D"/>
    <w:rsid w:val="000E5438"/>
    <w:rsid w:val="000E544D"/>
    <w:rsid w:val="000E546D"/>
    <w:rsid w:val="000E5471"/>
    <w:rsid w:val="000E5484"/>
    <w:rsid w:val="000E54D5"/>
    <w:rsid w:val="000E5530"/>
    <w:rsid w:val="000E55E3"/>
    <w:rsid w:val="000E5631"/>
    <w:rsid w:val="000E5666"/>
    <w:rsid w:val="000E5672"/>
    <w:rsid w:val="000E5676"/>
    <w:rsid w:val="000E56C8"/>
    <w:rsid w:val="000E56EC"/>
    <w:rsid w:val="000E577F"/>
    <w:rsid w:val="000E589A"/>
    <w:rsid w:val="000E58AB"/>
    <w:rsid w:val="000E58BE"/>
    <w:rsid w:val="000E590F"/>
    <w:rsid w:val="000E599B"/>
    <w:rsid w:val="000E59B8"/>
    <w:rsid w:val="000E5A59"/>
    <w:rsid w:val="000E5A80"/>
    <w:rsid w:val="000E5AF3"/>
    <w:rsid w:val="000E5B3F"/>
    <w:rsid w:val="000E5B4B"/>
    <w:rsid w:val="000E5B95"/>
    <w:rsid w:val="000E5BBC"/>
    <w:rsid w:val="000E5BED"/>
    <w:rsid w:val="000E5C27"/>
    <w:rsid w:val="000E5DE9"/>
    <w:rsid w:val="000E5E21"/>
    <w:rsid w:val="000E5EC2"/>
    <w:rsid w:val="000E6006"/>
    <w:rsid w:val="000E6029"/>
    <w:rsid w:val="000E606A"/>
    <w:rsid w:val="000E609C"/>
    <w:rsid w:val="000E60E0"/>
    <w:rsid w:val="000E611A"/>
    <w:rsid w:val="000E6201"/>
    <w:rsid w:val="000E62CB"/>
    <w:rsid w:val="000E6355"/>
    <w:rsid w:val="000E643B"/>
    <w:rsid w:val="000E649C"/>
    <w:rsid w:val="000E65F8"/>
    <w:rsid w:val="000E6634"/>
    <w:rsid w:val="000E66E3"/>
    <w:rsid w:val="000E6713"/>
    <w:rsid w:val="000E67D0"/>
    <w:rsid w:val="000E686C"/>
    <w:rsid w:val="000E69A5"/>
    <w:rsid w:val="000E69D1"/>
    <w:rsid w:val="000E6AC5"/>
    <w:rsid w:val="000E6BC5"/>
    <w:rsid w:val="000E6C2E"/>
    <w:rsid w:val="000E6C5F"/>
    <w:rsid w:val="000E6D5C"/>
    <w:rsid w:val="000E6E47"/>
    <w:rsid w:val="000E6F92"/>
    <w:rsid w:val="000E7060"/>
    <w:rsid w:val="000E7079"/>
    <w:rsid w:val="000E70D2"/>
    <w:rsid w:val="000E7118"/>
    <w:rsid w:val="000E7197"/>
    <w:rsid w:val="000E71FE"/>
    <w:rsid w:val="000E72DC"/>
    <w:rsid w:val="000E73FA"/>
    <w:rsid w:val="000E751E"/>
    <w:rsid w:val="000E7586"/>
    <w:rsid w:val="000E75DA"/>
    <w:rsid w:val="000E7766"/>
    <w:rsid w:val="000E780D"/>
    <w:rsid w:val="000E788D"/>
    <w:rsid w:val="000E7985"/>
    <w:rsid w:val="000E7A38"/>
    <w:rsid w:val="000E7A76"/>
    <w:rsid w:val="000E7A9B"/>
    <w:rsid w:val="000E7B6D"/>
    <w:rsid w:val="000E7C38"/>
    <w:rsid w:val="000E7C62"/>
    <w:rsid w:val="000E7CB3"/>
    <w:rsid w:val="000E7CCE"/>
    <w:rsid w:val="000E7D49"/>
    <w:rsid w:val="000E7D7E"/>
    <w:rsid w:val="000E7D9C"/>
    <w:rsid w:val="000E7DE3"/>
    <w:rsid w:val="000E7DF3"/>
    <w:rsid w:val="000E7EAD"/>
    <w:rsid w:val="000E7F29"/>
    <w:rsid w:val="000E7F79"/>
    <w:rsid w:val="000E7FAC"/>
    <w:rsid w:val="000E7FB2"/>
    <w:rsid w:val="000E7FD9"/>
    <w:rsid w:val="000F0110"/>
    <w:rsid w:val="000F015D"/>
    <w:rsid w:val="000F0213"/>
    <w:rsid w:val="000F021F"/>
    <w:rsid w:val="000F0276"/>
    <w:rsid w:val="000F02C5"/>
    <w:rsid w:val="000F0393"/>
    <w:rsid w:val="000F03D4"/>
    <w:rsid w:val="000F0533"/>
    <w:rsid w:val="000F054C"/>
    <w:rsid w:val="000F05D2"/>
    <w:rsid w:val="000F06C1"/>
    <w:rsid w:val="000F06C6"/>
    <w:rsid w:val="000F0702"/>
    <w:rsid w:val="000F0722"/>
    <w:rsid w:val="000F0786"/>
    <w:rsid w:val="000F07D2"/>
    <w:rsid w:val="000F07F2"/>
    <w:rsid w:val="000F08EE"/>
    <w:rsid w:val="000F0A33"/>
    <w:rsid w:val="000F0A9F"/>
    <w:rsid w:val="000F0AA9"/>
    <w:rsid w:val="000F0AB4"/>
    <w:rsid w:val="000F0ACA"/>
    <w:rsid w:val="000F0B59"/>
    <w:rsid w:val="000F0BAD"/>
    <w:rsid w:val="000F0C98"/>
    <w:rsid w:val="000F0CB5"/>
    <w:rsid w:val="000F0D4C"/>
    <w:rsid w:val="000F0DC4"/>
    <w:rsid w:val="000F0E28"/>
    <w:rsid w:val="000F0E50"/>
    <w:rsid w:val="000F0EA6"/>
    <w:rsid w:val="000F0F36"/>
    <w:rsid w:val="000F0F57"/>
    <w:rsid w:val="000F0F76"/>
    <w:rsid w:val="000F0FB4"/>
    <w:rsid w:val="000F0FD7"/>
    <w:rsid w:val="000F0FE0"/>
    <w:rsid w:val="000F0FE6"/>
    <w:rsid w:val="000F1015"/>
    <w:rsid w:val="000F101A"/>
    <w:rsid w:val="000F101C"/>
    <w:rsid w:val="000F1093"/>
    <w:rsid w:val="000F10EC"/>
    <w:rsid w:val="000F10EF"/>
    <w:rsid w:val="000F115C"/>
    <w:rsid w:val="000F1169"/>
    <w:rsid w:val="000F11BF"/>
    <w:rsid w:val="000F1215"/>
    <w:rsid w:val="000F1288"/>
    <w:rsid w:val="000F13E4"/>
    <w:rsid w:val="000F144D"/>
    <w:rsid w:val="000F144E"/>
    <w:rsid w:val="000F14E0"/>
    <w:rsid w:val="000F1508"/>
    <w:rsid w:val="000F1554"/>
    <w:rsid w:val="000F1557"/>
    <w:rsid w:val="000F15A8"/>
    <w:rsid w:val="000F1621"/>
    <w:rsid w:val="000F1811"/>
    <w:rsid w:val="000F1891"/>
    <w:rsid w:val="000F18A1"/>
    <w:rsid w:val="000F18B5"/>
    <w:rsid w:val="000F1907"/>
    <w:rsid w:val="000F191B"/>
    <w:rsid w:val="000F191E"/>
    <w:rsid w:val="000F19AE"/>
    <w:rsid w:val="000F19DB"/>
    <w:rsid w:val="000F19DE"/>
    <w:rsid w:val="000F1A21"/>
    <w:rsid w:val="000F1A33"/>
    <w:rsid w:val="000F1A3E"/>
    <w:rsid w:val="000F1B36"/>
    <w:rsid w:val="000F1B5E"/>
    <w:rsid w:val="000F1C13"/>
    <w:rsid w:val="000F1C3B"/>
    <w:rsid w:val="000F1C50"/>
    <w:rsid w:val="000F1DE0"/>
    <w:rsid w:val="000F1E8C"/>
    <w:rsid w:val="000F1EEA"/>
    <w:rsid w:val="000F1F15"/>
    <w:rsid w:val="000F1FB6"/>
    <w:rsid w:val="000F1FDE"/>
    <w:rsid w:val="000F1FFB"/>
    <w:rsid w:val="000F20A9"/>
    <w:rsid w:val="000F2227"/>
    <w:rsid w:val="000F222E"/>
    <w:rsid w:val="000F22BA"/>
    <w:rsid w:val="000F22C0"/>
    <w:rsid w:val="000F22ED"/>
    <w:rsid w:val="000F2349"/>
    <w:rsid w:val="000F2355"/>
    <w:rsid w:val="000F23A7"/>
    <w:rsid w:val="000F2420"/>
    <w:rsid w:val="000F252B"/>
    <w:rsid w:val="000F2636"/>
    <w:rsid w:val="000F2644"/>
    <w:rsid w:val="000F27C7"/>
    <w:rsid w:val="000F28D6"/>
    <w:rsid w:val="000F297C"/>
    <w:rsid w:val="000F29E5"/>
    <w:rsid w:val="000F29E8"/>
    <w:rsid w:val="000F2A2B"/>
    <w:rsid w:val="000F2ABF"/>
    <w:rsid w:val="000F2AE9"/>
    <w:rsid w:val="000F2B02"/>
    <w:rsid w:val="000F2B33"/>
    <w:rsid w:val="000F2BC0"/>
    <w:rsid w:val="000F2C23"/>
    <w:rsid w:val="000F2C78"/>
    <w:rsid w:val="000F2CBB"/>
    <w:rsid w:val="000F2D5C"/>
    <w:rsid w:val="000F2DC1"/>
    <w:rsid w:val="000F2E56"/>
    <w:rsid w:val="000F2ECE"/>
    <w:rsid w:val="000F2EDC"/>
    <w:rsid w:val="000F2F57"/>
    <w:rsid w:val="000F3054"/>
    <w:rsid w:val="000F30F8"/>
    <w:rsid w:val="000F313C"/>
    <w:rsid w:val="000F3324"/>
    <w:rsid w:val="000F33CD"/>
    <w:rsid w:val="000F34EC"/>
    <w:rsid w:val="000F34ED"/>
    <w:rsid w:val="000F3778"/>
    <w:rsid w:val="000F37FE"/>
    <w:rsid w:val="000F3801"/>
    <w:rsid w:val="000F380E"/>
    <w:rsid w:val="000F3875"/>
    <w:rsid w:val="000F3959"/>
    <w:rsid w:val="000F3992"/>
    <w:rsid w:val="000F3A2B"/>
    <w:rsid w:val="000F3AFE"/>
    <w:rsid w:val="000F3BBF"/>
    <w:rsid w:val="000F3C1C"/>
    <w:rsid w:val="000F3CF7"/>
    <w:rsid w:val="000F3D4D"/>
    <w:rsid w:val="000F3D58"/>
    <w:rsid w:val="000F3E9E"/>
    <w:rsid w:val="000F3EA9"/>
    <w:rsid w:val="000F3EB9"/>
    <w:rsid w:val="000F3F24"/>
    <w:rsid w:val="000F3F5A"/>
    <w:rsid w:val="000F3FB4"/>
    <w:rsid w:val="000F4063"/>
    <w:rsid w:val="000F407C"/>
    <w:rsid w:val="000F4093"/>
    <w:rsid w:val="000F40CA"/>
    <w:rsid w:val="000F4144"/>
    <w:rsid w:val="000F4172"/>
    <w:rsid w:val="000F419C"/>
    <w:rsid w:val="000F41B8"/>
    <w:rsid w:val="000F41CA"/>
    <w:rsid w:val="000F4217"/>
    <w:rsid w:val="000F4325"/>
    <w:rsid w:val="000F4339"/>
    <w:rsid w:val="000F4388"/>
    <w:rsid w:val="000F43A4"/>
    <w:rsid w:val="000F43B2"/>
    <w:rsid w:val="000F447C"/>
    <w:rsid w:val="000F451B"/>
    <w:rsid w:val="000F4526"/>
    <w:rsid w:val="000F4534"/>
    <w:rsid w:val="000F4552"/>
    <w:rsid w:val="000F458A"/>
    <w:rsid w:val="000F4680"/>
    <w:rsid w:val="000F46B5"/>
    <w:rsid w:val="000F4737"/>
    <w:rsid w:val="000F4746"/>
    <w:rsid w:val="000F487D"/>
    <w:rsid w:val="000F48DA"/>
    <w:rsid w:val="000F49B3"/>
    <w:rsid w:val="000F4A0D"/>
    <w:rsid w:val="000F4AA0"/>
    <w:rsid w:val="000F4B0D"/>
    <w:rsid w:val="000F4B46"/>
    <w:rsid w:val="000F4CA1"/>
    <w:rsid w:val="000F4DE9"/>
    <w:rsid w:val="000F4E1A"/>
    <w:rsid w:val="000F4E65"/>
    <w:rsid w:val="000F4E6C"/>
    <w:rsid w:val="000F4E84"/>
    <w:rsid w:val="000F4F28"/>
    <w:rsid w:val="000F4FE9"/>
    <w:rsid w:val="000F5020"/>
    <w:rsid w:val="000F5124"/>
    <w:rsid w:val="000F514D"/>
    <w:rsid w:val="000F518D"/>
    <w:rsid w:val="000F5243"/>
    <w:rsid w:val="000F524B"/>
    <w:rsid w:val="000F52B4"/>
    <w:rsid w:val="000F5361"/>
    <w:rsid w:val="000F545B"/>
    <w:rsid w:val="000F5462"/>
    <w:rsid w:val="000F5479"/>
    <w:rsid w:val="000F54B9"/>
    <w:rsid w:val="000F5572"/>
    <w:rsid w:val="000F557F"/>
    <w:rsid w:val="000F5595"/>
    <w:rsid w:val="000F5597"/>
    <w:rsid w:val="000F5614"/>
    <w:rsid w:val="000F5685"/>
    <w:rsid w:val="000F569A"/>
    <w:rsid w:val="000F5720"/>
    <w:rsid w:val="000F578B"/>
    <w:rsid w:val="000F5794"/>
    <w:rsid w:val="000F57CE"/>
    <w:rsid w:val="000F57EA"/>
    <w:rsid w:val="000F5852"/>
    <w:rsid w:val="000F58AA"/>
    <w:rsid w:val="000F598A"/>
    <w:rsid w:val="000F5998"/>
    <w:rsid w:val="000F59B7"/>
    <w:rsid w:val="000F5A9C"/>
    <w:rsid w:val="000F5ADB"/>
    <w:rsid w:val="000F5AF5"/>
    <w:rsid w:val="000F5C5F"/>
    <w:rsid w:val="000F5CD8"/>
    <w:rsid w:val="000F5D0D"/>
    <w:rsid w:val="000F5DAF"/>
    <w:rsid w:val="000F5E63"/>
    <w:rsid w:val="000F5E89"/>
    <w:rsid w:val="000F5F5C"/>
    <w:rsid w:val="000F5FD9"/>
    <w:rsid w:val="000F6074"/>
    <w:rsid w:val="000F60F7"/>
    <w:rsid w:val="000F610D"/>
    <w:rsid w:val="000F615A"/>
    <w:rsid w:val="000F6189"/>
    <w:rsid w:val="000F6292"/>
    <w:rsid w:val="000F6367"/>
    <w:rsid w:val="000F641A"/>
    <w:rsid w:val="000F645D"/>
    <w:rsid w:val="000F6468"/>
    <w:rsid w:val="000F64AD"/>
    <w:rsid w:val="000F6566"/>
    <w:rsid w:val="000F6628"/>
    <w:rsid w:val="000F663A"/>
    <w:rsid w:val="000F6720"/>
    <w:rsid w:val="000F67FE"/>
    <w:rsid w:val="000F6834"/>
    <w:rsid w:val="000F687D"/>
    <w:rsid w:val="000F687E"/>
    <w:rsid w:val="000F6900"/>
    <w:rsid w:val="000F6924"/>
    <w:rsid w:val="000F6959"/>
    <w:rsid w:val="000F6A3A"/>
    <w:rsid w:val="000F6B14"/>
    <w:rsid w:val="000F6BD6"/>
    <w:rsid w:val="000F6DC4"/>
    <w:rsid w:val="000F6F01"/>
    <w:rsid w:val="000F6FAD"/>
    <w:rsid w:val="000F7001"/>
    <w:rsid w:val="000F7026"/>
    <w:rsid w:val="000F7031"/>
    <w:rsid w:val="000F713F"/>
    <w:rsid w:val="000F715D"/>
    <w:rsid w:val="000F7272"/>
    <w:rsid w:val="000F7273"/>
    <w:rsid w:val="000F73B0"/>
    <w:rsid w:val="000F73F2"/>
    <w:rsid w:val="000F746E"/>
    <w:rsid w:val="000F7529"/>
    <w:rsid w:val="000F7686"/>
    <w:rsid w:val="000F768E"/>
    <w:rsid w:val="000F7709"/>
    <w:rsid w:val="000F7715"/>
    <w:rsid w:val="000F775C"/>
    <w:rsid w:val="000F77C6"/>
    <w:rsid w:val="000F7817"/>
    <w:rsid w:val="000F78BA"/>
    <w:rsid w:val="000F7980"/>
    <w:rsid w:val="000F79FE"/>
    <w:rsid w:val="000F7A16"/>
    <w:rsid w:val="000F7A85"/>
    <w:rsid w:val="000F7AC5"/>
    <w:rsid w:val="000F7B30"/>
    <w:rsid w:val="000F7B78"/>
    <w:rsid w:val="000F7C8E"/>
    <w:rsid w:val="000F7C98"/>
    <w:rsid w:val="000F7E2F"/>
    <w:rsid w:val="000F7E44"/>
    <w:rsid w:val="000F7E99"/>
    <w:rsid w:val="000F7EEC"/>
    <w:rsid w:val="000F7F7B"/>
    <w:rsid w:val="0010004D"/>
    <w:rsid w:val="00100077"/>
    <w:rsid w:val="001000D3"/>
    <w:rsid w:val="0010017C"/>
    <w:rsid w:val="001001AD"/>
    <w:rsid w:val="001001B6"/>
    <w:rsid w:val="001001CF"/>
    <w:rsid w:val="001001D0"/>
    <w:rsid w:val="001002A8"/>
    <w:rsid w:val="001002DC"/>
    <w:rsid w:val="001002E3"/>
    <w:rsid w:val="001003AD"/>
    <w:rsid w:val="0010040D"/>
    <w:rsid w:val="001004A5"/>
    <w:rsid w:val="00100500"/>
    <w:rsid w:val="001005B3"/>
    <w:rsid w:val="00100719"/>
    <w:rsid w:val="00100759"/>
    <w:rsid w:val="00100802"/>
    <w:rsid w:val="00100884"/>
    <w:rsid w:val="0010088E"/>
    <w:rsid w:val="001008CD"/>
    <w:rsid w:val="0010097C"/>
    <w:rsid w:val="001009A3"/>
    <w:rsid w:val="001009A9"/>
    <w:rsid w:val="001009CE"/>
    <w:rsid w:val="00100AEE"/>
    <w:rsid w:val="00100B5F"/>
    <w:rsid w:val="00100C37"/>
    <w:rsid w:val="00100D3B"/>
    <w:rsid w:val="00100D3C"/>
    <w:rsid w:val="00100D64"/>
    <w:rsid w:val="00100DB6"/>
    <w:rsid w:val="00100DC2"/>
    <w:rsid w:val="00100E54"/>
    <w:rsid w:val="00100E9D"/>
    <w:rsid w:val="00100F23"/>
    <w:rsid w:val="00100FA6"/>
    <w:rsid w:val="00100FFF"/>
    <w:rsid w:val="00101067"/>
    <w:rsid w:val="001010D5"/>
    <w:rsid w:val="001010F0"/>
    <w:rsid w:val="00101137"/>
    <w:rsid w:val="00101198"/>
    <w:rsid w:val="001011A6"/>
    <w:rsid w:val="00101298"/>
    <w:rsid w:val="00101321"/>
    <w:rsid w:val="00101347"/>
    <w:rsid w:val="00101354"/>
    <w:rsid w:val="0010135F"/>
    <w:rsid w:val="00101383"/>
    <w:rsid w:val="00101385"/>
    <w:rsid w:val="00101391"/>
    <w:rsid w:val="001013B2"/>
    <w:rsid w:val="00101437"/>
    <w:rsid w:val="00101489"/>
    <w:rsid w:val="00101533"/>
    <w:rsid w:val="001015BE"/>
    <w:rsid w:val="001016C3"/>
    <w:rsid w:val="001017DE"/>
    <w:rsid w:val="0010182C"/>
    <w:rsid w:val="001018DD"/>
    <w:rsid w:val="00101942"/>
    <w:rsid w:val="00101A54"/>
    <w:rsid w:val="00101AF0"/>
    <w:rsid w:val="00101C30"/>
    <w:rsid w:val="00101C66"/>
    <w:rsid w:val="00101CC9"/>
    <w:rsid w:val="00101D3C"/>
    <w:rsid w:val="00101D5C"/>
    <w:rsid w:val="00101E0C"/>
    <w:rsid w:val="00101E3E"/>
    <w:rsid w:val="00101E69"/>
    <w:rsid w:val="00101E81"/>
    <w:rsid w:val="00101F15"/>
    <w:rsid w:val="001020F0"/>
    <w:rsid w:val="00102157"/>
    <w:rsid w:val="001021B4"/>
    <w:rsid w:val="001022E5"/>
    <w:rsid w:val="00102399"/>
    <w:rsid w:val="0010239A"/>
    <w:rsid w:val="001023A4"/>
    <w:rsid w:val="001023D1"/>
    <w:rsid w:val="0010247A"/>
    <w:rsid w:val="0010248A"/>
    <w:rsid w:val="001024FA"/>
    <w:rsid w:val="00102586"/>
    <w:rsid w:val="00102590"/>
    <w:rsid w:val="00102599"/>
    <w:rsid w:val="00102638"/>
    <w:rsid w:val="00102663"/>
    <w:rsid w:val="0010269B"/>
    <w:rsid w:val="001026A6"/>
    <w:rsid w:val="001026FE"/>
    <w:rsid w:val="001027B8"/>
    <w:rsid w:val="001029E2"/>
    <w:rsid w:val="00102A70"/>
    <w:rsid w:val="00102ACB"/>
    <w:rsid w:val="00102B96"/>
    <w:rsid w:val="00102BD0"/>
    <w:rsid w:val="00102C19"/>
    <w:rsid w:val="00102CFA"/>
    <w:rsid w:val="00102D25"/>
    <w:rsid w:val="00102EC4"/>
    <w:rsid w:val="00102FA0"/>
    <w:rsid w:val="00102FB0"/>
    <w:rsid w:val="00103021"/>
    <w:rsid w:val="0010303B"/>
    <w:rsid w:val="00103050"/>
    <w:rsid w:val="001030F4"/>
    <w:rsid w:val="00103183"/>
    <w:rsid w:val="001031AC"/>
    <w:rsid w:val="001031F9"/>
    <w:rsid w:val="0010333D"/>
    <w:rsid w:val="00103350"/>
    <w:rsid w:val="0010339C"/>
    <w:rsid w:val="00103420"/>
    <w:rsid w:val="00103590"/>
    <w:rsid w:val="00103670"/>
    <w:rsid w:val="00103682"/>
    <w:rsid w:val="001036E7"/>
    <w:rsid w:val="0010379B"/>
    <w:rsid w:val="00103814"/>
    <w:rsid w:val="0010381B"/>
    <w:rsid w:val="001038B1"/>
    <w:rsid w:val="001038B9"/>
    <w:rsid w:val="001038CE"/>
    <w:rsid w:val="001038FF"/>
    <w:rsid w:val="00103925"/>
    <w:rsid w:val="00103A55"/>
    <w:rsid w:val="00103A7F"/>
    <w:rsid w:val="00103A87"/>
    <w:rsid w:val="00103AD8"/>
    <w:rsid w:val="00103AF5"/>
    <w:rsid w:val="00103C5D"/>
    <w:rsid w:val="00103C7A"/>
    <w:rsid w:val="00103D20"/>
    <w:rsid w:val="00103D23"/>
    <w:rsid w:val="00103D96"/>
    <w:rsid w:val="00103DD7"/>
    <w:rsid w:val="00103E0C"/>
    <w:rsid w:val="00103E0D"/>
    <w:rsid w:val="00103F14"/>
    <w:rsid w:val="00103F6D"/>
    <w:rsid w:val="00103F7F"/>
    <w:rsid w:val="0010400F"/>
    <w:rsid w:val="0010402B"/>
    <w:rsid w:val="0010409F"/>
    <w:rsid w:val="001040C8"/>
    <w:rsid w:val="00104235"/>
    <w:rsid w:val="0010424F"/>
    <w:rsid w:val="0010426D"/>
    <w:rsid w:val="0010428C"/>
    <w:rsid w:val="001042D4"/>
    <w:rsid w:val="001042D5"/>
    <w:rsid w:val="00104331"/>
    <w:rsid w:val="001043D5"/>
    <w:rsid w:val="001043DD"/>
    <w:rsid w:val="001043E7"/>
    <w:rsid w:val="00104550"/>
    <w:rsid w:val="00104611"/>
    <w:rsid w:val="00104674"/>
    <w:rsid w:val="0010467E"/>
    <w:rsid w:val="001046AF"/>
    <w:rsid w:val="001046B7"/>
    <w:rsid w:val="001046E1"/>
    <w:rsid w:val="00104759"/>
    <w:rsid w:val="0010476D"/>
    <w:rsid w:val="0010479F"/>
    <w:rsid w:val="001047CC"/>
    <w:rsid w:val="00104826"/>
    <w:rsid w:val="001048D7"/>
    <w:rsid w:val="00104A34"/>
    <w:rsid w:val="00104AA1"/>
    <w:rsid w:val="00104ABD"/>
    <w:rsid w:val="00104B14"/>
    <w:rsid w:val="00104BAD"/>
    <w:rsid w:val="00104BE1"/>
    <w:rsid w:val="00104C37"/>
    <w:rsid w:val="00104C41"/>
    <w:rsid w:val="00104CAD"/>
    <w:rsid w:val="00104CBB"/>
    <w:rsid w:val="00104CD0"/>
    <w:rsid w:val="00104D26"/>
    <w:rsid w:val="00104D28"/>
    <w:rsid w:val="00104D7A"/>
    <w:rsid w:val="00104DB6"/>
    <w:rsid w:val="00104E02"/>
    <w:rsid w:val="00104E6A"/>
    <w:rsid w:val="00104E78"/>
    <w:rsid w:val="00104EC2"/>
    <w:rsid w:val="00104EFF"/>
    <w:rsid w:val="00104F16"/>
    <w:rsid w:val="00104F4E"/>
    <w:rsid w:val="0010506C"/>
    <w:rsid w:val="001050FC"/>
    <w:rsid w:val="0010516E"/>
    <w:rsid w:val="001051A7"/>
    <w:rsid w:val="001051BC"/>
    <w:rsid w:val="001051E1"/>
    <w:rsid w:val="00105287"/>
    <w:rsid w:val="00105333"/>
    <w:rsid w:val="00105337"/>
    <w:rsid w:val="0010538C"/>
    <w:rsid w:val="00105437"/>
    <w:rsid w:val="0010546C"/>
    <w:rsid w:val="00105500"/>
    <w:rsid w:val="00105505"/>
    <w:rsid w:val="0010555F"/>
    <w:rsid w:val="001055A8"/>
    <w:rsid w:val="001055F0"/>
    <w:rsid w:val="001055F2"/>
    <w:rsid w:val="001055F4"/>
    <w:rsid w:val="0010562D"/>
    <w:rsid w:val="001056D6"/>
    <w:rsid w:val="00105743"/>
    <w:rsid w:val="00105772"/>
    <w:rsid w:val="00105797"/>
    <w:rsid w:val="001057CB"/>
    <w:rsid w:val="00105806"/>
    <w:rsid w:val="0010590D"/>
    <w:rsid w:val="00105955"/>
    <w:rsid w:val="0010597B"/>
    <w:rsid w:val="00105B1D"/>
    <w:rsid w:val="00105CC9"/>
    <w:rsid w:val="00105CED"/>
    <w:rsid w:val="00105D7C"/>
    <w:rsid w:val="00105D80"/>
    <w:rsid w:val="00105E14"/>
    <w:rsid w:val="00105E7F"/>
    <w:rsid w:val="00105E85"/>
    <w:rsid w:val="00105FD1"/>
    <w:rsid w:val="00106078"/>
    <w:rsid w:val="001060A5"/>
    <w:rsid w:val="001060EC"/>
    <w:rsid w:val="00106116"/>
    <w:rsid w:val="001061AF"/>
    <w:rsid w:val="001061C6"/>
    <w:rsid w:val="001061DC"/>
    <w:rsid w:val="00106255"/>
    <w:rsid w:val="001062CB"/>
    <w:rsid w:val="001062D7"/>
    <w:rsid w:val="001062F8"/>
    <w:rsid w:val="0010634A"/>
    <w:rsid w:val="00106370"/>
    <w:rsid w:val="0010640A"/>
    <w:rsid w:val="00106609"/>
    <w:rsid w:val="0010661E"/>
    <w:rsid w:val="0010665F"/>
    <w:rsid w:val="00106665"/>
    <w:rsid w:val="00106670"/>
    <w:rsid w:val="0010674F"/>
    <w:rsid w:val="0010683B"/>
    <w:rsid w:val="00106842"/>
    <w:rsid w:val="001068CA"/>
    <w:rsid w:val="00106902"/>
    <w:rsid w:val="00106988"/>
    <w:rsid w:val="0010699F"/>
    <w:rsid w:val="00106B3C"/>
    <w:rsid w:val="00106BB2"/>
    <w:rsid w:val="00106CB2"/>
    <w:rsid w:val="00106CF9"/>
    <w:rsid w:val="00106D45"/>
    <w:rsid w:val="00106D4B"/>
    <w:rsid w:val="00106D7E"/>
    <w:rsid w:val="00106DB5"/>
    <w:rsid w:val="00106DE3"/>
    <w:rsid w:val="00106E39"/>
    <w:rsid w:val="00106E60"/>
    <w:rsid w:val="00106F60"/>
    <w:rsid w:val="00107026"/>
    <w:rsid w:val="0010707E"/>
    <w:rsid w:val="001070B9"/>
    <w:rsid w:val="00107111"/>
    <w:rsid w:val="00107164"/>
    <w:rsid w:val="00107196"/>
    <w:rsid w:val="00107254"/>
    <w:rsid w:val="00107264"/>
    <w:rsid w:val="0010730D"/>
    <w:rsid w:val="001073F8"/>
    <w:rsid w:val="001074D3"/>
    <w:rsid w:val="001074F7"/>
    <w:rsid w:val="00107584"/>
    <w:rsid w:val="001075A8"/>
    <w:rsid w:val="001075E8"/>
    <w:rsid w:val="00107610"/>
    <w:rsid w:val="00107615"/>
    <w:rsid w:val="0010765E"/>
    <w:rsid w:val="0010770C"/>
    <w:rsid w:val="0010788D"/>
    <w:rsid w:val="00107948"/>
    <w:rsid w:val="001079F3"/>
    <w:rsid w:val="00107A03"/>
    <w:rsid w:val="00107A15"/>
    <w:rsid w:val="00107AF0"/>
    <w:rsid w:val="00107B54"/>
    <w:rsid w:val="00107CC7"/>
    <w:rsid w:val="00107CFD"/>
    <w:rsid w:val="00107D75"/>
    <w:rsid w:val="00107E0D"/>
    <w:rsid w:val="00107FE1"/>
    <w:rsid w:val="0011003D"/>
    <w:rsid w:val="00110075"/>
    <w:rsid w:val="00110089"/>
    <w:rsid w:val="0011008D"/>
    <w:rsid w:val="001100BC"/>
    <w:rsid w:val="001100F0"/>
    <w:rsid w:val="001100F1"/>
    <w:rsid w:val="001100FF"/>
    <w:rsid w:val="00110205"/>
    <w:rsid w:val="0011024B"/>
    <w:rsid w:val="00110280"/>
    <w:rsid w:val="0011031F"/>
    <w:rsid w:val="0011033C"/>
    <w:rsid w:val="001103D8"/>
    <w:rsid w:val="001104C9"/>
    <w:rsid w:val="00110502"/>
    <w:rsid w:val="00110513"/>
    <w:rsid w:val="0011053D"/>
    <w:rsid w:val="00110544"/>
    <w:rsid w:val="00110548"/>
    <w:rsid w:val="0011057B"/>
    <w:rsid w:val="0011059E"/>
    <w:rsid w:val="001105CF"/>
    <w:rsid w:val="001105D9"/>
    <w:rsid w:val="0011063F"/>
    <w:rsid w:val="00110689"/>
    <w:rsid w:val="00110693"/>
    <w:rsid w:val="001106BB"/>
    <w:rsid w:val="001106C4"/>
    <w:rsid w:val="00110727"/>
    <w:rsid w:val="00110730"/>
    <w:rsid w:val="00110760"/>
    <w:rsid w:val="00110860"/>
    <w:rsid w:val="001108A9"/>
    <w:rsid w:val="001108FA"/>
    <w:rsid w:val="00110A5F"/>
    <w:rsid w:val="00110A70"/>
    <w:rsid w:val="00110AED"/>
    <w:rsid w:val="00110B91"/>
    <w:rsid w:val="00110BAA"/>
    <w:rsid w:val="00110C5C"/>
    <w:rsid w:val="00110C81"/>
    <w:rsid w:val="00110CBF"/>
    <w:rsid w:val="00110CDA"/>
    <w:rsid w:val="00110DED"/>
    <w:rsid w:val="00110DFE"/>
    <w:rsid w:val="00110F62"/>
    <w:rsid w:val="00110FB1"/>
    <w:rsid w:val="00110FD0"/>
    <w:rsid w:val="00110FE3"/>
    <w:rsid w:val="00111036"/>
    <w:rsid w:val="0011104A"/>
    <w:rsid w:val="001110A9"/>
    <w:rsid w:val="00111134"/>
    <w:rsid w:val="0011116A"/>
    <w:rsid w:val="0011118F"/>
    <w:rsid w:val="00111210"/>
    <w:rsid w:val="00111234"/>
    <w:rsid w:val="00111249"/>
    <w:rsid w:val="0011128B"/>
    <w:rsid w:val="00111330"/>
    <w:rsid w:val="00111344"/>
    <w:rsid w:val="001113AF"/>
    <w:rsid w:val="00111437"/>
    <w:rsid w:val="0011148F"/>
    <w:rsid w:val="00111494"/>
    <w:rsid w:val="00111524"/>
    <w:rsid w:val="00111548"/>
    <w:rsid w:val="00111571"/>
    <w:rsid w:val="00111578"/>
    <w:rsid w:val="00111649"/>
    <w:rsid w:val="0011164C"/>
    <w:rsid w:val="00111658"/>
    <w:rsid w:val="00111691"/>
    <w:rsid w:val="00111693"/>
    <w:rsid w:val="0011170D"/>
    <w:rsid w:val="00111725"/>
    <w:rsid w:val="00111762"/>
    <w:rsid w:val="00111790"/>
    <w:rsid w:val="001117F0"/>
    <w:rsid w:val="0011184E"/>
    <w:rsid w:val="001118B4"/>
    <w:rsid w:val="001118D8"/>
    <w:rsid w:val="001118F1"/>
    <w:rsid w:val="001119B5"/>
    <w:rsid w:val="001119EA"/>
    <w:rsid w:val="00111A05"/>
    <w:rsid w:val="00111A1F"/>
    <w:rsid w:val="00111AC1"/>
    <w:rsid w:val="00111AD4"/>
    <w:rsid w:val="00111B4C"/>
    <w:rsid w:val="00111B85"/>
    <w:rsid w:val="00111C02"/>
    <w:rsid w:val="00111CA4"/>
    <w:rsid w:val="00111D54"/>
    <w:rsid w:val="00111D57"/>
    <w:rsid w:val="00111D88"/>
    <w:rsid w:val="00111E7C"/>
    <w:rsid w:val="00111EBF"/>
    <w:rsid w:val="00111F40"/>
    <w:rsid w:val="00111F86"/>
    <w:rsid w:val="0011212D"/>
    <w:rsid w:val="00112141"/>
    <w:rsid w:val="00112160"/>
    <w:rsid w:val="001121EB"/>
    <w:rsid w:val="001121F2"/>
    <w:rsid w:val="001122CE"/>
    <w:rsid w:val="001122D5"/>
    <w:rsid w:val="00112309"/>
    <w:rsid w:val="001123C7"/>
    <w:rsid w:val="001123EA"/>
    <w:rsid w:val="00112469"/>
    <w:rsid w:val="00112594"/>
    <w:rsid w:val="001127EC"/>
    <w:rsid w:val="00112800"/>
    <w:rsid w:val="00112827"/>
    <w:rsid w:val="00112905"/>
    <w:rsid w:val="00112942"/>
    <w:rsid w:val="0011294E"/>
    <w:rsid w:val="001129F3"/>
    <w:rsid w:val="00112AE1"/>
    <w:rsid w:val="00112B31"/>
    <w:rsid w:val="00112B89"/>
    <w:rsid w:val="00112B9C"/>
    <w:rsid w:val="00112C32"/>
    <w:rsid w:val="00112CE6"/>
    <w:rsid w:val="00112D0D"/>
    <w:rsid w:val="00112E34"/>
    <w:rsid w:val="00112F32"/>
    <w:rsid w:val="00112F95"/>
    <w:rsid w:val="00112FCD"/>
    <w:rsid w:val="0011302C"/>
    <w:rsid w:val="0011304C"/>
    <w:rsid w:val="0011306B"/>
    <w:rsid w:val="001130C9"/>
    <w:rsid w:val="001130ED"/>
    <w:rsid w:val="00113101"/>
    <w:rsid w:val="001131D0"/>
    <w:rsid w:val="0011333F"/>
    <w:rsid w:val="001133C1"/>
    <w:rsid w:val="00113491"/>
    <w:rsid w:val="00113495"/>
    <w:rsid w:val="00113566"/>
    <w:rsid w:val="001135AB"/>
    <w:rsid w:val="001135D7"/>
    <w:rsid w:val="00113643"/>
    <w:rsid w:val="0011374B"/>
    <w:rsid w:val="00113768"/>
    <w:rsid w:val="0011378D"/>
    <w:rsid w:val="001137D2"/>
    <w:rsid w:val="001138A8"/>
    <w:rsid w:val="001138B7"/>
    <w:rsid w:val="001138F0"/>
    <w:rsid w:val="0011396D"/>
    <w:rsid w:val="00113BF7"/>
    <w:rsid w:val="00113C3F"/>
    <w:rsid w:val="00113CD5"/>
    <w:rsid w:val="00113D02"/>
    <w:rsid w:val="00113D22"/>
    <w:rsid w:val="00113D80"/>
    <w:rsid w:val="00113DC1"/>
    <w:rsid w:val="00113F3A"/>
    <w:rsid w:val="0011401D"/>
    <w:rsid w:val="0011404A"/>
    <w:rsid w:val="001140DE"/>
    <w:rsid w:val="00114137"/>
    <w:rsid w:val="00114153"/>
    <w:rsid w:val="00114187"/>
    <w:rsid w:val="001141B5"/>
    <w:rsid w:val="001141F1"/>
    <w:rsid w:val="00114227"/>
    <w:rsid w:val="001142D1"/>
    <w:rsid w:val="00114342"/>
    <w:rsid w:val="00114349"/>
    <w:rsid w:val="0011434B"/>
    <w:rsid w:val="001143C8"/>
    <w:rsid w:val="001143D6"/>
    <w:rsid w:val="001143DE"/>
    <w:rsid w:val="00114405"/>
    <w:rsid w:val="001145AE"/>
    <w:rsid w:val="001145F0"/>
    <w:rsid w:val="00114777"/>
    <w:rsid w:val="00114791"/>
    <w:rsid w:val="001147A2"/>
    <w:rsid w:val="001147D4"/>
    <w:rsid w:val="001147E1"/>
    <w:rsid w:val="0011489B"/>
    <w:rsid w:val="0011499A"/>
    <w:rsid w:val="001149B1"/>
    <w:rsid w:val="00114AED"/>
    <w:rsid w:val="00114B13"/>
    <w:rsid w:val="00114BCE"/>
    <w:rsid w:val="00114BF3"/>
    <w:rsid w:val="00114CDF"/>
    <w:rsid w:val="00114D1C"/>
    <w:rsid w:val="00114D5F"/>
    <w:rsid w:val="00114DE6"/>
    <w:rsid w:val="00114EE7"/>
    <w:rsid w:val="00114F8F"/>
    <w:rsid w:val="00114F91"/>
    <w:rsid w:val="00114F95"/>
    <w:rsid w:val="0011510C"/>
    <w:rsid w:val="00115140"/>
    <w:rsid w:val="00115231"/>
    <w:rsid w:val="00115234"/>
    <w:rsid w:val="00115248"/>
    <w:rsid w:val="00115251"/>
    <w:rsid w:val="00115294"/>
    <w:rsid w:val="001152C3"/>
    <w:rsid w:val="001152F9"/>
    <w:rsid w:val="0011532B"/>
    <w:rsid w:val="0011554D"/>
    <w:rsid w:val="001155AB"/>
    <w:rsid w:val="001155EF"/>
    <w:rsid w:val="00115603"/>
    <w:rsid w:val="001156A4"/>
    <w:rsid w:val="0011579B"/>
    <w:rsid w:val="001157C2"/>
    <w:rsid w:val="0011586C"/>
    <w:rsid w:val="00115874"/>
    <w:rsid w:val="0011587E"/>
    <w:rsid w:val="001158C4"/>
    <w:rsid w:val="001158D0"/>
    <w:rsid w:val="0011593F"/>
    <w:rsid w:val="00115A14"/>
    <w:rsid w:val="00115A43"/>
    <w:rsid w:val="00115A5C"/>
    <w:rsid w:val="00115ABC"/>
    <w:rsid w:val="00115AC0"/>
    <w:rsid w:val="00115B1A"/>
    <w:rsid w:val="00115CBB"/>
    <w:rsid w:val="00115D52"/>
    <w:rsid w:val="00115DA6"/>
    <w:rsid w:val="00115DB7"/>
    <w:rsid w:val="00115E84"/>
    <w:rsid w:val="00115E94"/>
    <w:rsid w:val="00116008"/>
    <w:rsid w:val="00116034"/>
    <w:rsid w:val="00116098"/>
    <w:rsid w:val="001160C8"/>
    <w:rsid w:val="001160CE"/>
    <w:rsid w:val="001160E5"/>
    <w:rsid w:val="00116103"/>
    <w:rsid w:val="0011621F"/>
    <w:rsid w:val="0011624A"/>
    <w:rsid w:val="001162AA"/>
    <w:rsid w:val="001162CD"/>
    <w:rsid w:val="001162CF"/>
    <w:rsid w:val="00116316"/>
    <w:rsid w:val="001165EE"/>
    <w:rsid w:val="00116817"/>
    <w:rsid w:val="0011681C"/>
    <w:rsid w:val="001168A8"/>
    <w:rsid w:val="0011690E"/>
    <w:rsid w:val="0011695F"/>
    <w:rsid w:val="00116981"/>
    <w:rsid w:val="001169A2"/>
    <w:rsid w:val="001169BA"/>
    <w:rsid w:val="00116A97"/>
    <w:rsid w:val="00116B07"/>
    <w:rsid w:val="00116BF3"/>
    <w:rsid w:val="00116C7B"/>
    <w:rsid w:val="00116DF3"/>
    <w:rsid w:val="00116E2D"/>
    <w:rsid w:val="00116F2A"/>
    <w:rsid w:val="00116F42"/>
    <w:rsid w:val="00116FC9"/>
    <w:rsid w:val="00117056"/>
    <w:rsid w:val="00117066"/>
    <w:rsid w:val="00117183"/>
    <w:rsid w:val="00117292"/>
    <w:rsid w:val="0011729B"/>
    <w:rsid w:val="001173B7"/>
    <w:rsid w:val="001173C0"/>
    <w:rsid w:val="001173E9"/>
    <w:rsid w:val="001173F8"/>
    <w:rsid w:val="00117488"/>
    <w:rsid w:val="00117497"/>
    <w:rsid w:val="0011756E"/>
    <w:rsid w:val="0011758E"/>
    <w:rsid w:val="00117593"/>
    <w:rsid w:val="00117660"/>
    <w:rsid w:val="001176E1"/>
    <w:rsid w:val="0011774A"/>
    <w:rsid w:val="0011775B"/>
    <w:rsid w:val="00117850"/>
    <w:rsid w:val="00117968"/>
    <w:rsid w:val="00117988"/>
    <w:rsid w:val="00117989"/>
    <w:rsid w:val="00117993"/>
    <w:rsid w:val="001179CC"/>
    <w:rsid w:val="001179D3"/>
    <w:rsid w:val="00117A0F"/>
    <w:rsid w:val="00117A5A"/>
    <w:rsid w:val="00117D83"/>
    <w:rsid w:val="00117DD1"/>
    <w:rsid w:val="00117EAA"/>
    <w:rsid w:val="00117EFB"/>
    <w:rsid w:val="00117F18"/>
    <w:rsid w:val="00120002"/>
    <w:rsid w:val="0012004E"/>
    <w:rsid w:val="00120122"/>
    <w:rsid w:val="0012015E"/>
    <w:rsid w:val="001201AE"/>
    <w:rsid w:val="00120218"/>
    <w:rsid w:val="00120268"/>
    <w:rsid w:val="00120269"/>
    <w:rsid w:val="00120472"/>
    <w:rsid w:val="001204A4"/>
    <w:rsid w:val="001204AC"/>
    <w:rsid w:val="001204C1"/>
    <w:rsid w:val="0012052D"/>
    <w:rsid w:val="00120574"/>
    <w:rsid w:val="0012061D"/>
    <w:rsid w:val="0012067C"/>
    <w:rsid w:val="00120689"/>
    <w:rsid w:val="00120698"/>
    <w:rsid w:val="0012082F"/>
    <w:rsid w:val="001208A2"/>
    <w:rsid w:val="0012094A"/>
    <w:rsid w:val="0012097A"/>
    <w:rsid w:val="001209E4"/>
    <w:rsid w:val="00120A28"/>
    <w:rsid w:val="00120A98"/>
    <w:rsid w:val="00120AE5"/>
    <w:rsid w:val="00120AFA"/>
    <w:rsid w:val="00120B57"/>
    <w:rsid w:val="00120C09"/>
    <w:rsid w:val="00120C9D"/>
    <w:rsid w:val="00120D98"/>
    <w:rsid w:val="00120DC1"/>
    <w:rsid w:val="00120EF3"/>
    <w:rsid w:val="00120F32"/>
    <w:rsid w:val="00120F54"/>
    <w:rsid w:val="00120FAD"/>
    <w:rsid w:val="00120FD8"/>
    <w:rsid w:val="00120FEB"/>
    <w:rsid w:val="00121015"/>
    <w:rsid w:val="0012103C"/>
    <w:rsid w:val="0012103D"/>
    <w:rsid w:val="001210C3"/>
    <w:rsid w:val="001210FF"/>
    <w:rsid w:val="0012118E"/>
    <w:rsid w:val="00121280"/>
    <w:rsid w:val="00121296"/>
    <w:rsid w:val="00121336"/>
    <w:rsid w:val="0012133F"/>
    <w:rsid w:val="001213EC"/>
    <w:rsid w:val="0012140E"/>
    <w:rsid w:val="0012148A"/>
    <w:rsid w:val="001214E7"/>
    <w:rsid w:val="00121579"/>
    <w:rsid w:val="0012173D"/>
    <w:rsid w:val="0012175E"/>
    <w:rsid w:val="001217AB"/>
    <w:rsid w:val="001217E9"/>
    <w:rsid w:val="00121837"/>
    <w:rsid w:val="00121844"/>
    <w:rsid w:val="0012188D"/>
    <w:rsid w:val="001218D4"/>
    <w:rsid w:val="001219D3"/>
    <w:rsid w:val="00121B9E"/>
    <w:rsid w:val="00121BCA"/>
    <w:rsid w:val="00121CD3"/>
    <w:rsid w:val="00121D48"/>
    <w:rsid w:val="00121DA5"/>
    <w:rsid w:val="00121EA4"/>
    <w:rsid w:val="00121EB1"/>
    <w:rsid w:val="00121EF0"/>
    <w:rsid w:val="00121F21"/>
    <w:rsid w:val="00121FA0"/>
    <w:rsid w:val="001220A2"/>
    <w:rsid w:val="001220BA"/>
    <w:rsid w:val="0012210B"/>
    <w:rsid w:val="00122303"/>
    <w:rsid w:val="00122359"/>
    <w:rsid w:val="0012247E"/>
    <w:rsid w:val="00122491"/>
    <w:rsid w:val="001224DD"/>
    <w:rsid w:val="00122554"/>
    <w:rsid w:val="001225C2"/>
    <w:rsid w:val="00122716"/>
    <w:rsid w:val="00122794"/>
    <w:rsid w:val="0012282B"/>
    <w:rsid w:val="0012289B"/>
    <w:rsid w:val="001228B3"/>
    <w:rsid w:val="001228E7"/>
    <w:rsid w:val="001228EC"/>
    <w:rsid w:val="001228F9"/>
    <w:rsid w:val="00122A11"/>
    <w:rsid w:val="00122AAD"/>
    <w:rsid w:val="00122AF9"/>
    <w:rsid w:val="00122B6E"/>
    <w:rsid w:val="00122C85"/>
    <w:rsid w:val="00122CB6"/>
    <w:rsid w:val="00122CF1"/>
    <w:rsid w:val="00122F13"/>
    <w:rsid w:val="00122F16"/>
    <w:rsid w:val="00122F85"/>
    <w:rsid w:val="0012303A"/>
    <w:rsid w:val="00123056"/>
    <w:rsid w:val="00123057"/>
    <w:rsid w:val="00123069"/>
    <w:rsid w:val="00123105"/>
    <w:rsid w:val="00123121"/>
    <w:rsid w:val="001231C1"/>
    <w:rsid w:val="001231D4"/>
    <w:rsid w:val="001232CD"/>
    <w:rsid w:val="0012333D"/>
    <w:rsid w:val="001234AE"/>
    <w:rsid w:val="00123598"/>
    <w:rsid w:val="001235E0"/>
    <w:rsid w:val="001237C0"/>
    <w:rsid w:val="001237E2"/>
    <w:rsid w:val="00123855"/>
    <w:rsid w:val="00123889"/>
    <w:rsid w:val="001238BC"/>
    <w:rsid w:val="001239AE"/>
    <w:rsid w:val="001239C1"/>
    <w:rsid w:val="001239FD"/>
    <w:rsid w:val="00123A0A"/>
    <w:rsid w:val="00123A1B"/>
    <w:rsid w:val="00123A26"/>
    <w:rsid w:val="00123A27"/>
    <w:rsid w:val="00123A48"/>
    <w:rsid w:val="00123A81"/>
    <w:rsid w:val="00123AEA"/>
    <w:rsid w:val="00123B04"/>
    <w:rsid w:val="00123B0F"/>
    <w:rsid w:val="00123B37"/>
    <w:rsid w:val="00123B51"/>
    <w:rsid w:val="00123B64"/>
    <w:rsid w:val="00123BB0"/>
    <w:rsid w:val="00123BFC"/>
    <w:rsid w:val="00123C3A"/>
    <w:rsid w:val="00123C4B"/>
    <w:rsid w:val="00123D04"/>
    <w:rsid w:val="00123DB6"/>
    <w:rsid w:val="00123DF3"/>
    <w:rsid w:val="00123DF8"/>
    <w:rsid w:val="00123E04"/>
    <w:rsid w:val="00123ECC"/>
    <w:rsid w:val="00123F11"/>
    <w:rsid w:val="00123F4B"/>
    <w:rsid w:val="00123F89"/>
    <w:rsid w:val="0012400B"/>
    <w:rsid w:val="001241E7"/>
    <w:rsid w:val="00124272"/>
    <w:rsid w:val="001242ED"/>
    <w:rsid w:val="0012434C"/>
    <w:rsid w:val="001243B2"/>
    <w:rsid w:val="001243EA"/>
    <w:rsid w:val="001243F8"/>
    <w:rsid w:val="00124400"/>
    <w:rsid w:val="001244FB"/>
    <w:rsid w:val="00124503"/>
    <w:rsid w:val="0012457D"/>
    <w:rsid w:val="00124589"/>
    <w:rsid w:val="00124650"/>
    <w:rsid w:val="00124764"/>
    <w:rsid w:val="001247C8"/>
    <w:rsid w:val="001248B2"/>
    <w:rsid w:val="0012492E"/>
    <w:rsid w:val="00124982"/>
    <w:rsid w:val="001249A2"/>
    <w:rsid w:val="00124AA5"/>
    <w:rsid w:val="00124AE8"/>
    <w:rsid w:val="00124BC2"/>
    <w:rsid w:val="00124C57"/>
    <w:rsid w:val="00124D1E"/>
    <w:rsid w:val="00124D4B"/>
    <w:rsid w:val="00124E03"/>
    <w:rsid w:val="00124E2C"/>
    <w:rsid w:val="00124E81"/>
    <w:rsid w:val="00124EFB"/>
    <w:rsid w:val="00124F33"/>
    <w:rsid w:val="00124FEF"/>
    <w:rsid w:val="00125097"/>
    <w:rsid w:val="0012513D"/>
    <w:rsid w:val="00125188"/>
    <w:rsid w:val="001251C0"/>
    <w:rsid w:val="001251CC"/>
    <w:rsid w:val="0012524D"/>
    <w:rsid w:val="00125484"/>
    <w:rsid w:val="0012554B"/>
    <w:rsid w:val="00125559"/>
    <w:rsid w:val="0012555B"/>
    <w:rsid w:val="001256FC"/>
    <w:rsid w:val="00125778"/>
    <w:rsid w:val="001257A1"/>
    <w:rsid w:val="0012582D"/>
    <w:rsid w:val="0012592E"/>
    <w:rsid w:val="00125974"/>
    <w:rsid w:val="001259BE"/>
    <w:rsid w:val="001259CC"/>
    <w:rsid w:val="001259F0"/>
    <w:rsid w:val="00125A41"/>
    <w:rsid w:val="00125A78"/>
    <w:rsid w:val="00125B35"/>
    <w:rsid w:val="00125C0B"/>
    <w:rsid w:val="00125C40"/>
    <w:rsid w:val="00125C46"/>
    <w:rsid w:val="00125CBD"/>
    <w:rsid w:val="00125CDA"/>
    <w:rsid w:val="00125D3D"/>
    <w:rsid w:val="00125D6D"/>
    <w:rsid w:val="00125D96"/>
    <w:rsid w:val="00125DA0"/>
    <w:rsid w:val="00125EA4"/>
    <w:rsid w:val="00125F06"/>
    <w:rsid w:val="00125F3A"/>
    <w:rsid w:val="00125F79"/>
    <w:rsid w:val="001260A7"/>
    <w:rsid w:val="00126264"/>
    <w:rsid w:val="0012637C"/>
    <w:rsid w:val="001264CD"/>
    <w:rsid w:val="0012651D"/>
    <w:rsid w:val="0012654B"/>
    <w:rsid w:val="001265DD"/>
    <w:rsid w:val="001265F8"/>
    <w:rsid w:val="00126610"/>
    <w:rsid w:val="00126661"/>
    <w:rsid w:val="0012666E"/>
    <w:rsid w:val="00126800"/>
    <w:rsid w:val="00126816"/>
    <w:rsid w:val="00126939"/>
    <w:rsid w:val="001269CC"/>
    <w:rsid w:val="001269F2"/>
    <w:rsid w:val="00126A3B"/>
    <w:rsid w:val="00126A3F"/>
    <w:rsid w:val="00126A58"/>
    <w:rsid w:val="00126A5C"/>
    <w:rsid w:val="00126AB5"/>
    <w:rsid w:val="00126B63"/>
    <w:rsid w:val="00126B81"/>
    <w:rsid w:val="00126BCF"/>
    <w:rsid w:val="00126BE9"/>
    <w:rsid w:val="00126C1A"/>
    <w:rsid w:val="00126ED2"/>
    <w:rsid w:val="00126EEB"/>
    <w:rsid w:val="00126F39"/>
    <w:rsid w:val="00127133"/>
    <w:rsid w:val="00127136"/>
    <w:rsid w:val="00127138"/>
    <w:rsid w:val="00127139"/>
    <w:rsid w:val="00127147"/>
    <w:rsid w:val="0012716B"/>
    <w:rsid w:val="001271A1"/>
    <w:rsid w:val="00127278"/>
    <w:rsid w:val="001272FC"/>
    <w:rsid w:val="00127318"/>
    <w:rsid w:val="00127319"/>
    <w:rsid w:val="0012731A"/>
    <w:rsid w:val="001273AD"/>
    <w:rsid w:val="001273CA"/>
    <w:rsid w:val="001273E3"/>
    <w:rsid w:val="001273E9"/>
    <w:rsid w:val="00127425"/>
    <w:rsid w:val="00127473"/>
    <w:rsid w:val="00127480"/>
    <w:rsid w:val="001274DF"/>
    <w:rsid w:val="0012752B"/>
    <w:rsid w:val="00127562"/>
    <w:rsid w:val="00127572"/>
    <w:rsid w:val="00127717"/>
    <w:rsid w:val="0012773A"/>
    <w:rsid w:val="00127740"/>
    <w:rsid w:val="001277BD"/>
    <w:rsid w:val="001277C0"/>
    <w:rsid w:val="00127A26"/>
    <w:rsid w:val="00127AF8"/>
    <w:rsid w:val="00127BCE"/>
    <w:rsid w:val="00127DC0"/>
    <w:rsid w:val="00127DE8"/>
    <w:rsid w:val="00127DEF"/>
    <w:rsid w:val="00127E76"/>
    <w:rsid w:val="00127F05"/>
    <w:rsid w:val="00127F81"/>
    <w:rsid w:val="0013013C"/>
    <w:rsid w:val="00130183"/>
    <w:rsid w:val="0013019E"/>
    <w:rsid w:val="0013028C"/>
    <w:rsid w:val="001302E1"/>
    <w:rsid w:val="00130336"/>
    <w:rsid w:val="00130391"/>
    <w:rsid w:val="0013039C"/>
    <w:rsid w:val="001303F8"/>
    <w:rsid w:val="0013046D"/>
    <w:rsid w:val="001304A7"/>
    <w:rsid w:val="0013050C"/>
    <w:rsid w:val="001305A7"/>
    <w:rsid w:val="00130663"/>
    <w:rsid w:val="00130677"/>
    <w:rsid w:val="00130692"/>
    <w:rsid w:val="001306FA"/>
    <w:rsid w:val="00130705"/>
    <w:rsid w:val="00130808"/>
    <w:rsid w:val="00130928"/>
    <w:rsid w:val="00130A47"/>
    <w:rsid w:val="00130A4B"/>
    <w:rsid w:val="00130AA4"/>
    <w:rsid w:val="00130AB0"/>
    <w:rsid w:val="00130ADA"/>
    <w:rsid w:val="00130B35"/>
    <w:rsid w:val="00130B55"/>
    <w:rsid w:val="00130C39"/>
    <w:rsid w:val="00130C3E"/>
    <w:rsid w:val="00130C87"/>
    <w:rsid w:val="00130CC8"/>
    <w:rsid w:val="00130CFE"/>
    <w:rsid w:val="00130D25"/>
    <w:rsid w:val="00130D65"/>
    <w:rsid w:val="00130DC1"/>
    <w:rsid w:val="00130EB6"/>
    <w:rsid w:val="00130F57"/>
    <w:rsid w:val="00131075"/>
    <w:rsid w:val="001310BC"/>
    <w:rsid w:val="00131184"/>
    <w:rsid w:val="00131213"/>
    <w:rsid w:val="001312DA"/>
    <w:rsid w:val="001312DF"/>
    <w:rsid w:val="00131307"/>
    <w:rsid w:val="001313DC"/>
    <w:rsid w:val="00131462"/>
    <w:rsid w:val="00131484"/>
    <w:rsid w:val="001314A0"/>
    <w:rsid w:val="0013154B"/>
    <w:rsid w:val="0013155F"/>
    <w:rsid w:val="00131571"/>
    <w:rsid w:val="001315A8"/>
    <w:rsid w:val="001315CE"/>
    <w:rsid w:val="001315E2"/>
    <w:rsid w:val="001315FA"/>
    <w:rsid w:val="0013163E"/>
    <w:rsid w:val="0013167D"/>
    <w:rsid w:val="001316E7"/>
    <w:rsid w:val="00131727"/>
    <w:rsid w:val="00131728"/>
    <w:rsid w:val="0013173D"/>
    <w:rsid w:val="001317D7"/>
    <w:rsid w:val="001317EC"/>
    <w:rsid w:val="00131835"/>
    <w:rsid w:val="00131854"/>
    <w:rsid w:val="00131988"/>
    <w:rsid w:val="00131A91"/>
    <w:rsid w:val="00131AC4"/>
    <w:rsid w:val="00131AD9"/>
    <w:rsid w:val="00131ADA"/>
    <w:rsid w:val="00131B5B"/>
    <w:rsid w:val="00131B60"/>
    <w:rsid w:val="00131CA9"/>
    <w:rsid w:val="00131D94"/>
    <w:rsid w:val="00131D9A"/>
    <w:rsid w:val="00131DA1"/>
    <w:rsid w:val="00131DF4"/>
    <w:rsid w:val="00131E88"/>
    <w:rsid w:val="00131EC2"/>
    <w:rsid w:val="00131EF2"/>
    <w:rsid w:val="00131F43"/>
    <w:rsid w:val="00131F74"/>
    <w:rsid w:val="00132145"/>
    <w:rsid w:val="00132150"/>
    <w:rsid w:val="00132329"/>
    <w:rsid w:val="00132365"/>
    <w:rsid w:val="001323EE"/>
    <w:rsid w:val="001325E5"/>
    <w:rsid w:val="00132742"/>
    <w:rsid w:val="00132967"/>
    <w:rsid w:val="00132A5E"/>
    <w:rsid w:val="00132A70"/>
    <w:rsid w:val="00132A71"/>
    <w:rsid w:val="00132AD2"/>
    <w:rsid w:val="00132BA2"/>
    <w:rsid w:val="00132C15"/>
    <w:rsid w:val="00132C20"/>
    <w:rsid w:val="00132C52"/>
    <w:rsid w:val="00132C94"/>
    <w:rsid w:val="00132CE7"/>
    <w:rsid w:val="00132D10"/>
    <w:rsid w:val="00132D16"/>
    <w:rsid w:val="00132D7D"/>
    <w:rsid w:val="00132DF2"/>
    <w:rsid w:val="00132E21"/>
    <w:rsid w:val="00132EC3"/>
    <w:rsid w:val="00132ECB"/>
    <w:rsid w:val="00132F7E"/>
    <w:rsid w:val="00132FBA"/>
    <w:rsid w:val="0013300F"/>
    <w:rsid w:val="00133093"/>
    <w:rsid w:val="001330C0"/>
    <w:rsid w:val="00133191"/>
    <w:rsid w:val="00133213"/>
    <w:rsid w:val="00133323"/>
    <w:rsid w:val="0013332D"/>
    <w:rsid w:val="00133398"/>
    <w:rsid w:val="001333B2"/>
    <w:rsid w:val="001333C7"/>
    <w:rsid w:val="001333C9"/>
    <w:rsid w:val="001333DE"/>
    <w:rsid w:val="0013340E"/>
    <w:rsid w:val="0013349A"/>
    <w:rsid w:val="001334D2"/>
    <w:rsid w:val="001336EF"/>
    <w:rsid w:val="00133717"/>
    <w:rsid w:val="00133743"/>
    <w:rsid w:val="001337A0"/>
    <w:rsid w:val="00133840"/>
    <w:rsid w:val="0013385F"/>
    <w:rsid w:val="00133873"/>
    <w:rsid w:val="001338A7"/>
    <w:rsid w:val="0013398A"/>
    <w:rsid w:val="00133990"/>
    <w:rsid w:val="001339EE"/>
    <w:rsid w:val="00133A2F"/>
    <w:rsid w:val="00133A34"/>
    <w:rsid w:val="00133C96"/>
    <w:rsid w:val="00133CD9"/>
    <w:rsid w:val="00133D22"/>
    <w:rsid w:val="00133D5C"/>
    <w:rsid w:val="00133DFD"/>
    <w:rsid w:val="00133EB9"/>
    <w:rsid w:val="00133F00"/>
    <w:rsid w:val="00133F22"/>
    <w:rsid w:val="00133F6C"/>
    <w:rsid w:val="00134050"/>
    <w:rsid w:val="0013410C"/>
    <w:rsid w:val="00134118"/>
    <w:rsid w:val="00134180"/>
    <w:rsid w:val="001341E6"/>
    <w:rsid w:val="0013429E"/>
    <w:rsid w:val="001342F1"/>
    <w:rsid w:val="0013430B"/>
    <w:rsid w:val="00134312"/>
    <w:rsid w:val="00134318"/>
    <w:rsid w:val="001343B6"/>
    <w:rsid w:val="00134448"/>
    <w:rsid w:val="00134483"/>
    <w:rsid w:val="001344AF"/>
    <w:rsid w:val="001344DF"/>
    <w:rsid w:val="00134555"/>
    <w:rsid w:val="001345F2"/>
    <w:rsid w:val="00134718"/>
    <w:rsid w:val="0013475D"/>
    <w:rsid w:val="0013493D"/>
    <w:rsid w:val="00134A5E"/>
    <w:rsid w:val="00134AED"/>
    <w:rsid w:val="00134B2F"/>
    <w:rsid w:val="00134B78"/>
    <w:rsid w:val="00134B7E"/>
    <w:rsid w:val="00134B99"/>
    <w:rsid w:val="00134C13"/>
    <w:rsid w:val="00134C38"/>
    <w:rsid w:val="00134C74"/>
    <w:rsid w:val="00134CCC"/>
    <w:rsid w:val="00134CE1"/>
    <w:rsid w:val="00134D65"/>
    <w:rsid w:val="00134E31"/>
    <w:rsid w:val="00134E8F"/>
    <w:rsid w:val="00134ECE"/>
    <w:rsid w:val="00134EF6"/>
    <w:rsid w:val="00134FFA"/>
    <w:rsid w:val="0013500B"/>
    <w:rsid w:val="00135047"/>
    <w:rsid w:val="00135126"/>
    <w:rsid w:val="0013518F"/>
    <w:rsid w:val="00135273"/>
    <w:rsid w:val="0013529B"/>
    <w:rsid w:val="001352B7"/>
    <w:rsid w:val="001352F9"/>
    <w:rsid w:val="001352FA"/>
    <w:rsid w:val="0013534E"/>
    <w:rsid w:val="0013539D"/>
    <w:rsid w:val="00135438"/>
    <w:rsid w:val="0013547F"/>
    <w:rsid w:val="0013549F"/>
    <w:rsid w:val="001354B8"/>
    <w:rsid w:val="001354ED"/>
    <w:rsid w:val="00135634"/>
    <w:rsid w:val="001356ED"/>
    <w:rsid w:val="001357C7"/>
    <w:rsid w:val="001357EF"/>
    <w:rsid w:val="0013580D"/>
    <w:rsid w:val="0013589C"/>
    <w:rsid w:val="001358A8"/>
    <w:rsid w:val="00135901"/>
    <w:rsid w:val="001359AB"/>
    <w:rsid w:val="00135A2F"/>
    <w:rsid w:val="00135A7C"/>
    <w:rsid w:val="00135AD3"/>
    <w:rsid w:val="00135C4B"/>
    <w:rsid w:val="00135C7A"/>
    <w:rsid w:val="00135C95"/>
    <w:rsid w:val="00135CB0"/>
    <w:rsid w:val="00135E46"/>
    <w:rsid w:val="00135E5A"/>
    <w:rsid w:val="00135EA9"/>
    <w:rsid w:val="00135ECF"/>
    <w:rsid w:val="00135EF5"/>
    <w:rsid w:val="00136080"/>
    <w:rsid w:val="00136117"/>
    <w:rsid w:val="00136192"/>
    <w:rsid w:val="0013625B"/>
    <w:rsid w:val="001363A2"/>
    <w:rsid w:val="001363E5"/>
    <w:rsid w:val="00136436"/>
    <w:rsid w:val="00136528"/>
    <w:rsid w:val="001365F8"/>
    <w:rsid w:val="00136742"/>
    <w:rsid w:val="001367A5"/>
    <w:rsid w:val="001368DA"/>
    <w:rsid w:val="001368E3"/>
    <w:rsid w:val="001368EC"/>
    <w:rsid w:val="00136947"/>
    <w:rsid w:val="0013697B"/>
    <w:rsid w:val="001369D0"/>
    <w:rsid w:val="001369DC"/>
    <w:rsid w:val="00136A15"/>
    <w:rsid w:val="00136AE1"/>
    <w:rsid w:val="00136C17"/>
    <w:rsid w:val="00136C6C"/>
    <w:rsid w:val="00136D74"/>
    <w:rsid w:val="00136DEB"/>
    <w:rsid w:val="00136F05"/>
    <w:rsid w:val="00136F07"/>
    <w:rsid w:val="00136F1E"/>
    <w:rsid w:val="00136F9A"/>
    <w:rsid w:val="00137016"/>
    <w:rsid w:val="00137042"/>
    <w:rsid w:val="001370CD"/>
    <w:rsid w:val="00137280"/>
    <w:rsid w:val="0013738A"/>
    <w:rsid w:val="0013739C"/>
    <w:rsid w:val="001374C1"/>
    <w:rsid w:val="001374D8"/>
    <w:rsid w:val="0013752A"/>
    <w:rsid w:val="00137557"/>
    <w:rsid w:val="00137572"/>
    <w:rsid w:val="00137604"/>
    <w:rsid w:val="00137652"/>
    <w:rsid w:val="00137676"/>
    <w:rsid w:val="001376E3"/>
    <w:rsid w:val="00137777"/>
    <w:rsid w:val="001377E1"/>
    <w:rsid w:val="00137977"/>
    <w:rsid w:val="001379DC"/>
    <w:rsid w:val="00137A2C"/>
    <w:rsid w:val="00137BA6"/>
    <w:rsid w:val="00137BBB"/>
    <w:rsid w:val="00137C46"/>
    <w:rsid w:val="00137C4E"/>
    <w:rsid w:val="00137CAD"/>
    <w:rsid w:val="00137D1F"/>
    <w:rsid w:val="00137D9B"/>
    <w:rsid w:val="00137DCD"/>
    <w:rsid w:val="00137E57"/>
    <w:rsid w:val="00140000"/>
    <w:rsid w:val="00140116"/>
    <w:rsid w:val="00140127"/>
    <w:rsid w:val="00140174"/>
    <w:rsid w:val="001401B9"/>
    <w:rsid w:val="0014023B"/>
    <w:rsid w:val="001402C6"/>
    <w:rsid w:val="00140403"/>
    <w:rsid w:val="001405AC"/>
    <w:rsid w:val="0014064A"/>
    <w:rsid w:val="00140651"/>
    <w:rsid w:val="00140722"/>
    <w:rsid w:val="00140770"/>
    <w:rsid w:val="001409FB"/>
    <w:rsid w:val="00140A51"/>
    <w:rsid w:val="00140B84"/>
    <w:rsid w:val="00140B87"/>
    <w:rsid w:val="00140B9A"/>
    <w:rsid w:val="00140BBE"/>
    <w:rsid w:val="00140BDE"/>
    <w:rsid w:val="00140BE7"/>
    <w:rsid w:val="00140CBA"/>
    <w:rsid w:val="00140D49"/>
    <w:rsid w:val="00140D61"/>
    <w:rsid w:val="00140D67"/>
    <w:rsid w:val="00140E18"/>
    <w:rsid w:val="00140E30"/>
    <w:rsid w:val="00140E61"/>
    <w:rsid w:val="0014100C"/>
    <w:rsid w:val="00141135"/>
    <w:rsid w:val="0014114B"/>
    <w:rsid w:val="00141161"/>
    <w:rsid w:val="001411B9"/>
    <w:rsid w:val="00141264"/>
    <w:rsid w:val="00141275"/>
    <w:rsid w:val="0014127F"/>
    <w:rsid w:val="0014139E"/>
    <w:rsid w:val="001413CB"/>
    <w:rsid w:val="001414B7"/>
    <w:rsid w:val="001414FA"/>
    <w:rsid w:val="001415B0"/>
    <w:rsid w:val="00141609"/>
    <w:rsid w:val="0014160B"/>
    <w:rsid w:val="0014173C"/>
    <w:rsid w:val="00141781"/>
    <w:rsid w:val="001417C6"/>
    <w:rsid w:val="00141805"/>
    <w:rsid w:val="00141860"/>
    <w:rsid w:val="001419C9"/>
    <w:rsid w:val="00141A3A"/>
    <w:rsid w:val="00141A40"/>
    <w:rsid w:val="00141B22"/>
    <w:rsid w:val="00141B78"/>
    <w:rsid w:val="00141BB1"/>
    <w:rsid w:val="00141C01"/>
    <w:rsid w:val="00141C6D"/>
    <w:rsid w:val="00141CEC"/>
    <w:rsid w:val="00141D76"/>
    <w:rsid w:val="00141EB8"/>
    <w:rsid w:val="00141EE2"/>
    <w:rsid w:val="00141F06"/>
    <w:rsid w:val="00141F66"/>
    <w:rsid w:val="00141F67"/>
    <w:rsid w:val="0014200D"/>
    <w:rsid w:val="001420C5"/>
    <w:rsid w:val="001420FE"/>
    <w:rsid w:val="00142185"/>
    <w:rsid w:val="001421C0"/>
    <w:rsid w:val="001421C6"/>
    <w:rsid w:val="0014225A"/>
    <w:rsid w:val="00142294"/>
    <w:rsid w:val="0014240D"/>
    <w:rsid w:val="00142470"/>
    <w:rsid w:val="001424BE"/>
    <w:rsid w:val="001424E7"/>
    <w:rsid w:val="00142516"/>
    <w:rsid w:val="00142581"/>
    <w:rsid w:val="00142582"/>
    <w:rsid w:val="001425BA"/>
    <w:rsid w:val="00142620"/>
    <w:rsid w:val="00142628"/>
    <w:rsid w:val="0014263A"/>
    <w:rsid w:val="00142680"/>
    <w:rsid w:val="0014273B"/>
    <w:rsid w:val="001427F9"/>
    <w:rsid w:val="00142842"/>
    <w:rsid w:val="00142868"/>
    <w:rsid w:val="001428D2"/>
    <w:rsid w:val="001428F0"/>
    <w:rsid w:val="001428FF"/>
    <w:rsid w:val="00142933"/>
    <w:rsid w:val="001429F4"/>
    <w:rsid w:val="001429F6"/>
    <w:rsid w:val="00142B17"/>
    <w:rsid w:val="00142B51"/>
    <w:rsid w:val="00142B60"/>
    <w:rsid w:val="00142C5C"/>
    <w:rsid w:val="00142CA7"/>
    <w:rsid w:val="00142CE6"/>
    <w:rsid w:val="00142D23"/>
    <w:rsid w:val="00142D24"/>
    <w:rsid w:val="00142D8B"/>
    <w:rsid w:val="00142D99"/>
    <w:rsid w:val="00142DB7"/>
    <w:rsid w:val="00142E93"/>
    <w:rsid w:val="00142EAC"/>
    <w:rsid w:val="00142EB8"/>
    <w:rsid w:val="00142F0D"/>
    <w:rsid w:val="00142F7D"/>
    <w:rsid w:val="00142F8A"/>
    <w:rsid w:val="00142FF0"/>
    <w:rsid w:val="0014301A"/>
    <w:rsid w:val="001430A4"/>
    <w:rsid w:val="00143101"/>
    <w:rsid w:val="001431CE"/>
    <w:rsid w:val="001431F7"/>
    <w:rsid w:val="00143247"/>
    <w:rsid w:val="00143291"/>
    <w:rsid w:val="001432F8"/>
    <w:rsid w:val="001434EC"/>
    <w:rsid w:val="001434F5"/>
    <w:rsid w:val="00143554"/>
    <w:rsid w:val="00143595"/>
    <w:rsid w:val="00143613"/>
    <w:rsid w:val="00143752"/>
    <w:rsid w:val="0014375A"/>
    <w:rsid w:val="00143790"/>
    <w:rsid w:val="001437C3"/>
    <w:rsid w:val="0014383D"/>
    <w:rsid w:val="00143843"/>
    <w:rsid w:val="0014394D"/>
    <w:rsid w:val="0014396A"/>
    <w:rsid w:val="00143A4A"/>
    <w:rsid w:val="00143BB3"/>
    <w:rsid w:val="00143BD1"/>
    <w:rsid w:val="00143C12"/>
    <w:rsid w:val="00143C60"/>
    <w:rsid w:val="00143D08"/>
    <w:rsid w:val="00143D51"/>
    <w:rsid w:val="00143D7E"/>
    <w:rsid w:val="00143DD0"/>
    <w:rsid w:val="00143DEA"/>
    <w:rsid w:val="00143DF8"/>
    <w:rsid w:val="00143E29"/>
    <w:rsid w:val="00143E56"/>
    <w:rsid w:val="00143E6E"/>
    <w:rsid w:val="00143EF9"/>
    <w:rsid w:val="00143F2C"/>
    <w:rsid w:val="00143FF1"/>
    <w:rsid w:val="00144148"/>
    <w:rsid w:val="00144166"/>
    <w:rsid w:val="00144226"/>
    <w:rsid w:val="00144304"/>
    <w:rsid w:val="0014432D"/>
    <w:rsid w:val="0014449E"/>
    <w:rsid w:val="001444F5"/>
    <w:rsid w:val="00144596"/>
    <w:rsid w:val="0014469D"/>
    <w:rsid w:val="0014470A"/>
    <w:rsid w:val="0014472C"/>
    <w:rsid w:val="001447F5"/>
    <w:rsid w:val="0014490C"/>
    <w:rsid w:val="001449B6"/>
    <w:rsid w:val="001449B9"/>
    <w:rsid w:val="00144A59"/>
    <w:rsid w:val="00144AEB"/>
    <w:rsid w:val="00144AF6"/>
    <w:rsid w:val="00144B4B"/>
    <w:rsid w:val="00144B65"/>
    <w:rsid w:val="00144D3C"/>
    <w:rsid w:val="00144D6D"/>
    <w:rsid w:val="00144DA0"/>
    <w:rsid w:val="00144E08"/>
    <w:rsid w:val="00144EF1"/>
    <w:rsid w:val="001450D7"/>
    <w:rsid w:val="001451B9"/>
    <w:rsid w:val="00145233"/>
    <w:rsid w:val="00145250"/>
    <w:rsid w:val="001452BA"/>
    <w:rsid w:val="00145336"/>
    <w:rsid w:val="00145392"/>
    <w:rsid w:val="001453AB"/>
    <w:rsid w:val="00145412"/>
    <w:rsid w:val="0014545B"/>
    <w:rsid w:val="001454E4"/>
    <w:rsid w:val="0014550B"/>
    <w:rsid w:val="001455EA"/>
    <w:rsid w:val="00145720"/>
    <w:rsid w:val="0014579E"/>
    <w:rsid w:val="001457CF"/>
    <w:rsid w:val="001458DF"/>
    <w:rsid w:val="001458F0"/>
    <w:rsid w:val="00145909"/>
    <w:rsid w:val="0014597E"/>
    <w:rsid w:val="001459D3"/>
    <w:rsid w:val="00145A13"/>
    <w:rsid w:val="00145A1A"/>
    <w:rsid w:val="00145A36"/>
    <w:rsid w:val="00145A82"/>
    <w:rsid w:val="00145A8C"/>
    <w:rsid w:val="00145B03"/>
    <w:rsid w:val="00145B92"/>
    <w:rsid w:val="00145BA1"/>
    <w:rsid w:val="00145DCC"/>
    <w:rsid w:val="00145F22"/>
    <w:rsid w:val="00146057"/>
    <w:rsid w:val="00146075"/>
    <w:rsid w:val="00146160"/>
    <w:rsid w:val="00146183"/>
    <w:rsid w:val="0014618E"/>
    <w:rsid w:val="001462C0"/>
    <w:rsid w:val="0014632E"/>
    <w:rsid w:val="00146376"/>
    <w:rsid w:val="001463E5"/>
    <w:rsid w:val="00146417"/>
    <w:rsid w:val="00146462"/>
    <w:rsid w:val="00146539"/>
    <w:rsid w:val="00146550"/>
    <w:rsid w:val="001465A4"/>
    <w:rsid w:val="001465AD"/>
    <w:rsid w:val="001468B3"/>
    <w:rsid w:val="001468F6"/>
    <w:rsid w:val="0014694F"/>
    <w:rsid w:val="001469E3"/>
    <w:rsid w:val="00146A26"/>
    <w:rsid w:val="00146AE6"/>
    <w:rsid w:val="00146B0C"/>
    <w:rsid w:val="00146B42"/>
    <w:rsid w:val="00146B58"/>
    <w:rsid w:val="00146B71"/>
    <w:rsid w:val="00146BDC"/>
    <w:rsid w:val="00146BF0"/>
    <w:rsid w:val="00146C3D"/>
    <w:rsid w:val="00146D37"/>
    <w:rsid w:val="0014700F"/>
    <w:rsid w:val="001470B9"/>
    <w:rsid w:val="001470D8"/>
    <w:rsid w:val="00147192"/>
    <w:rsid w:val="00147281"/>
    <w:rsid w:val="00147289"/>
    <w:rsid w:val="001472B2"/>
    <w:rsid w:val="001472C7"/>
    <w:rsid w:val="0014735A"/>
    <w:rsid w:val="00147387"/>
    <w:rsid w:val="00147394"/>
    <w:rsid w:val="001473CF"/>
    <w:rsid w:val="00147483"/>
    <w:rsid w:val="001474E6"/>
    <w:rsid w:val="001474E7"/>
    <w:rsid w:val="001474EC"/>
    <w:rsid w:val="001474EF"/>
    <w:rsid w:val="001476C1"/>
    <w:rsid w:val="001477A0"/>
    <w:rsid w:val="001477B9"/>
    <w:rsid w:val="00147826"/>
    <w:rsid w:val="001478B1"/>
    <w:rsid w:val="001478C1"/>
    <w:rsid w:val="001479FD"/>
    <w:rsid w:val="00147A3F"/>
    <w:rsid w:val="00147AF7"/>
    <w:rsid w:val="00147C45"/>
    <w:rsid w:val="00147C56"/>
    <w:rsid w:val="00147CEA"/>
    <w:rsid w:val="00147D6A"/>
    <w:rsid w:val="00147EB7"/>
    <w:rsid w:val="00147F6A"/>
    <w:rsid w:val="00147FFE"/>
    <w:rsid w:val="0015010E"/>
    <w:rsid w:val="00150120"/>
    <w:rsid w:val="001502DE"/>
    <w:rsid w:val="00150302"/>
    <w:rsid w:val="00150309"/>
    <w:rsid w:val="00150338"/>
    <w:rsid w:val="00150351"/>
    <w:rsid w:val="0015035B"/>
    <w:rsid w:val="0015037E"/>
    <w:rsid w:val="0015038E"/>
    <w:rsid w:val="001503E0"/>
    <w:rsid w:val="0015041E"/>
    <w:rsid w:val="001504D5"/>
    <w:rsid w:val="001504D8"/>
    <w:rsid w:val="00150528"/>
    <w:rsid w:val="001505BA"/>
    <w:rsid w:val="00150601"/>
    <w:rsid w:val="001506F9"/>
    <w:rsid w:val="00150708"/>
    <w:rsid w:val="0015075B"/>
    <w:rsid w:val="0015079B"/>
    <w:rsid w:val="00150823"/>
    <w:rsid w:val="0015089E"/>
    <w:rsid w:val="001509A0"/>
    <w:rsid w:val="001509F3"/>
    <w:rsid w:val="00150AD9"/>
    <w:rsid w:val="00150BBA"/>
    <w:rsid w:val="00150CA0"/>
    <w:rsid w:val="00150CD4"/>
    <w:rsid w:val="00150D3E"/>
    <w:rsid w:val="00150D40"/>
    <w:rsid w:val="00150D72"/>
    <w:rsid w:val="00150F0C"/>
    <w:rsid w:val="00150F10"/>
    <w:rsid w:val="00150F4B"/>
    <w:rsid w:val="00150F7B"/>
    <w:rsid w:val="00150F8A"/>
    <w:rsid w:val="00150FF7"/>
    <w:rsid w:val="00151071"/>
    <w:rsid w:val="001510C3"/>
    <w:rsid w:val="0015126B"/>
    <w:rsid w:val="001512F7"/>
    <w:rsid w:val="001513A7"/>
    <w:rsid w:val="001513F3"/>
    <w:rsid w:val="00151458"/>
    <w:rsid w:val="001514A8"/>
    <w:rsid w:val="001514B9"/>
    <w:rsid w:val="0015151E"/>
    <w:rsid w:val="001515BB"/>
    <w:rsid w:val="001515C1"/>
    <w:rsid w:val="00151600"/>
    <w:rsid w:val="001516C0"/>
    <w:rsid w:val="001517D7"/>
    <w:rsid w:val="001517FF"/>
    <w:rsid w:val="00151819"/>
    <w:rsid w:val="00151842"/>
    <w:rsid w:val="00151843"/>
    <w:rsid w:val="001518A8"/>
    <w:rsid w:val="001519D1"/>
    <w:rsid w:val="00151A91"/>
    <w:rsid w:val="00151A9D"/>
    <w:rsid w:val="00151AC6"/>
    <w:rsid w:val="00151ACB"/>
    <w:rsid w:val="00151ADD"/>
    <w:rsid w:val="00151D08"/>
    <w:rsid w:val="00151FE1"/>
    <w:rsid w:val="00152075"/>
    <w:rsid w:val="001520B6"/>
    <w:rsid w:val="001520C7"/>
    <w:rsid w:val="001520F4"/>
    <w:rsid w:val="001521E7"/>
    <w:rsid w:val="00152210"/>
    <w:rsid w:val="00152227"/>
    <w:rsid w:val="00152248"/>
    <w:rsid w:val="00152275"/>
    <w:rsid w:val="001522A0"/>
    <w:rsid w:val="001522BE"/>
    <w:rsid w:val="0015230B"/>
    <w:rsid w:val="0015231E"/>
    <w:rsid w:val="0015235D"/>
    <w:rsid w:val="00152370"/>
    <w:rsid w:val="0015239F"/>
    <w:rsid w:val="001523E5"/>
    <w:rsid w:val="00152422"/>
    <w:rsid w:val="001526CF"/>
    <w:rsid w:val="0015276E"/>
    <w:rsid w:val="0015278E"/>
    <w:rsid w:val="00152792"/>
    <w:rsid w:val="001527EE"/>
    <w:rsid w:val="00152854"/>
    <w:rsid w:val="0015287D"/>
    <w:rsid w:val="0015288F"/>
    <w:rsid w:val="00152893"/>
    <w:rsid w:val="0015291E"/>
    <w:rsid w:val="00152937"/>
    <w:rsid w:val="001529FE"/>
    <w:rsid w:val="00152A40"/>
    <w:rsid w:val="00152B1B"/>
    <w:rsid w:val="00152C3E"/>
    <w:rsid w:val="00152C5D"/>
    <w:rsid w:val="00152CCC"/>
    <w:rsid w:val="00152D49"/>
    <w:rsid w:val="00152DCB"/>
    <w:rsid w:val="00152E05"/>
    <w:rsid w:val="00152E18"/>
    <w:rsid w:val="00152E21"/>
    <w:rsid w:val="00152E2F"/>
    <w:rsid w:val="00152E65"/>
    <w:rsid w:val="00152EBB"/>
    <w:rsid w:val="00152ED8"/>
    <w:rsid w:val="00152F28"/>
    <w:rsid w:val="00152F37"/>
    <w:rsid w:val="00152F74"/>
    <w:rsid w:val="00153027"/>
    <w:rsid w:val="00153051"/>
    <w:rsid w:val="00153078"/>
    <w:rsid w:val="001530BD"/>
    <w:rsid w:val="001530CB"/>
    <w:rsid w:val="0015327F"/>
    <w:rsid w:val="00153322"/>
    <w:rsid w:val="0015333C"/>
    <w:rsid w:val="0015336D"/>
    <w:rsid w:val="00153371"/>
    <w:rsid w:val="0015337E"/>
    <w:rsid w:val="00153386"/>
    <w:rsid w:val="00153411"/>
    <w:rsid w:val="00153491"/>
    <w:rsid w:val="00153516"/>
    <w:rsid w:val="00153582"/>
    <w:rsid w:val="0015358B"/>
    <w:rsid w:val="001535B2"/>
    <w:rsid w:val="001535B4"/>
    <w:rsid w:val="00153677"/>
    <w:rsid w:val="001536A8"/>
    <w:rsid w:val="00153739"/>
    <w:rsid w:val="0015378C"/>
    <w:rsid w:val="0015379C"/>
    <w:rsid w:val="0015388C"/>
    <w:rsid w:val="001538A9"/>
    <w:rsid w:val="0015396D"/>
    <w:rsid w:val="00153A98"/>
    <w:rsid w:val="00153AD4"/>
    <w:rsid w:val="00153AE2"/>
    <w:rsid w:val="00153BE3"/>
    <w:rsid w:val="00153CCE"/>
    <w:rsid w:val="00153D50"/>
    <w:rsid w:val="00153DC0"/>
    <w:rsid w:val="00153EB1"/>
    <w:rsid w:val="00153EF8"/>
    <w:rsid w:val="00153FFD"/>
    <w:rsid w:val="00154178"/>
    <w:rsid w:val="0015421B"/>
    <w:rsid w:val="0015432C"/>
    <w:rsid w:val="00154381"/>
    <w:rsid w:val="001543D4"/>
    <w:rsid w:val="00154423"/>
    <w:rsid w:val="00154462"/>
    <w:rsid w:val="00154464"/>
    <w:rsid w:val="00154484"/>
    <w:rsid w:val="001544D1"/>
    <w:rsid w:val="0015450E"/>
    <w:rsid w:val="00154536"/>
    <w:rsid w:val="0015462F"/>
    <w:rsid w:val="001546C5"/>
    <w:rsid w:val="001546E4"/>
    <w:rsid w:val="0015477C"/>
    <w:rsid w:val="001547D0"/>
    <w:rsid w:val="001547F2"/>
    <w:rsid w:val="0015481F"/>
    <w:rsid w:val="001548CA"/>
    <w:rsid w:val="001548D7"/>
    <w:rsid w:val="0015495B"/>
    <w:rsid w:val="00154A1B"/>
    <w:rsid w:val="00154A9F"/>
    <w:rsid w:val="00154AC6"/>
    <w:rsid w:val="00154AEA"/>
    <w:rsid w:val="00154B49"/>
    <w:rsid w:val="00154BEA"/>
    <w:rsid w:val="00154C8C"/>
    <w:rsid w:val="00154DD8"/>
    <w:rsid w:val="00154DFB"/>
    <w:rsid w:val="00154E35"/>
    <w:rsid w:val="00154E47"/>
    <w:rsid w:val="00154F3B"/>
    <w:rsid w:val="00154FD3"/>
    <w:rsid w:val="00155005"/>
    <w:rsid w:val="0015509E"/>
    <w:rsid w:val="0015515C"/>
    <w:rsid w:val="00155185"/>
    <w:rsid w:val="0015519F"/>
    <w:rsid w:val="00155255"/>
    <w:rsid w:val="001552C8"/>
    <w:rsid w:val="00155306"/>
    <w:rsid w:val="00155316"/>
    <w:rsid w:val="001553D9"/>
    <w:rsid w:val="00155634"/>
    <w:rsid w:val="00155657"/>
    <w:rsid w:val="0015567A"/>
    <w:rsid w:val="00155706"/>
    <w:rsid w:val="00155784"/>
    <w:rsid w:val="001557C3"/>
    <w:rsid w:val="0015583F"/>
    <w:rsid w:val="001558CC"/>
    <w:rsid w:val="00155982"/>
    <w:rsid w:val="00155990"/>
    <w:rsid w:val="001559E2"/>
    <w:rsid w:val="00155ABB"/>
    <w:rsid w:val="00155B41"/>
    <w:rsid w:val="00155CFC"/>
    <w:rsid w:val="00155CFE"/>
    <w:rsid w:val="00155D0A"/>
    <w:rsid w:val="00155D8F"/>
    <w:rsid w:val="00155E44"/>
    <w:rsid w:val="00155E63"/>
    <w:rsid w:val="00155EB0"/>
    <w:rsid w:val="00155EB4"/>
    <w:rsid w:val="00155EB5"/>
    <w:rsid w:val="00155EBB"/>
    <w:rsid w:val="00155ED9"/>
    <w:rsid w:val="00155EEF"/>
    <w:rsid w:val="00155FF1"/>
    <w:rsid w:val="0015600B"/>
    <w:rsid w:val="00156096"/>
    <w:rsid w:val="001560F7"/>
    <w:rsid w:val="0015618E"/>
    <w:rsid w:val="001561FD"/>
    <w:rsid w:val="00156311"/>
    <w:rsid w:val="0015631D"/>
    <w:rsid w:val="00156386"/>
    <w:rsid w:val="00156412"/>
    <w:rsid w:val="001564ED"/>
    <w:rsid w:val="00156546"/>
    <w:rsid w:val="00156584"/>
    <w:rsid w:val="001565B3"/>
    <w:rsid w:val="001565D6"/>
    <w:rsid w:val="00156607"/>
    <w:rsid w:val="0015662A"/>
    <w:rsid w:val="00156631"/>
    <w:rsid w:val="00156660"/>
    <w:rsid w:val="00156663"/>
    <w:rsid w:val="0015667A"/>
    <w:rsid w:val="001566AF"/>
    <w:rsid w:val="001566DF"/>
    <w:rsid w:val="00156740"/>
    <w:rsid w:val="0015682C"/>
    <w:rsid w:val="00156831"/>
    <w:rsid w:val="0015686D"/>
    <w:rsid w:val="001568E3"/>
    <w:rsid w:val="00156909"/>
    <w:rsid w:val="0015691B"/>
    <w:rsid w:val="00156994"/>
    <w:rsid w:val="001569A5"/>
    <w:rsid w:val="001569F5"/>
    <w:rsid w:val="00156B08"/>
    <w:rsid w:val="00156C0B"/>
    <w:rsid w:val="00156C1F"/>
    <w:rsid w:val="00156CCD"/>
    <w:rsid w:val="00156CD6"/>
    <w:rsid w:val="00156CEA"/>
    <w:rsid w:val="00156D9C"/>
    <w:rsid w:val="00156DB9"/>
    <w:rsid w:val="00156DCF"/>
    <w:rsid w:val="00156DDC"/>
    <w:rsid w:val="00156E3E"/>
    <w:rsid w:val="00156E61"/>
    <w:rsid w:val="00156F1E"/>
    <w:rsid w:val="00156FE3"/>
    <w:rsid w:val="0015703E"/>
    <w:rsid w:val="00157096"/>
    <w:rsid w:val="001570E0"/>
    <w:rsid w:val="0015713A"/>
    <w:rsid w:val="00157171"/>
    <w:rsid w:val="001571DC"/>
    <w:rsid w:val="00157202"/>
    <w:rsid w:val="0015722B"/>
    <w:rsid w:val="001572BF"/>
    <w:rsid w:val="001573D8"/>
    <w:rsid w:val="00157408"/>
    <w:rsid w:val="00157423"/>
    <w:rsid w:val="00157487"/>
    <w:rsid w:val="0015753D"/>
    <w:rsid w:val="001575B0"/>
    <w:rsid w:val="001575B9"/>
    <w:rsid w:val="001575D2"/>
    <w:rsid w:val="001576D9"/>
    <w:rsid w:val="00157721"/>
    <w:rsid w:val="00157788"/>
    <w:rsid w:val="0015779A"/>
    <w:rsid w:val="00157959"/>
    <w:rsid w:val="001579BA"/>
    <w:rsid w:val="00157A91"/>
    <w:rsid w:val="00157A9C"/>
    <w:rsid w:val="00157ADD"/>
    <w:rsid w:val="00157ADF"/>
    <w:rsid w:val="00157C15"/>
    <w:rsid w:val="00157CBC"/>
    <w:rsid w:val="00157CCD"/>
    <w:rsid w:val="00157DCA"/>
    <w:rsid w:val="00157DD2"/>
    <w:rsid w:val="00157E33"/>
    <w:rsid w:val="00157E8D"/>
    <w:rsid w:val="00157E97"/>
    <w:rsid w:val="00157F0F"/>
    <w:rsid w:val="00157F16"/>
    <w:rsid w:val="00157FED"/>
    <w:rsid w:val="00160168"/>
    <w:rsid w:val="00160211"/>
    <w:rsid w:val="001602B5"/>
    <w:rsid w:val="00160360"/>
    <w:rsid w:val="001603CC"/>
    <w:rsid w:val="001603EB"/>
    <w:rsid w:val="001604B9"/>
    <w:rsid w:val="001605E2"/>
    <w:rsid w:val="00160601"/>
    <w:rsid w:val="00160614"/>
    <w:rsid w:val="00160697"/>
    <w:rsid w:val="001606CB"/>
    <w:rsid w:val="0016071F"/>
    <w:rsid w:val="00160730"/>
    <w:rsid w:val="0016079E"/>
    <w:rsid w:val="0016084B"/>
    <w:rsid w:val="00160896"/>
    <w:rsid w:val="0016089C"/>
    <w:rsid w:val="001608D4"/>
    <w:rsid w:val="001608F8"/>
    <w:rsid w:val="00160AFB"/>
    <w:rsid w:val="00160B98"/>
    <w:rsid w:val="00160C53"/>
    <w:rsid w:val="00160C8F"/>
    <w:rsid w:val="00160CA7"/>
    <w:rsid w:val="00160CD4"/>
    <w:rsid w:val="00160CDF"/>
    <w:rsid w:val="00160E97"/>
    <w:rsid w:val="00160EB5"/>
    <w:rsid w:val="00160EFA"/>
    <w:rsid w:val="00160F04"/>
    <w:rsid w:val="00160F2C"/>
    <w:rsid w:val="00160F7A"/>
    <w:rsid w:val="00161067"/>
    <w:rsid w:val="001611A5"/>
    <w:rsid w:val="00161217"/>
    <w:rsid w:val="0016135C"/>
    <w:rsid w:val="00161473"/>
    <w:rsid w:val="001614A0"/>
    <w:rsid w:val="001614A9"/>
    <w:rsid w:val="0016150F"/>
    <w:rsid w:val="001615FE"/>
    <w:rsid w:val="001616A7"/>
    <w:rsid w:val="00161746"/>
    <w:rsid w:val="0016175B"/>
    <w:rsid w:val="0016177E"/>
    <w:rsid w:val="00161782"/>
    <w:rsid w:val="001617A8"/>
    <w:rsid w:val="001617EA"/>
    <w:rsid w:val="00161836"/>
    <w:rsid w:val="001618AA"/>
    <w:rsid w:val="0016192B"/>
    <w:rsid w:val="00161933"/>
    <w:rsid w:val="0016196A"/>
    <w:rsid w:val="0016197C"/>
    <w:rsid w:val="001619A3"/>
    <w:rsid w:val="001619E9"/>
    <w:rsid w:val="00161A99"/>
    <w:rsid w:val="00161AFE"/>
    <w:rsid w:val="00161BC5"/>
    <w:rsid w:val="00161C51"/>
    <w:rsid w:val="00161CCA"/>
    <w:rsid w:val="00161D6C"/>
    <w:rsid w:val="00161DCF"/>
    <w:rsid w:val="00161DDC"/>
    <w:rsid w:val="00161E0D"/>
    <w:rsid w:val="00161E5E"/>
    <w:rsid w:val="00161EB9"/>
    <w:rsid w:val="00161EF4"/>
    <w:rsid w:val="00161F10"/>
    <w:rsid w:val="00161F4C"/>
    <w:rsid w:val="00161F65"/>
    <w:rsid w:val="00161FB1"/>
    <w:rsid w:val="00161FBF"/>
    <w:rsid w:val="00161FDA"/>
    <w:rsid w:val="0016204C"/>
    <w:rsid w:val="0016215C"/>
    <w:rsid w:val="0016218F"/>
    <w:rsid w:val="001621E0"/>
    <w:rsid w:val="001621E4"/>
    <w:rsid w:val="00162287"/>
    <w:rsid w:val="001622C2"/>
    <w:rsid w:val="00162325"/>
    <w:rsid w:val="00162342"/>
    <w:rsid w:val="0016238A"/>
    <w:rsid w:val="001623A4"/>
    <w:rsid w:val="00162456"/>
    <w:rsid w:val="001625FD"/>
    <w:rsid w:val="00162640"/>
    <w:rsid w:val="00162658"/>
    <w:rsid w:val="001626B8"/>
    <w:rsid w:val="001627AF"/>
    <w:rsid w:val="001627EA"/>
    <w:rsid w:val="0016295E"/>
    <w:rsid w:val="00162988"/>
    <w:rsid w:val="001629BC"/>
    <w:rsid w:val="00162A33"/>
    <w:rsid w:val="00162A66"/>
    <w:rsid w:val="00162AC7"/>
    <w:rsid w:val="00162B2E"/>
    <w:rsid w:val="00162B5A"/>
    <w:rsid w:val="00162B5B"/>
    <w:rsid w:val="00162BCB"/>
    <w:rsid w:val="00162BDC"/>
    <w:rsid w:val="00162C32"/>
    <w:rsid w:val="00162CE7"/>
    <w:rsid w:val="00162D97"/>
    <w:rsid w:val="001630CF"/>
    <w:rsid w:val="00163100"/>
    <w:rsid w:val="00163140"/>
    <w:rsid w:val="0016314B"/>
    <w:rsid w:val="00163169"/>
    <w:rsid w:val="001631D4"/>
    <w:rsid w:val="001631DF"/>
    <w:rsid w:val="00163283"/>
    <w:rsid w:val="001632F1"/>
    <w:rsid w:val="00163312"/>
    <w:rsid w:val="0016332E"/>
    <w:rsid w:val="001633CC"/>
    <w:rsid w:val="00163437"/>
    <w:rsid w:val="00163443"/>
    <w:rsid w:val="00163468"/>
    <w:rsid w:val="00163509"/>
    <w:rsid w:val="00163580"/>
    <w:rsid w:val="001635BB"/>
    <w:rsid w:val="001636E4"/>
    <w:rsid w:val="0016371D"/>
    <w:rsid w:val="00163762"/>
    <w:rsid w:val="00163772"/>
    <w:rsid w:val="0016381C"/>
    <w:rsid w:val="0016382D"/>
    <w:rsid w:val="001638FB"/>
    <w:rsid w:val="00163902"/>
    <w:rsid w:val="001639A7"/>
    <w:rsid w:val="001639BF"/>
    <w:rsid w:val="00163B60"/>
    <w:rsid w:val="00163B6C"/>
    <w:rsid w:val="00163BCD"/>
    <w:rsid w:val="00163C7B"/>
    <w:rsid w:val="00163CCA"/>
    <w:rsid w:val="00163CEC"/>
    <w:rsid w:val="00163DC4"/>
    <w:rsid w:val="00163DE4"/>
    <w:rsid w:val="00163E88"/>
    <w:rsid w:val="00163ED5"/>
    <w:rsid w:val="00163F3D"/>
    <w:rsid w:val="00163F91"/>
    <w:rsid w:val="00163FE7"/>
    <w:rsid w:val="00163FFA"/>
    <w:rsid w:val="0016400C"/>
    <w:rsid w:val="0016404D"/>
    <w:rsid w:val="001640CF"/>
    <w:rsid w:val="00164158"/>
    <w:rsid w:val="001641A5"/>
    <w:rsid w:val="00164200"/>
    <w:rsid w:val="00164254"/>
    <w:rsid w:val="001642EC"/>
    <w:rsid w:val="00164352"/>
    <w:rsid w:val="00164354"/>
    <w:rsid w:val="00164471"/>
    <w:rsid w:val="001644C2"/>
    <w:rsid w:val="00164504"/>
    <w:rsid w:val="00164528"/>
    <w:rsid w:val="0016457C"/>
    <w:rsid w:val="001645B8"/>
    <w:rsid w:val="0016464E"/>
    <w:rsid w:val="00164656"/>
    <w:rsid w:val="00164660"/>
    <w:rsid w:val="00164747"/>
    <w:rsid w:val="00164797"/>
    <w:rsid w:val="001647B1"/>
    <w:rsid w:val="0016485F"/>
    <w:rsid w:val="00164867"/>
    <w:rsid w:val="00164964"/>
    <w:rsid w:val="0016497E"/>
    <w:rsid w:val="00164A65"/>
    <w:rsid w:val="00164AD8"/>
    <w:rsid w:val="00164BEC"/>
    <w:rsid w:val="00164C44"/>
    <w:rsid w:val="00164CE6"/>
    <w:rsid w:val="00164D2D"/>
    <w:rsid w:val="00164D40"/>
    <w:rsid w:val="00164D51"/>
    <w:rsid w:val="00164EA1"/>
    <w:rsid w:val="00164F2B"/>
    <w:rsid w:val="00164F36"/>
    <w:rsid w:val="00164F8A"/>
    <w:rsid w:val="00165051"/>
    <w:rsid w:val="00165071"/>
    <w:rsid w:val="0016519F"/>
    <w:rsid w:val="001651DC"/>
    <w:rsid w:val="001651F5"/>
    <w:rsid w:val="001651F6"/>
    <w:rsid w:val="001651FB"/>
    <w:rsid w:val="00165282"/>
    <w:rsid w:val="00165395"/>
    <w:rsid w:val="001653B9"/>
    <w:rsid w:val="001653CB"/>
    <w:rsid w:val="001653D5"/>
    <w:rsid w:val="001653F1"/>
    <w:rsid w:val="0016540F"/>
    <w:rsid w:val="00165428"/>
    <w:rsid w:val="0016542D"/>
    <w:rsid w:val="001654A5"/>
    <w:rsid w:val="001654CC"/>
    <w:rsid w:val="00165538"/>
    <w:rsid w:val="00165574"/>
    <w:rsid w:val="0016557F"/>
    <w:rsid w:val="001655F9"/>
    <w:rsid w:val="00165645"/>
    <w:rsid w:val="0016564F"/>
    <w:rsid w:val="001658FF"/>
    <w:rsid w:val="0016594E"/>
    <w:rsid w:val="00165964"/>
    <w:rsid w:val="00165965"/>
    <w:rsid w:val="00165992"/>
    <w:rsid w:val="001659AC"/>
    <w:rsid w:val="001659BF"/>
    <w:rsid w:val="001659E3"/>
    <w:rsid w:val="00165A79"/>
    <w:rsid w:val="00165B9B"/>
    <w:rsid w:val="00165BCE"/>
    <w:rsid w:val="00165C1E"/>
    <w:rsid w:val="00165C84"/>
    <w:rsid w:val="00165C89"/>
    <w:rsid w:val="00165CB6"/>
    <w:rsid w:val="00165D3F"/>
    <w:rsid w:val="00165DA7"/>
    <w:rsid w:val="00165DD5"/>
    <w:rsid w:val="00165E11"/>
    <w:rsid w:val="00165E70"/>
    <w:rsid w:val="00165EAE"/>
    <w:rsid w:val="00165F61"/>
    <w:rsid w:val="0016606B"/>
    <w:rsid w:val="001660A3"/>
    <w:rsid w:val="0016617B"/>
    <w:rsid w:val="00166180"/>
    <w:rsid w:val="001661AA"/>
    <w:rsid w:val="001661ED"/>
    <w:rsid w:val="0016626D"/>
    <w:rsid w:val="001662C2"/>
    <w:rsid w:val="001662E3"/>
    <w:rsid w:val="00166318"/>
    <w:rsid w:val="001663A1"/>
    <w:rsid w:val="0016643C"/>
    <w:rsid w:val="00166467"/>
    <w:rsid w:val="00166512"/>
    <w:rsid w:val="00166516"/>
    <w:rsid w:val="001665F8"/>
    <w:rsid w:val="00166781"/>
    <w:rsid w:val="00166851"/>
    <w:rsid w:val="001668C5"/>
    <w:rsid w:val="0016690E"/>
    <w:rsid w:val="00166961"/>
    <w:rsid w:val="00166A17"/>
    <w:rsid w:val="00166A86"/>
    <w:rsid w:val="00166AA8"/>
    <w:rsid w:val="00166D24"/>
    <w:rsid w:val="00166D33"/>
    <w:rsid w:val="00166DC3"/>
    <w:rsid w:val="00166E52"/>
    <w:rsid w:val="00166E6E"/>
    <w:rsid w:val="00166F14"/>
    <w:rsid w:val="00166F1C"/>
    <w:rsid w:val="00166F3C"/>
    <w:rsid w:val="00166FE8"/>
    <w:rsid w:val="00167021"/>
    <w:rsid w:val="001670B0"/>
    <w:rsid w:val="001670FD"/>
    <w:rsid w:val="00167232"/>
    <w:rsid w:val="0016728D"/>
    <w:rsid w:val="001674BC"/>
    <w:rsid w:val="00167570"/>
    <w:rsid w:val="001675AB"/>
    <w:rsid w:val="001675E1"/>
    <w:rsid w:val="0016763D"/>
    <w:rsid w:val="00167665"/>
    <w:rsid w:val="0016767A"/>
    <w:rsid w:val="00167691"/>
    <w:rsid w:val="00167709"/>
    <w:rsid w:val="0016772A"/>
    <w:rsid w:val="0016775F"/>
    <w:rsid w:val="00167855"/>
    <w:rsid w:val="00167888"/>
    <w:rsid w:val="001678D7"/>
    <w:rsid w:val="001678DB"/>
    <w:rsid w:val="0016790C"/>
    <w:rsid w:val="00167A06"/>
    <w:rsid w:val="00167B20"/>
    <w:rsid w:val="00167B5E"/>
    <w:rsid w:val="00167BB5"/>
    <w:rsid w:val="00167BEB"/>
    <w:rsid w:val="00167C5C"/>
    <w:rsid w:val="00167D6C"/>
    <w:rsid w:val="00167DE7"/>
    <w:rsid w:val="00167E05"/>
    <w:rsid w:val="00167E38"/>
    <w:rsid w:val="00167E95"/>
    <w:rsid w:val="00167EA3"/>
    <w:rsid w:val="00167FA3"/>
    <w:rsid w:val="00167FD1"/>
    <w:rsid w:val="0017001B"/>
    <w:rsid w:val="00170027"/>
    <w:rsid w:val="00170185"/>
    <w:rsid w:val="001701E0"/>
    <w:rsid w:val="0017020E"/>
    <w:rsid w:val="00170266"/>
    <w:rsid w:val="0017027F"/>
    <w:rsid w:val="00170363"/>
    <w:rsid w:val="0017040B"/>
    <w:rsid w:val="0017046A"/>
    <w:rsid w:val="0017046E"/>
    <w:rsid w:val="0017048F"/>
    <w:rsid w:val="0017054D"/>
    <w:rsid w:val="0017057B"/>
    <w:rsid w:val="0017066D"/>
    <w:rsid w:val="001706B6"/>
    <w:rsid w:val="001706C1"/>
    <w:rsid w:val="0017088E"/>
    <w:rsid w:val="00170974"/>
    <w:rsid w:val="00170990"/>
    <w:rsid w:val="001709BE"/>
    <w:rsid w:val="00170AA3"/>
    <w:rsid w:val="00170B48"/>
    <w:rsid w:val="00170C03"/>
    <w:rsid w:val="00170C9F"/>
    <w:rsid w:val="00170D34"/>
    <w:rsid w:val="00170D61"/>
    <w:rsid w:val="00170DC2"/>
    <w:rsid w:val="00170E4A"/>
    <w:rsid w:val="00170EC9"/>
    <w:rsid w:val="00170ED8"/>
    <w:rsid w:val="00170F85"/>
    <w:rsid w:val="00170F91"/>
    <w:rsid w:val="0017103C"/>
    <w:rsid w:val="0017103E"/>
    <w:rsid w:val="00171137"/>
    <w:rsid w:val="001711E8"/>
    <w:rsid w:val="00171286"/>
    <w:rsid w:val="0017138C"/>
    <w:rsid w:val="00171447"/>
    <w:rsid w:val="00171564"/>
    <w:rsid w:val="0017157C"/>
    <w:rsid w:val="0017167A"/>
    <w:rsid w:val="00171720"/>
    <w:rsid w:val="001717F5"/>
    <w:rsid w:val="00171811"/>
    <w:rsid w:val="0017182D"/>
    <w:rsid w:val="00171890"/>
    <w:rsid w:val="001718AA"/>
    <w:rsid w:val="001718B2"/>
    <w:rsid w:val="001718F9"/>
    <w:rsid w:val="001719EC"/>
    <w:rsid w:val="00171A7E"/>
    <w:rsid w:val="00171C3E"/>
    <w:rsid w:val="00171C45"/>
    <w:rsid w:val="00171DA2"/>
    <w:rsid w:val="00171EF6"/>
    <w:rsid w:val="00171EF8"/>
    <w:rsid w:val="00171F58"/>
    <w:rsid w:val="001720AD"/>
    <w:rsid w:val="0017214A"/>
    <w:rsid w:val="001721CC"/>
    <w:rsid w:val="0017221A"/>
    <w:rsid w:val="00172297"/>
    <w:rsid w:val="001722F3"/>
    <w:rsid w:val="00172346"/>
    <w:rsid w:val="00172361"/>
    <w:rsid w:val="00172385"/>
    <w:rsid w:val="0017238C"/>
    <w:rsid w:val="001723ED"/>
    <w:rsid w:val="001723EF"/>
    <w:rsid w:val="001724E3"/>
    <w:rsid w:val="001724EB"/>
    <w:rsid w:val="001725A1"/>
    <w:rsid w:val="00172633"/>
    <w:rsid w:val="0017276B"/>
    <w:rsid w:val="00172774"/>
    <w:rsid w:val="001727DB"/>
    <w:rsid w:val="0017282D"/>
    <w:rsid w:val="001728B9"/>
    <w:rsid w:val="00172950"/>
    <w:rsid w:val="001729E2"/>
    <w:rsid w:val="00172A60"/>
    <w:rsid w:val="00172ADF"/>
    <w:rsid w:val="00172B58"/>
    <w:rsid w:val="00172B81"/>
    <w:rsid w:val="00172C5A"/>
    <w:rsid w:val="00172C6E"/>
    <w:rsid w:val="00172CC2"/>
    <w:rsid w:val="00172CC9"/>
    <w:rsid w:val="00172D0C"/>
    <w:rsid w:val="00172D15"/>
    <w:rsid w:val="00172DF0"/>
    <w:rsid w:val="00172E5B"/>
    <w:rsid w:val="00172F30"/>
    <w:rsid w:val="00172F64"/>
    <w:rsid w:val="00172F81"/>
    <w:rsid w:val="00172FAC"/>
    <w:rsid w:val="00172FE3"/>
    <w:rsid w:val="00173013"/>
    <w:rsid w:val="0017311F"/>
    <w:rsid w:val="00173167"/>
    <w:rsid w:val="0017329B"/>
    <w:rsid w:val="001732A9"/>
    <w:rsid w:val="0017338B"/>
    <w:rsid w:val="001733DD"/>
    <w:rsid w:val="001733E8"/>
    <w:rsid w:val="001733FD"/>
    <w:rsid w:val="00173477"/>
    <w:rsid w:val="001734F7"/>
    <w:rsid w:val="00173543"/>
    <w:rsid w:val="0017359B"/>
    <w:rsid w:val="001735FE"/>
    <w:rsid w:val="001736D9"/>
    <w:rsid w:val="001736F6"/>
    <w:rsid w:val="0017378F"/>
    <w:rsid w:val="001737A2"/>
    <w:rsid w:val="001737F8"/>
    <w:rsid w:val="00173834"/>
    <w:rsid w:val="00173984"/>
    <w:rsid w:val="00173994"/>
    <w:rsid w:val="001739F6"/>
    <w:rsid w:val="00173A0A"/>
    <w:rsid w:val="00173A7B"/>
    <w:rsid w:val="00173AF0"/>
    <w:rsid w:val="00173B98"/>
    <w:rsid w:val="00173BA0"/>
    <w:rsid w:val="00173BC9"/>
    <w:rsid w:val="00173C4E"/>
    <w:rsid w:val="00173C51"/>
    <w:rsid w:val="00173CA3"/>
    <w:rsid w:val="00173CF6"/>
    <w:rsid w:val="00173D06"/>
    <w:rsid w:val="00173E2C"/>
    <w:rsid w:val="00173E2F"/>
    <w:rsid w:val="00173EC1"/>
    <w:rsid w:val="00173F3A"/>
    <w:rsid w:val="00173F79"/>
    <w:rsid w:val="00173FAF"/>
    <w:rsid w:val="00173FC6"/>
    <w:rsid w:val="0017406A"/>
    <w:rsid w:val="001740AF"/>
    <w:rsid w:val="001740B5"/>
    <w:rsid w:val="001740DE"/>
    <w:rsid w:val="00174143"/>
    <w:rsid w:val="001741C5"/>
    <w:rsid w:val="00174224"/>
    <w:rsid w:val="001742F0"/>
    <w:rsid w:val="00174322"/>
    <w:rsid w:val="0017432F"/>
    <w:rsid w:val="001743CE"/>
    <w:rsid w:val="0017454D"/>
    <w:rsid w:val="0017458A"/>
    <w:rsid w:val="001745CD"/>
    <w:rsid w:val="001745E0"/>
    <w:rsid w:val="001746B8"/>
    <w:rsid w:val="001746D8"/>
    <w:rsid w:val="00174716"/>
    <w:rsid w:val="00174729"/>
    <w:rsid w:val="00174759"/>
    <w:rsid w:val="00174775"/>
    <w:rsid w:val="0017477B"/>
    <w:rsid w:val="001748A5"/>
    <w:rsid w:val="001748EB"/>
    <w:rsid w:val="00174927"/>
    <w:rsid w:val="00174951"/>
    <w:rsid w:val="0017498E"/>
    <w:rsid w:val="001749B9"/>
    <w:rsid w:val="00174A5B"/>
    <w:rsid w:val="00174B6D"/>
    <w:rsid w:val="00174C86"/>
    <w:rsid w:val="00174D3C"/>
    <w:rsid w:val="00174EBD"/>
    <w:rsid w:val="00174FC8"/>
    <w:rsid w:val="00175067"/>
    <w:rsid w:val="00175096"/>
    <w:rsid w:val="001750A2"/>
    <w:rsid w:val="001750A4"/>
    <w:rsid w:val="001750AF"/>
    <w:rsid w:val="00175133"/>
    <w:rsid w:val="0017518B"/>
    <w:rsid w:val="001751D9"/>
    <w:rsid w:val="001751E0"/>
    <w:rsid w:val="001751E2"/>
    <w:rsid w:val="001751E8"/>
    <w:rsid w:val="00175205"/>
    <w:rsid w:val="0017522A"/>
    <w:rsid w:val="0017522F"/>
    <w:rsid w:val="001753CB"/>
    <w:rsid w:val="0017540A"/>
    <w:rsid w:val="001754DB"/>
    <w:rsid w:val="00175516"/>
    <w:rsid w:val="00175542"/>
    <w:rsid w:val="001755A2"/>
    <w:rsid w:val="00175619"/>
    <w:rsid w:val="00175679"/>
    <w:rsid w:val="001756E9"/>
    <w:rsid w:val="0017571C"/>
    <w:rsid w:val="0017573B"/>
    <w:rsid w:val="0017577F"/>
    <w:rsid w:val="001757A0"/>
    <w:rsid w:val="001757D7"/>
    <w:rsid w:val="001757DF"/>
    <w:rsid w:val="001759F4"/>
    <w:rsid w:val="00175A16"/>
    <w:rsid w:val="00175A51"/>
    <w:rsid w:val="00175A5A"/>
    <w:rsid w:val="00175A95"/>
    <w:rsid w:val="00175AA3"/>
    <w:rsid w:val="00175B20"/>
    <w:rsid w:val="00175B4C"/>
    <w:rsid w:val="00175B5B"/>
    <w:rsid w:val="00175C30"/>
    <w:rsid w:val="00175C31"/>
    <w:rsid w:val="00175C5D"/>
    <w:rsid w:val="00175C64"/>
    <w:rsid w:val="00175CCB"/>
    <w:rsid w:val="00175EBC"/>
    <w:rsid w:val="00175EC9"/>
    <w:rsid w:val="00175F29"/>
    <w:rsid w:val="00175F59"/>
    <w:rsid w:val="0017608F"/>
    <w:rsid w:val="0017610B"/>
    <w:rsid w:val="00176130"/>
    <w:rsid w:val="001761B1"/>
    <w:rsid w:val="00176254"/>
    <w:rsid w:val="00176260"/>
    <w:rsid w:val="0017628D"/>
    <w:rsid w:val="00176308"/>
    <w:rsid w:val="00176316"/>
    <w:rsid w:val="00176363"/>
    <w:rsid w:val="0017638E"/>
    <w:rsid w:val="00176527"/>
    <w:rsid w:val="001765F3"/>
    <w:rsid w:val="0017663F"/>
    <w:rsid w:val="00176821"/>
    <w:rsid w:val="00176945"/>
    <w:rsid w:val="00176992"/>
    <w:rsid w:val="001769EF"/>
    <w:rsid w:val="00176B3E"/>
    <w:rsid w:val="00176B41"/>
    <w:rsid w:val="00176BC2"/>
    <w:rsid w:val="00176C90"/>
    <w:rsid w:val="00176CBD"/>
    <w:rsid w:val="00176D26"/>
    <w:rsid w:val="00176E46"/>
    <w:rsid w:val="00176E7B"/>
    <w:rsid w:val="00176F26"/>
    <w:rsid w:val="00176F58"/>
    <w:rsid w:val="00176F7D"/>
    <w:rsid w:val="00176FFF"/>
    <w:rsid w:val="00177027"/>
    <w:rsid w:val="00177028"/>
    <w:rsid w:val="0017702E"/>
    <w:rsid w:val="00177288"/>
    <w:rsid w:val="001772BC"/>
    <w:rsid w:val="00177309"/>
    <w:rsid w:val="0017731D"/>
    <w:rsid w:val="00177378"/>
    <w:rsid w:val="0017744F"/>
    <w:rsid w:val="0017750F"/>
    <w:rsid w:val="00177640"/>
    <w:rsid w:val="0017765F"/>
    <w:rsid w:val="001776B8"/>
    <w:rsid w:val="001777B3"/>
    <w:rsid w:val="001777CE"/>
    <w:rsid w:val="001777DE"/>
    <w:rsid w:val="001778D3"/>
    <w:rsid w:val="00177904"/>
    <w:rsid w:val="00177925"/>
    <w:rsid w:val="001779C6"/>
    <w:rsid w:val="001779DA"/>
    <w:rsid w:val="00177AFA"/>
    <w:rsid w:val="00177B01"/>
    <w:rsid w:val="00177B53"/>
    <w:rsid w:val="00177B6A"/>
    <w:rsid w:val="00177C3B"/>
    <w:rsid w:val="00177CF6"/>
    <w:rsid w:val="00177E7C"/>
    <w:rsid w:val="00177EDF"/>
    <w:rsid w:val="00177FCF"/>
    <w:rsid w:val="00177FE0"/>
    <w:rsid w:val="00177FEC"/>
    <w:rsid w:val="00180020"/>
    <w:rsid w:val="0018002A"/>
    <w:rsid w:val="00180093"/>
    <w:rsid w:val="00180169"/>
    <w:rsid w:val="00180289"/>
    <w:rsid w:val="00180336"/>
    <w:rsid w:val="00180362"/>
    <w:rsid w:val="0018045B"/>
    <w:rsid w:val="001804A7"/>
    <w:rsid w:val="00180550"/>
    <w:rsid w:val="001805B4"/>
    <w:rsid w:val="00180605"/>
    <w:rsid w:val="00180619"/>
    <w:rsid w:val="0018063B"/>
    <w:rsid w:val="00180659"/>
    <w:rsid w:val="0018065F"/>
    <w:rsid w:val="0018075C"/>
    <w:rsid w:val="001807DA"/>
    <w:rsid w:val="00180832"/>
    <w:rsid w:val="00180855"/>
    <w:rsid w:val="00180960"/>
    <w:rsid w:val="00180968"/>
    <w:rsid w:val="0018098F"/>
    <w:rsid w:val="00180A14"/>
    <w:rsid w:val="00180AB7"/>
    <w:rsid w:val="00180B4F"/>
    <w:rsid w:val="00180B95"/>
    <w:rsid w:val="00180BA0"/>
    <w:rsid w:val="00180CA9"/>
    <w:rsid w:val="00180CDD"/>
    <w:rsid w:val="00180F3F"/>
    <w:rsid w:val="00180FDA"/>
    <w:rsid w:val="0018101B"/>
    <w:rsid w:val="0018101F"/>
    <w:rsid w:val="00181066"/>
    <w:rsid w:val="00181088"/>
    <w:rsid w:val="001810D0"/>
    <w:rsid w:val="00181106"/>
    <w:rsid w:val="001811A8"/>
    <w:rsid w:val="001811D2"/>
    <w:rsid w:val="001811FD"/>
    <w:rsid w:val="0018125E"/>
    <w:rsid w:val="00181280"/>
    <w:rsid w:val="001812CF"/>
    <w:rsid w:val="0018139F"/>
    <w:rsid w:val="001813B5"/>
    <w:rsid w:val="001813BB"/>
    <w:rsid w:val="00181438"/>
    <w:rsid w:val="001814CC"/>
    <w:rsid w:val="00181545"/>
    <w:rsid w:val="001815C4"/>
    <w:rsid w:val="001815DB"/>
    <w:rsid w:val="00181646"/>
    <w:rsid w:val="00181783"/>
    <w:rsid w:val="001817DA"/>
    <w:rsid w:val="00181807"/>
    <w:rsid w:val="00181852"/>
    <w:rsid w:val="001818F5"/>
    <w:rsid w:val="00181940"/>
    <w:rsid w:val="00181C2C"/>
    <w:rsid w:val="00181CFC"/>
    <w:rsid w:val="00181DB3"/>
    <w:rsid w:val="00181E11"/>
    <w:rsid w:val="00181F74"/>
    <w:rsid w:val="00181FD9"/>
    <w:rsid w:val="0018213C"/>
    <w:rsid w:val="001821FA"/>
    <w:rsid w:val="00182276"/>
    <w:rsid w:val="00182307"/>
    <w:rsid w:val="0018233A"/>
    <w:rsid w:val="00182503"/>
    <w:rsid w:val="00182568"/>
    <w:rsid w:val="00182763"/>
    <w:rsid w:val="00182772"/>
    <w:rsid w:val="001827C0"/>
    <w:rsid w:val="0018284A"/>
    <w:rsid w:val="001828B2"/>
    <w:rsid w:val="001828FC"/>
    <w:rsid w:val="00182A00"/>
    <w:rsid w:val="00182A98"/>
    <w:rsid w:val="00182B80"/>
    <w:rsid w:val="00182B8A"/>
    <w:rsid w:val="00182BB1"/>
    <w:rsid w:val="00182E19"/>
    <w:rsid w:val="00182E77"/>
    <w:rsid w:val="00182EEC"/>
    <w:rsid w:val="00182F91"/>
    <w:rsid w:val="00182F97"/>
    <w:rsid w:val="00182F99"/>
    <w:rsid w:val="00183009"/>
    <w:rsid w:val="00183032"/>
    <w:rsid w:val="0018305F"/>
    <w:rsid w:val="001830AC"/>
    <w:rsid w:val="00183155"/>
    <w:rsid w:val="00183197"/>
    <w:rsid w:val="00183209"/>
    <w:rsid w:val="00183258"/>
    <w:rsid w:val="0018326F"/>
    <w:rsid w:val="001832E0"/>
    <w:rsid w:val="001832F9"/>
    <w:rsid w:val="0018345C"/>
    <w:rsid w:val="001834AC"/>
    <w:rsid w:val="00183536"/>
    <w:rsid w:val="00183596"/>
    <w:rsid w:val="001835C1"/>
    <w:rsid w:val="00183687"/>
    <w:rsid w:val="001836C8"/>
    <w:rsid w:val="0018386A"/>
    <w:rsid w:val="001838A5"/>
    <w:rsid w:val="001838AA"/>
    <w:rsid w:val="00183945"/>
    <w:rsid w:val="00183979"/>
    <w:rsid w:val="001839AD"/>
    <w:rsid w:val="001839C4"/>
    <w:rsid w:val="00183B9B"/>
    <w:rsid w:val="00183C7A"/>
    <w:rsid w:val="00183C91"/>
    <w:rsid w:val="00183C9C"/>
    <w:rsid w:val="00183CD7"/>
    <w:rsid w:val="00183DAB"/>
    <w:rsid w:val="00183DAE"/>
    <w:rsid w:val="00183DCF"/>
    <w:rsid w:val="00183E00"/>
    <w:rsid w:val="00183EF2"/>
    <w:rsid w:val="00183F5B"/>
    <w:rsid w:val="00183FFE"/>
    <w:rsid w:val="00184087"/>
    <w:rsid w:val="001840C0"/>
    <w:rsid w:val="0018412E"/>
    <w:rsid w:val="00184171"/>
    <w:rsid w:val="001842B9"/>
    <w:rsid w:val="00184384"/>
    <w:rsid w:val="00184464"/>
    <w:rsid w:val="00184544"/>
    <w:rsid w:val="0018454D"/>
    <w:rsid w:val="001845D9"/>
    <w:rsid w:val="00184637"/>
    <w:rsid w:val="001846A6"/>
    <w:rsid w:val="001846CD"/>
    <w:rsid w:val="001847AB"/>
    <w:rsid w:val="001847B8"/>
    <w:rsid w:val="001847E8"/>
    <w:rsid w:val="001847F9"/>
    <w:rsid w:val="00184800"/>
    <w:rsid w:val="001848E4"/>
    <w:rsid w:val="00184949"/>
    <w:rsid w:val="00184989"/>
    <w:rsid w:val="001849AB"/>
    <w:rsid w:val="00184A06"/>
    <w:rsid w:val="00184A16"/>
    <w:rsid w:val="00184A8D"/>
    <w:rsid w:val="00184B06"/>
    <w:rsid w:val="00184B22"/>
    <w:rsid w:val="00184B83"/>
    <w:rsid w:val="00184BC2"/>
    <w:rsid w:val="00184C01"/>
    <w:rsid w:val="00184D1E"/>
    <w:rsid w:val="00184D48"/>
    <w:rsid w:val="00184D49"/>
    <w:rsid w:val="00184E30"/>
    <w:rsid w:val="00184E69"/>
    <w:rsid w:val="00184F2E"/>
    <w:rsid w:val="00184FC7"/>
    <w:rsid w:val="00185020"/>
    <w:rsid w:val="00185064"/>
    <w:rsid w:val="001850F9"/>
    <w:rsid w:val="0018513C"/>
    <w:rsid w:val="0018526B"/>
    <w:rsid w:val="001852DF"/>
    <w:rsid w:val="0018543B"/>
    <w:rsid w:val="001854C7"/>
    <w:rsid w:val="00185613"/>
    <w:rsid w:val="00185631"/>
    <w:rsid w:val="0018566D"/>
    <w:rsid w:val="00185883"/>
    <w:rsid w:val="0018592F"/>
    <w:rsid w:val="00185A70"/>
    <w:rsid w:val="00185AAA"/>
    <w:rsid w:val="00185B0B"/>
    <w:rsid w:val="00185B1A"/>
    <w:rsid w:val="00185B45"/>
    <w:rsid w:val="00185B95"/>
    <w:rsid w:val="00185BB4"/>
    <w:rsid w:val="00185C41"/>
    <w:rsid w:val="00185C49"/>
    <w:rsid w:val="00185D15"/>
    <w:rsid w:val="00185EA8"/>
    <w:rsid w:val="00185FF2"/>
    <w:rsid w:val="00186121"/>
    <w:rsid w:val="0018618B"/>
    <w:rsid w:val="001861D3"/>
    <w:rsid w:val="0018627C"/>
    <w:rsid w:val="001863F1"/>
    <w:rsid w:val="00186470"/>
    <w:rsid w:val="0018649D"/>
    <w:rsid w:val="001864C3"/>
    <w:rsid w:val="001864F2"/>
    <w:rsid w:val="00186542"/>
    <w:rsid w:val="00186554"/>
    <w:rsid w:val="001865E8"/>
    <w:rsid w:val="00186654"/>
    <w:rsid w:val="00186658"/>
    <w:rsid w:val="0018667C"/>
    <w:rsid w:val="0018668D"/>
    <w:rsid w:val="001866A0"/>
    <w:rsid w:val="00186746"/>
    <w:rsid w:val="001867E3"/>
    <w:rsid w:val="00186804"/>
    <w:rsid w:val="00186825"/>
    <w:rsid w:val="00186953"/>
    <w:rsid w:val="001869C7"/>
    <w:rsid w:val="001869E3"/>
    <w:rsid w:val="001869E5"/>
    <w:rsid w:val="00186AA9"/>
    <w:rsid w:val="00186B59"/>
    <w:rsid w:val="00186C7D"/>
    <w:rsid w:val="00186C94"/>
    <w:rsid w:val="00186CAE"/>
    <w:rsid w:val="00186E98"/>
    <w:rsid w:val="00186F1B"/>
    <w:rsid w:val="00186FEA"/>
    <w:rsid w:val="0018706B"/>
    <w:rsid w:val="00187074"/>
    <w:rsid w:val="00187080"/>
    <w:rsid w:val="00187097"/>
    <w:rsid w:val="00187101"/>
    <w:rsid w:val="001871AC"/>
    <w:rsid w:val="001871B2"/>
    <w:rsid w:val="001871F4"/>
    <w:rsid w:val="00187277"/>
    <w:rsid w:val="001872C7"/>
    <w:rsid w:val="00187306"/>
    <w:rsid w:val="00187323"/>
    <w:rsid w:val="001873D9"/>
    <w:rsid w:val="001873E7"/>
    <w:rsid w:val="00187410"/>
    <w:rsid w:val="0018751D"/>
    <w:rsid w:val="00187577"/>
    <w:rsid w:val="001875F6"/>
    <w:rsid w:val="00187614"/>
    <w:rsid w:val="001876D6"/>
    <w:rsid w:val="0018770F"/>
    <w:rsid w:val="00187753"/>
    <w:rsid w:val="00187847"/>
    <w:rsid w:val="0018786D"/>
    <w:rsid w:val="001878CD"/>
    <w:rsid w:val="001878E5"/>
    <w:rsid w:val="001879A6"/>
    <w:rsid w:val="00187A01"/>
    <w:rsid w:val="00187A10"/>
    <w:rsid w:val="00187A1C"/>
    <w:rsid w:val="00187AF4"/>
    <w:rsid w:val="00187B19"/>
    <w:rsid w:val="00187B5D"/>
    <w:rsid w:val="00187B74"/>
    <w:rsid w:val="00187B8F"/>
    <w:rsid w:val="00187CEF"/>
    <w:rsid w:val="00187DC1"/>
    <w:rsid w:val="00187DCB"/>
    <w:rsid w:val="00187EAD"/>
    <w:rsid w:val="00187F55"/>
    <w:rsid w:val="00187FFC"/>
    <w:rsid w:val="00190003"/>
    <w:rsid w:val="0019000F"/>
    <w:rsid w:val="0019005D"/>
    <w:rsid w:val="0019008E"/>
    <w:rsid w:val="0019009D"/>
    <w:rsid w:val="00190276"/>
    <w:rsid w:val="00190279"/>
    <w:rsid w:val="001902DA"/>
    <w:rsid w:val="001902FA"/>
    <w:rsid w:val="00190331"/>
    <w:rsid w:val="00190396"/>
    <w:rsid w:val="001903B0"/>
    <w:rsid w:val="00190424"/>
    <w:rsid w:val="0019042B"/>
    <w:rsid w:val="001904BE"/>
    <w:rsid w:val="001905C1"/>
    <w:rsid w:val="0019064E"/>
    <w:rsid w:val="0019065D"/>
    <w:rsid w:val="00190671"/>
    <w:rsid w:val="00190715"/>
    <w:rsid w:val="0019074A"/>
    <w:rsid w:val="001907C5"/>
    <w:rsid w:val="00190831"/>
    <w:rsid w:val="0019084D"/>
    <w:rsid w:val="00190863"/>
    <w:rsid w:val="00190937"/>
    <w:rsid w:val="00190AFE"/>
    <w:rsid w:val="00190B11"/>
    <w:rsid w:val="00190CAD"/>
    <w:rsid w:val="00190D1B"/>
    <w:rsid w:val="00190E8D"/>
    <w:rsid w:val="001910ED"/>
    <w:rsid w:val="00191104"/>
    <w:rsid w:val="00191120"/>
    <w:rsid w:val="00191157"/>
    <w:rsid w:val="00191173"/>
    <w:rsid w:val="00191185"/>
    <w:rsid w:val="001911E9"/>
    <w:rsid w:val="00191240"/>
    <w:rsid w:val="00191293"/>
    <w:rsid w:val="0019129E"/>
    <w:rsid w:val="001912AE"/>
    <w:rsid w:val="001912FC"/>
    <w:rsid w:val="0019137D"/>
    <w:rsid w:val="00191396"/>
    <w:rsid w:val="001913AA"/>
    <w:rsid w:val="001913D3"/>
    <w:rsid w:val="0019141C"/>
    <w:rsid w:val="00191486"/>
    <w:rsid w:val="00191498"/>
    <w:rsid w:val="00191544"/>
    <w:rsid w:val="00191643"/>
    <w:rsid w:val="0019165F"/>
    <w:rsid w:val="001916DF"/>
    <w:rsid w:val="00191714"/>
    <w:rsid w:val="00191841"/>
    <w:rsid w:val="00191876"/>
    <w:rsid w:val="0019191F"/>
    <w:rsid w:val="00191978"/>
    <w:rsid w:val="001919FA"/>
    <w:rsid w:val="00191A1C"/>
    <w:rsid w:val="00191A8A"/>
    <w:rsid w:val="00191B2C"/>
    <w:rsid w:val="00191B61"/>
    <w:rsid w:val="00191BCC"/>
    <w:rsid w:val="00191C85"/>
    <w:rsid w:val="00191CB0"/>
    <w:rsid w:val="00191D87"/>
    <w:rsid w:val="00191DE4"/>
    <w:rsid w:val="00191DEF"/>
    <w:rsid w:val="00191E09"/>
    <w:rsid w:val="00191F60"/>
    <w:rsid w:val="00191FA2"/>
    <w:rsid w:val="00191FD2"/>
    <w:rsid w:val="00191FD7"/>
    <w:rsid w:val="00192008"/>
    <w:rsid w:val="00192128"/>
    <w:rsid w:val="0019216D"/>
    <w:rsid w:val="00192181"/>
    <w:rsid w:val="00192183"/>
    <w:rsid w:val="001921D6"/>
    <w:rsid w:val="0019221B"/>
    <w:rsid w:val="00192257"/>
    <w:rsid w:val="00192273"/>
    <w:rsid w:val="0019237E"/>
    <w:rsid w:val="0019238D"/>
    <w:rsid w:val="001923AC"/>
    <w:rsid w:val="001923D6"/>
    <w:rsid w:val="0019246F"/>
    <w:rsid w:val="0019250B"/>
    <w:rsid w:val="00192511"/>
    <w:rsid w:val="001925C8"/>
    <w:rsid w:val="001926A1"/>
    <w:rsid w:val="0019272F"/>
    <w:rsid w:val="001927DE"/>
    <w:rsid w:val="00192902"/>
    <w:rsid w:val="00192AAE"/>
    <w:rsid w:val="00192B19"/>
    <w:rsid w:val="00192B54"/>
    <w:rsid w:val="00192B9B"/>
    <w:rsid w:val="00192BA2"/>
    <w:rsid w:val="00192C11"/>
    <w:rsid w:val="00192D27"/>
    <w:rsid w:val="00192E43"/>
    <w:rsid w:val="00192E5F"/>
    <w:rsid w:val="00192EA1"/>
    <w:rsid w:val="00192EDE"/>
    <w:rsid w:val="00192F2A"/>
    <w:rsid w:val="00192FAD"/>
    <w:rsid w:val="00192FD4"/>
    <w:rsid w:val="001930BC"/>
    <w:rsid w:val="001930DA"/>
    <w:rsid w:val="0019312B"/>
    <w:rsid w:val="00193173"/>
    <w:rsid w:val="00193256"/>
    <w:rsid w:val="00193276"/>
    <w:rsid w:val="00193310"/>
    <w:rsid w:val="0019331F"/>
    <w:rsid w:val="00193366"/>
    <w:rsid w:val="00193368"/>
    <w:rsid w:val="00193397"/>
    <w:rsid w:val="001933A5"/>
    <w:rsid w:val="00193463"/>
    <w:rsid w:val="00193545"/>
    <w:rsid w:val="0019370A"/>
    <w:rsid w:val="00193789"/>
    <w:rsid w:val="001938DD"/>
    <w:rsid w:val="00193926"/>
    <w:rsid w:val="00193999"/>
    <w:rsid w:val="00193A27"/>
    <w:rsid w:val="00193A6A"/>
    <w:rsid w:val="00193AA1"/>
    <w:rsid w:val="00193AD4"/>
    <w:rsid w:val="00193AE0"/>
    <w:rsid w:val="00193B05"/>
    <w:rsid w:val="00193B15"/>
    <w:rsid w:val="00193BCD"/>
    <w:rsid w:val="00193BDC"/>
    <w:rsid w:val="00193C6C"/>
    <w:rsid w:val="00193CC0"/>
    <w:rsid w:val="00193D8F"/>
    <w:rsid w:val="00193E21"/>
    <w:rsid w:val="00193E49"/>
    <w:rsid w:val="00193EBC"/>
    <w:rsid w:val="00193F45"/>
    <w:rsid w:val="00193F96"/>
    <w:rsid w:val="00194002"/>
    <w:rsid w:val="0019406E"/>
    <w:rsid w:val="00194076"/>
    <w:rsid w:val="00194120"/>
    <w:rsid w:val="0019416E"/>
    <w:rsid w:val="001941D8"/>
    <w:rsid w:val="001942C9"/>
    <w:rsid w:val="001942EA"/>
    <w:rsid w:val="00194404"/>
    <w:rsid w:val="00194412"/>
    <w:rsid w:val="0019443E"/>
    <w:rsid w:val="0019449E"/>
    <w:rsid w:val="001946BD"/>
    <w:rsid w:val="001946F9"/>
    <w:rsid w:val="00194794"/>
    <w:rsid w:val="00194815"/>
    <w:rsid w:val="0019483F"/>
    <w:rsid w:val="001948B5"/>
    <w:rsid w:val="001948C7"/>
    <w:rsid w:val="001948E2"/>
    <w:rsid w:val="00194941"/>
    <w:rsid w:val="001949FD"/>
    <w:rsid w:val="00194A09"/>
    <w:rsid w:val="00194AFD"/>
    <w:rsid w:val="00194B01"/>
    <w:rsid w:val="00194B66"/>
    <w:rsid w:val="00194BA6"/>
    <w:rsid w:val="00194BD2"/>
    <w:rsid w:val="00194BD8"/>
    <w:rsid w:val="00194C14"/>
    <w:rsid w:val="00194C1D"/>
    <w:rsid w:val="00194C4B"/>
    <w:rsid w:val="00194CA3"/>
    <w:rsid w:val="00194CA8"/>
    <w:rsid w:val="00194D93"/>
    <w:rsid w:val="00194D9A"/>
    <w:rsid w:val="00194DD2"/>
    <w:rsid w:val="00194E03"/>
    <w:rsid w:val="00194E4E"/>
    <w:rsid w:val="00194E6B"/>
    <w:rsid w:val="00194E75"/>
    <w:rsid w:val="00194EE6"/>
    <w:rsid w:val="00194F31"/>
    <w:rsid w:val="00194F85"/>
    <w:rsid w:val="0019505D"/>
    <w:rsid w:val="00195226"/>
    <w:rsid w:val="0019525A"/>
    <w:rsid w:val="001952BB"/>
    <w:rsid w:val="0019533F"/>
    <w:rsid w:val="00195365"/>
    <w:rsid w:val="0019539C"/>
    <w:rsid w:val="001953DF"/>
    <w:rsid w:val="00195409"/>
    <w:rsid w:val="00195467"/>
    <w:rsid w:val="00195488"/>
    <w:rsid w:val="001954CA"/>
    <w:rsid w:val="001956E0"/>
    <w:rsid w:val="00195716"/>
    <w:rsid w:val="00195719"/>
    <w:rsid w:val="00195734"/>
    <w:rsid w:val="00195767"/>
    <w:rsid w:val="001957A2"/>
    <w:rsid w:val="0019582F"/>
    <w:rsid w:val="001958B8"/>
    <w:rsid w:val="001958FA"/>
    <w:rsid w:val="001959B2"/>
    <w:rsid w:val="001959C9"/>
    <w:rsid w:val="00195A1B"/>
    <w:rsid w:val="00195AC0"/>
    <w:rsid w:val="00195D07"/>
    <w:rsid w:val="00195DD6"/>
    <w:rsid w:val="00195DF7"/>
    <w:rsid w:val="00195E37"/>
    <w:rsid w:val="00195EA6"/>
    <w:rsid w:val="00195FBD"/>
    <w:rsid w:val="00196042"/>
    <w:rsid w:val="00196044"/>
    <w:rsid w:val="001960A6"/>
    <w:rsid w:val="001960D2"/>
    <w:rsid w:val="00196108"/>
    <w:rsid w:val="0019611B"/>
    <w:rsid w:val="00196145"/>
    <w:rsid w:val="00196200"/>
    <w:rsid w:val="00196209"/>
    <w:rsid w:val="00196264"/>
    <w:rsid w:val="00196374"/>
    <w:rsid w:val="0019643A"/>
    <w:rsid w:val="00196459"/>
    <w:rsid w:val="001965E6"/>
    <w:rsid w:val="001965F5"/>
    <w:rsid w:val="00196655"/>
    <w:rsid w:val="00196759"/>
    <w:rsid w:val="00196857"/>
    <w:rsid w:val="001968EF"/>
    <w:rsid w:val="00196904"/>
    <w:rsid w:val="0019693C"/>
    <w:rsid w:val="00196AE7"/>
    <w:rsid w:val="00196B1C"/>
    <w:rsid w:val="00196B8D"/>
    <w:rsid w:val="00196C58"/>
    <w:rsid w:val="00196CA4"/>
    <w:rsid w:val="00196D52"/>
    <w:rsid w:val="00196D5F"/>
    <w:rsid w:val="00196DB1"/>
    <w:rsid w:val="00196EA1"/>
    <w:rsid w:val="00196EDF"/>
    <w:rsid w:val="00196F5A"/>
    <w:rsid w:val="00196F9A"/>
    <w:rsid w:val="0019714E"/>
    <w:rsid w:val="001971E3"/>
    <w:rsid w:val="0019722F"/>
    <w:rsid w:val="00197309"/>
    <w:rsid w:val="0019732B"/>
    <w:rsid w:val="001973FB"/>
    <w:rsid w:val="00197489"/>
    <w:rsid w:val="00197579"/>
    <w:rsid w:val="001975E1"/>
    <w:rsid w:val="0019766C"/>
    <w:rsid w:val="0019781C"/>
    <w:rsid w:val="00197868"/>
    <w:rsid w:val="0019789F"/>
    <w:rsid w:val="001978D9"/>
    <w:rsid w:val="001978F9"/>
    <w:rsid w:val="001979D0"/>
    <w:rsid w:val="001979D6"/>
    <w:rsid w:val="00197AF4"/>
    <w:rsid w:val="00197B46"/>
    <w:rsid w:val="00197BAC"/>
    <w:rsid w:val="00197C28"/>
    <w:rsid w:val="00197C3D"/>
    <w:rsid w:val="00197CAE"/>
    <w:rsid w:val="00197CAF"/>
    <w:rsid w:val="00197D7F"/>
    <w:rsid w:val="00197DEB"/>
    <w:rsid w:val="00197EB9"/>
    <w:rsid w:val="00197F0B"/>
    <w:rsid w:val="00197F74"/>
    <w:rsid w:val="00197FB2"/>
    <w:rsid w:val="0019E16A"/>
    <w:rsid w:val="001A0028"/>
    <w:rsid w:val="001A007F"/>
    <w:rsid w:val="001A014E"/>
    <w:rsid w:val="001A0162"/>
    <w:rsid w:val="001A02DD"/>
    <w:rsid w:val="001A034C"/>
    <w:rsid w:val="001A0387"/>
    <w:rsid w:val="001A03F5"/>
    <w:rsid w:val="001A0492"/>
    <w:rsid w:val="001A0573"/>
    <w:rsid w:val="001A0621"/>
    <w:rsid w:val="001A06D1"/>
    <w:rsid w:val="001A072B"/>
    <w:rsid w:val="001A0791"/>
    <w:rsid w:val="001A07AA"/>
    <w:rsid w:val="001A07E6"/>
    <w:rsid w:val="001A0881"/>
    <w:rsid w:val="001A089F"/>
    <w:rsid w:val="001A08A7"/>
    <w:rsid w:val="001A08C1"/>
    <w:rsid w:val="001A0903"/>
    <w:rsid w:val="001A0912"/>
    <w:rsid w:val="001A0925"/>
    <w:rsid w:val="001A0959"/>
    <w:rsid w:val="001A09BC"/>
    <w:rsid w:val="001A09C9"/>
    <w:rsid w:val="001A09D2"/>
    <w:rsid w:val="001A0C20"/>
    <w:rsid w:val="001A0D42"/>
    <w:rsid w:val="001A0D5B"/>
    <w:rsid w:val="001A0D7A"/>
    <w:rsid w:val="001A0D99"/>
    <w:rsid w:val="001A0E06"/>
    <w:rsid w:val="001A0E22"/>
    <w:rsid w:val="001A0EB0"/>
    <w:rsid w:val="001A0F02"/>
    <w:rsid w:val="001A0F6F"/>
    <w:rsid w:val="001A10A6"/>
    <w:rsid w:val="001A1122"/>
    <w:rsid w:val="001A112B"/>
    <w:rsid w:val="001A1156"/>
    <w:rsid w:val="001A11A1"/>
    <w:rsid w:val="001A11C4"/>
    <w:rsid w:val="001A1269"/>
    <w:rsid w:val="001A1299"/>
    <w:rsid w:val="001A12C5"/>
    <w:rsid w:val="001A1361"/>
    <w:rsid w:val="001A1371"/>
    <w:rsid w:val="001A13A0"/>
    <w:rsid w:val="001A13C8"/>
    <w:rsid w:val="001A13F2"/>
    <w:rsid w:val="001A143C"/>
    <w:rsid w:val="001A16C5"/>
    <w:rsid w:val="001A16F7"/>
    <w:rsid w:val="001A176A"/>
    <w:rsid w:val="001A17AE"/>
    <w:rsid w:val="001A17C9"/>
    <w:rsid w:val="001A1810"/>
    <w:rsid w:val="001A1831"/>
    <w:rsid w:val="001A1845"/>
    <w:rsid w:val="001A19B4"/>
    <w:rsid w:val="001A19DF"/>
    <w:rsid w:val="001A1A11"/>
    <w:rsid w:val="001A1A3A"/>
    <w:rsid w:val="001A1ABE"/>
    <w:rsid w:val="001A1ABF"/>
    <w:rsid w:val="001A1AFF"/>
    <w:rsid w:val="001A1C5F"/>
    <w:rsid w:val="001A1DD7"/>
    <w:rsid w:val="001A1DD9"/>
    <w:rsid w:val="001A1E10"/>
    <w:rsid w:val="001A1E40"/>
    <w:rsid w:val="001A1E90"/>
    <w:rsid w:val="001A1EE1"/>
    <w:rsid w:val="001A1F06"/>
    <w:rsid w:val="001A1F96"/>
    <w:rsid w:val="001A1F99"/>
    <w:rsid w:val="001A1FC3"/>
    <w:rsid w:val="001A1FCE"/>
    <w:rsid w:val="001A1FF9"/>
    <w:rsid w:val="001A200F"/>
    <w:rsid w:val="001A211E"/>
    <w:rsid w:val="001A213B"/>
    <w:rsid w:val="001A21BB"/>
    <w:rsid w:val="001A2264"/>
    <w:rsid w:val="001A2329"/>
    <w:rsid w:val="001A234A"/>
    <w:rsid w:val="001A2377"/>
    <w:rsid w:val="001A2388"/>
    <w:rsid w:val="001A23B1"/>
    <w:rsid w:val="001A2442"/>
    <w:rsid w:val="001A247E"/>
    <w:rsid w:val="001A24D8"/>
    <w:rsid w:val="001A2513"/>
    <w:rsid w:val="001A2527"/>
    <w:rsid w:val="001A256A"/>
    <w:rsid w:val="001A25CD"/>
    <w:rsid w:val="001A25FC"/>
    <w:rsid w:val="001A263B"/>
    <w:rsid w:val="001A270F"/>
    <w:rsid w:val="001A274A"/>
    <w:rsid w:val="001A275C"/>
    <w:rsid w:val="001A2769"/>
    <w:rsid w:val="001A27AB"/>
    <w:rsid w:val="001A27CD"/>
    <w:rsid w:val="001A28D2"/>
    <w:rsid w:val="001A2937"/>
    <w:rsid w:val="001A2958"/>
    <w:rsid w:val="001A298B"/>
    <w:rsid w:val="001A298C"/>
    <w:rsid w:val="001A29EA"/>
    <w:rsid w:val="001A2AB5"/>
    <w:rsid w:val="001A2AE9"/>
    <w:rsid w:val="001A2B03"/>
    <w:rsid w:val="001A2B51"/>
    <w:rsid w:val="001A2B82"/>
    <w:rsid w:val="001A2B9A"/>
    <w:rsid w:val="001A2BA1"/>
    <w:rsid w:val="001A2BAC"/>
    <w:rsid w:val="001A2CA7"/>
    <w:rsid w:val="001A2D32"/>
    <w:rsid w:val="001A2E6B"/>
    <w:rsid w:val="001A2EFD"/>
    <w:rsid w:val="001A2FC6"/>
    <w:rsid w:val="001A2FDD"/>
    <w:rsid w:val="001A30A3"/>
    <w:rsid w:val="001A30C7"/>
    <w:rsid w:val="001A3112"/>
    <w:rsid w:val="001A31D4"/>
    <w:rsid w:val="001A3367"/>
    <w:rsid w:val="001A340D"/>
    <w:rsid w:val="001A34C8"/>
    <w:rsid w:val="001A34D1"/>
    <w:rsid w:val="001A359E"/>
    <w:rsid w:val="001A35DA"/>
    <w:rsid w:val="001A384A"/>
    <w:rsid w:val="001A38CF"/>
    <w:rsid w:val="001A3930"/>
    <w:rsid w:val="001A3986"/>
    <w:rsid w:val="001A3A0F"/>
    <w:rsid w:val="001A3A18"/>
    <w:rsid w:val="001A3A67"/>
    <w:rsid w:val="001A3AF5"/>
    <w:rsid w:val="001A3B7B"/>
    <w:rsid w:val="001A3BA9"/>
    <w:rsid w:val="001A3BC2"/>
    <w:rsid w:val="001A3C27"/>
    <w:rsid w:val="001A3C33"/>
    <w:rsid w:val="001A3C4C"/>
    <w:rsid w:val="001A3CBE"/>
    <w:rsid w:val="001A3D57"/>
    <w:rsid w:val="001A3DA9"/>
    <w:rsid w:val="001A3E10"/>
    <w:rsid w:val="001A3E27"/>
    <w:rsid w:val="001A3E5C"/>
    <w:rsid w:val="001A3E7A"/>
    <w:rsid w:val="001A3EA9"/>
    <w:rsid w:val="001A3EF8"/>
    <w:rsid w:val="001A3F4E"/>
    <w:rsid w:val="001A3F53"/>
    <w:rsid w:val="001A3F9F"/>
    <w:rsid w:val="001A3FC1"/>
    <w:rsid w:val="001A3FE6"/>
    <w:rsid w:val="001A40AE"/>
    <w:rsid w:val="001A40C9"/>
    <w:rsid w:val="001A413B"/>
    <w:rsid w:val="001A4268"/>
    <w:rsid w:val="001A42E1"/>
    <w:rsid w:val="001A4414"/>
    <w:rsid w:val="001A4550"/>
    <w:rsid w:val="001A4623"/>
    <w:rsid w:val="001A48CA"/>
    <w:rsid w:val="001A48D4"/>
    <w:rsid w:val="001A49FE"/>
    <w:rsid w:val="001A4A7E"/>
    <w:rsid w:val="001A4C61"/>
    <w:rsid w:val="001A4CBB"/>
    <w:rsid w:val="001A4CC5"/>
    <w:rsid w:val="001A4CFB"/>
    <w:rsid w:val="001A4CFE"/>
    <w:rsid w:val="001A4EF8"/>
    <w:rsid w:val="001A50A1"/>
    <w:rsid w:val="001A517B"/>
    <w:rsid w:val="001A51B6"/>
    <w:rsid w:val="001A51F6"/>
    <w:rsid w:val="001A5221"/>
    <w:rsid w:val="001A5260"/>
    <w:rsid w:val="001A52A4"/>
    <w:rsid w:val="001A5371"/>
    <w:rsid w:val="001A53F3"/>
    <w:rsid w:val="001A54A7"/>
    <w:rsid w:val="001A54C2"/>
    <w:rsid w:val="001A54C4"/>
    <w:rsid w:val="001A550F"/>
    <w:rsid w:val="001A5546"/>
    <w:rsid w:val="001A567A"/>
    <w:rsid w:val="001A56A9"/>
    <w:rsid w:val="001A56CC"/>
    <w:rsid w:val="001A56D1"/>
    <w:rsid w:val="001A58B4"/>
    <w:rsid w:val="001A5949"/>
    <w:rsid w:val="001A5958"/>
    <w:rsid w:val="001A5993"/>
    <w:rsid w:val="001A59B3"/>
    <w:rsid w:val="001A59C7"/>
    <w:rsid w:val="001A59DF"/>
    <w:rsid w:val="001A5A00"/>
    <w:rsid w:val="001A5A10"/>
    <w:rsid w:val="001A5A4C"/>
    <w:rsid w:val="001A5A73"/>
    <w:rsid w:val="001A5A79"/>
    <w:rsid w:val="001A5AAB"/>
    <w:rsid w:val="001A5AB2"/>
    <w:rsid w:val="001A5AD5"/>
    <w:rsid w:val="001A5B2A"/>
    <w:rsid w:val="001A5B73"/>
    <w:rsid w:val="001A5B80"/>
    <w:rsid w:val="001A5B8F"/>
    <w:rsid w:val="001A5BAA"/>
    <w:rsid w:val="001A5D71"/>
    <w:rsid w:val="001A5E26"/>
    <w:rsid w:val="001A5EC9"/>
    <w:rsid w:val="001A5ED2"/>
    <w:rsid w:val="001A6055"/>
    <w:rsid w:val="001A6165"/>
    <w:rsid w:val="001A61C2"/>
    <w:rsid w:val="001A61CC"/>
    <w:rsid w:val="001A6249"/>
    <w:rsid w:val="001A627D"/>
    <w:rsid w:val="001A6297"/>
    <w:rsid w:val="001A62D4"/>
    <w:rsid w:val="001A6310"/>
    <w:rsid w:val="001A6311"/>
    <w:rsid w:val="001A631D"/>
    <w:rsid w:val="001A6442"/>
    <w:rsid w:val="001A6485"/>
    <w:rsid w:val="001A64A4"/>
    <w:rsid w:val="001A64B3"/>
    <w:rsid w:val="001A6532"/>
    <w:rsid w:val="001A6593"/>
    <w:rsid w:val="001A663D"/>
    <w:rsid w:val="001A668D"/>
    <w:rsid w:val="001A668E"/>
    <w:rsid w:val="001A66FA"/>
    <w:rsid w:val="001A673E"/>
    <w:rsid w:val="001A6823"/>
    <w:rsid w:val="001A6872"/>
    <w:rsid w:val="001A6876"/>
    <w:rsid w:val="001A68AA"/>
    <w:rsid w:val="001A68B8"/>
    <w:rsid w:val="001A69BC"/>
    <w:rsid w:val="001A6A69"/>
    <w:rsid w:val="001A6A7F"/>
    <w:rsid w:val="001A6A89"/>
    <w:rsid w:val="001A6AB0"/>
    <w:rsid w:val="001A6AB9"/>
    <w:rsid w:val="001A6AD3"/>
    <w:rsid w:val="001A6B1B"/>
    <w:rsid w:val="001A6B1F"/>
    <w:rsid w:val="001A6B59"/>
    <w:rsid w:val="001A6B66"/>
    <w:rsid w:val="001A6B7C"/>
    <w:rsid w:val="001A6BAF"/>
    <w:rsid w:val="001A6BDA"/>
    <w:rsid w:val="001A6C59"/>
    <w:rsid w:val="001A6C80"/>
    <w:rsid w:val="001A6D55"/>
    <w:rsid w:val="001A6E76"/>
    <w:rsid w:val="001A6EB0"/>
    <w:rsid w:val="001A6F2A"/>
    <w:rsid w:val="001A6F39"/>
    <w:rsid w:val="001A6F76"/>
    <w:rsid w:val="001A6F8A"/>
    <w:rsid w:val="001A707C"/>
    <w:rsid w:val="001A7094"/>
    <w:rsid w:val="001A7111"/>
    <w:rsid w:val="001A7133"/>
    <w:rsid w:val="001A72C6"/>
    <w:rsid w:val="001A72FD"/>
    <w:rsid w:val="001A7304"/>
    <w:rsid w:val="001A7350"/>
    <w:rsid w:val="001A7358"/>
    <w:rsid w:val="001A739C"/>
    <w:rsid w:val="001A73AE"/>
    <w:rsid w:val="001A73D7"/>
    <w:rsid w:val="001A750D"/>
    <w:rsid w:val="001A7511"/>
    <w:rsid w:val="001A7526"/>
    <w:rsid w:val="001A75C0"/>
    <w:rsid w:val="001A7709"/>
    <w:rsid w:val="001A7752"/>
    <w:rsid w:val="001A77E0"/>
    <w:rsid w:val="001A7844"/>
    <w:rsid w:val="001A7856"/>
    <w:rsid w:val="001A7B1B"/>
    <w:rsid w:val="001A7B47"/>
    <w:rsid w:val="001A7B94"/>
    <w:rsid w:val="001A7C25"/>
    <w:rsid w:val="001A7C57"/>
    <w:rsid w:val="001A7C9C"/>
    <w:rsid w:val="001A7D5E"/>
    <w:rsid w:val="001A7E56"/>
    <w:rsid w:val="001A7EB2"/>
    <w:rsid w:val="001A7EE7"/>
    <w:rsid w:val="001A7EF7"/>
    <w:rsid w:val="001A7F2A"/>
    <w:rsid w:val="001A7F6E"/>
    <w:rsid w:val="001A7FC9"/>
    <w:rsid w:val="001A7FF7"/>
    <w:rsid w:val="001B0075"/>
    <w:rsid w:val="001B0082"/>
    <w:rsid w:val="001B00F5"/>
    <w:rsid w:val="001B00FE"/>
    <w:rsid w:val="001B011F"/>
    <w:rsid w:val="001B0136"/>
    <w:rsid w:val="001B0168"/>
    <w:rsid w:val="001B01A4"/>
    <w:rsid w:val="001B0327"/>
    <w:rsid w:val="001B0475"/>
    <w:rsid w:val="001B0497"/>
    <w:rsid w:val="001B05A8"/>
    <w:rsid w:val="001B05F6"/>
    <w:rsid w:val="001B066F"/>
    <w:rsid w:val="001B0765"/>
    <w:rsid w:val="001B07C2"/>
    <w:rsid w:val="001B0835"/>
    <w:rsid w:val="001B08C5"/>
    <w:rsid w:val="001B09BB"/>
    <w:rsid w:val="001B0A83"/>
    <w:rsid w:val="001B0AAC"/>
    <w:rsid w:val="001B0AD8"/>
    <w:rsid w:val="001B0B60"/>
    <w:rsid w:val="001B0BA6"/>
    <w:rsid w:val="001B0C12"/>
    <w:rsid w:val="001B0CA9"/>
    <w:rsid w:val="001B0CDC"/>
    <w:rsid w:val="001B0D1F"/>
    <w:rsid w:val="001B0D3A"/>
    <w:rsid w:val="001B0D73"/>
    <w:rsid w:val="001B0D7A"/>
    <w:rsid w:val="001B0DFD"/>
    <w:rsid w:val="001B0F16"/>
    <w:rsid w:val="001B0F68"/>
    <w:rsid w:val="001B10D3"/>
    <w:rsid w:val="001B10E1"/>
    <w:rsid w:val="001B1176"/>
    <w:rsid w:val="001B1206"/>
    <w:rsid w:val="001B122D"/>
    <w:rsid w:val="001B125F"/>
    <w:rsid w:val="001B12D8"/>
    <w:rsid w:val="001B1347"/>
    <w:rsid w:val="001B1412"/>
    <w:rsid w:val="001B14D0"/>
    <w:rsid w:val="001B14E7"/>
    <w:rsid w:val="001B151F"/>
    <w:rsid w:val="001B154C"/>
    <w:rsid w:val="001B159F"/>
    <w:rsid w:val="001B1615"/>
    <w:rsid w:val="001B1693"/>
    <w:rsid w:val="001B16C3"/>
    <w:rsid w:val="001B16D4"/>
    <w:rsid w:val="001B1708"/>
    <w:rsid w:val="001B1734"/>
    <w:rsid w:val="001B174F"/>
    <w:rsid w:val="001B175D"/>
    <w:rsid w:val="001B17A4"/>
    <w:rsid w:val="001B17DC"/>
    <w:rsid w:val="001B1812"/>
    <w:rsid w:val="001B1840"/>
    <w:rsid w:val="001B1844"/>
    <w:rsid w:val="001B1854"/>
    <w:rsid w:val="001B189E"/>
    <w:rsid w:val="001B1960"/>
    <w:rsid w:val="001B19F4"/>
    <w:rsid w:val="001B1A05"/>
    <w:rsid w:val="001B1A85"/>
    <w:rsid w:val="001B1A9A"/>
    <w:rsid w:val="001B1B16"/>
    <w:rsid w:val="001B1B39"/>
    <w:rsid w:val="001B1B58"/>
    <w:rsid w:val="001B1C1F"/>
    <w:rsid w:val="001B1C7A"/>
    <w:rsid w:val="001B1C8A"/>
    <w:rsid w:val="001B1C91"/>
    <w:rsid w:val="001B1C99"/>
    <w:rsid w:val="001B1DC5"/>
    <w:rsid w:val="001B1E6F"/>
    <w:rsid w:val="001B1E7C"/>
    <w:rsid w:val="001B1EA2"/>
    <w:rsid w:val="001B1F64"/>
    <w:rsid w:val="001B1F82"/>
    <w:rsid w:val="001B1FD7"/>
    <w:rsid w:val="001B2094"/>
    <w:rsid w:val="001B20E2"/>
    <w:rsid w:val="001B215B"/>
    <w:rsid w:val="001B217B"/>
    <w:rsid w:val="001B22D7"/>
    <w:rsid w:val="001B22E8"/>
    <w:rsid w:val="001B23F9"/>
    <w:rsid w:val="001B2531"/>
    <w:rsid w:val="001B2646"/>
    <w:rsid w:val="001B27A1"/>
    <w:rsid w:val="001B27E1"/>
    <w:rsid w:val="001B2899"/>
    <w:rsid w:val="001B2915"/>
    <w:rsid w:val="001B2917"/>
    <w:rsid w:val="001B29CF"/>
    <w:rsid w:val="001B2A7A"/>
    <w:rsid w:val="001B2A8D"/>
    <w:rsid w:val="001B2C81"/>
    <w:rsid w:val="001B2C9B"/>
    <w:rsid w:val="001B2CAD"/>
    <w:rsid w:val="001B2DDC"/>
    <w:rsid w:val="001B2E43"/>
    <w:rsid w:val="001B2E4A"/>
    <w:rsid w:val="001B2ED3"/>
    <w:rsid w:val="001B2ED7"/>
    <w:rsid w:val="001B2F24"/>
    <w:rsid w:val="001B2F79"/>
    <w:rsid w:val="001B2FDD"/>
    <w:rsid w:val="001B301C"/>
    <w:rsid w:val="001B309D"/>
    <w:rsid w:val="001B30D6"/>
    <w:rsid w:val="001B3138"/>
    <w:rsid w:val="001B31A4"/>
    <w:rsid w:val="001B324F"/>
    <w:rsid w:val="001B32A1"/>
    <w:rsid w:val="001B3420"/>
    <w:rsid w:val="001B3428"/>
    <w:rsid w:val="001B3436"/>
    <w:rsid w:val="001B34C7"/>
    <w:rsid w:val="001B3617"/>
    <w:rsid w:val="001B3741"/>
    <w:rsid w:val="001B379A"/>
    <w:rsid w:val="001B37BE"/>
    <w:rsid w:val="001B3867"/>
    <w:rsid w:val="001B38FC"/>
    <w:rsid w:val="001B3908"/>
    <w:rsid w:val="001B3A0F"/>
    <w:rsid w:val="001B3A7D"/>
    <w:rsid w:val="001B3B46"/>
    <w:rsid w:val="001B3CCB"/>
    <w:rsid w:val="001B3D15"/>
    <w:rsid w:val="001B3DEB"/>
    <w:rsid w:val="001B3E76"/>
    <w:rsid w:val="001B3F10"/>
    <w:rsid w:val="001B3F12"/>
    <w:rsid w:val="001B4001"/>
    <w:rsid w:val="001B408A"/>
    <w:rsid w:val="001B40CC"/>
    <w:rsid w:val="001B4118"/>
    <w:rsid w:val="001B4154"/>
    <w:rsid w:val="001B4181"/>
    <w:rsid w:val="001B4192"/>
    <w:rsid w:val="001B41BA"/>
    <w:rsid w:val="001B421F"/>
    <w:rsid w:val="001B4262"/>
    <w:rsid w:val="001B43E9"/>
    <w:rsid w:val="001B44A6"/>
    <w:rsid w:val="001B44C9"/>
    <w:rsid w:val="001B451E"/>
    <w:rsid w:val="001B4594"/>
    <w:rsid w:val="001B45DE"/>
    <w:rsid w:val="001B45FF"/>
    <w:rsid w:val="001B46AF"/>
    <w:rsid w:val="001B46C2"/>
    <w:rsid w:val="001B473B"/>
    <w:rsid w:val="001B4832"/>
    <w:rsid w:val="001B483B"/>
    <w:rsid w:val="001B4893"/>
    <w:rsid w:val="001B48CC"/>
    <w:rsid w:val="001B49FF"/>
    <w:rsid w:val="001B4ABA"/>
    <w:rsid w:val="001B4AEF"/>
    <w:rsid w:val="001B4C12"/>
    <w:rsid w:val="001B4D17"/>
    <w:rsid w:val="001B4D97"/>
    <w:rsid w:val="001B4E94"/>
    <w:rsid w:val="001B4EC3"/>
    <w:rsid w:val="001B4ED4"/>
    <w:rsid w:val="001B4ED5"/>
    <w:rsid w:val="001B4F2D"/>
    <w:rsid w:val="001B4F4C"/>
    <w:rsid w:val="001B4F98"/>
    <w:rsid w:val="001B505B"/>
    <w:rsid w:val="001B5124"/>
    <w:rsid w:val="001B526D"/>
    <w:rsid w:val="001B52AC"/>
    <w:rsid w:val="001B5308"/>
    <w:rsid w:val="001B53FD"/>
    <w:rsid w:val="001B5449"/>
    <w:rsid w:val="001B54FD"/>
    <w:rsid w:val="001B5553"/>
    <w:rsid w:val="001B5597"/>
    <w:rsid w:val="001B55BD"/>
    <w:rsid w:val="001B5647"/>
    <w:rsid w:val="001B564E"/>
    <w:rsid w:val="001B566C"/>
    <w:rsid w:val="001B5681"/>
    <w:rsid w:val="001B57A0"/>
    <w:rsid w:val="001B57A8"/>
    <w:rsid w:val="001B57E8"/>
    <w:rsid w:val="001B5814"/>
    <w:rsid w:val="001B5846"/>
    <w:rsid w:val="001B58D0"/>
    <w:rsid w:val="001B5915"/>
    <w:rsid w:val="001B5926"/>
    <w:rsid w:val="001B59CE"/>
    <w:rsid w:val="001B59DD"/>
    <w:rsid w:val="001B5A40"/>
    <w:rsid w:val="001B5A6F"/>
    <w:rsid w:val="001B5A9D"/>
    <w:rsid w:val="001B5B0B"/>
    <w:rsid w:val="001B5B5E"/>
    <w:rsid w:val="001B5C2A"/>
    <w:rsid w:val="001B5C77"/>
    <w:rsid w:val="001B5D34"/>
    <w:rsid w:val="001B5DF7"/>
    <w:rsid w:val="001B5E2F"/>
    <w:rsid w:val="001B5E4B"/>
    <w:rsid w:val="001B5FA5"/>
    <w:rsid w:val="001B6057"/>
    <w:rsid w:val="001B605D"/>
    <w:rsid w:val="001B60E3"/>
    <w:rsid w:val="001B60F0"/>
    <w:rsid w:val="001B6115"/>
    <w:rsid w:val="001B617F"/>
    <w:rsid w:val="001B6258"/>
    <w:rsid w:val="001B6261"/>
    <w:rsid w:val="001B6290"/>
    <w:rsid w:val="001B62DF"/>
    <w:rsid w:val="001B63D1"/>
    <w:rsid w:val="001B64B2"/>
    <w:rsid w:val="001B64D9"/>
    <w:rsid w:val="001B6619"/>
    <w:rsid w:val="001B6626"/>
    <w:rsid w:val="001B6627"/>
    <w:rsid w:val="001B6672"/>
    <w:rsid w:val="001B667A"/>
    <w:rsid w:val="001B66F5"/>
    <w:rsid w:val="001B6740"/>
    <w:rsid w:val="001B67C5"/>
    <w:rsid w:val="001B6800"/>
    <w:rsid w:val="001B685D"/>
    <w:rsid w:val="001B68A3"/>
    <w:rsid w:val="001B68A8"/>
    <w:rsid w:val="001B699C"/>
    <w:rsid w:val="001B69AD"/>
    <w:rsid w:val="001B6A69"/>
    <w:rsid w:val="001B6B06"/>
    <w:rsid w:val="001B6BA2"/>
    <w:rsid w:val="001B6C27"/>
    <w:rsid w:val="001B6CB2"/>
    <w:rsid w:val="001B6D63"/>
    <w:rsid w:val="001B6DDD"/>
    <w:rsid w:val="001B6DE6"/>
    <w:rsid w:val="001B6E69"/>
    <w:rsid w:val="001B6E83"/>
    <w:rsid w:val="001B6ED5"/>
    <w:rsid w:val="001B6EE0"/>
    <w:rsid w:val="001B6FBC"/>
    <w:rsid w:val="001B6FFE"/>
    <w:rsid w:val="001B7023"/>
    <w:rsid w:val="001B704C"/>
    <w:rsid w:val="001B7096"/>
    <w:rsid w:val="001B70DA"/>
    <w:rsid w:val="001B7151"/>
    <w:rsid w:val="001B7159"/>
    <w:rsid w:val="001B71AC"/>
    <w:rsid w:val="001B7227"/>
    <w:rsid w:val="001B727A"/>
    <w:rsid w:val="001B7360"/>
    <w:rsid w:val="001B747F"/>
    <w:rsid w:val="001B74D3"/>
    <w:rsid w:val="001B74EA"/>
    <w:rsid w:val="001B750D"/>
    <w:rsid w:val="001B7512"/>
    <w:rsid w:val="001B75CB"/>
    <w:rsid w:val="001B7635"/>
    <w:rsid w:val="001B764D"/>
    <w:rsid w:val="001B76F1"/>
    <w:rsid w:val="001B7798"/>
    <w:rsid w:val="001B7832"/>
    <w:rsid w:val="001B78EF"/>
    <w:rsid w:val="001B792B"/>
    <w:rsid w:val="001B794F"/>
    <w:rsid w:val="001B7B40"/>
    <w:rsid w:val="001B7D06"/>
    <w:rsid w:val="001B7D1F"/>
    <w:rsid w:val="001B7D31"/>
    <w:rsid w:val="001B7D6B"/>
    <w:rsid w:val="001B7E75"/>
    <w:rsid w:val="001B7F17"/>
    <w:rsid w:val="001B7FBD"/>
    <w:rsid w:val="001B7FD8"/>
    <w:rsid w:val="001B7FF2"/>
    <w:rsid w:val="001C016C"/>
    <w:rsid w:val="001C025C"/>
    <w:rsid w:val="001C0309"/>
    <w:rsid w:val="001C035E"/>
    <w:rsid w:val="001C0459"/>
    <w:rsid w:val="001C0498"/>
    <w:rsid w:val="001C0514"/>
    <w:rsid w:val="001C063D"/>
    <w:rsid w:val="001C06A5"/>
    <w:rsid w:val="001C06BA"/>
    <w:rsid w:val="001C06D9"/>
    <w:rsid w:val="001C070D"/>
    <w:rsid w:val="001C071F"/>
    <w:rsid w:val="001C0735"/>
    <w:rsid w:val="001C0824"/>
    <w:rsid w:val="001C08A3"/>
    <w:rsid w:val="001C095F"/>
    <w:rsid w:val="001C0A39"/>
    <w:rsid w:val="001C0ABD"/>
    <w:rsid w:val="001C0B2E"/>
    <w:rsid w:val="001C0BDD"/>
    <w:rsid w:val="001C0C2F"/>
    <w:rsid w:val="001C0C35"/>
    <w:rsid w:val="001C0C94"/>
    <w:rsid w:val="001C0CBC"/>
    <w:rsid w:val="001C0CEA"/>
    <w:rsid w:val="001C0D20"/>
    <w:rsid w:val="001C0DB6"/>
    <w:rsid w:val="001C0DE8"/>
    <w:rsid w:val="001C0DFB"/>
    <w:rsid w:val="001C0F03"/>
    <w:rsid w:val="001C0F35"/>
    <w:rsid w:val="001C0F4E"/>
    <w:rsid w:val="001C0F75"/>
    <w:rsid w:val="001C0FFB"/>
    <w:rsid w:val="001C1002"/>
    <w:rsid w:val="001C104E"/>
    <w:rsid w:val="001C1077"/>
    <w:rsid w:val="001C10F2"/>
    <w:rsid w:val="001C10FD"/>
    <w:rsid w:val="001C114F"/>
    <w:rsid w:val="001C1165"/>
    <w:rsid w:val="001C1167"/>
    <w:rsid w:val="001C11A0"/>
    <w:rsid w:val="001C1243"/>
    <w:rsid w:val="001C1275"/>
    <w:rsid w:val="001C12CD"/>
    <w:rsid w:val="001C1346"/>
    <w:rsid w:val="001C13CB"/>
    <w:rsid w:val="001C1494"/>
    <w:rsid w:val="001C15E0"/>
    <w:rsid w:val="001C164F"/>
    <w:rsid w:val="001C1666"/>
    <w:rsid w:val="001C1669"/>
    <w:rsid w:val="001C1683"/>
    <w:rsid w:val="001C16FC"/>
    <w:rsid w:val="001C1791"/>
    <w:rsid w:val="001C17BB"/>
    <w:rsid w:val="001C1867"/>
    <w:rsid w:val="001C18C4"/>
    <w:rsid w:val="001C18F2"/>
    <w:rsid w:val="001C1990"/>
    <w:rsid w:val="001C1A40"/>
    <w:rsid w:val="001C1A80"/>
    <w:rsid w:val="001C1AA2"/>
    <w:rsid w:val="001C1AB7"/>
    <w:rsid w:val="001C1ACC"/>
    <w:rsid w:val="001C1AD6"/>
    <w:rsid w:val="001C1B06"/>
    <w:rsid w:val="001C1B0C"/>
    <w:rsid w:val="001C1B4F"/>
    <w:rsid w:val="001C1BFD"/>
    <w:rsid w:val="001C1D38"/>
    <w:rsid w:val="001C1D3B"/>
    <w:rsid w:val="001C1D7D"/>
    <w:rsid w:val="001C1E59"/>
    <w:rsid w:val="001C1E5A"/>
    <w:rsid w:val="001C1ED3"/>
    <w:rsid w:val="001C1EDB"/>
    <w:rsid w:val="001C1EE6"/>
    <w:rsid w:val="001C1F19"/>
    <w:rsid w:val="001C1F92"/>
    <w:rsid w:val="001C2038"/>
    <w:rsid w:val="001C2115"/>
    <w:rsid w:val="001C211D"/>
    <w:rsid w:val="001C2142"/>
    <w:rsid w:val="001C227F"/>
    <w:rsid w:val="001C22A2"/>
    <w:rsid w:val="001C22AD"/>
    <w:rsid w:val="001C2348"/>
    <w:rsid w:val="001C2352"/>
    <w:rsid w:val="001C237F"/>
    <w:rsid w:val="001C23D1"/>
    <w:rsid w:val="001C23E5"/>
    <w:rsid w:val="001C2404"/>
    <w:rsid w:val="001C2470"/>
    <w:rsid w:val="001C2492"/>
    <w:rsid w:val="001C24E3"/>
    <w:rsid w:val="001C275E"/>
    <w:rsid w:val="001C2772"/>
    <w:rsid w:val="001C283F"/>
    <w:rsid w:val="001C2862"/>
    <w:rsid w:val="001C2A92"/>
    <w:rsid w:val="001C2AC6"/>
    <w:rsid w:val="001C2AD0"/>
    <w:rsid w:val="001C2B14"/>
    <w:rsid w:val="001C2B21"/>
    <w:rsid w:val="001C2B87"/>
    <w:rsid w:val="001C2D3B"/>
    <w:rsid w:val="001C2D3E"/>
    <w:rsid w:val="001C2D4C"/>
    <w:rsid w:val="001C2E45"/>
    <w:rsid w:val="001C2E76"/>
    <w:rsid w:val="001C2F48"/>
    <w:rsid w:val="001C3023"/>
    <w:rsid w:val="001C30DD"/>
    <w:rsid w:val="001C3167"/>
    <w:rsid w:val="001C31B2"/>
    <w:rsid w:val="001C3276"/>
    <w:rsid w:val="001C32DA"/>
    <w:rsid w:val="001C3316"/>
    <w:rsid w:val="001C3388"/>
    <w:rsid w:val="001C33CB"/>
    <w:rsid w:val="001C33E4"/>
    <w:rsid w:val="001C3486"/>
    <w:rsid w:val="001C34B8"/>
    <w:rsid w:val="001C351C"/>
    <w:rsid w:val="001C3578"/>
    <w:rsid w:val="001C357E"/>
    <w:rsid w:val="001C35F5"/>
    <w:rsid w:val="001C36ED"/>
    <w:rsid w:val="001C3705"/>
    <w:rsid w:val="001C371E"/>
    <w:rsid w:val="001C3783"/>
    <w:rsid w:val="001C386C"/>
    <w:rsid w:val="001C38CC"/>
    <w:rsid w:val="001C39DA"/>
    <w:rsid w:val="001C3A90"/>
    <w:rsid w:val="001C3B3F"/>
    <w:rsid w:val="001C3B64"/>
    <w:rsid w:val="001C3B87"/>
    <w:rsid w:val="001C3BC7"/>
    <w:rsid w:val="001C3CC3"/>
    <w:rsid w:val="001C3CF9"/>
    <w:rsid w:val="001C3D5E"/>
    <w:rsid w:val="001C3DDD"/>
    <w:rsid w:val="001C3DF0"/>
    <w:rsid w:val="001C3DFA"/>
    <w:rsid w:val="001C3EA5"/>
    <w:rsid w:val="001C3EF5"/>
    <w:rsid w:val="001C3EF8"/>
    <w:rsid w:val="001C3F51"/>
    <w:rsid w:val="001C3F58"/>
    <w:rsid w:val="001C3F78"/>
    <w:rsid w:val="001C4046"/>
    <w:rsid w:val="001C40E8"/>
    <w:rsid w:val="001C40EB"/>
    <w:rsid w:val="001C413D"/>
    <w:rsid w:val="001C41B4"/>
    <w:rsid w:val="001C4267"/>
    <w:rsid w:val="001C428B"/>
    <w:rsid w:val="001C42CA"/>
    <w:rsid w:val="001C4308"/>
    <w:rsid w:val="001C43F1"/>
    <w:rsid w:val="001C4412"/>
    <w:rsid w:val="001C4438"/>
    <w:rsid w:val="001C44A3"/>
    <w:rsid w:val="001C44AA"/>
    <w:rsid w:val="001C44AD"/>
    <w:rsid w:val="001C44BA"/>
    <w:rsid w:val="001C4581"/>
    <w:rsid w:val="001C45CA"/>
    <w:rsid w:val="001C461A"/>
    <w:rsid w:val="001C462C"/>
    <w:rsid w:val="001C46D2"/>
    <w:rsid w:val="001C4727"/>
    <w:rsid w:val="001C472B"/>
    <w:rsid w:val="001C4933"/>
    <w:rsid w:val="001C4971"/>
    <w:rsid w:val="001C49EC"/>
    <w:rsid w:val="001C4A24"/>
    <w:rsid w:val="001C4A54"/>
    <w:rsid w:val="001C4AD6"/>
    <w:rsid w:val="001C4AF0"/>
    <w:rsid w:val="001C4AF6"/>
    <w:rsid w:val="001C4B0D"/>
    <w:rsid w:val="001C4CDB"/>
    <w:rsid w:val="001C4D1E"/>
    <w:rsid w:val="001C4D80"/>
    <w:rsid w:val="001C4DB4"/>
    <w:rsid w:val="001C4DCA"/>
    <w:rsid w:val="001C4DDD"/>
    <w:rsid w:val="001C4DFE"/>
    <w:rsid w:val="001C4E7F"/>
    <w:rsid w:val="001C4E9B"/>
    <w:rsid w:val="001C4F27"/>
    <w:rsid w:val="001C4F4B"/>
    <w:rsid w:val="001C5000"/>
    <w:rsid w:val="001C5010"/>
    <w:rsid w:val="001C5037"/>
    <w:rsid w:val="001C505B"/>
    <w:rsid w:val="001C5310"/>
    <w:rsid w:val="001C5329"/>
    <w:rsid w:val="001C5531"/>
    <w:rsid w:val="001C562E"/>
    <w:rsid w:val="001C5638"/>
    <w:rsid w:val="001C569E"/>
    <w:rsid w:val="001C569F"/>
    <w:rsid w:val="001C5727"/>
    <w:rsid w:val="001C5903"/>
    <w:rsid w:val="001C598F"/>
    <w:rsid w:val="001C599D"/>
    <w:rsid w:val="001C59F9"/>
    <w:rsid w:val="001C5AFC"/>
    <w:rsid w:val="001C5BAB"/>
    <w:rsid w:val="001C5BB8"/>
    <w:rsid w:val="001C5BD4"/>
    <w:rsid w:val="001C5C0E"/>
    <w:rsid w:val="001C5C2E"/>
    <w:rsid w:val="001C5C47"/>
    <w:rsid w:val="001C5CE6"/>
    <w:rsid w:val="001C5CE8"/>
    <w:rsid w:val="001C5D8C"/>
    <w:rsid w:val="001C5DB2"/>
    <w:rsid w:val="001C5E30"/>
    <w:rsid w:val="001C5ED4"/>
    <w:rsid w:val="001C5F72"/>
    <w:rsid w:val="001C5F8A"/>
    <w:rsid w:val="001C6159"/>
    <w:rsid w:val="001C625A"/>
    <w:rsid w:val="001C625B"/>
    <w:rsid w:val="001C62A0"/>
    <w:rsid w:val="001C62AF"/>
    <w:rsid w:val="001C638F"/>
    <w:rsid w:val="001C639D"/>
    <w:rsid w:val="001C63F9"/>
    <w:rsid w:val="001C6557"/>
    <w:rsid w:val="001C655E"/>
    <w:rsid w:val="001C65E4"/>
    <w:rsid w:val="001C669D"/>
    <w:rsid w:val="001C66BC"/>
    <w:rsid w:val="001C66F3"/>
    <w:rsid w:val="001C6724"/>
    <w:rsid w:val="001C676A"/>
    <w:rsid w:val="001C676E"/>
    <w:rsid w:val="001C67B8"/>
    <w:rsid w:val="001C67BE"/>
    <w:rsid w:val="001C67C0"/>
    <w:rsid w:val="001C6826"/>
    <w:rsid w:val="001C683A"/>
    <w:rsid w:val="001C68A2"/>
    <w:rsid w:val="001C68A3"/>
    <w:rsid w:val="001C6904"/>
    <w:rsid w:val="001C69C3"/>
    <w:rsid w:val="001C6AE1"/>
    <w:rsid w:val="001C6AEB"/>
    <w:rsid w:val="001C6B2E"/>
    <w:rsid w:val="001C6B32"/>
    <w:rsid w:val="001C6B56"/>
    <w:rsid w:val="001C6B6F"/>
    <w:rsid w:val="001C6BC2"/>
    <w:rsid w:val="001C6CBA"/>
    <w:rsid w:val="001C6D15"/>
    <w:rsid w:val="001C6D3B"/>
    <w:rsid w:val="001C6DF9"/>
    <w:rsid w:val="001C6E10"/>
    <w:rsid w:val="001C6E70"/>
    <w:rsid w:val="001C6E8D"/>
    <w:rsid w:val="001C6ED9"/>
    <w:rsid w:val="001C6EF7"/>
    <w:rsid w:val="001C6F2C"/>
    <w:rsid w:val="001C6F36"/>
    <w:rsid w:val="001C6F87"/>
    <w:rsid w:val="001C6FF6"/>
    <w:rsid w:val="001C7046"/>
    <w:rsid w:val="001C707A"/>
    <w:rsid w:val="001C71D7"/>
    <w:rsid w:val="001C7213"/>
    <w:rsid w:val="001C72EA"/>
    <w:rsid w:val="001C7328"/>
    <w:rsid w:val="001C7372"/>
    <w:rsid w:val="001C7450"/>
    <w:rsid w:val="001C747E"/>
    <w:rsid w:val="001C74D4"/>
    <w:rsid w:val="001C75A6"/>
    <w:rsid w:val="001C75C6"/>
    <w:rsid w:val="001C75F4"/>
    <w:rsid w:val="001C767C"/>
    <w:rsid w:val="001C7774"/>
    <w:rsid w:val="001C7847"/>
    <w:rsid w:val="001C793D"/>
    <w:rsid w:val="001C7A27"/>
    <w:rsid w:val="001C7A71"/>
    <w:rsid w:val="001C7A7B"/>
    <w:rsid w:val="001C7B00"/>
    <w:rsid w:val="001C7B16"/>
    <w:rsid w:val="001C7C8B"/>
    <w:rsid w:val="001C7CC0"/>
    <w:rsid w:val="001C7D7B"/>
    <w:rsid w:val="001C7DA1"/>
    <w:rsid w:val="001C7E02"/>
    <w:rsid w:val="001C7E3D"/>
    <w:rsid w:val="001C7E40"/>
    <w:rsid w:val="001C7E59"/>
    <w:rsid w:val="001C7EE7"/>
    <w:rsid w:val="001C7EFA"/>
    <w:rsid w:val="001C7F09"/>
    <w:rsid w:val="001C7F0A"/>
    <w:rsid w:val="001C7F45"/>
    <w:rsid w:val="001C7F46"/>
    <w:rsid w:val="001C7F67"/>
    <w:rsid w:val="001C7FBC"/>
    <w:rsid w:val="001D0011"/>
    <w:rsid w:val="001D002E"/>
    <w:rsid w:val="001D018E"/>
    <w:rsid w:val="001D01E6"/>
    <w:rsid w:val="001D020D"/>
    <w:rsid w:val="001D025F"/>
    <w:rsid w:val="001D02B8"/>
    <w:rsid w:val="001D031A"/>
    <w:rsid w:val="001D044E"/>
    <w:rsid w:val="001D050D"/>
    <w:rsid w:val="001D06A8"/>
    <w:rsid w:val="001D07A7"/>
    <w:rsid w:val="001D07B2"/>
    <w:rsid w:val="001D08C7"/>
    <w:rsid w:val="001D08EB"/>
    <w:rsid w:val="001D09AA"/>
    <w:rsid w:val="001D09B9"/>
    <w:rsid w:val="001D0A21"/>
    <w:rsid w:val="001D0A5F"/>
    <w:rsid w:val="001D0A77"/>
    <w:rsid w:val="001D0B56"/>
    <w:rsid w:val="001D0BBE"/>
    <w:rsid w:val="001D0BE7"/>
    <w:rsid w:val="001D0C42"/>
    <w:rsid w:val="001D0CBB"/>
    <w:rsid w:val="001D0D1C"/>
    <w:rsid w:val="001D0D7A"/>
    <w:rsid w:val="001D0DF3"/>
    <w:rsid w:val="001D0DF9"/>
    <w:rsid w:val="001D0E62"/>
    <w:rsid w:val="001D0E6A"/>
    <w:rsid w:val="001D0ECF"/>
    <w:rsid w:val="001D0EE1"/>
    <w:rsid w:val="001D0EFD"/>
    <w:rsid w:val="001D0F04"/>
    <w:rsid w:val="001D1063"/>
    <w:rsid w:val="001D1110"/>
    <w:rsid w:val="001D11AD"/>
    <w:rsid w:val="001D11E4"/>
    <w:rsid w:val="001D124A"/>
    <w:rsid w:val="001D150E"/>
    <w:rsid w:val="001D1527"/>
    <w:rsid w:val="001D1710"/>
    <w:rsid w:val="001D1889"/>
    <w:rsid w:val="001D18CF"/>
    <w:rsid w:val="001D1954"/>
    <w:rsid w:val="001D1A7E"/>
    <w:rsid w:val="001D1A86"/>
    <w:rsid w:val="001D1ABA"/>
    <w:rsid w:val="001D1BAC"/>
    <w:rsid w:val="001D1BF0"/>
    <w:rsid w:val="001D1C0C"/>
    <w:rsid w:val="001D1C78"/>
    <w:rsid w:val="001D1E11"/>
    <w:rsid w:val="001D1EBE"/>
    <w:rsid w:val="001D1EE3"/>
    <w:rsid w:val="001D2043"/>
    <w:rsid w:val="001D209A"/>
    <w:rsid w:val="001D20C0"/>
    <w:rsid w:val="001D211B"/>
    <w:rsid w:val="001D219B"/>
    <w:rsid w:val="001D2234"/>
    <w:rsid w:val="001D22F6"/>
    <w:rsid w:val="001D231F"/>
    <w:rsid w:val="001D2372"/>
    <w:rsid w:val="001D238E"/>
    <w:rsid w:val="001D2466"/>
    <w:rsid w:val="001D24B8"/>
    <w:rsid w:val="001D24C8"/>
    <w:rsid w:val="001D252F"/>
    <w:rsid w:val="001D25F4"/>
    <w:rsid w:val="001D2654"/>
    <w:rsid w:val="001D2690"/>
    <w:rsid w:val="001D26B7"/>
    <w:rsid w:val="001D26D4"/>
    <w:rsid w:val="001D270B"/>
    <w:rsid w:val="001D2879"/>
    <w:rsid w:val="001D28C3"/>
    <w:rsid w:val="001D28E8"/>
    <w:rsid w:val="001D28EC"/>
    <w:rsid w:val="001D29B0"/>
    <w:rsid w:val="001D2A60"/>
    <w:rsid w:val="001D2A6C"/>
    <w:rsid w:val="001D2A88"/>
    <w:rsid w:val="001D2B08"/>
    <w:rsid w:val="001D2B44"/>
    <w:rsid w:val="001D2BB1"/>
    <w:rsid w:val="001D2C78"/>
    <w:rsid w:val="001D2CC6"/>
    <w:rsid w:val="001D2DD9"/>
    <w:rsid w:val="001D2DE0"/>
    <w:rsid w:val="001D2E66"/>
    <w:rsid w:val="001D2E86"/>
    <w:rsid w:val="001D2EB9"/>
    <w:rsid w:val="001D2EEC"/>
    <w:rsid w:val="001D2F33"/>
    <w:rsid w:val="001D2FF0"/>
    <w:rsid w:val="001D3001"/>
    <w:rsid w:val="001D306E"/>
    <w:rsid w:val="001D3076"/>
    <w:rsid w:val="001D3077"/>
    <w:rsid w:val="001D3108"/>
    <w:rsid w:val="001D314A"/>
    <w:rsid w:val="001D314D"/>
    <w:rsid w:val="001D3240"/>
    <w:rsid w:val="001D331D"/>
    <w:rsid w:val="001D3391"/>
    <w:rsid w:val="001D33D7"/>
    <w:rsid w:val="001D340B"/>
    <w:rsid w:val="001D341E"/>
    <w:rsid w:val="001D343B"/>
    <w:rsid w:val="001D3473"/>
    <w:rsid w:val="001D3517"/>
    <w:rsid w:val="001D35BE"/>
    <w:rsid w:val="001D3610"/>
    <w:rsid w:val="001D36FA"/>
    <w:rsid w:val="001D3745"/>
    <w:rsid w:val="001D375D"/>
    <w:rsid w:val="001D384D"/>
    <w:rsid w:val="001D38AB"/>
    <w:rsid w:val="001D38CE"/>
    <w:rsid w:val="001D3917"/>
    <w:rsid w:val="001D3945"/>
    <w:rsid w:val="001D395C"/>
    <w:rsid w:val="001D3982"/>
    <w:rsid w:val="001D39E2"/>
    <w:rsid w:val="001D39FC"/>
    <w:rsid w:val="001D3A42"/>
    <w:rsid w:val="001D3A62"/>
    <w:rsid w:val="001D3AEC"/>
    <w:rsid w:val="001D3B4E"/>
    <w:rsid w:val="001D3B8D"/>
    <w:rsid w:val="001D3BC1"/>
    <w:rsid w:val="001D3C3F"/>
    <w:rsid w:val="001D3DAB"/>
    <w:rsid w:val="001D3E17"/>
    <w:rsid w:val="001D3EC2"/>
    <w:rsid w:val="001D3EE9"/>
    <w:rsid w:val="001D3F53"/>
    <w:rsid w:val="001D4025"/>
    <w:rsid w:val="001D40CC"/>
    <w:rsid w:val="001D40CF"/>
    <w:rsid w:val="001D414E"/>
    <w:rsid w:val="001D418F"/>
    <w:rsid w:val="001D41D6"/>
    <w:rsid w:val="001D41E4"/>
    <w:rsid w:val="001D42F4"/>
    <w:rsid w:val="001D4354"/>
    <w:rsid w:val="001D4360"/>
    <w:rsid w:val="001D439A"/>
    <w:rsid w:val="001D43A7"/>
    <w:rsid w:val="001D4424"/>
    <w:rsid w:val="001D44AB"/>
    <w:rsid w:val="001D453C"/>
    <w:rsid w:val="001D45D1"/>
    <w:rsid w:val="001D467F"/>
    <w:rsid w:val="001D4699"/>
    <w:rsid w:val="001D46A8"/>
    <w:rsid w:val="001D47B1"/>
    <w:rsid w:val="001D4894"/>
    <w:rsid w:val="001D48D7"/>
    <w:rsid w:val="001D48DC"/>
    <w:rsid w:val="001D493A"/>
    <w:rsid w:val="001D4987"/>
    <w:rsid w:val="001D49D0"/>
    <w:rsid w:val="001D4A15"/>
    <w:rsid w:val="001D4A6E"/>
    <w:rsid w:val="001D4A97"/>
    <w:rsid w:val="001D4ADB"/>
    <w:rsid w:val="001D4AF4"/>
    <w:rsid w:val="001D4B15"/>
    <w:rsid w:val="001D4B2A"/>
    <w:rsid w:val="001D4CB4"/>
    <w:rsid w:val="001D4D0D"/>
    <w:rsid w:val="001D4E93"/>
    <w:rsid w:val="001D4EDB"/>
    <w:rsid w:val="001D4F93"/>
    <w:rsid w:val="001D5025"/>
    <w:rsid w:val="001D5038"/>
    <w:rsid w:val="001D5048"/>
    <w:rsid w:val="001D5180"/>
    <w:rsid w:val="001D521F"/>
    <w:rsid w:val="001D52B1"/>
    <w:rsid w:val="001D53B5"/>
    <w:rsid w:val="001D54A1"/>
    <w:rsid w:val="001D54AF"/>
    <w:rsid w:val="001D54D5"/>
    <w:rsid w:val="001D54F5"/>
    <w:rsid w:val="001D5541"/>
    <w:rsid w:val="001D5578"/>
    <w:rsid w:val="001D5615"/>
    <w:rsid w:val="001D572C"/>
    <w:rsid w:val="001D57C0"/>
    <w:rsid w:val="001D5805"/>
    <w:rsid w:val="001D5896"/>
    <w:rsid w:val="001D58B4"/>
    <w:rsid w:val="001D58E9"/>
    <w:rsid w:val="001D5963"/>
    <w:rsid w:val="001D5A37"/>
    <w:rsid w:val="001D5A72"/>
    <w:rsid w:val="001D5AF0"/>
    <w:rsid w:val="001D5C04"/>
    <w:rsid w:val="001D5C41"/>
    <w:rsid w:val="001D5CF7"/>
    <w:rsid w:val="001D5D82"/>
    <w:rsid w:val="001D5DCA"/>
    <w:rsid w:val="001D5E80"/>
    <w:rsid w:val="001D5E91"/>
    <w:rsid w:val="001D5F29"/>
    <w:rsid w:val="001D5FB3"/>
    <w:rsid w:val="001D5FC1"/>
    <w:rsid w:val="001D602D"/>
    <w:rsid w:val="001D6061"/>
    <w:rsid w:val="001D60AD"/>
    <w:rsid w:val="001D6174"/>
    <w:rsid w:val="001D6198"/>
    <w:rsid w:val="001D621B"/>
    <w:rsid w:val="001D62E5"/>
    <w:rsid w:val="001D6391"/>
    <w:rsid w:val="001D6410"/>
    <w:rsid w:val="001D642A"/>
    <w:rsid w:val="001D6445"/>
    <w:rsid w:val="001D6464"/>
    <w:rsid w:val="001D6477"/>
    <w:rsid w:val="001D6480"/>
    <w:rsid w:val="001D64A4"/>
    <w:rsid w:val="001D64B7"/>
    <w:rsid w:val="001D64E8"/>
    <w:rsid w:val="001D6513"/>
    <w:rsid w:val="001D654C"/>
    <w:rsid w:val="001D6563"/>
    <w:rsid w:val="001D65CE"/>
    <w:rsid w:val="001D667A"/>
    <w:rsid w:val="001D668E"/>
    <w:rsid w:val="001D66C1"/>
    <w:rsid w:val="001D66C6"/>
    <w:rsid w:val="001D68D8"/>
    <w:rsid w:val="001D6920"/>
    <w:rsid w:val="001D69A0"/>
    <w:rsid w:val="001D6A47"/>
    <w:rsid w:val="001D6A48"/>
    <w:rsid w:val="001D6A91"/>
    <w:rsid w:val="001D6B1A"/>
    <w:rsid w:val="001D6B45"/>
    <w:rsid w:val="001D6E5F"/>
    <w:rsid w:val="001D6EF4"/>
    <w:rsid w:val="001D6F19"/>
    <w:rsid w:val="001D6FA5"/>
    <w:rsid w:val="001D7034"/>
    <w:rsid w:val="001D703B"/>
    <w:rsid w:val="001D7109"/>
    <w:rsid w:val="001D717B"/>
    <w:rsid w:val="001D71A3"/>
    <w:rsid w:val="001D71B1"/>
    <w:rsid w:val="001D726B"/>
    <w:rsid w:val="001D7341"/>
    <w:rsid w:val="001D7342"/>
    <w:rsid w:val="001D7365"/>
    <w:rsid w:val="001D73F8"/>
    <w:rsid w:val="001D7430"/>
    <w:rsid w:val="001D7536"/>
    <w:rsid w:val="001D754D"/>
    <w:rsid w:val="001D755D"/>
    <w:rsid w:val="001D75E1"/>
    <w:rsid w:val="001D75E4"/>
    <w:rsid w:val="001D7634"/>
    <w:rsid w:val="001D763B"/>
    <w:rsid w:val="001D7687"/>
    <w:rsid w:val="001D769C"/>
    <w:rsid w:val="001D76B3"/>
    <w:rsid w:val="001D7779"/>
    <w:rsid w:val="001D77F7"/>
    <w:rsid w:val="001D7905"/>
    <w:rsid w:val="001D7910"/>
    <w:rsid w:val="001D7943"/>
    <w:rsid w:val="001D7B61"/>
    <w:rsid w:val="001D7C49"/>
    <w:rsid w:val="001D7CE8"/>
    <w:rsid w:val="001D7D24"/>
    <w:rsid w:val="001D7D2D"/>
    <w:rsid w:val="001D7D60"/>
    <w:rsid w:val="001D7D74"/>
    <w:rsid w:val="001D7E63"/>
    <w:rsid w:val="001D7FC5"/>
    <w:rsid w:val="001E001B"/>
    <w:rsid w:val="001E0041"/>
    <w:rsid w:val="001E00D6"/>
    <w:rsid w:val="001E00F3"/>
    <w:rsid w:val="001E0169"/>
    <w:rsid w:val="001E0178"/>
    <w:rsid w:val="001E01B2"/>
    <w:rsid w:val="001E024E"/>
    <w:rsid w:val="001E02E7"/>
    <w:rsid w:val="001E03A2"/>
    <w:rsid w:val="001E03CA"/>
    <w:rsid w:val="001E046C"/>
    <w:rsid w:val="001E04CB"/>
    <w:rsid w:val="001E050D"/>
    <w:rsid w:val="001E0553"/>
    <w:rsid w:val="001E0568"/>
    <w:rsid w:val="001E056B"/>
    <w:rsid w:val="001E056E"/>
    <w:rsid w:val="001E06A4"/>
    <w:rsid w:val="001E06F3"/>
    <w:rsid w:val="001E070B"/>
    <w:rsid w:val="001E072E"/>
    <w:rsid w:val="001E0768"/>
    <w:rsid w:val="001E0769"/>
    <w:rsid w:val="001E0810"/>
    <w:rsid w:val="001E0867"/>
    <w:rsid w:val="001E091B"/>
    <w:rsid w:val="001E0B8E"/>
    <w:rsid w:val="001E0C7C"/>
    <w:rsid w:val="001E0C8B"/>
    <w:rsid w:val="001E0CA5"/>
    <w:rsid w:val="001E0D7B"/>
    <w:rsid w:val="001E0DB1"/>
    <w:rsid w:val="001E0DFB"/>
    <w:rsid w:val="001E0E77"/>
    <w:rsid w:val="001E0EE9"/>
    <w:rsid w:val="001E0F0B"/>
    <w:rsid w:val="001E1053"/>
    <w:rsid w:val="001E106C"/>
    <w:rsid w:val="001E1072"/>
    <w:rsid w:val="001E10AE"/>
    <w:rsid w:val="001E1144"/>
    <w:rsid w:val="001E11C5"/>
    <w:rsid w:val="001E120A"/>
    <w:rsid w:val="001E123B"/>
    <w:rsid w:val="001E1257"/>
    <w:rsid w:val="001E1327"/>
    <w:rsid w:val="001E13C0"/>
    <w:rsid w:val="001E13DA"/>
    <w:rsid w:val="001E13ED"/>
    <w:rsid w:val="001E142E"/>
    <w:rsid w:val="001E14B6"/>
    <w:rsid w:val="001E14FB"/>
    <w:rsid w:val="001E152B"/>
    <w:rsid w:val="001E1574"/>
    <w:rsid w:val="001E159F"/>
    <w:rsid w:val="001E16DE"/>
    <w:rsid w:val="001E17BA"/>
    <w:rsid w:val="001E1806"/>
    <w:rsid w:val="001E187A"/>
    <w:rsid w:val="001E18D6"/>
    <w:rsid w:val="001E1A23"/>
    <w:rsid w:val="001E1A68"/>
    <w:rsid w:val="001E1AA7"/>
    <w:rsid w:val="001E1B48"/>
    <w:rsid w:val="001E1C28"/>
    <w:rsid w:val="001E1C61"/>
    <w:rsid w:val="001E1D34"/>
    <w:rsid w:val="001E1DC0"/>
    <w:rsid w:val="001E1E32"/>
    <w:rsid w:val="001E1E90"/>
    <w:rsid w:val="001E1E94"/>
    <w:rsid w:val="001E1F25"/>
    <w:rsid w:val="001E1F33"/>
    <w:rsid w:val="001E1F92"/>
    <w:rsid w:val="001E20B9"/>
    <w:rsid w:val="001E213F"/>
    <w:rsid w:val="001E2188"/>
    <w:rsid w:val="001E22C5"/>
    <w:rsid w:val="001E235A"/>
    <w:rsid w:val="001E2430"/>
    <w:rsid w:val="001E24B5"/>
    <w:rsid w:val="001E261A"/>
    <w:rsid w:val="001E263B"/>
    <w:rsid w:val="001E2683"/>
    <w:rsid w:val="001E2731"/>
    <w:rsid w:val="001E273E"/>
    <w:rsid w:val="001E2758"/>
    <w:rsid w:val="001E2773"/>
    <w:rsid w:val="001E27B1"/>
    <w:rsid w:val="001E2828"/>
    <w:rsid w:val="001E2858"/>
    <w:rsid w:val="001E28D3"/>
    <w:rsid w:val="001E2997"/>
    <w:rsid w:val="001E29C5"/>
    <w:rsid w:val="001E29EF"/>
    <w:rsid w:val="001E2A0C"/>
    <w:rsid w:val="001E2A18"/>
    <w:rsid w:val="001E2A40"/>
    <w:rsid w:val="001E2A7A"/>
    <w:rsid w:val="001E2A9B"/>
    <w:rsid w:val="001E2AB6"/>
    <w:rsid w:val="001E2AE9"/>
    <w:rsid w:val="001E2C05"/>
    <w:rsid w:val="001E2C62"/>
    <w:rsid w:val="001E2C7C"/>
    <w:rsid w:val="001E2CAC"/>
    <w:rsid w:val="001E2CAF"/>
    <w:rsid w:val="001E2D08"/>
    <w:rsid w:val="001E2D4B"/>
    <w:rsid w:val="001E2E39"/>
    <w:rsid w:val="001E2EAC"/>
    <w:rsid w:val="001E2F77"/>
    <w:rsid w:val="001E2FCA"/>
    <w:rsid w:val="001E3192"/>
    <w:rsid w:val="001E31DA"/>
    <w:rsid w:val="001E3251"/>
    <w:rsid w:val="001E3285"/>
    <w:rsid w:val="001E33BA"/>
    <w:rsid w:val="001E350F"/>
    <w:rsid w:val="001E35FD"/>
    <w:rsid w:val="001E360F"/>
    <w:rsid w:val="001E36C1"/>
    <w:rsid w:val="001E36C4"/>
    <w:rsid w:val="001E36FB"/>
    <w:rsid w:val="001E3709"/>
    <w:rsid w:val="001E3861"/>
    <w:rsid w:val="001E388E"/>
    <w:rsid w:val="001E3905"/>
    <w:rsid w:val="001E395E"/>
    <w:rsid w:val="001E3961"/>
    <w:rsid w:val="001E3965"/>
    <w:rsid w:val="001E3987"/>
    <w:rsid w:val="001E3A3B"/>
    <w:rsid w:val="001E3A5C"/>
    <w:rsid w:val="001E3AF8"/>
    <w:rsid w:val="001E3B0C"/>
    <w:rsid w:val="001E3B27"/>
    <w:rsid w:val="001E3C0E"/>
    <w:rsid w:val="001E3C48"/>
    <w:rsid w:val="001E3C8A"/>
    <w:rsid w:val="001E3C9F"/>
    <w:rsid w:val="001E3CB7"/>
    <w:rsid w:val="001E3D0D"/>
    <w:rsid w:val="001E3D85"/>
    <w:rsid w:val="001E3DC8"/>
    <w:rsid w:val="001E3E73"/>
    <w:rsid w:val="001E3EDE"/>
    <w:rsid w:val="001E3F47"/>
    <w:rsid w:val="001E3FF8"/>
    <w:rsid w:val="001E4086"/>
    <w:rsid w:val="001E40FD"/>
    <w:rsid w:val="001E41CC"/>
    <w:rsid w:val="001E422D"/>
    <w:rsid w:val="001E4231"/>
    <w:rsid w:val="001E4236"/>
    <w:rsid w:val="001E423B"/>
    <w:rsid w:val="001E4257"/>
    <w:rsid w:val="001E427D"/>
    <w:rsid w:val="001E4451"/>
    <w:rsid w:val="001E44FF"/>
    <w:rsid w:val="001E46A5"/>
    <w:rsid w:val="001E46E6"/>
    <w:rsid w:val="001E4720"/>
    <w:rsid w:val="001E472E"/>
    <w:rsid w:val="001E47FD"/>
    <w:rsid w:val="001E4804"/>
    <w:rsid w:val="001E4920"/>
    <w:rsid w:val="001E49BB"/>
    <w:rsid w:val="001E4A29"/>
    <w:rsid w:val="001E4A4B"/>
    <w:rsid w:val="001E4A98"/>
    <w:rsid w:val="001E4B6A"/>
    <w:rsid w:val="001E4B6D"/>
    <w:rsid w:val="001E4B75"/>
    <w:rsid w:val="001E4BA8"/>
    <w:rsid w:val="001E4BE3"/>
    <w:rsid w:val="001E4BF0"/>
    <w:rsid w:val="001E4C83"/>
    <w:rsid w:val="001E4CB9"/>
    <w:rsid w:val="001E4D10"/>
    <w:rsid w:val="001E4D2B"/>
    <w:rsid w:val="001E4D9F"/>
    <w:rsid w:val="001E4E1A"/>
    <w:rsid w:val="001E4E7E"/>
    <w:rsid w:val="001E4E9A"/>
    <w:rsid w:val="001E4EAB"/>
    <w:rsid w:val="001E4EB9"/>
    <w:rsid w:val="001E4EDA"/>
    <w:rsid w:val="001E4F05"/>
    <w:rsid w:val="001E4F11"/>
    <w:rsid w:val="001E514E"/>
    <w:rsid w:val="001E51EB"/>
    <w:rsid w:val="001E520F"/>
    <w:rsid w:val="001E5219"/>
    <w:rsid w:val="001E5244"/>
    <w:rsid w:val="001E5247"/>
    <w:rsid w:val="001E5419"/>
    <w:rsid w:val="001E5486"/>
    <w:rsid w:val="001E548F"/>
    <w:rsid w:val="001E5505"/>
    <w:rsid w:val="001E554B"/>
    <w:rsid w:val="001E5561"/>
    <w:rsid w:val="001E5576"/>
    <w:rsid w:val="001E55CC"/>
    <w:rsid w:val="001E55DB"/>
    <w:rsid w:val="001E55ED"/>
    <w:rsid w:val="001E56E0"/>
    <w:rsid w:val="001E5758"/>
    <w:rsid w:val="001E577C"/>
    <w:rsid w:val="001E5782"/>
    <w:rsid w:val="001E57A8"/>
    <w:rsid w:val="001E57FE"/>
    <w:rsid w:val="001E5892"/>
    <w:rsid w:val="001E589C"/>
    <w:rsid w:val="001E5971"/>
    <w:rsid w:val="001E59D3"/>
    <w:rsid w:val="001E5A25"/>
    <w:rsid w:val="001E5A27"/>
    <w:rsid w:val="001E5A5B"/>
    <w:rsid w:val="001E5A94"/>
    <w:rsid w:val="001E5AAD"/>
    <w:rsid w:val="001E5ACA"/>
    <w:rsid w:val="001E5AEB"/>
    <w:rsid w:val="001E5B29"/>
    <w:rsid w:val="001E5B7B"/>
    <w:rsid w:val="001E5BE0"/>
    <w:rsid w:val="001E5BEC"/>
    <w:rsid w:val="001E5C90"/>
    <w:rsid w:val="001E5DEA"/>
    <w:rsid w:val="001E5E38"/>
    <w:rsid w:val="001E5EBA"/>
    <w:rsid w:val="001E5F45"/>
    <w:rsid w:val="001E5F82"/>
    <w:rsid w:val="001E60A9"/>
    <w:rsid w:val="001E611D"/>
    <w:rsid w:val="001E614A"/>
    <w:rsid w:val="001E61AC"/>
    <w:rsid w:val="001E61BA"/>
    <w:rsid w:val="001E61DA"/>
    <w:rsid w:val="001E6266"/>
    <w:rsid w:val="001E628C"/>
    <w:rsid w:val="001E6347"/>
    <w:rsid w:val="001E6383"/>
    <w:rsid w:val="001E6385"/>
    <w:rsid w:val="001E638E"/>
    <w:rsid w:val="001E639A"/>
    <w:rsid w:val="001E63B4"/>
    <w:rsid w:val="001E6414"/>
    <w:rsid w:val="001E6481"/>
    <w:rsid w:val="001E6517"/>
    <w:rsid w:val="001E6536"/>
    <w:rsid w:val="001E65A7"/>
    <w:rsid w:val="001E6661"/>
    <w:rsid w:val="001E666A"/>
    <w:rsid w:val="001E668C"/>
    <w:rsid w:val="001E67B1"/>
    <w:rsid w:val="001E67FE"/>
    <w:rsid w:val="001E6813"/>
    <w:rsid w:val="001E6858"/>
    <w:rsid w:val="001E68DB"/>
    <w:rsid w:val="001E6A17"/>
    <w:rsid w:val="001E6A9D"/>
    <w:rsid w:val="001E6AED"/>
    <w:rsid w:val="001E6AF1"/>
    <w:rsid w:val="001E6C5A"/>
    <w:rsid w:val="001E6CA9"/>
    <w:rsid w:val="001E6D02"/>
    <w:rsid w:val="001E6D55"/>
    <w:rsid w:val="001E6EA7"/>
    <w:rsid w:val="001E6ED1"/>
    <w:rsid w:val="001E6F0D"/>
    <w:rsid w:val="001E6FB2"/>
    <w:rsid w:val="001E6FDF"/>
    <w:rsid w:val="001E7079"/>
    <w:rsid w:val="001E70CE"/>
    <w:rsid w:val="001E71AE"/>
    <w:rsid w:val="001E73FA"/>
    <w:rsid w:val="001E7415"/>
    <w:rsid w:val="001E749B"/>
    <w:rsid w:val="001E7672"/>
    <w:rsid w:val="001E7689"/>
    <w:rsid w:val="001E76A8"/>
    <w:rsid w:val="001E76A9"/>
    <w:rsid w:val="001E77BA"/>
    <w:rsid w:val="001E78B5"/>
    <w:rsid w:val="001E79D0"/>
    <w:rsid w:val="001E7B7C"/>
    <w:rsid w:val="001E7C0B"/>
    <w:rsid w:val="001E7C2B"/>
    <w:rsid w:val="001E7C7D"/>
    <w:rsid w:val="001E7CD8"/>
    <w:rsid w:val="001E7D03"/>
    <w:rsid w:val="001E7DA9"/>
    <w:rsid w:val="001E7E61"/>
    <w:rsid w:val="001E7EA6"/>
    <w:rsid w:val="001E7FE1"/>
    <w:rsid w:val="001F006C"/>
    <w:rsid w:val="001F006D"/>
    <w:rsid w:val="001F007D"/>
    <w:rsid w:val="001F00DA"/>
    <w:rsid w:val="001F01A7"/>
    <w:rsid w:val="001F01A8"/>
    <w:rsid w:val="001F02E1"/>
    <w:rsid w:val="001F0349"/>
    <w:rsid w:val="001F03A7"/>
    <w:rsid w:val="001F03CC"/>
    <w:rsid w:val="001F04D8"/>
    <w:rsid w:val="001F04DF"/>
    <w:rsid w:val="001F0668"/>
    <w:rsid w:val="001F0764"/>
    <w:rsid w:val="001F07B9"/>
    <w:rsid w:val="001F0883"/>
    <w:rsid w:val="001F096B"/>
    <w:rsid w:val="001F09CB"/>
    <w:rsid w:val="001F0A4D"/>
    <w:rsid w:val="001F0A54"/>
    <w:rsid w:val="001F0ADC"/>
    <w:rsid w:val="001F0AFC"/>
    <w:rsid w:val="001F0B15"/>
    <w:rsid w:val="001F0B76"/>
    <w:rsid w:val="001F0BEE"/>
    <w:rsid w:val="001F0BEF"/>
    <w:rsid w:val="001F0C21"/>
    <w:rsid w:val="001F0C2B"/>
    <w:rsid w:val="001F0C50"/>
    <w:rsid w:val="001F0C81"/>
    <w:rsid w:val="001F0CBE"/>
    <w:rsid w:val="001F0CC5"/>
    <w:rsid w:val="001F0DF2"/>
    <w:rsid w:val="001F0E02"/>
    <w:rsid w:val="001F0EA7"/>
    <w:rsid w:val="001F0EDE"/>
    <w:rsid w:val="001F0F79"/>
    <w:rsid w:val="001F0F88"/>
    <w:rsid w:val="001F0FA8"/>
    <w:rsid w:val="001F102A"/>
    <w:rsid w:val="001F104C"/>
    <w:rsid w:val="001F10B0"/>
    <w:rsid w:val="001F11D2"/>
    <w:rsid w:val="001F12AC"/>
    <w:rsid w:val="001F13D2"/>
    <w:rsid w:val="001F152F"/>
    <w:rsid w:val="001F1602"/>
    <w:rsid w:val="001F1661"/>
    <w:rsid w:val="001F16B6"/>
    <w:rsid w:val="001F17C6"/>
    <w:rsid w:val="001F17DA"/>
    <w:rsid w:val="001F180B"/>
    <w:rsid w:val="001F182E"/>
    <w:rsid w:val="001F1874"/>
    <w:rsid w:val="001F187B"/>
    <w:rsid w:val="001F18A3"/>
    <w:rsid w:val="001F18F6"/>
    <w:rsid w:val="001F198B"/>
    <w:rsid w:val="001F1B4E"/>
    <w:rsid w:val="001F1B54"/>
    <w:rsid w:val="001F1C62"/>
    <w:rsid w:val="001F1D09"/>
    <w:rsid w:val="001F1D0E"/>
    <w:rsid w:val="001F1D1F"/>
    <w:rsid w:val="001F1D4A"/>
    <w:rsid w:val="001F1D7E"/>
    <w:rsid w:val="001F1DBD"/>
    <w:rsid w:val="001F1DCC"/>
    <w:rsid w:val="001F1DD4"/>
    <w:rsid w:val="001F1F1D"/>
    <w:rsid w:val="001F1F51"/>
    <w:rsid w:val="001F1FAF"/>
    <w:rsid w:val="001F1FB6"/>
    <w:rsid w:val="001F2109"/>
    <w:rsid w:val="001F212D"/>
    <w:rsid w:val="001F21C6"/>
    <w:rsid w:val="001F224B"/>
    <w:rsid w:val="001F225A"/>
    <w:rsid w:val="001F228D"/>
    <w:rsid w:val="001F229E"/>
    <w:rsid w:val="001F22F6"/>
    <w:rsid w:val="001F2322"/>
    <w:rsid w:val="001F2376"/>
    <w:rsid w:val="001F2455"/>
    <w:rsid w:val="001F248A"/>
    <w:rsid w:val="001F24C8"/>
    <w:rsid w:val="001F25D0"/>
    <w:rsid w:val="001F2786"/>
    <w:rsid w:val="001F27E3"/>
    <w:rsid w:val="001F2870"/>
    <w:rsid w:val="001F2928"/>
    <w:rsid w:val="001F29C4"/>
    <w:rsid w:val="001F29F1"/>
    <w:rsid w:val="001F2A41"/>
    <w:rsid w:val="001F2AD0"/>
    <w:rsid w:val="001F2B9D"/>
    <w:rsid w:val="001F2CEA"/>
    <w:rsid w:val="001F2DBB"/>
    <w:rsid w:val="001F2DFD"/>
    <w:rsid w:val="001F2E75"/>
    <w:rsid w:val="001F2EC0"/>
    <w:rsid w:val="001F2EE4"/>
    <w:rsid w:val="001F2FC1"/>
    <w:rsid w:val="001F306F"/>
    <w:rsid w:val="001F30EA"/>
    <w:rsid w:val="001F31BF"/>
    <w:rsid w:val="001F324C"/>
    <w:rsid w:val="001F32E3"/>
    <w:rsid w:val="001F3347"/>
    <w:rsid w:val="001F3365"/>
    <w:rsid w:val="001F3513"/>
    <w:rsid w:val="001F366F"/>
    <w:rsid w:val="001F3684"/>
    <w:rsid w:val="001F3731"/>
    <w:rsid w:val="001F37E7"/>
    <w:rsid w:val="001F3864"/>
    <w:rsid w:val="001F3A62"/>
    <w:rsid w:val="001F3A68"/>
    <w:rsid w:val="001F3AB5"/>
    <w:rsid w:val="001F3AD4"/>
    <w:rsid w:val="001F3C58"/>
    <w:rsid w:val="001F3C6A"/>
    <w:rsid w:val="001F3C99"/>
    <w:rsid w:val="001F3DB5"/>
    <w:rsid w:val="001F3DB6"/>
    <w:rsid w:val="001F3E1D"/>
    <w:rsid w:val="001F3F30"/>
    <w:rsid w:val="001F3F8D"/>
    <w:rsid w:val="001F3FD8"/>
    <w:rsid w:val="001F3FE6"/>
    <w:rsid w:val="001F4018"/>
    <w:rsid w:val="001F4055"/>
    <w:rsid w:val="001F4068"/>
    <w:rsid w:val="001F40F5"/>
    <w:rsid w:val="001F4100"/>
    <w:rsid w:val="001F4117"/>
    <w:rsid w:val="001F412D"/>
    <w:rsid w:val="001F427C"/>
    <w:rsid w:val="001F4287"/>
    <w:rsid w:val="001F4292"/>
    <w:rsid w:val="001F42ED"/>
    <w:rsid w:val="001F4365"/>
    <w:rsid w:val="001F439C"/>
    <w:rsid w:val="001F43B6"/>
    <w:rsid w:val="001F43EC"/>
    <w:rsid w:val="001F4406"/>
    <w:rsid w:val="001F4465"/>
    <w:rsid w:val="001F448C"/>
    <w:rsid w:val="001F4492"/>
    <w:rsid w:val="001F45E8"/>
    <w:rsid w:val="001F4600"/>
    <w:rsid w:val="001F4735"/>
    <w:rsid w:val="001F4742"/>
    <w:rsid w:val="001F479F"/>
    <w:rsid w:val="001F47A0"/>
    <w:rsid w:val="001F4808"/>
    <w:rsid w:val="001F483E"/>
    <w:rsid w:val="001F48EE"/>
    <w:rsid w:val="001F4906"/>
    <w:rsid w:val="001F49DD"/>
    <w:rsid w:val="001F4A1A"/>
    <w:rsid w:val="001F4AA9"/>
    <w:rsid w:val="001F4ABA"/>
    <w:rsid w:val="001F4AD0"/>
    <w:rsid w:val="001F4B11"/>
    <w:rsid w:val="001F4B34"/>
    <w:rsid w:val="001F4B6A"/>
    <w:rsid w:val="001F4B93"/>
    <w:rsid w:val="001F4BD4"/>
    <w:rsid w:val="001F4C08"/>
    <w:rsid w:val="001F4C7B"/>
    <w:rsid w:val="001F4C93"/>
    <w:rsid w:val="001F4D84"/>
    <w:rsid w:val="001F4D8E"/>
    <w:rsid w:val="001F4DA5"/>
    <w:rsid w:val="001F4E25"/>
    <w:rsid w:val="001F4E38"/>
    <w:rsid w:val="001F4E50"/>
    <w:rsid w:val="001F4E54"/>
    <w:rsid w:val="001F4EEF"/>
    <w:rsid w:val="001F4F49"/>
    <w:rsid w:val="001F4F9C"/>
    <w:rsid w:val="001F51B9"/>
    <w:rsid w:val="001F5250"/>
    <w:rsid w:val="001F52B5"/>
    <w:rsid w:val="001F533A"/>
    <w:rsid w:val="001F5373"/>
    <w:rsid w:val="001F5453"/>
    <w:rsid w:val="001F54D3"/>
    <w:rsid w:val="001F54EB"/>
    <w:rsid w:val="001F550E"/>
    <w:rsid w:val="001F5588"/>
    <w:rsid w:val="001F55D5"/>
    <w:rsid w:val="001F55D9"/>
    <w:rsid w:val="001F560B"/>
    <w:rsid w:val="001F561A"/>
    <w:rsid w:val="001F5658"/>
    <w:rsid w:val="001F5662"/>
    <w:rsid w:val="001F56A2"/>
    <w:rsid w:val="001F56C1"/>
    <w:rsid w:val="001F5724"/>
    <w:rsid w:val="001F57F8"/>
    <w:rsid w:val="001F5839"/>
    <w:rsid w:val="001F5844"/>
    <w:rsid w:val="001F59BC"/>
    <w:rsid w:val="001F5A51"/>
    <w:rsid w:val="001F5A58"/>
    <w:rsid w:val="001F5A77"/>
    <w:rsid w:val="001F5A80"/>
    <w:rsid w:val="001F5B33"/>
    <w:rsid w:val="001F5B34"/>
    <w:rsid w:val="001F5BE0"/>
    <w:rsid w:val="001F5C55"/>
    <w:rsid w:val="001F5CBF"/>
    <w:rsid w:val="001F5CCB"/>
    <w:rsid w:val="001F5D4D"/>
    <w:rsid w:val="001F5DE6"/>
    <w:rsid w:val="001F5DFC"/>
    <w:rsid w:val="001F5E44"/>
    <w:rsid w:val="001F5EA2"/>
    <w:rsid w:val="001F5EB8"/>
    <w:rsid w:val="001F5EC0"/>
    <w:rsid w:val="001F5EC8"/>
    <w:rsid w:val="001F5F03"/>
    <w:rsid w:val="001F5F0B"/>
    <w:rsid w:val="001F5F3D"/>
    <w:rsid w:val="001F5F40"/>
    <w:rsid w:val="001F5FD5"/>
    <w:rsid w:val="001F6091"/>
    <w:rsid w:val="001F60CB"/>
    <w:rsid w:val="001F612C"/>
    <w:rsid w:val="001F6194"/>
    <w:rsid w:val="001F61A1"/>
    <w:rsid w:val="001F621E"/>
    <w:rsid w:val="001F622B"/>
    <w:rsid w:val="001F6351"/>
    <w:rsid w:val="001F63A9"/>
    <w:rsid w:val="001F63EE"/>
    <w:rsid w:val="001F63FF"/>
    <w:rsid w:val="001F6598"/>
    <w:rsid w:val="001F65D7"/>
    <w:rsid w:val="001F663C"/>
    <w:rsid w:val="001F6646"/>
    <w:rsid w:val="001F67E3"/>
    <w:rsid w:val="001F6811"/>
    <w:rsid w:val="001F68D0"/>
    <w:rsid w:val="001F68EA"/>
    <w:rsid w:val="001F69A6"/>
    <w:rsid w:val="001F6A2C"/>
    <w:rsid w:val="001F6A91"/>
    <w:rsid w:val="001F6AB3"/>
    <w:rsid w:val="001F6B8F"/>
    <w:rsid w:val="001F6CCA"/>
    <w:rsid w:val="001F6CD2"/>
    <w:rsid w:val="001F6DBF"/>
    <w:rsid w:val="001F6E05"/>
    <w:rsid w:val="001F6F05"/>
    <w:rsid w:val="001F6F43"/>
    <w:rsid w:val="001F6F7D"/>
    <w:rsid w:val="001F6F94"/>
    <w:rsid w:val="001F7031"/>
    <w:rsid w:val="001F70DC"/>
    <w:rsid w:val="001F7106"/>
    <w:rsid w:val="001F7138"/>
    <w:rsid w:val="001F7155"/>
    <w:rsid w:val="001F7163"/>
    <w:rsid w:val="001F718C"/>
    <w:rsid w:val="001F71F2"/>
    <w:rsid w:val="001F721D"/>
    <w:rsid w:val="001F7288"/>
    <w:rsid w:val="001F7294"/>
    <w:rsid w:val="001F7316"/>
    <w:rsid w:val="001F73AD"/>
    <w:rsid w:val="001F73C7"/>
    <w:rsid w:val="001F746F"/>
    <w:rsid w:val="001F7484"/>
    <w:rsid w:val="001F74A2"/>
    <w:rsid w:val="001F74B7"/>
    <w:rsid w:val="001F7557"/>
    <w:rsid w:val="001F7589"/>
    <w:rsid w:val="001F7657"/>
    <w:rsid w:val="001F774B"/>
    <w:rsid w:val="001F7786"/>
    <w:rsid w:val="001F77CA"/>
    <w:rsid w:val="001F7833"/>
    <w:rsid w:val="001F789F"/>
    <w:rsid w:val="001F793A"/>
    <w:rsid w:val="001F793C"/>
    <w:rsid w:val="001F7A17"/>
    <w:rsid w:val="001F7B47"/>
    <w:rsid w:val="001F7B4C"/>
    <w:rsid w:val="001F7BAC"/>
    <w:rsid w:val="001F7CFC"/>
    <w:rsid w:val="001F7D47"/>
    <w:rsid w:val="001F7D97"/>
    <w:rsid w:val="001F7E20"/>
    <w:rsid w:val="001F7EE0"/>
    <w:rsid w:val="001F7F17"/>
    <w:rsid w:val="001F7F19"/>
    <w:rsid w:val="001F7F83"/>
    <w:rsid w:val="00200034"/>
    <w:rsid w:val="00200069"/>
    <w:rsid w:val="002000E9"/>
    <w:rsid w:val="002001FC"/>
    <w:rsid w:val="00200298"/>
    <w:rsid w:val="002002D1"/>
    <w:rsid w:val="002002E4"/>
    <w:rsid w:val="0020035E"/>
    <w:rsid w:val="0020037D"/>
    <w:rsid w:val="002003BB"/>
    <w:rsid w:val="00200409"/>
    <w:rsid w:val="00200475"/>
    <w:rsid w:val="0020053E"/>
    <w:rsid w:val="002005A9"/>
    <w:rsid w:val="002005CC"/>
    <w:rsid w:val="00200666"/>
    <w:rsid w:val="002006B9"/>
    <w:rsid w:val="002006D0"/>
    <w:rsid w:val="002007BF"/>
    <w:rsid w:val="00200884"/>
    <w:rsid w:val="0020089C"/>
    <w:rsid w:val="002008BF"/>
    <w:rsid w:val="0020092C"/>
    <w:rsid w:val="00200A5D"/>
    <w:rsid w:val="00200ADE"/>
    <w:rsid w:val="00200B06"/>
    <w:rsid w:val="00200B1C"/>
    <w:rsid w:val="00200B78"/>
    <w:rsid w:val="00200BE4"/>
    <w:rsid w:val="00200CA8"/>
    <w:rsid w:val="00200D57"/>
    <w:rsid w:val="00200D5B"/>
    <w:rsid w:val="00200D8A"/>
    <w:rsid w:val="00200D8E"/>
    <w:rsid w:val="00200E0A"/>
    <w:rsid w:val="00200EA2"/>
    <w:rsid w:val="00200EDF"/>
    <w:rsid w:val="00200FAD"/>
    <w:rsid w:val="00200FE9"/>
    <w:rsid w:val="0020106F"/>
    <w:rsid w:val="0020110F"/>
    <w:rsid w:val="002011A5"/>
    <w:rsid w:val="00201257"/>
    <w:rsid w:val="00201268"/>
    <w:rsid w:val="002012EA"/>
    <w:rsid w:val="002012F9"/>
    <w:rsid w:val="0020138E"/>
    <w:rsid w:val="002013F1"/>
    <w:rsid w:val="00201484"/>
    <w:rsid w:val="00201493"/>
    <w:rsid w:val="002014EB"/>
    <w:rsid w:val="00201519"/>
    <w:rsid w:val="00201664"/>
    <w:rsid w:val="00201710"/>
    <w:rsid w:val="002017E7"/>
    <w:rsid w:val="002017EB"/>
    <w:rsid w:val="0020183D"/>
    <w:rsid w:val="002019A5"/>
    <w:rsid w:val="002019E0"/>
    <w:rsid w:val="00201AD3"/>
    <w:rsid w:val="00201B69"/>
    <w:rsid w:val="00201B8E"/>
    <w:rsid w:val="00201BAB"/>
    <w:rsid w:val="00201BF5"/>
    <w:rsid w:val="00201C56"/>
    <w:rsid w:val="00201E9C"/>
    <w:rsid w:val="00201F01"/>
    <w:rsid w:val="0020205F"/>
    <w:rsid w:val="002021DD"/>
    <w:rsid w:val="00202257"/>
    <w:rsid w:val="00202259"/>
    <w:rsid w:val="0020228B"/>
    <w:rsid w:val="0020234D"/>
    <w:rsid w:val="002023A4"/>
    <w:rsid w:val="00202493"/>
    <w:rsid w:val="002024E6"/>
    <w:rsid w:val="002024F9"/>
    <w:rsid w:val="0020258A"/>
    <w:rsid w:val="00202609"/>
    <w:rsid w:val="00202634"/>
    <w:rsid w:val="00202641"/>
    <w:rsid w:val="00202726"/>
    <w:rsid w:val="0020283E"/>
    <w:rsid w:val="00202992"/>
    <w:rsid w:val="00202A3C"/>
    <w:rsid w:val="00202A92"/>
    <w:rsid w:val="00202AA0"/>
    <w:rsid w:val="00202AE1"/>
    <w:rsid w:val="00202B5A"/>
    <w:rsid w:val="00202BF2"/>
    <w:rsid w:val="00202C48"/>
    <w:rsid w:val="00202DB7"/>
    <w:rsid w:val="00202DCA"/>
    <w:rsid w:val="00202E67"/>
    <w:rsid w:val="00202F46"/>
    <w:rsid w:val="00202F7E"/>
    <w:rsid w:val="00202FAB"/>
    <w:rsid w:val="00202FE5"/>
    <w:rsid w:val="00203231"/>
    <w:rsid w:val="002032A4"/>
    <w:rsid w:val="0020332F"/>
    <w:rsid w:val="00203369"/>
    <w:rsid w:val="002035EF"/>
    <w:rsid w:val="00203713"/>
    <w:rsid w:val="00203772"/>
    <w:rsid w:val="00203791"/>
    <w:rsid w:val="002037A3"/>
    <w:rsid w:val="00203805"/>
    <w:rsid w:val="00203848"/>
    <w:rsid w:val="00203928"/>
    <w:rsid w:val="00203942"/>
    <w:rsid w:val="0020398D"/>
    <w:rsid w:val="002039C7"/>
    <w:rsid w:val="002039FF"/>
    <w:rsid w:val="00203A2B"/>
    <w:rsid w:val="00203A7F"/>
    <w:rsid w:val="00203ACA"/>
    <w:rsid w:val="00203AD9"/>
    <w:rsid w:val="00203ADF"/>
    <w:rsid w:val="00203AEA"/>
    <w:rsid w:val="00203B19"/>
    <w:rsid w:val="00203B5A"/>
    <w:rsid w:val="00203B90"/>
    <w:rsid w:val="00203B91"/>
    <w:rsid w:val="00203C16"/>
    <w:rsid w:val="00203C9B"/>
    <w:rsid w:val="00203CCB"/>
    <w:rsid w:val="00203CE2"/>
    <w:rsid w:val="00203DC2"/>
    <w:rsid w:val="00203DCC"/>
    <w:rsid w:val="00203E39"/>
    <w:rsid w:val="00203EAD"/>
    <w:rsid w:val="00203F50"/>
    <w:rsid w:val="00203F67"/>
    <w:rsid w:val="00203FD6"/>
    <w:rsid w:val="0020400C"/>
    <w:rsid w:val="0020401D"/>
    <w:rsid w:val="002040A3"/>
    <w:rsid w:val="002042F0"/>
    <w:rsid w:val="002042FC"/>
    <w:rsid w:val="00204430"/>
    <w:rsid w:val="0020445B"/>
    <w:rsid w:val="00204596"/>
    <w:rsid w:val="002045AA"/>
    <w:rsid w:val="002045FE"/>
    <w:rsid w:val="00204619"/>
    <w:rsid w:val="0020462F"/>
    <w:rsid w:val="002046CA"/>
    <w:rsid w:val="002046E1"/>
    <w:rsid w:val="00204766"/>
    <w:rsid w:val="0020479B"/>
    <w:rsid w:val="002047C1"/>
    <w:rsid w:val="0020485B"/>
    <w:rsid w:val="0020485E"/>
    <w:rsid w:val="0020489D"/>
    <w:rsid w:val="002048CE"/>
    <w:rsid w:val="002049BB"/>
    <w:rsid w:val="00204AE7"/>
    <w:rsid w:val="00204B1D"/>
    <w:rsid w:val="00204C57"/>
    <w:rsid w:val="00204C69"/>
    <w:rsid w:val="00204D0E"/>
    <w:rsid w:val="00204D6A"/>
    <w:rsid w:val="00204DCB"/>
    <w:rsid w:val="00204DD3"/>
    <w:rsid w:val="00204E2C"/>
    <w:rsid w:val="00204E4E"/>
    <w:rsid w:val="00204EF5"/>
    <w:rsid w:val="00204EF6"/>
    <w:rsid w:val="00204F89"/>
    <w:rsid w:val="00204FE5"/>
    <w:rsid w:val="00204FEA"/>
    <w:rsid w:val="00204FED"/>
    <w:rsid w:val="00205018"/>
    <w:rsid w:val="00205087"/>
    <w:rsid w:val="0020508B"/>
    <w:rsid w:val="00205095"/>
    <w:rsid w:val="002051AF"/>
    <w:rsid w:val="002051D2"/>
    <w:rsid w:val="0020523F"/>
    <w:rsid w:val="00205358"/>
    <w:rsid w:val="00205418"/>
    <w:rsid w:val="002054B2"/>
    <w:rsid w:val="002054B8"/>
    <w:rsid w:val="002054F8"/>
    <w:rsid w:val="00205505"/>
    <w:rsid w:val="00205528"/>
    <w:rsid w:val="00205537"/>
    <w:rsid w:val="00205572"/>
    <w:rsid w:val="002055FC"/>
    <w:rsid w:val="00205725"/>
    <w:rsid w:val="00205791"/>
    <w:rsid w:val="002057F3"/>
    <w:rsid w:val="0020585D"/>
    <w:rsid w:val="0020587F"/>
    <w:rsid w:val="00205998"/>
    <w:rsid w:val="0020599F"/>
    <w:rsid w:val="00205A2E"/>
    <w:rsid w:val="00205A63"/>
    <w:rsid w:val="00205BB8"/>
    <w:rsid w:val="00205C85"/>
    <w:rsid w:val="00205CDF"/>
    <w:rsid w:val="00205D08"/>
    <w:rsid w:val="00205D53"/>
    <w:rsid w:val="00205E75"/>
    <w:rsid w:val="00205EA0"/>
    <w:rsid w:val="00205EC1"/>
    <w:rsid w:val="00205F05"/>
    <w:rsid w:val="00205F50"/>
    <w:rsid w:val="00205F94"/>
    <w:rsid w:val="00205FA3"/>
    <w:rsid w:val="00206026"/>
    <w:rsid w:val="00206059"/>
    <w:rsid w:val="00206069"/>
    <w:rsid w:val="00206082"/>
    <w:rsid w:val="002060C8"/>
    <w:rsid w:val="00206199"/>
    <w:rsid w:val="002061E7"/>
    <w:rsid w:val="00206245"/>
    <w:rsid w:val="00206320"/>
    <w:rsid w:val="00206321"/>
    <w:rsid w:val="00206360"/>
    <w:rsid w:val="002063DE"/>
    <w:rsid w:val="00206441"/>
    <w:rsid w:val="002064ED"/>
    <w:rsid w:val="002064F1"/>
    <w:rsid w:val="00206548"/>
    <w:rsid w:val="002065B7"/>
    <w:rsid w:val="00206641"/>
    <w:rsid w:val="002066AA"/>
    <w:rsid w:val="00206764"/>
    <w:rsid w:val="002067EA"/>
    <w:rsid w:val="002067F1"/>
    <w:rsid w:val="00206803"/>
    <w:rsid w:val="002068C8"/>
    <w:rsid w:val="002069D6"/>
    <w:rsid w:val="00206AA8"/>
    <w:rsid w:val="00206ABA"/>
    <w:rsid w:val="00206C6E"/>
    <w:rsid w:val="00206DB4"/>
    <w:rsid w:val="00206E01"/>
    <w:rsid w:val="00206F0E"/>
    <w:rsid w:val="00206F98"/>
    <w:rsid w:val="00207019"/>
    <w:rsid w:val="002070A5"/>
    <w:rsid w:val="00207102"/>
    <w:rsid w:val="00207112"/>
    <w:rsid w:val="00207148"/>
    <w:rsid w:val="00207182"/>
    <w:rsid w:val="002071E9"/>
    <w:rsid w:val="002071F2"/>
    <w:rsid w:val="002072BC"/>
    <w:rsid w:val="002072BD"/>
    <w:rsid w:val="002072BF"/>
    <w:rsid w:val="0020733C"/>
    <w:rsid w:val="00207517"/>
    <w:rsid w:val="002075BA"/>
    <w:rsid w:val="00207617"/>
    <w:rsid w:val="002076AF"/>
    <w:rsid w:val="00207723"/>
    <w:rsid w:val="002077B4"/>
    <w:rsid w:val="00207839"/>
    <w:rsid w:val="0020789C"/>
    <w:rsid w:val="00207909"/>
    <w:rsid w:val="0020792E"/>
    <w:rsid w:val="0020796D"/>
    <w:rsid w:val="0020797F"/>
    <w:rsid w:val="00207994"/>
    <w:rsid w:val="002079C1"/>
    <w:rsid w:val="00207A21"/>
    <w:rsid w:val="00207A5B"/>
    <w:rsid w:val="00207AFF"/>
    <w:rsid w:val="00207B5B"/>
    <w:rsid w:val="00207C2C"/>
    <w:rsid w:val="00207C6F"/>
    <w:rsid w:val="00207D5B"/>
    <w:rsid w:val="00207D60"/>
    <w:rsid w:val="00207E22"/>
    <w:rsid w:val="00207E2E"/>
    <w:rsid w:val="00207E9F"/>
    <w:rsid w:val="00207F11"/>
    <w:rsid w:val="00207F1B"/>
    <w:rsid w:val="00207F85"/>
    <w:rsid w:val="00207FD4"/>
    <w:rsid w:val="002101AC"/>
    <w:rsid w:val="00210251"/>
    <w:rsid w:val="002102F9"/>
    <w:rsid w:val="0021030F"/>
    <w:rsid w:val="002103F1"/>
    <w:rsid w:val="0021048C"/>
    <w:rsid w:val="00210491"/>
    <w:rsid w:val="002104D1"/>
    <w:rsid w:val="002104FF"/>
    <w:rsid w:val="00210625"/>
    <w:rsid w:val="0021069A"/>
    <w:rsid w:val="002106D4"/>
    <w:rsid w:val="0021078A"/>
    <w:rsid w:val="002107F6"/>
    <w:rsid w:val="0021086D"/>
    <w:rsid w:val="0021094F"/>
    <w:rsid w:val="002109CB"/>
    <w:rsid w:val="002109D5"/>
    <w:rsid w:val="00210AE3"/>
    <w:rsid w:val="00210B02"/>
    <w:rsid w:val="00210B8D"/>
    <w:rsid w:val="00210C07"/>
    <w:rsid w:val="00210C25"/>
    <w:rsid w:val="00210C41"/>
    <w:rsid w:val="00210C67"/>
    <w:rsid w:val="00210C7D"/>
    <w:rsid w:val="00210CFF"/>
    <w:rsid w:val="00210D01"/>
    <w:rsid w:val="00210D17"/>
    <w:rsid w:val="00210D30"/>
    <w:rsid w:val="00210D72"/>
    <w:rsid w:val="00210DC7"/>
    <w:rsid w:val="00210E29"/>
    <w:rsid w:val="00210E2F"/>
    <w:rsid w:val="00210E3A"/>
    <w:rsid w:val="00210EA5"/>
    <w:rsid w:val="00210EAF"/>
    <w:rsid w:val="00210ECB"/>
    <w:rsid w:val="00210F01"/>
    <w:rsid w:val="00210F02"/>
    <w:rsid w:val="00210F54"/>
    <w:rsid w:val="0021104A"/>
    <w:rsid w:val="0021114B"/>
    <w:rsid w:val="002111BB"/>
    <w:rsid w:val="002111ED"/>
    <w:rsid w:val="0021124C"/>
    <w:rsid w:val="00211363"/>
    <w:rsid w:val="00211424"/>
    <w:rsid w:val="00211430"/>
    <w:rsid w:val="00211590"/>
    <w:rsid w:val="00211595"/>
    <w:rsid w:val="002115C6"/>
    <w:rsid w:val="002115E4"/>
    <w:rsid w:val="002115E7"/>
    <w:rsid w:val="0021173A"/>
    <w:rsid w:val="0021175C"/>
    <w:rsid w:val="002117B2"/>
    <w:rsid w:val="00211820"/>
    <w:rsid w:val="00211823"/>
    <w:rsid w:val="002118C1"/>
    <w:rsid w:val="00211950"/>
    <w:rsid w:val="002119C8"/>
    <w:rsid w:val="002119D9"/>
    <w:rsid w:val="00211A02"/>
    <w:rsid w:val="00211A6A"/>
    <w:rsid w:val="00211AC5"/>
    <w:rsid w:val="00211B6E"/>
    <w:rsid w:val="00211B75"/>
    <w:rsid w:val="00211B8C"/>
    <w:rsid w:val="00211C8E"/>
    <w:rsid w:val="00211CDA"/>
    <w:rsid w:val="00211D94"/>
    <w:rsid w:val="00211DA6"/>
    <w:rsid w:val="00211DBB"/>
    <w:rsid w:val="00211DD7"/>
    <w:rsid w:val="00211E67"/>
    <w:rsid w:val="00211E7A"/>
    <w:rsid w:val="00211E81"/>
    <w:rsid w:val="00211EAC"/>
    <w:rsid w:val="00211EED"/>
    <w:rsid w:val="00211FD5"/>
    <w:rsid w:val="00212007"/>
    <w:rsid w:val="0021206E"/>
    <w:rsid w:val="00212099"/>
    <w:rsid w:val="002120DB"/>
    <w:rsid w:val="002121CB"/>
    <w:rsid w:val="00212271"/>
    <w:rsid w:val="00212306"/>
    <w:rsid w:val="00212311"/>
    <w:rsid w:val="0021237F"/>
    <w:rsid w:val="00212414"/>
    <w:rsid w:val="002124AA"/>
    <w:rsid w:val="00212574"/>
    <w:rsid w:val="002125D0"/>
    <w:rsid w:val="002125D3"/>
    <w:rsid w:val="002126DA"/>
    <w:rsid w:val="0021275C"/>
    <w:rsid w:val="00212766"/>
    <w:rsid w:val="002127D7"/>
    <w:rsid w:val="002128AC"/>
    <w:rsid w:val="002128ED"/>
    <w:rsid w:val="00212985"/>
    <w:rsid w:val="002129C3"/>
    <w:rsid w:val="00212A01"/>
    <w:rsid w:val="00212A2D"/>
    <w:rsid w:val="00212A34"/>
    <w:rsid w:val="00212A36"/>
    <w:rsid w:val="00212B2F"/>
    <w:rsid w:val="00212B3E"/>
    <w:rsid w:val="00212CC8"/>
    <w:rsid w:val="00212CC9"/>
    <w:rsid w:val="00212E00"/>
    <w:rsid w:val="00212E90"/>
    <w:rsid w:val="00212EE8"/>
    <w:rsid w:val="00212F15"/>
    <w:rsid w:val="00212F17"/>
    <w:rsid w:val="00212F63"/>
    <w:rsid w:val="00213032"/>
    <w:rsid w:val="00213064"/>
    <w:rsid w:val="002131AB"/>
    <w:rsid w:val="002131C3"/>
    <w:rsid w:val="0021323D"/>
    <w:rsid w:val="00213291"/>
    <w:rsid w:val="002132E0"/>
    <w:rsid w:val="002132E9"/>
    <w:rsid w:val="00213344"/>
    <w:rsid w:val="0021337D"/>
    <w:rsid w:val="00213396"/>
    <w:rsid w:val="0021343B"/>
    <w:rsid w:val="00213508"/>
    <w:rsid w:val="002135E1"/>
    <w:rsid w:val="0021364A"/>
    <w:rsid w:val="0021368C"/>
    <w:rsid w:val="002136B7"/>
    <w:rsid w:val="002137B8"/>
    <w:rsid w:val="002137BA"/>
    <w:rsid w:val="0021380F"/>
    <w:rsid w:val="0021391D"/>
    <w:rsid w:val="00213962"/>
    <w:rsid w:val="0021397A"/>
    <w:rsid w:val="002139D9"/>
    <w:rsid w:val="00213A06"/>
    <w:rsid w:val="00213A43"/>
    <w:rsid w:val="00213A80"/>
    <w:rsid w:val="00213AD1"/>
    <w:rsid w:val="00213B24"/>
    <w:rsid w:val="00213B63"/>
    <w:rsid w:val="00213BDD"/>
    <w:rsid w:val="00213BFF"/>
    <w:rsid w:val="00213C45"/>
    <w:rsid w:val="00213C98"/>
    <w:rsid w:val="00213D6F"/>
    <w:rsid w:val="00213DEB"/>
    <w:rsid w:val="00213DED"/>
    <w:rsid w:val="00213E38"/>
    <w:rsid w:val="00213E7D"/>
    <w:rsid w:val="00213FC4"/>
    <w:rsid w:val="0021418B"/>
    <w:rsid w:val="002141A3"/>
    <w:rsid w:val="002141F0"/>
    <w:rsid w:val="00214209"/>
    <w:rsid w:val="00214259"/>
    <w:rsid w:val="0021427B"/>
    <w:rsid w:val="00214360"/>
    <w:rsid w:val="002143D5"/>
    <w:rsid w:val="002143E7"/>
    <w:rsid w:val="00214449"/>
    <w:rsid w:val="0021451A"/>
    <w:rsid w:val="00214657"/>
    <w:rsid w:val="002146C4"/>
    <w:rsid w:val="00214709"/>
    <w:rsid w:val="00214718"/>
    <w:rsid w:val="0021472A"/>
    <w:rsid w:val="0021486E"/>
    <w:rsid w:val="002148B7"/>
    <w:rsid w:val="0021496B"/>
    <w:rsid w:val="00214AFA"/>
    <w:rsid w:val="00214B99"/>
    <w:rsid w:val="00214C1A"/>
    <w:rsid w:val="00214CCC"/>
    <w:rsid w:val="00214E00"/>
    <w:rsid w:val="00214E86"/>
    <w:rsid w:val="00214E89"/>
    <w:rsid w:val="00214F34"/>
    <w:rsid w:val="00214F50"/>
    <w:rsid w:val="00214F51"/>
    <w:rsid w:val="00214FAC"/>
    <w:rsid w:val="00214FD2"/>
    <w:rsid w:val="0021509B"/>
    <w:rsid w:val="002150E9"/>
    <w:rsid w:val="00215148"/>
    <w:rsid w:val="0021529C"/>
    <w:rsid w:val="00215316"/>
    <w:rsid w:val="00215341"/>
    <w:rsid w:val="002153B9"/>
    <w:rsid w:val="00215410"/>
    <w:rsid w:val="00215425"/>
    <w:rsid w:val="0021549C"/>
    <w:rsid w:val="002154F0"/>
    <w:rsid w:val="00215621"/>
    <w:rsid w:val="00215648"/>
    <w:rsid w:val="0021575F"/>
    <w:rsid w:val="00215772"/>
    <w:rsid w:val="00215846"/>
    <w:rsid w:val="0021584C"/>
    <w:rsid w:val="00215866"/>
    <w:rsid w:val="0021595C"/>
    <w:rsid w:val="00215B01"/>
    <w:rsid w:val="00215B75"/>
    <w:rsid w:val="00215BB8"/>
    <w:rsid w:val="00215BBF"/>
    <w:rsid w:val="00215C37"/>
    <w:rsid w:val="00215DE9"/>
    <w:rsid w:val="00215DF7"/>
    <w:rsid w:val="00215F01"/>
    <w:rsid w:val="00215F05"/>
    <w:rsid w:val="00215F45"/>
    <w:rsid w:val="00215F91"/>
    <w:rsid w:val="00215F9C"/>
    <w:rsid w:val="00215FC4"/>
    <w:rsid w:val="00215FE4"/>
    <w:rsid w:val="0021617B"/>
    <w:rsid w:val="0021627F"/>
    <w:rsid w:val="0021628E"/>
    <w:rsid w:val="00216290"/>
    <w:rsid w:val="0021629E"/>
    <w:rsid w:val="002162CE"/>
    <w:rsid w:val="002162E4"/>
    <w:rsid w:val="00216353"/>
    <w:rsid w:val="00216359"/>
    <w:rsid w:val="002164FF"/>
    <w:rsid w:val="002165B8"/>
    <w:rsid w:val="0021667A"/>
    <w:rsid w:val="002166E4"/>
    <w:rsid w:val="00216756"/>
    <w:rsid w:val="0021687E"/>
    <w:rsid w:val="002168D2"/>
    <w:rsid w:val="00216A2A"/>
    <w:rsid w:val="00216D0E"/>
    <w:rsid w:val="00216E19"/>
    <w:rsid w:val="00216E3F"/>
    <w:rsid w:val="00216E8B"/>
    <w:rsid w:val="00216EFE"/>
    <w:rsid w:val="00216F6F"/>
    <w:rsid w:val="00216F79"/>
    <w:rsid w:val="00216F91"/>
    <w:rsid w:val="00216FDD"/>
    <w:rsid w:val="00216FF4"/>
    <w:rsid w:val="00217122"/>
    <w:rsid w:val="0021720E"/>
    <w:rsid w:val="00217218"/>
    <w:rsid w:val="0021726A"/>
    <w:rsid w:val="002173F3"/>
    <w:rsid w:val="00217437"/>
    <w:rsid w:val="0021754B"/>
    <w:rsid w:val="00217575"/>
    <w:rsid w:val="002175A3"/>
    <w:rsid w:val="002175C0"/>
    <w:rsid w:val="0021763C"/>
    <w:rsid w:val="002176A5"/>
    <w:rsid w:val="002176BA"/>
    <w:rsid w:val="002176CC"/>
    <w:rsid w:val="0021772F"/>
    <w:rsid w:val="0021774D"/>
    <w:rsid w:val="0021776A"/>
    <w:rsid w:val="002177D9"/>
    <w:rsid w:val="002177E3"/>
    <w:rsid w:val="00217845"/>
    <w:rsid w:val="002178F2"/>
    <w:rsid w:val="00217B41"/>
    <w:rsid w:val="00217B63"/>
    <w:rsid w:val="00217BF2"/>
    <w:rsid w:val="00217C50"/>
    <w:rsid w:val="00217C92"/>
    <w:rsid w:val="00217CD9"/>
    <w:rsid w:val="00217E9A"/>
    <w:rsid w:val="00217EED"/>
    <w:rsid w:val="00217F41"/>
    <w:rsid w:val="00217F42"/>
    <w:rsid w:val="00217F53"/>
    <w:rsid w:val="00217F86"/>
    <w:rsid w:val="0022003D"/>
    <w:rsid w:val="00220075"/>
    <w:rsid w:val="002200BF"/>
    <w:rsid w:val="00220117"/>
    <w:rsid w:val="0022011E"/>
    <w:rsid w:val="0022016A"/>
    <w:rsid w:val="002201FE"/>
    <w:rsid w:val="002202F3"/>
    <w:rsid w:val="00220308"/>
    <w:rsid w:val="00220317"/>
    <w:rsid w:val="00220318"/>
    <w:rsid w:val="002203B5"/>
    <w:rsid w:val="00220481"/>
    <w:rsid w:val="00220522"/>
    <w:rsid w:val="002205EA"/>
    <w:rsid w:val="002205F4"/>
    <w:rsid w:val="00220617"/>
    <w:rsid w:val="00220677"/>
    <w:rsid w:val="0022067F"/>
    <w:rsid w:val="0022068F"/>
    <w:rsid w:val="00220728"/>
    <w:rsid w:val="00220732"/>
    <w:rsid w:val="00220753"/>
    <w:rsid w:val="00220757"/>
    <w:rsid w:val="00220807"/>
    <w:rsid w:val="0022088C"/>
    <w:rsid w:val="0022091E"/>
    <w:rsid w:val="00220A04"/>
    <w:rsid w:val="00220A77"/>
    <w:rsid w:val="00220ABB"/>
    <w:rsid w:val="00220AF4"/>
    <w:rsid w:val="00220B6D"/>
    <w:rsid w:val="00220B81"/>
    <w:rsid w:val="00220C1E"/>
    <w:rsid w:val="00220C61"/>
    <w:rsid w:val="00220DC0"/>
    <w:rsid w:val="00220E57"/>
    <w:rsid w:val="00220E82"/>
    <w:rsid w:val="00220E8F"/>
    <w:rsid w:val="00220EAE"/>
    <w:rsid w:val="00220ED3"/>
    <w:rsid w:val="00220F9B"/>
    <w:rsid w:val="00220FC8"/>
    <w:rsid w:val="0022105B"/>
    <w:rsid w:val="00221094"/>
    <w:rsid w:val="002210EA"/>
    <w:rsid w:val="00221126"/>
    <w:rsid w:val="00221264"/>
    <w:rsid w:val="002212EB"/>
    <w:rsid w:val="00221302"/>
    <w:rsid w:val="00221449"/>
    <w:rsid w:val="0022151B"/>
    <w:rsid w:val="002215A2"/>
    <w:rsid w:val="002215F8"/>
    <w:rsid w:val="00221631"/>
    <w:rsid w:val="00221685"/>
    <w:rsid w:val="0022169A"/>
    <w:rsid w:val="00221705"/>
    <w:rsid w:val="00221742"/>
    <w:rsid w:val="00221772"/>
    <w:rsid w:val="002217DE"/>
    <w:rsid w:val="00221802"/>
    <w:rsid w:val="00221850"/>
    <w:rsid w:val="0022187C"/>
    <w:rsid w:val="0022193E"/>
    <w:rsid w:val="00221965"/>
    <w:rsid w:val="00221A58"/>
    <w:rsid w:val="00221B71"/>
    <w:rsid w:val="00221C39"/>
    <w:rsid w:val="00221CCC"/>
    <w:rsid w:val="00221D51"/>
    <w:rsid w:val="00221D72"/>
    <w:rsid w:val="00221D73"/>
    <w:rsid w:val="00221E02"/>
    <w:rsid w:val="00221F2E"/>
    <w:rsid w:val="00221F49"/>
    <w:rsid w:val="00221FDB"/>
    <w:rsid w:val="00222005"/>
    <w:rsid w:val="00222030"/>
    <w:rsid w:val="00222070"/>
    <w:rsid w:val="002220E4"/>
    <w:rsid w:val="00222105"/>
    <w:rsid w:val="0022217D"/>
    <w:rsid w:val="002221F5"/>
    <w:rsid w:val="002221F7"/>
    <w:rsid w:val="00222281"/>
    <w:rsid w:val="00222380"/>
    <w:rsid w:val="002223A5"/>
    <w:rsid w:val="00222477"/>
    <w:rsid w:val="00222478"/>
    <w:rsid w:val="00222487"/>
    <w:rsid w:val="00222573"/>
    <w:rsid w:val="0022258F"/>
    <w:rsid w:val="002225C6"/>
    <w:rsid w:val="0022261E"/>
    <w:rsid w:val="0022269A"/>
    <w:rsid w:val="002226EF"/>
    <w:rsid w:val="00222704"/>
    <w:rsid w:val="0022270F"/>
    <w:rsid w:val="00222714"/>
    <w:rsid w:val="002227C7"/>
    <w:rsid w:val="00222841"/>
    <w:rsid w:val="0022286E"/>
    <w:rsid w:val="002228E4"/>
    <w:rsid w:val="002229EE"/>
    <w:rsid w:val="00222A84"/>
    <w:rsid w:val="00222AC3"/>
    <w:rsid w:val="00222B31"/>
    <w:rsid w:val="00222B4A"/>
    <w:rsid w:val="00222B4B"/>
    <w:rsid w:val="00222BE4"/>
    <w:rsid w:val="00222D2E"/>
    <w:rsid w:val="00222E28"/>
    <w:rsid w:val="0022303A"/>
    <w:rsid w:val="00223060"/>
    <w:rsid w:val="00223138"/>
    <w:rsid w:val="00223174"/>
    <w:rsid w:val="00223240"/>
    <w:rsid w:val="002232AF"/>
    <w:rsid w:val="00223335"/>
    <w:rsid w:val="0022338A"/>
    <w:rsid w:val="00223393"/>
    <w:rsid w:val="002233F2"/>
    <w:rsid w:val="0022340D"/>
    <w:rsid w:val="00223565"/>
    <w:rsid w:val="00223592"/>
    <w:rsid w:val="002235B7"/>
    <w:rsid w:val="002235BA"/>
    <w:rsid w:val="00223632"/>
    <w:rsid w:val="002236AB"/>
    <w:rsid w:val="00223706"/>
    <w:rsid w:val="002237D9"/>
    <w:rsid w:val="002237F1"/>
    <w:rsid w:val="0022389F"/>
    <w:rsid w:val="002238EC"/>
    <w:rsid w:val="00223A75"/>
    <w:rsid w:val="00223ABB"/>
    <w:rsid w:val="00223B03"/>
    <w:rsid w:val="00223B46"/>
    <w:rsid w:val="00223BF6"/>
    <w:rsid w:val="00223CB1"/>
    <w:rsid w:val="00223CB3"/>
    <w:rsid w:val="00223CCF"/>
    <w:rsid w:val="00223CE4"/>
    <w:rsid w:val="00223D17"/>
    <w:rsid w:val="00223D7A"/>
    <w:rsid w:val="00223F09"/>
    <w:rsid w:val="00223F1E"/>
    <w:rsid w:val="00224044"/>
    <w:rsid w:val="00224108"/>
    <w:rsid w:val="00224118"/>
    <w:rsid w:val="00224123"/>
    <w:rsid w:val="0022416B"/>
    <w:rsid w:val="00224195"/>
    <w:rsid w:val="0022425D"/>
    <w:rsid w:val="00224378"/>
    <w:rsid w:val="00224386"/>
    <w:rsid w:val="0022442D"/>
    <w:rsid w:val="0022449D"/>
    <w:rsid w:val="00224547"/>
    <w:rsid w:val="00224691"/>
    <w:rsid w:val="002246DD"/>
    <w:rsid w:val="0022478B"/>
    <w:rsid w:val="002247D7"/>
    <w:rsid w:val="002248AA"/>
    <w:rsid w:val="00224989"/>
    <w:rsid w:val="00224990"/>
    <w:rsid w:val="00224A22"/>
    <w:rsid w:val="00224A3C"/>
    <w:rsid w:val="00224A7F"/>
    <w:rsid w:val="00224AEF"/>
    <w:rsid w:val="00224B16"/>
    <w:rsid w:val="00224BB3"/>
    <w:rsid w:val="00224C8B"/>
    <w:rsid w:val="00224CCA"/>
    <w:rsid w:val="00224D1D"/>
    <w:rsid w:val="00224D29"/>
    <w:rsid w:val="00224DB6"/>
    <w:rsid w:val="00224E4C"/>
    <w:rsid w:val="00224E95"/>
    <w:rsid w:val="00224EC6"/>
    <w:rsid w:val="00224F7E"/>
    <w:rsid w:val="00224FA5"/>
    <w:rsid w:val="00224FE6"/>
    <w:rsid w:val="0022504F"/>
    <w:rsid w:val="00225050"/>
    <w:rsid w:val="0022512E"/>
    <w:rsid w:val="0022513E"/>
    <w:rsid w:val="0022514B"/>
    <w:rsid w:val="002251DA"/>
    <w:rsid w:val="00225219"/>
    <w:rsid w:val="00225406"/>
    <w:rsid w:val="00225577"/>
    <w:rsid w:val="0022561C"/>
    <w:rsid w:val="0022566E"/>
    <w:rsid w:val="002256FB"/>
    <w:rsid w:val="00225788"/>
    <w:rsid w:val="00225817"/>
    <w:rsid w:val="00225900"/>
    <w:rsid w:val="0022591B"/>
    <w:rsid w:val="0022592D"/>
    <w:rsid w:val="00225964"/>
    <w:rsid w:val="00225A2B"/>
    <w:rsid w:val="00225B3C"/>
    <w:rsid w:val="00225BE6"/>
    <w:rsid w:val="00225CC2"/>
    <w:rsid w:val="00225CEA"/>
    <w:rsid w:val="00225D04"/>
    <w:rsid w:val="00225D29"/>
    <w:rsid w:val="00225D7E"/>
    <w:rsid w:val="00225E55"/>
    <w:rsid w:val="00225E75"/>
    <w:rsid w:val="00225EA8"/>
    <w:rsid w:val="00225EC0"/>
    <w:rsid w:val="00225F2F"/>
    <w:rsid w:val="00225F8E"/>
    <w:rsid w:val="00225FC5"/>
    <w:rsid w:val="00226007"/>
    <w:rsid w:val="002260E0"/>
    <w:rsid w:val="00226146"/>
    <w:rsid w:val="0022617A"/>
    <w:rsid w:val="00226189"/>
    <w:rsid w:val="002261D8"/>
    <w:rsid w:val="0022632F"/>
    <w:rsid w:val="00226401"/>
    <w:rsid w:val="0022644E"/>
    <w:rsid w:val="002264C4"/>
    <w:rsid w:val="00226524"/>
    <w:rsid w:val="0022655C"/>
    <w:rsid w:val="00226771"/>
    <w:rsid w:val="0022679E"/>
    <w:rsid w:val="00226845"/>
    <w:rsid w:val="0022687E"/>
    <w:rsid w:val="0022699E"/>
    <w:rsid w:val="002269C6"/>
    <w:rsid w:val="00226A9E"/>
    <w:rsid w:val="00226AB9"/>
    <w:rsid w:val="00226AF0"/>
    <w:rsid w:val="00226B07"/>
    <w:rsid w:val="00226BC3"/>
    <w:rsid w:val="00226C96"/>
    <w:rsid w:val="00226CEE"/>
    <w:rsid w:val="00226DED"/>
    <w:rsid w:val="00226E4C"/>
    <w:rsid w:val="00226E58"/>
    <w:rsid w:val="00226E7E"/>
    <w:rsid w:val="00226E87"/>
    <w:rsid w:val="00226E9A"/>
    <w:rsid w:val="00226EB2"/>
    <w:rsid w:val="00226F49"/>
    <w:rsid w:val="00226FFD"/>
    <w:rsid w:val="00227085"/>
    <w:rsid w:val="0022709E"/>
    <w:rsid w:val="002270B0"/>
    <w:rsid w:val="00227113"/>
    <w:rsid w:val="00227117"/>
    <w:rsid w:val="0022718C"/>
    <w:rsid w:val="0022722C"/>
    <w:rsid w:val="0022722F"/>
    <w:rsid w:val="00227318"/>
    <w:rsid w:val="00227325"/>
    <w:rsid w:val="00227366"/>
    <w:rsid w:val="00227404"/>
    <w:rsid w:val="00227426"/>
    <w:rsid w:val="00227475"/>
    <w:rsid w:val="00227520"/>
    <w:rsid w:val="0022754A"/>
    <w:rsid w:val="002275A5"/>
    <w:rsid w:val="002275E3"/>
    <w:rsid w:val="00227648"/>
    <w:rsid w:val="002276D1"/>
    <w:rsid w:val="00227731"/>
    <w:rsid w:val="0022773B"/>
    <w:rsid w:val="002277CD"/>
    <w:rsid w:val="002277CE"/>
    <w:rsid w:val="002277D3"/>
    <w:rsid w:val="00227819"/>
    <w:rsid w:val="00227896"/>
    <w:rsid w:val="002279DF"/>
    <w:rsid w:val="00227AAD"/>
    <w:rsid w:val="00227B23"/>
    <w:rsid w:val="00227BD5"/>
    <w:rsid w:val="00227C5B"/>
    <w:rsid w:val="00227CCE"/>
    <w:rsid w:val="00227ECD"/>
    <w:rsid w:val="00227F2D"/>
    <w:rsid w:val="00227F5C"/>
    <w:rsid w:val="0023008B"/>
    <w:rsid w:val="002301BA"/>
    <w:rsid w:val="002301D3"/>
    <w:rsid w:val="002302E0"/>
    <w:rsid w:val="00230313"/>
    <w:rsid w:val="00230521"/>
    <w:rsid w:val="00230554"/>
    <w:rsid w:val="0023057F"/>
    <w:rsid w:val="0023059B"/>
    <w:rsid w:val="002306B2"/>
    <w:rsid w:val="002306FC"/>
    <w:rsid w:val="00230735"/>
    <w:rsid w:val="00230868"/>
    <w:rsid w:val="002308B1"/>
    <w:rsid w:val="002308B5"/>
    <w:rsid w:val="0023094A"/>
    <w:rsid w:val="002309D9"/>
    <w:rsid w:val="002309F1"/>
    <w:rsid w:val="00230A02"/>
    <w:rsid w:val="00230CE0"/>
    <w:rsid w:val="00230D14"/>
    <w:rsid w:val="00230D43"/>
    <w:rsid w:val="00230E33"/>
    <w:rsid w:val="00230E4F"/>
    <w:rsid w:val="00230F1B"/>
    <w:rsid w:val="00230F35"/>
    <w:rsid w:val="00230FA3"/>
    <w:rsid w:val="00231009"/>
    <w:rsid w:val="0023104F"/>
    <w:rsid w:val="00231051"/>
    <w:rsid w:val="00231117"/>
    <w:rsid w:val="00231131"/>
    <w:rsid w:val="0023115B"/>
    <w:rsid w:val="002312AB"/>
    <w:rsid w:val="002312C4"/>
    <w:rsid w:val="00231413"/>
    <w:rsid w:val="002314C6"/>
    <w:rsid w:val="002314CA"/>
    <w:rsid w:val="0023151B"/>
    <w:rsid w:val="0023153B"/>
    <w:rsid w:val="00231608"/>
    <w:rsid w:val="002318C3"/>
    <w:rsid w:val="002318E6"/>
    <w:rsid w:val="0023193B"/>
    <w:rsid w:val="002319B9"/>
    <w:rsid w:val="002319D6"/>
    <w:rsid w:val="00231A07"/>
    <w:rsid w:val="00231AD8"/>
    <w:rsid w:val="00231B0A"/>
    <w:rsid w:val="00231B7A"/>
    <w:rsid w:val="00231B7E"/>
    <w:rsid w:val="00231C0B"/>
    <w:rsid w:val="00231C4F"/>
    <w:rsid w:val="00231C95"/>
    <w:rsid w:val="00231CBF"/>
    <w:rsid w:val="00231D18"/>
    <w:rsid w:val="00231DE4"/>
    <w:rsid w:val="00231E5B"/>
    <w:rsid w:val="00231F50"/>
    <w:rsid w:val="00231FD3"/>
    <w:rsid w:val="0023208B"/>
    <w:rsid w:val="002320D4"/>
    <w:rsid w:val="00232108"/>
    <w:rsid w:val="00232116"/>
    <w:rsid w:val="002321B6"/>
    <w:rsid w:val="00232334"/>
    <w:rsid w:val="00232362"/>
    <w:rsid w:val="002323CB"/>
    <w:rsid w:val="0023240E"/>
    <w:rsid w:val="0023243E"/>
    <w:rsid w:val="00232443"/>
    <w:rsid w:val="00232551"/>
    <w:rsid w:val="002325AD"/>
    <w:rsid w:val="002325BF"/>
    <w:rsid w:val="0023264C"/>
    <w:rsid w:val="002327BB"/>
    <w:rsid w:val="002328B1"/>
    <w:rsid w:val="002328CD"/>
    <w:rsid w:val="00232932"/>
    <w:rsid w:val="0023298E"/>
    <w:rsid w:val="002329B5"/>
    <w:rsid w:val="00232ACB"/>
    <w:rsid w:val="00232B5E"/>
    <w:rsid w:val="00232BEE"/>
    <w:rsid w:val="00232C30"/>
    <w:rsid w:val="00232C76"/>
    <w:rsid w:val="00232C95"/>
    <w:rsid w:val="00232D14"/>
    <w:rsid w:val="00232D84"/>
    <w:rsid w:val="00232E4D"/>
    <w:rsid w:val="00232E8E"/>
    <w:rsid w:val="00232ECE"/>
    <w:rsid w:val="00232F13"/>
    <w:rsid w:val="00232F45"/>
    <w:rsid w:val="00232F66"/>
    <w:rsid w:val="00232FE7"/>
    <w:rsid w:val="00233000"/>
    <w:rsid w:val="0023300C"/>
    <w:rsid w:val="0023301E"/>
    <w:rsid w:val="00233081"/>
    <w:rsid w:val="002330A1"/>
    <w:rsid w:val="002330A4"/>
    <w:rsid w:val="00233137"/>
    <w:rsid w:val="00233247"/>
    <w:rsid w:val="00233258"/>
    <w:rsid w:val="00233326"/>
    <w:rsid w:val="00233442"/>
    <w:rsid w:val="002334D4"/>
    <w:rsid w:val="00233578"/>
    <w:rsid w:val="00233580"/>
    <w:rsid w:val="002335C3"/>
    <w:rsid w:val="00233642"/>
    <w:rsid w:val="00233715"/>
    <w:rsid w:val="00233772"/>
    <w:rsid w:val="002337E2"/>
    <w:rsid w:val="0023390F"/>
    <w:rsid w:val="00233957"/>
    <w:rsid w:val="002339B8"/>
    <w:rsid w:val="002339C3"/>
    <w:rsid w:val="00233A97"/>
    <w:rsid w:val="00233B94"/>
    <w:rsid w:val="00233B99"/>
    <w:rsid w:val="00233C81"/>
    <w:rsid w:val="00233C84"/>
    <w:rsid w:val="00233D34"/>
    <w:rsid w:val="00233D41"/>
    <w:rsid w:val="00233D89"/>
    <w:rsid w:val="00233E0E"/>
    <w:rsid w:val="00233E29"/>
    <w:rsid w:val="00233E6C"/>
    <w:rsid w:val="00233EE4"/>
    <w:rsid w:val="00233EF4"/>
    <w:rsid w:val="00233F7D"/>
    <w:rsid w:val="00233FD1"/>
    <w:rsid w:val="0023403E"/>
    <w:rsid w:val="00234084"/>
    <w:rsid w:val="002340E8"/>
    <w:rsid w:val="00234224"/>
    <w:rsid w:val="00234280"/>
    <w:rsid w:val="002342DE"/>
    <w:rsid w:val="00234400"/>
    <w:rsid w:val="00234491"/>
    <w:rsid w:val="002344BF"/>
    <w:rsid w:val="00234506"/>
    <w:rsid w:val="00234511"/>
    <w:rsid w:val="0023452D"/>
    <w:rsid w:val="0023453F"/>
    <w:rsid w:val="00234558"/>
    <w:rsid w:val="0023461E"/>
    <w:rsid w:val="002346A1"/>
    <w:rsid w:val="002346ED"/>
    <w:rsid w:val="00234780"/>
    <w:rsid w:val="002347B9"/>
    <w:rsid w:val="00234841"/>
    <w:rsid w:val="0023486B"/>
    <w:rsid w:val="002348CA"/>
    <w:rsid w:val="002349A8"/>
    <w:rsid w:val="00234A6F"/>
    <w:rsid w:val="00234ACC"/>
    <w:rsid w:val="00234BF6"/>
    <w:rsid w:val="00234C8F"/>
    <w:rsid w:val="00234CAF"/>
    <w:rsid w:val="00234CB7"/>
    <w:rsid w:val="00234CC1"/>
    <w:rsid w:val="00234D06"/>
    <w:rsid w:val="00234DA3"/>
    <w:rsid w:val="00234E18"/>
    <w:rsid w:val="00234F91"/>
    <w:rsid w:val="00234FDD"/>
    <w:rsid w:val="00235026"/>
    <w:rsid w:val="00235085"/>
    <w:rsid w:val="002350AA"/>
    <w:rsid w:val="002350F7"/>
    <w:rsid w:val="00235196"/>
    <w:rsid w:val="002351CE"/>
    <w:rsid w:val="0023521D"/>
    <w:rsid w:val="00235234"/>
    <w:rsid w:val="002353DA"/>
    <w:rsid w:val="002353E6"/>
    <w:rsid w:val="0023544A"/>
    <w:rsid w:val="00235491"/>
    <w:rsid w:val="0023568F"/>
    <w:rsid w:val="002356CF"/>
    <w:rsid w:val="002356D7"/>
    <w:rsid w:val="0023575D"/>
    <w:rsid w:val="00235862"/>
    <w:rsid w:val="00235891"/>
    <w:rsid w:val="0023589A"/>
    <w:rsid w:val="00235941"/>
    <w:rsid w:val="00235946"/>
    <w:rsid w:val="00235970"/>
    <w:rsid w:val="00235A01"/>
    <w:rsid w:val="00235AD7"/>
    <w:rsid w:val="00235B43"/>
    <w:rsid w:val="00235BF3"/>
    <w:rsid w:val="00235C72"/>
    <w:rsid w:val="00235CFB"/>
    <w:rsid w:val="00235D1A"/>
    <w:rsid w:val="00235D2B"/>
    <w:rsid w:val="00235D9C"/>
    <w:rsid w:val="00235DB2"/>
    <w:rsid w:val="00235EDD"/>
    <w:rsid w:val="00235F57"/>
    <w:rsid w:val="002360B1"/>
    <w:rsid w:val="0023615B"/>
    <w:rsid w:val="00236176"/>
    <w:rsid w:val="00236189"/>
    <w:rsid w:val="0023620D"/>
    <w:rsid w:val="00236227"/>
    <w:rsid w:val="0023622D"/>
    <w:rsid w:val="0023632C"/>
    <w:rsid w:val="00236389"/>
    <w:rsid w:val="00236436"/>
    <w:rsid w:val="00236453"/>
    <w:rsid w:val="00236476"/>
    <w:rsid w:val="0023654B"/>
    <w:rsid w:val="0023659F"/>
    <w:rsid w:val="002365A1"/>
    <w:rsid w:val="002365E4"/>
    <w:rsid w:val="0023664E"/>
    <w:rsid w:val="00236698"/>
    <w:rsid w:val="002366C6"/>
    <w:rsid w:val="0023676C"/>
    <w:rsid w:val="0023684F"/>
    <w:rsid w:val="002369E7"/>
    <w:rsid w:val="00236A14"/>
    <w:rsid w:val="00236A3F"/>
    <w:rsid w:val="00236A79"/>
    <w:rsid w:val="00236A9B"/>
    <w:rsid w:val="00236AAE"/>
    <w:rsid w:val="00236ABE"/>
    <w:rsid w:val="00236C95"/>
    <w:rsid w:val="00236D82"/>
    <w:rsid w:val="00236D88"/>
    <w:rsid w:val="00236E5E"/>
    <w:rsid w:val="00236F42"/>
    <w:rsid w:val="00236F5A"/>
    <w:rsid w:val="0023703A"/>
    <w:rsid w:val="002370CC"/>
    <w:rsid w:val="002371A2"/>
    <w:rsid w:val="00237214"/>
    <w:rsid w:val="00237240"/>
    <w:rsid w:val="0023728D"/>
    <w:rsid w:val="002372B1"/>
    <w:rsid w:val="0023730D"/>
    <w:rsid w:val="00237391"/>
    <w:rsid w:val="002376B6"/>
    <w:rsid w:val="002376CC"/>
    <w:rsid w:val="0023777C"/>
    <w:rsid w:val="002377B5"/>
    <w:rsid w:val="002378C5"/>
    <w:rsid w:val="0023792A"/>
    <w:rsid w:val="0023794F"/>
    <w:rsid w:val="002379C3"/>
    <w:rsid w:val="00237A1B"/>
    <w:rsid w:val="00237A5A"/>
    <w:rsid w:val="00237B1F"/>
    <w:rsid w:val="00237B3B"/>
    <w:rsid w:val="00237BDF"/>
    <w:rsid w:val="00237C4B"/>
    <w:rsid w:val="00237DE2"/>
    <w:rsid w:val="00237DFA"/>
    <w:rsid w:val="00237E24"/>
    <w:rsid w:val="00237ED9"/>
    <w:rsid w:val="00237FB4"/>
    <w:rsid w:val="00240146"/>
    <w:rsid w:val="0024019D"/>
    <w:rsid w:val="0024019F"/>
    <w:rsid w:val="0024028B"/>
    <w:rsid w:val="002402A8"/>
    <w:rsid w:val="00240322"/>
    <w:rsid w:val="00240361"/>
    <w:rsid w:val="00240476"/>
    <w:rsid w:val="002404A6"/>
    <w:rsid w:val="002404B9"/>
    <w:rsid w:val="002404DA"/>
    <w:rsid w:val="002404EE"/>
    <w:rsid w:val="00240500"/>
    <w:rsid w:val="00240556"/>
    <w:rsid w:val="00240605"/>
    <w:rsid w:val="00240637"/>
    <w:rsid w:val="002406EB"/>
    <w:rsid w:val="002406FC"/>
    <w:rsid w:val="0024075D"/>
    <w:rsid w:val="002407CB"/>
    <w:rsid w:val="00240806"/>
    <w:rsid w:val="00240841"/>
    <w:rsid w:val="00240860"/>
    <w:rsid w:val="00240865"/>
    <w:rsid w:val="002408B6"/>
    <w:rsid w:val="00240A8D"/>
    <w:rsid w:val="00240ACF"/>
    <w:rsid w:val="00240B45"/>
    <w:rsid w:val="00240BB1"/>
    <w:rsid w:val="00240C23"/>
    <w:rsid w:val="00240C53"/>
    <w:rsid w:val="00240C99"/>
    <w:rsid w:val="00240D0E"/>
    <w:rsid w:val="00240D63"/>
    <w:rsid w:val="00240D73"/>
    <w:rsid w:val="00240DB4"/>
    <w:rsid w:val="00240DFD"/>
    <w:rsid w:val="00240F23"/>
    <w:rsid w:val="00240F51"/>
    <w:rsid w:val="00240F89"/>
    <w:rsid w:val="00241054"/>
    <w:rsid w:val="00241059"/>
    <w:rsid w:val="002411DB"/>
    <w:rsid w:val="002411FA"/>
    <w:rsid w:val="002411FC"/>
    <w:rsid w:val="0024120D"/>
    <w:rsid w:val="00241298"/>
    <w:rsid w:val="00241308"/>
    <w:rsid w:val="00241312"/>
    <w:rsid w:val="00241477"/>
    <w:rsid w:val="0024148A"/>
    <w:rsid w:val="002414D1"/>
    <w:rsid w:val="002414D4"/>
    <w:rsid w:val="0024150B"/>
    <w:rsid w:val="0024155B"/>
    <w:rsid w:val="002415E6"/>
    <w:rsid w:val="00241688"/>
    <w:rsid w:val="0024176D"/>
    <w:rsid w:val="0024182B"/>
    <w:rsid w:val="002418E9"/>
    <w:rsid w:val="00241973"/>
    <w:rsid w:val="002419BB"/>
    <w:rsid w:val="00241B7A"/>
    <w:rsid w:val="00241B92"/>
    <w:rsid w:val="00241BAA"/>
    <w:rsid w:val="00241BC1"/>
    <w:rsid w:val="00241C04"/>
    <w:rsid w:val="00241C3B"/>
    <w:rsid w:val="00241D01"/>
    <w:rsid w:val="00241D0D"/>
    <w:rsid w:val="00241D96"/>
    <w:rsid w:val="00241DB5"/>
    <w:rsid w:val="00241E83"/>
    <w:rsid w:val="00241F11"/>
    <w:rsid w:val="00241F22"/>
    <w:rsid w:val="00241F2C"/>
    <w:rsid w:val="00241F63"/>
    <w:rsid w:val="00241F82"/>
    <w:rsid w:val="0024210D"/>
    <w:rsid w:val="00242140"/>
    <w:rsid w:val="0024215E"/>
    <w:rsid w:val="00242161"/>
    <w:rsid w:val="002422B8"/>
    <w:rsid w:val="002422C4"/>
    <w:rsid w:val="00242380"/>
    <w:rsid w:val="0024249F"/>
    <w:rsid w:val="002424E5"/>
    <w:rsid w:val="00242511"/>
    <w:rsid w:val="0024255D"/>
    <w:rsid w:val="00242703"/>
    <w:rsid w:val="002427A3"/>
    <w:rsid w:val="002427ED"/>
    <w:rsid w:val="002427F2"/>
    <w:rsid w:val="00242834"/>
    <w:rsid w:val="00242939"/>
    <w:rsid w:val="00242AFC"/>
    <w:rsid w:val="00242B21"/>
    <w:rsid w:val="00242B37"/>
    <w:rsid w:val="00242B69"/>
    <w:rsid w:val="00242B83"/>
    <w:rsid w:val="00242BF7"/>
    <w:rsid w:val="00242C0A"/>
    <w:rsid w:val="00242C35"/>
    <w:rsid w:val="00242C89"/>
    <w:rsid w:val="00242D12"/>
    <w:rsid w:val="00242D46"/>
    <w:rsid w:val="00242D75"/>
    <w:rsid w:val="00242DE6"/>
    <w:rsid w:val="00242F7E"/>
    <w:rsid w:val="00243041"/>
    <w:rsid w:val="002430E5"/>
    <w:rsid w:val="00243195"/>
    <w:rsid w:val="00243202"/>
    <w:rsid w:val="002432C8"/>
    <w:rsid w:val="00243303"/>
    <w:rsid w:val="002433C7"/>
    <w:rsid w:val="002433D4"/>
    <w:rsid w:val="002434E1"/>
    <w:rsid w:val="002435D3"/>
    <w:rsid w:val="00243634"/>
    <w:rsid w:val="00243645"/>
    <w:rsid w:val="0024378E"/>
    <w:rsid w:val="002438CF"/>
    <w:rsid w:val="00243965"/>
    <w:rsid w:val="00243A6B"/>
    <w:rsid w:val="00243AA0"/>
    <w:rsid w:val="00243ACB"/>
    <w:rsid w:val="00243B95"/>
    <w:rsid w:val="00243BEB"/>
    <w:rsid w:val="00243C52"/>
    <w:rsid w:val="00243D20"/>
    <w:rsid w:val="00243E30"/>
    <w:rsid w:val="00243E90"/>
    <w:rsid w:val="002441AE"/>
    <w:rsid w:val="0024425E"/>
    <w:rsid w:val="00244360"/>
    <w:rsid w:val="00244420"/>
    <w:rsid w:val="0024449D"/>
    <w:rsid w:val="002444B9"/>
    <w:rsid w:val="00244507"/>
    <w:rsid w:val="0024456B"/>
    <w:rsid w:val="0024456F"/>
    <w:rsid w:val="0024458F"/>
    <w:rsid w:val="002445A1"/>
    <w:rsid w:val="002445B7"/>
    <w:rsid w:val="002445E2"/>
    <w:rsid w:val="0024461E"/>
    <w:rsid w:val="0024467F"/>
    <w:rsid w:val="002446CD"/>
    <w:rsid w:val="0024476A"/>
    <w:rsid w:val="0024478D"/>
    <w:rsid w:val="0024482D"/>
    <w:rsid w:val="00244862"/>
    <w:rsid w:val="0024493C"/>
    <w:rsid w:val="0024498D"/>
    <w:rsid w:val="002449BB"/>
    <w:rsid w:val="00244A15"/>
    <w:rsid w:val="00244AEB"/>
    <w:rsid w:val="00244B27"/>
    <w:rsid w:val="00244BEA"/>
    <w:rsid w:val="00244C17"/>
    <w:rsid w:val="00244C8B"/>
    <w:rsid w:val="00244CAA"/>
    <w:rsid w:val="00244CB8"/>
    <w:rsid w:val="00244D13"/>
    <w:rsid w:val="00244D6E"/>
    <w:rsid w:val="00244D90"/>
    <w:rsid w:val="00244DF4"/>
    <w:rsid w:val="00244EFF"/>
    <w:rsid w:val="00244F13"/>
    <w:rsid w:val="00244FDC"/>
    <w:rsid w:val="00245073"/>
    <w:rsid w:val="0024514B"/>
    <w:rsid w:val="00245189"/>
    <w:rsid w:val="002451C3"/>
    <w:rsid w:val="002451C8"/>
    <w:rsid w:val="0024531F"/>
    <w:rsid w:val="00245323"/>
    <w:rsid w:val="0024535E"/>
    <w:rsid w:val="00245476"/>
    <w:rsid w:val="00245556"/>
    <w:rsid w:val="0024563C"/>
    <w:rsid w:val="002456F1"/>
    <w:rsid w:val="002456F3"/>
    <w:rsid w:val="0024583B"/>
    <w:rsid w:val="0024589E"/>
    <w:rsid w:val="0024590F"/>
    <w:rsid w:val="0024595B"/>
    <w:rsid w:val="002459E5"/>
    <w:rsid w:val="00245A02"/>
    <w:rsid w:val="00245A12"/>
    <w:rsid w:val="00245A36"/>
    <w:rsid w:val="00245A46"/>
    <w:rsid w:val="00245A5B"/>
    <w:rsid w:val="00245AB3"/>
    <w:rsid w:val="00245BDA"/>
    <w:rsid w:val="00245BFE"/>
    <w:rsid w:val="00245C34"/>
    <w:rsid w:val="00245CAF"/>
    <w:rsid w:val="00245CC0"/>
    <w:rsid w:val="00245D1F"/>
    <w:rsid w:val="00245D35"/>
    <w:rsid w:val="00245EB1"/>
    <w:rsid w:val="00245F65"/>
    <w:rsid w:val="00245FB4"/>
    <w:rsid w:val="00245FC6"/>
    <w:rsid w:val="00245FE2"/>
    <w:rsid w:val="00246014"/>
    <w:rsid w:val="002460BE"/>
    <w:rsid w:val="00246101"/>
    <w:rsid w:val="0024616B"/>
    <w:rsid w:val="002461E3"/>
    <w:rsid w:val="002463B7"/>
    <w:rsid w:val="00246441"/>
    <w:rsid w:val="00246455"/>
    <w:rsid w:val="0024647B"/>
    <w:rsid w:val="0024647E"/>
    <w:rsid w:val="002464E2"/>
    <w:rsid w:val="002465A9"/>
    <w:rsid w:val="0024665E"/>
    <w:rsid w:val="00246661"/>
    <w:rsid w:val="00246685"/>
    <w:rsid w:val="0024677B"/>
    <w:rsid w:val="002467D8"/>
    <w:rsid w:val="00246818"/>
    <w:rsid w:val="00246917"/>
    <w:rsid w:val="0024698C"/>
    <w:rsid w:val="00246991"/>
    <w:rsid w:val="002469B3"/>
    <w:rsid w:val="00246A3E"/>
    <w:rsid w:val="00246A90"/>
    <w:rsid w:val="00246B0B"/>
    <w:rsid w:val="00246CBC"/>
    <w:rsid w:val="00246D26"/>
    <w:rsid w:val="00246D68"/>
    <w:rsid w:val="00246E50"/>
    <w:rsid w:val="00246E7F"/>
    <w:rsid w:val="00246EDB"/>
    <w:rsid w:val="00246F18"/>
    <w:rsid w:val="00246F59"/>
    <w:rsid w:val="00246F9F"/>
    <w:rsid w:val="00246FCD"/>
    <w:rsid w:val="00247076"/>
    <w:rsid w:val="00247103"/>
    <w:rsid w:val="00247134"/>
    <w:rsid w:val="002471B6"/>
    <w:rsid w:val="002471DD"/>
    <w:rsid w:val="00247214"/>
    <w:rsid w:val="00247237"/>
    <w:rsid w:val="002473CF"/>
    <w:rsid w:val="002473D4"/>
    <w:rsid w:val="00247418"/>
    <w:rsid w:val="00247458"/>
    <w:rsid w:val="002474E4"/>
    <w:rsid w:val="002475B4"/>
    <w:rsid w:val="002475EE"/>
    <w:rsid w:val="002475F1"/>
    <w:rsid w:val="0024765A"/>
    <w:rsid w:val="00247662"/>
    <w:rsid w:val="00247686"/>
    <w:rsid w:val="0024769F"/>
    <w:rsid w:val="002476B1"/>
    <w:rsid w:val="002476E5"/>
    <w:rsid w:val="00247732"/>
    <w:rsid w:val="002477A9"/>
    <w:rsid w:val="00247877"/>
    <w:rsid w:val="002478A0"/>
    <w:rsid w:val="002478DD"/>
    <w:rsid w:val="00247952"/>
    <w:rsid w:val="002479A8"/>
    <w:rsid w:val="00247A6C"/>
    <w:rsid w:val="00247ABA"/>
    <w:rsid w:val="00247BDA"/>
    <w:rsid w:val="00247BE7"/>
    <w:rsid w:val="00247D4A"/>
    <w:rsid w:val="00247D74"/>
    <w:rsid w:val="00247DF2"/>
    <w:rsid w:val="00247EC2"/>
    <w:rsid w:val="00247F06"/>
    <w:rsid w:val="00247F66"/>
    <w:rsid w:val="00247FC5"/>
    <w:rsid w:val="0024E681"/>
    <w:rsid w:val="0025001F"/>
    <w:rsid w:val="0025017A"/>
    <w:rsid w:val="002501A9"/>
    <w:rsid w:val="002501DA"/>
    <w:rsid w:val="002502A9"/>
    <w:rsid w:val="0025031A"/>
    <w:rsid w:val="00250387"/>
    <w:rsid w:val="00250397"/>
    <w:rsid w:val="0025057D"/>
    <w:rsid w:val="00250600"/>
    <w:rsid w:val="00250602"/>
    <w:rsid w:val="00250654"/>
    <w:rsid w:val="0025067F"/>
    <w:rsid w:val="00250709"/>
    <w:rsid w:val="0025077A"/>
    <w:rsid w:val="002507BD"/>
    <w:rsid w:val="00250864"/>
    <w:rsid w:val="002508B6"/>
    <w:rsid w:val="00250913"/>
    <w:rsid w:val="00250946"/>
    <w:rsid w:val="002509AB"/>
    <w:rsid w:val="00250A9E"/>
    <w:rsid w:val="00250ABE"/>
    <w:rsid w:val="00250B6C"/>
    <w:rsid w:val="00250CAD"/>
    <w:rsid w:val="00250D15"/>
    <w:rsid w:val="00250D5C"/>
    <w:rsid w:val="00250E07"/>
    <w:rsid w:val="00250E34"/>
    <w:rsid w:val="00250F4F"/>
    <w:rsid w:val="00250F8D"/>
    <w:rsid w:val="00250FDE"/>
    <w:rsid w:val="00251092"/>
    <w:rsid w:val="00251193"/>
    <w:rsid w:val="00251264"/>
    <w:rsid w:val="002512ED"/>
    <w:rsid w:val="00251352"/>
    <w:rsid w:val="002513C1"/>
    <w:rsid w:val="00251450"/>
    <w:rsid w:val="0025145F"/>
    <w:rsid w:val="002514B2"/>
    <w:rsid w:val="002514C5"/>
    <w:rsid w:val="0025150B"/>
    <w:rsid w:val="00251540"/>
    <w:rsid w:val="0025162A"/>
    <w:rsid w:val="00251645"/>
    <w:rsid w:val="00251696"/>
    <w:rsid w:val="00251718"/>
    <w:rsid w:val="00251767"/>
    <w:rsid w:val="00251792"/>
    <w:rsid w:val="002517AD"/>
    <w:rsid w:val="002517D4"/>
    <w:rsid w:val="002518EA"/>
    <w:rsid w:val="002518FB"/>
    <w:rsid w:val="0025194C"/>
    <w:rsid w:val="00251959"/>
    <w:rsid w:val="0025196E"/>
    <w:rsid w:val="00251AFF"/>
    <w:rsid w:val="00251BFA"/>
    <w:rsid w:val="00251C22"/>
    <w:rsid w:val="00251CA6"/>
    <w:rsid w:val="00251DC8"/>
    <w:rsid w:val="00251E27"/>
    <w:rsid w:val="00251E4D"/>
    <w:rsid w:val="00251E96"/>
    <w:rsid w:val="00251EB0"/>
    <w:rsid w:val="00251EDB"/>
    <w:rsid w:val="002520D1"/>
    <w:rsid w:val="00252273"/>
    <w:rsid w:val="00252303"/>
    <w:rsid w:val="00252315"/>
    <w:rsid w:val="00252341"/>
    <w:rsid w:val="00252373"/>
    <w:rsid w:val="002523EC"/>
    <w:rsid w:val="00252429"/>
    <w:rsid w:val="00252451"/>
    <w:rsid w:val="002524FB"/>
    <w:rsid w:val="00252519"/>
    <w:rsid w:val="0025258E"/>
    <w:rsid w:val="002525B5"/>
    <w:rsid w:val="002525B6"/>
    <w:rsid w:val="00252633"/>
    <w:rsid w:val="002526C9"/>
    <w:rsid w:val="0025272F"/>
    <w:rsid w:val="00252911"/>
    <w:rsid w:val="0025291F"/>
    <w:rsid w:val="00252A14"/>
    <w:rsid w:val="00252B10"/>
    <w:rsid w:val="00252BA7"/>
    <w:rsid w:val="00252BEE"/>
    <w:rsid w:val="00252BEF"/>
    <w:rsid w:val="00252C1F"/>
    <w:rsid w:val="00252C76"/>
    <w:rsid w:val="00252C9D"/>
    <w:rsid w:val="00252CB3"/>
    <w:rsid w:val="00252D90"/>
    <w:rsid w:val="00252EB0"/>
    <w:rsid w:val="00252F8C"/>
    <w:rsid w:val="00253079"/>
    <w:rsid w:val="0025308E"/>
    <w:rsid w:val="002530E9"/>
    <w:rsid w:val="002531C0"/>
    <w:rsid w:val="002531D9"/>
    <w:rsid w:val="00253207"/>
    <w:rsid w:val="0025325E"/>
    <w:rsid w:val="00253281"/>
    <w:rsid w:val="002533C9"/>
    <w:rsid w:val="002533CD"/>
    <w:rsid w:val="002535B5"/>
    <w:rsid w:val="002535E3"/>
    <w:rsid w:val="00253693"/>
    <w:rsid w:val="002536A6"/>
    <w:rsid w:val="002536E2"/>
    <w:rsid w:val="0025377F"/>
    <w:rsid w:val="00253880"/>
    <w:rsid w:val="0025389C"/>
    <w:rsid w:val="0025395C"/>
    <w:rsid w:val="002539F2"/>
    <w:rsid w:val="002539F9"/>
    <w:rsid w:val="00253A83"/>
    <w:rsid w:val="00253B3C"/>
    <w:rsid w:val="00253B57"/>
    <w:rsid w:val="00253BA2"/>
    <w:rsid w:val="00253BA6"/>
    <w:rsid w:val="00253BEB"/>
    <w:rsid w:val="00253C59"/>
    <w:rsid w:val="00253C88"/>
    <w:rsid w:val="00253CE6"/>
    <w:rsid w:val="00253D1E"/>
    <w:rsid w:val="00253DA0"/>
    <w:rsid w:val="00253DCE"/>
    <w:rsid w:val="00253E02"/>
    <w:rsid w:val="00253EFC"/>
    <w:rsid w:val="00253F57"/>
    <w:rsid w:val="00253F72"/>
    <w:rsid w:val="00253F77"/>
    <w:rsid w:val="00253FB7"/>
    <w:rsid w:val="00253FBE"/>
    <w:rsid w:val="00253FD6"/>
    <w:rsid w:val="00254014"/>
    <w:rsid w:val="00254096"/>
    <w:rsid w:val="002540FC"/>
    <w:rsid w:val="0025412F"/>
    <w:rsid w:val="00254192"/>
    <w:rsid w:val="002541DE"/>
    <w:rsid w:val="0025423B"/>
    <w:rsid w:val="0025428A"/>
    <w:rsid w:val="00254350"/>
    <w:rsid w:val="002543E8"/>
    <w:rsid w:val="00254486"/>
    <w:rsid w:val="0025451A"/>
    <w:rsid w:val="00254583"/>
    <w:rsid w:val="00254586"/>
    <w:rsid w:val="00254673"/>
    <w:rsid w:val="0025469D"/>
    <w:rsid w:val="0025478F"/>
    <w:rsid w:val="002547FA"/>
    <w:rsid w:val="0025485D"/>
    <w:rsid w:val="00254881"/>
    <w:rsid w:val="0025488C"/>
    <w:rsid w:val="002548B2"/>
    <w:rsid w:val="00254A06"/>
    <w:rsid w:val="00254A79"/>
    <w:rsid w:val="00254B32"/>
    <w:rsid w:val="00254B59"/>
    <w:rsid w:val="00254C75"/>
    <w:rsid w:val="00254DBF"/>
    <w:rsid w:val="00254E31"/>
    <w:rsid w:val="00254EDC"/>
    <w:rsid w:val="00254FBD"/>
    <w:rsid w:val="0025505C"/>
    <w:rsid w:val="00255092"/>
    <w:rsid w:val="002550AA"/>
    <w:rsid w:val="00255108"/>
    <w:rsid w:val="0025518D"/>
    <w:rsid w:val="002551D1"/>
    <w:rsid w:val="002551FA"/>
    <w:rsid w:val="0025522C"/>
    <w:rsid w:val="00255234"/>
    <w:rsid w:val="002552CC"/>
    <w:rsid w:val="0025533F"/>
    <w:rsid w:val="002553FD"/>
    <w:rsid w:val="00255426"/>
    <w:rsid w:val="0025551E"/>
    <w:rsid w:val="00255536"/>
    <w:rsid w:val="0025557C"/>
    <w:rsid w:val="002555C6"/>
    <w:rsid w:val="002555FC"/>
    <w:rsid w:val="0025563F"/>
    <w:rsid w:val="002556DE"/>
    <w:rsid w:val="00255874"/>
    <w:rsid w:val="0025593C"/>
    <w:rsid w:val="002559B0"/>
    <w:rsid w:val="00255AD1"/>
    <w:rsid w:val="00255B0F"/>
    <w:rsid w:val="00255B16"/>
    <w:rsid w:val="00255BDA"/>
    <w:rsid w:val="00255C97"/>
    <w:rsid w:val="00255C9F"/>
    <w:rsid w:val="00255CBA"/>
    <w:rsid w:val="00255D8C"/>
    <w:rsid w:val="00255E11"/>
    <w:rsid w:val="00255F4B"/>
    <w:rsid w:val="00255F84"/>
    <w:rsid w:val="002560A8"/>
    <w:rsid w:val="002560C5"/>
    <w:rsid w:val="002561D5"/>
    <w:rsid w:val="002562B6"/>
    <w:rsid w:val="002562CE"/>
    <w:rsid w:val="002562CF"/>
    <w:rsid w:val="002562D7"/>
    <w:rsid w:val="002562F9"/>
    <w:rsid w:val="0025630F"/>
    <w:rsid w:val="0025634E"/>
    <w:rsid w:val="00256355"/>
    <w:rsid w:val="002563A3"/>
    <w:rsid w:val="002563DF"/>
    <w:rsid w:val="00256417"/>
    <w:rsid w:val="0025641E"/>
    <w:rsid w:val="00256422"/>
    <w:rsid w:val="00256446"/>
    <w:rsid w:val="002564EB"/>
    <w:rsid w:val="0025652B"/>
    <w:rsid w:val="002565E4"/>
    <w:rsid w:val="00256682"/>
    <w:rsid w:val="002566F2"/>
    <w:rsid w:val="002566F8"/>
    <w:rsid w:val="00256724"/>
    <w:rsid w:val="00256786"/>
    <w:rsid w:val="002567EA"/>
    <w:rsid w:val="002568C5"/>
    <w:rsid w:val="00256954"/>
    <w:rsid w:val="00256A99"/>
    <w:rsid w:val="00256AC1"/>
    <w:rsid w:val="00256B01"/>
    <w:rsid w:val="00256BBB"/>
    <w:rsid w:val="00256C69"/>
    <w:rsid w:val="00256DC8"/>
    <w:rsid w:val="00256EAD"/>
    <w:rsid w:val="00256F10"/>
    <w:rsid w:val="00256FE0"/>
    <w:rsid w:val="0025701C"/>
    <w:rsid w:val="00257112"/>
    <w:rsid w:val="0025716F"/>
    <w:rsid w:val="002571A5"/>
    <w:rsid w:val="00257219"/>
    <w:rsid w:val="00257263"/>
    <w:rsid w:val="00257278"/>
    <w:rsid w:val="002572D9"/>
    <w:rsid w:val="002572FC"/>
    <w:rsid w:val="002573A3"/>
    <w:rsid w:val="002573A7"/>
    <w:rsid w:val="002573BB"/>
    <w:rsid w:val="0025748E"/>
    <w:rsid w:val="002574D2"/>
    <w:rsid w:val="002574EF"/>
    <w:rsid w:val="002575D2"/>
    <w:rsid w:val="002575E6"/>
    <w:rsid w:val="00257619"/>
    <w:rsid w:val="00257658"/>
    <w:rsid w:val="002576FE"/>
    <w:rsid w:val="00257717"/>
    <w:rsid w:val="0025775A"/>
    <w:rsid w:val="002577CC"/>
    <w:rsid w:val="00257897"/>
    <w:rsid w:val="002578C4"/>
    <w:rsid w:val="00257902"/>
    <w:rsid w:val="002579B8"/>
    <w:rsid w:val="00257A20"/>
    <w:rsid w:val="00257A76"/>
    <w:rsid w:val="00257A8D"/>
    <w:rsid w:val="00257ACD"/>
    <w:rsid w:val="00257AE2"/>
    <w:rsid w:val="00257B46"/>
    <w:rsid w:val="00257BD9"/>
    <w:rsid w:val="00257BF1"/>
    <w:rsid w:val="00257C7F"/>
    <w:rsid w:val="00257D01"/>
    <w:rsid w:val="00257DA4"/>
    <w:rsid w:val="00257DB1"/>
    <w:rsid w:val="00257E2F"/>
    <w:rsid w:val="00257EA2"/>
    <w:rsid w:val="00257EE0"/>
    <w:rsid w:val="00257F83"/>
    <w:rsid w:val="00260023"/>
    <w:rsid w:val="00260087"/>
    <w:rsid w:val="00260268"/>
    <w:rsid w:val="0026031E"/>
    <w:rsid w:val="00260330"/>
    <w:rsid w:val="0026035D"/>
    <w:rsid w:val="0026035E"/>
    <w:rsid w:val="00260523"/>
    <w:rsid w:val="0026054A"/>
    <w:rsid w:val="0026055A"/>
    <w:rsid w:val="0026055C"/>
    <w:rsid w:val="0026059C"/>
    <w:rsid w:val="002605DF"/>
    <w:rsid w:val="002606F8"/>
    <w:rsid w:val="00260734"/>
    <w:rsid w:val="00260766"/>
    <w:rsid w:val="002607A6"/>
    <w:rsid w:val="002607AD"/>
    <w:rsid w:val="00260982"/>
    <w:rsid w:val="00260990"/>
    <w:rsid w:val="002609DA"/>
    <w:rsid w:val="00260A71"/>
    <w:rsid w:val="00260A92"/>
    <w:rsid w:val="00260BDB"/>
    <w:rsid w:val="00260C03"/>
    <w:rsid w:val="00260CD6"/>
    <w:rsid w:val="00260CDC"/>
    <w:rsid w:val="00260CDF"/>
    <w:rsid w:val="00260D07"/>
    <w:rsid w:val="00260DA4"/>
    <w:rsid w:val="00260E7E"/>
    <w:rsid w:val="00260F75"/>
    <w:rsid w:val="00260FB2"/>
    <w:rsid w:val="00260FF6"/>
    <w:rsid w:val="0026100A"/>
    <w:rsid w:val="0026105A"/>
    <w:rsid w:val="00261070"/>
    <w:rsid w:val="002610BF"/>
    <w:rsid w:val="002610C1"/>
    <w:rsid w:val="002610D9"/>
    <w:rsid w:val="00261175"/>
    <w:rsid w:val="00261195"/>
    <w:rsid w:val="0026119D"/>
    <w:rsid w:val="00261235"/>
    <w:rsid w:val="00261261"/>
    <w:rsid w:val="0026127F"/>
    <w:rsid w:val="002612F4"/>
    <w:rsid w:val="002613E1"/>
    <w:rsid w:val="002614B0"/>
    <w:rsid w:val="00261514"/>
    <w:rsid w:val="00261525"/>
    <w:rsid w:val="00261625"/>
    <w:rsid w:val="00261692"/>
    <w:rsid w:val="00261791"/>
    <w:rsid w:val="0026179C"/>
    <w:rsid w:val="00261857"/>
    <w:rsid w:val="0026188C"/>
    <w:rsid w:val="002618E7"/>
    <w:rsid w:val="0026194D"/>
    <w:rsid w:val="00261984"/>
    <w:rsid w:val="00261989"/>
    <w:rsid w:val="00261A6F"/>
    <w:rsid w:val="00261AD3"/>
    <w:rsid w:val="00261B00"/>
    <w:rsid w:val="00261B6C"/>
    <w:rsid w:val="00261B7A"/>
    <w:rsid w:val="00261C4B"/>
    <w:rsid w:val="00261C95"/>
    <w:rsid w:val="00261D03"/>
    <w:rsid w:val="00261D48"/>
    <w:rsid w:val="00261D9E"/>
    <w:rsid w:val="00261DB1"/>
    <w:rsid w:val="00261E67"/>
    <w:rsid w:val="00261EE3"/>
    <w:rsid w:val="00261F96"/>
    <w:rsid w:val="0026208F"/>
    <w:rsid w:val="002620FC"/>
    <w:rsid w:val="00262215"/>
    <w:rsid w:val="00262275"/>
    <w:rsid w:val="002622AD"/>
    <w:rsid w:val="002622B4"/>
    <w:rsid w:val="002622B7"/>
    <w:rsid w:val="00262331"/>
    <w:rsid w:val="00262360"/>
    <w:rsid w:val="002623B7"/>
    <w:rsid w:val="0026247F"/>
    <w:rsid w:val="002624CA"/>
    <w:rsid w:val="00262500"/>
    <w:rsid w:val="002625C9"/>
    <w:rsid w:val="002625DD"/>
    <w:rsid w:val="0026260F"/>
    <w:rsid w:val="002627E3"/>
    <w:rsid w:val="00262808"/>
    <w:rsid w:val="0026284C"/>
    <w:rsid w:val="002628E2"/>
    <w:rsid w:val="0026298E"/>
    <w:rsid w:val="002629B9"/>
    <w:rsid w:val="00262A3C"/>
    <w:rsid w:val="00262A40"/>
    <w:rsid w:val="00262A71"/>
    <w:rsid w:val="00262AAB"/>
    <w:rsid w:val="00262AE5"/>
    <w:rsid w:val="00262AF9"/>
    <w:rsid w:val="00262BDC"/>
    <w:rsid w:val="00262BEC"/>
    <w:rsid w:val="00262D11"/>
    <w:rsid w:val="00262E74"/>
    <w:rsid w:val="00262E95"/>
    <w:rsid w:val="00262F15"/>
    <w:rsid w:val="00262FE0"/>
    <w:rsid w:val="00262FE2"/>
    <w:rsid w:val="0026300A"/>
    <w:rsid w:val="00263050"/>
    <w:rsid w:val="002630CD"/>
    <w:rsid w:val="0026313C"/>
    <w:rsid w:val="002631C2"/>
    <w:rsid w:val="00263287"/>
    <w:rsid w:val="0026333B"/>
    <w:rsid w:val="00263390"/>
    <w:rsid w:val="00263405"/>
    <w:rsid w:val="0026349D"/>
    <w:rsid w:val="002634C7"/>
    <w:rsid w:val="00263538"/>
    <w:rsid w:val="00263586"/>
    <w:rsid w:val="002635FB"/>
    <w:rsid w:val="002636AE"/>
    <w:rsid w:val="002636DC"/>
    <w:rsid w:val="00263713"/>
    <w:rsid w:val="002637C1"/>
    <w:rsid w:val="00263835"/>
    <w:rsid w:val="002638C6"/>
    <w:rsid w:val="0026390F"/>
    <w:rsid w:val="00263910"/>
    <w:rsid w:val="002639F1"/>
    <w:rsid w:val="00263A32"/>
    <w:rsid w:val="00263BD0"/>
    <w:rsid w:val="00263C61"/>
    <w:rsid w:val="00263C8E"/>
    <w:rsid w:val="00263D57"/>
    <w:rsid w:val="00263D6A"/>
    <w:rsid w:val="00263E40"/>
    <w:rsid w:val="00263E7C"/>
    <w:rsid w:val="00263F74"/>
    <w:rsid w:val="00263FCB"/>
    <w:rsid w:val="002640B1"/>
    <w:rsid w:val="002640E2"/>
    <w:rsid w:val="002640EF"/>
    <w:rsid w:val="0026414D"/>
    <w:rsid w:val="00264192"/>
    <w:rsid w:val="00264242"/>
    <w:rsid w:val="00264271"/>
    <w:rsid w:val="00264306"/>
    <w:rsid w:val="0026431E"/>
    <w:rsid w:val="00264355"/>
    <w:rsid w:val="00264379"/>
    <w:rsid w:val="002643BF"/>
    <w:rsid w:val="002643C1"/>
    <w:rsid w:val="002643E8"/>
    <w:rsid w:val="0026445A"/>
    <w:rsid w:val="00264460"/>
    <w:rsid w:val="00264474"/>
    <w:rsid w:val="002644AE"/>
    <w:rsid w:val="00264692"/>
    <w:rsid w:val="002647AF"/>
    <w:rsid w:val="0026488A"/>
    <w:rsid w:val="002648D2"/>
    <w:rsid w:val="00264906"/>
    <w:rsid w:val="00264947"/>
    <w:rsid w:val="00264982"/>
    <w:rsid w:val="002649DC"/>
    <w:rsid w:val="00264ACD"/>
    <w:rsid w:val="00264AEF"/>
    <w:rsid w:val="00264AF1"/>
    <w:rsid w:val="00264AF5"/>
    <w:rsid w:val="00264B7C"/>
    <w:rsid w:val="00264C5D"/>
    <w:rsid w:val="00264D8F"/>
    <w:rsid w:val="00264DD2"/>
    <w:rsid w:val="00264E2B"/>
    <w:rsid w:val="00264EB9"/>
    <w:rsid w:val="00264F5B"/>
    <w:rsid w:val="00264F83"/>
    <w:rsid w:val="00264F94"/>
    <w:rsid w:val="00264FA5"/>
    <w:rsid w:val="00264FAE"/>
    <w:rsid w:val="00264FEF"/>
    <w:rsid w:val="00265058"/>
    <w:rsid w:val="0026509A"/>
    <w:rsid w:val="00265168"/>
    <w:rsid w:val="00265202"/>
    <w:rsid w:val="00265203"/>
    <w:rsid w:val="0026527A"/>
    <w:rsid w:val="00265295"/>
    <w:rsid w:val="002652AF"/>
    <w:rsid w:val="002652F9"/>
    <w:rsid w:val="0026533B"/>
    <w:rsid w:val="002654D6"/>
    <w:rsid w:val="00265624"/>
    <w:rsid w:val="00265639"/>
    <w:rsid w:val="00265670"/>
    <w:rsid w:val="0026569F"/>
    <w:rsid w:val="002656BA"/>
    <w:rsid w:val="002656DD"/>
    <w:rsid w:val="002656F0"/>
    <w:rsid w:val="0026572C"/>
    <w:rsid w:val="0026574F"/>
    <w:rsid w:val="00265816"/>
    <w:rsid w:val="002658B3"/>
    <w:rsid w:val="002658B8"/>
    <w:rsid w:val="002658E6"/>
    <w:rsid w:val="00265916"/>
    <w:rsid w:val="00265939"/>
    <w:rsid w:val="0026594E"/>
    <w:rsid w:val="002659A7"/>
    <w:rsid w:val="002659B5"/>
    <w:rsid w:val="002659B7"/>
    <w:rsid w:val="00265ADE"/>
    <w:rsid w:val="00265B3A"/>
    <w:rsid w:val="00265BEC"/>
    <w:rsid w:val="00265C0F"/>
    <w:rsid w:val="00265C94"/>
    <w:rsid w:val="00265CC7"/>
    <w:rsid w:val="00265D5F"/>
    <w:rsid w:val="00265D87"/>
    <w:rsid w:val="00265DB6"/>
    <w:rsid w:val="00265DE8"/>
    <w:rsid w:val="00265F13"/>
    <w:rsid w:val="00265F8E"/>
    <w:rsid w:val="00265FBE"/>
    <w:rsid w:val="00265FCE"/>
    <w:rsid w:val="0026600E"/>
    <w:rsid w:val="00266050"/>
    <w:rsid w:val="0026605F"/>
    <w:rsid w:val="002660D9"/>
    <w:rsid w:val="002660E8"/>
    <w:rsid w:val="00266149"/>
    <w:rsid w:val="00266155"/>
    <w:rsid w:val="00266270"/>
    <w:rsid w:val="00266298"/>
    <w:rsid w:val="0026636C"/>
    <w:rsid w:val="00266399"/>
    <w:rsid w:val="002663E0"/>
    <w:rsid w:val="00266465"/>
    <w:rsid w:val="00266469"/>
    <w:rsid w:val="002664AA"/>
    <w:rsid w:val="002664B3"/>
    <w:rsid w:val="0026653B"/>
    <w:rsid w:val="002665F2"/>
    <w:rsid w:val="00266605"/>
    <w:rsid w:val="00266658"/>
    <w:rsid w:val="00266692"/>
    <w:rsid w:val="0026669A"/>
    <w:rsid w:val="002666B4"/>
    <w:rsid w:val="00266708"/>
    <w:rsid w:val="00266713"/>
    <w:rsid w:val="00266744"/>
    <w:rsid w:val="0026679E"/>
    <w:rsid w:val="002667E6"/>
    <w:rsid w:val="00266829"/>
    <w:rsid w:val="002669AA"/>
    <w:rsid w:val="00266A24"/>
    <w:rsid w:val="00266A2A"/>
    <w:rsid w:val="00266ACE"/>
    <w:rsid w:val="00266BC0"/>
    <w:rsid w:val="00266BDC"/>
    <w:rsid w:val="00266C64"/>
    <w:rsid w:val="00266C75"/>
    <w:rsid w:val="00266CC2"/>
    <w:rsid w:val="00266DE7"/>
    <w:rsid w:val="00266DEB"/>
    <w:rsid w:val="00266E1A"/>
    <w:rsid w:val="00266E22"/>
    <w:rsid w:val="00266EC5"/>
    <w:rsid w:val="00266F05"/>
    <w:rsid w:val="00266F5E"/>
    <w:rsid w:val="00266F9C"/>
    <w:rsid w:val="0026705D"/>
    <w:rsid w:val="00267063"/>
    <w:rsid w:val="00267077"/>
    <w:rsid w:val="002670A0"/>
    <w:rsid w:val="002671DD"/>
    <w:rsid w:val="002672C3"/>
    <w:rsid w:val="00267497"/>
    <w:rsid w:val="0026756C"/>
    <w:rsid w:val="00267576"/>
    <w:rsid w:val="00267578"/>
    <w:rsid w:val="00267581"/>
    <w:rsid w:val="00267588"/>
    <w:rsid w:val="002676A1"/>
    <w:rsid w:val="002676AD"/>
    <w:rsid w:val="002676FA"/>
    <w:rsid w:val="002678EC"/>
    <w:rsid w:val="00267928"/>
    <w:rsid w:val="00267966"/>
    <w:rsid w:val="00267976"/>
    <w:rsid w:val="00267A28"/>
    <w:rsid w:val="00267A63"/>
    <w:rsid w:val="00267A70"/>
    <w:rsid w:val="00267B41"/>
    <w:rsid w:val="00267B50"/>
    <w:rsid w:val="00267B5A"/>
    <w:rsid w:val="00267C11"/>
    <w:rsid w:val="00267C24"/>
    <w:rsid w:val="00267C8E"/>
    <w:rsid w:val="00267D19"/>
    <w:rsid w:val="00267E4C"/>
    <w:rsid w:val="00267F41"/>
    <w:rsid w:val="00267FC7"/>
    <w:rsid w:val="00267FDF"/>
    <w:rsid w:val="00270085"/>
    <w:rsid w:val="00270100"/>
    <w:rsid w:val="0027017F"/>
    <w:rsid w:val="00270229"/>
    <w:rsid w:val="0027024E"/>
    <w:rsid w:val="0027025F"/>
    <w:rsid w:val="002702D3"/>
    <w:rsid w:val="0027036A"/>
    <w:rsid w:val="002703B6"/>
    <w:rsid w:val="002703D5"/>
    <w:rsid w:val="00270448"/>
    <w:rsid w:val="0027047B"/>
    <w:rsid w:val="002704BA"/>
    <w:rsid w:val="002705AA"/>
    <w:rsid w:val="002705C0"/>
    <w:rsid w:val="0027060B"/>
    <w:rsid w:val="00270650"/>
    <w:rsid w:val="002706B7"/>
    <w:rsid w:val="002706BE"/>
    <w:rsid w:val="00270706"/>
    <w:rsid w:val="002707D3"/>
    <w:rsid w:val="00270828"/>
    <w:rsid w:val="0027082E"/>
    <w:rsid w:val="0027085B"/>
    <w:rsid w:val="0027089D"/>
    <w:rsid w:val="0027091B"/>
    <w:rsid w:val="0027097E"/>
    <w:rsid w:val="002709BD"/>
    <w:rsid w:val="00270AED"/>
    <w:rsid w:val="00270B4E"/>
    <w:rsid w:val="00270B6C"/>
    <w:rsid w:val="00270C0B"/>
    <w:rsid w:val="00270C5A"/>
    <w:rsid w:val="00270C92"/>
    <w:rsid w:val="00270D46"/>
    <w:rsid w:val="00270DCB"/>
    <w:rsid w:val="00270E47"/>
    <w:rsid w:val="00270F81"/>
    <w:rsid w:val="00270FB4"/>
    <w:rsid w:val="002710A2"/>
    <w:rsid w:val="0027112A"/>
    <w:rsid w:val="002711AA"/>
    <w:rsid w:val="0027128B"/>
    <w:rsid w:val="00271364"/>
    <w:rsid w:val="0027147E"/>
    <w:rsid w:val="002715CC"/>
    <w:rsid w:val="002717B0"/>
    <w:rsid w:val="0027181A"/>
    <w:rsid w:val="00271842"/>
    <w:rsid w:val="00271862"/>
    <w:rsid w:val="0027187F"/>
    <w:rsid w:val="0027189A"/>
    <w:rsid w:val="002718E2"/>
    <w:rsid w:val="00271917"/>
    <w:rsid w:val="0027192C"/>
    <w:rsid w:val="00271AEB"/>
    <w:rsid w:val="00271B04"/>
    <w:rsid w:val="00271B58"/>
    <w:rsid w:val="00271CD3"/>
    <w:rsid w:val="00271CE4"/>
    <w:rsid w:val="00271DB2"/>
    <w:rsid w:val="00271DB4"/>
    <w:rsid w:val="00271DEC"/>
    <w:rsid w:val="00271E67"/>
    <w:rsid w:val="00271EE3"/>
    <w:rsid w:val="00271EEB"/>
    <w:rsid w:val="00271F75"/>
    <w:rsid w:val="00271F84"/>
    <w:rsid w:val="00271FC0"/>
    <w:rsid w:val="002720D3"/>
    <w:rsid w:val="002721D7"/>
    <w:rsid w:val="0027227A"/>
    <w:rsid w:val="002722C8"/>
    <w:rsid w:val="002722F4"/>
    <w:rsid w:val="0027234A"/>
    <w:rsid w:val="002723C1"/>
    <w:rsid w:val="00272447"/>
    <w:rsid w:val="002724CF"/>
    <w:rsid w:val="00272537"/>
    <w:rsid w:val="002725A9"/>
    <w:rsid w:val="00272667"/>
    <w:rsid w:val="002726F6"/>
    <w:rsid w:val="002726FF"/>
    <w:rsid w:val="00272896"/>
    <w:rsid w:val="0027290D"/>
    <w:rsid w:val="0027295D"/>
    <w:rsid w:val="00272A1C"/>
    <w:rsid w:val="00272AA3"/>
    <w:rsid w:val="00272B66"/>
    <w:rsid w:val="00272BB0"/>
    <w:rsid w:val="00272BB5"/>
    <w:rsid w:val="00272C1E"/>
    <w:rsid w:val="00272C36"/>
    <w:rsid w:val="00272DEF"/>
    <w:rsid w:val="00272ECF"/>
    <w:rsid w:val="00272ED9"/>
    <w:rsid w:val="00272F1B"/>
    <w:rsid w:val="00272FE5"/>
    <w:rsid w:val="00273062"/>
    <w:rsid w:val="002730C3"/>
    <w:rsid w:val="00273154"/>
    <w:rsid w:val="0027317C"/>
    <w:rsid w:val="002731AB"/>
    <w:rsid w:val="002731C2"/>
    <w:rsid w:val="002732E1"/>
    <w:rsid w:val="00273306"/>
    <w:rsid w:val="0027330F"/>
    <w:rsid w:val="0027339F"/>
    <w:rsid w:val="00273431"/>
    <w:rsid w:val="00273470"/>
    <w:rsid w:val="00273490"/>
    <w:rsid w:val="002734E9"/>
    <w:rsid w:val="00273504"/>
    <w:rsid w:val="00273584"/>
    <w:rsid w:val="002735BA"/>
    <w:rsid w:val="002736F4"/>
    <w:rsid w:val="00273703"/>
    <w:rsid w:val="002737A5"/>
    <w:rsid w:val="002737AC"/>
    <w:rsid w:val="002737AE"/>
    <w:rsid w:val="0027384C"/>
    <w:rsid w:val="002738CE"/>
    <w:rsid w:val="002739CC"/>
    <w:rsid w:val="002739F9"/>
    <w:rsid w:val="00273A1C"/>
    <w:rsid w:val="00273A43"/>
    <w:rsid w:val="00273A74"/>
    <w:rsid w:val="00273A86"/>
    <w:rsid w:val="00273ABA"/>
    <w:rsid w:val="00273B5C"/>
    <w:rsid w:val="00273B6C"/>
    <w:rsid w:val="00273BBC"/>
    <w:rsid w:val="00273C34"/>
    <w:rsid w:val="00273C5E"/>
    <w:rsid w:val="00273C9A"/>
    <w:rsid w:val="00273D43"/>
    <w:rsid w:val="00273D84"/>
    <w:rsid w:val="00273DD1"/>
    <w:rsid w:val="00273F3C"/>
    <w:rsid w:val="00274060"/>
    <w:rsid w:val="0027414F"/>
    <w:rsid w:val="0027415B"/>
    <w:rsid w:val="00274193"/>
    <w:rsid w:val="0027422F"/>
    <w:rsid w:val="00274285"/>
    <w:rsid w:val="0027429A"/>
    <w:rsid w:val="002742E2"/>
    <w:rsid w:val="0027432C"/>
    <w:rsid w:val="00274345"/>
    <w:rsid w:val="00274377"/>
    <w:rsid w:val="002743F3"/>
    <w:rsid w:val="00274441"/>
    <w:rsid w:val="00274465"/>
    <w:rsid w:val="002744BB"/>
    <w:rsid w:val="002744F7"/>
    <w:rsid w:val="002744F8"/>
    <w:rsid w:val="0027462B"/>
    <w:rsid w:val="00274651"/>
    <w:rsid w:val="002747BC"/>
    <w:rsid w:val="00274812"/>
    <w:rsid w:val="00274851"/>
    <w:rsid w:val="00274888"/>
    <w:rsid w:val="00274926"/>
    <w:rsid w:val="0027492D"/>
    <w:rsid w:val="002749D7"/>
    <w:rsid w:val="00274B26"/>
    <w:rsid w:val="00274B80"/>
    <w:rsid w:val="00274BFE"/>
    <w:rsid w:val="00274C1A"/>
    <w:rsid w:val="00274CA1"/>
    <w:rsid w:val="00274DD4"/>
    <w:rsid w:val="00274DF6"/>
    <w:rsid w:val="00274E2C"/>
    <w:rsid w:val="00274E72"/>
    <w:rsid w:val="00274EC4"/>
    <w:rsid w:val="00274EFF"/>
    <w:rsid w:val="00274F17"/>
    <w:rsid w:val="00274FE0"/>
    <w:rsid w:val="00275016"/>
    <w:rsid w:val="0027506C"/>
    <w:rsid w:val="00275079"/>
    <w:rsid w:val="002750AE"/>
    <w:rsid w:val="0027517B"/>
    <w:rsid w:val="002755BB"/>
    <w:rsid w:val="002756DC"/>
    <w:rsid w:val="002757A8"/>
    <w:rsid w:val="002757C2"/>
    <w:rsid w:val="00275825"/>
    <w:rsid w:val="002758BD"/>
    <w:rsid w:val="002759A3"/>
    <w:rsid w:val="002759D2"/>
    <w:rsid w:val="002759D5"/>
    <w:rsid w:val="00275B9F"/>
    <w:rsid w:val="00275C2B"/>
    <w:rsid w:val="00275D27"/>
    <w:rsid w:val="00275DC0"/>
    <w:rsid w:val="00275E7B"/>
    <w:rsid w:val="00275E9B"/>
    <w:rsid w:val="00275EAB"/>
    <w:rsid w:val="00275F2E"/>
    <w:rsid w:val="002760A3"/>
    <w:rsid w:val="0027611E"/>
    <w:rsid w:val="00276305"/>
    <w:rsid w:val="002763FC"/>
    <w:rsid w:val="00276405"/>
    <w:rsid w:val="00276474"/>
    <w:rsid w:val="00276570"/>
    <w:rsid w:val="0027658E"/>
    <w:rsid w:val="0027659E"/>
    <w:rsid w:val="002765E9"/>
    <w:rsid w:val="0027660B"/>
    <w:rsid w:val="0027662E"/>
    <w:rsid w:val="0027666D"/>
    <w:rsid w:val="00276682"/>
    <w:rsid w:val="002766B7"/>
    <w:rsid w:val="002766C7"/>
    <w:rsid w:val="00276869"/>
    <w:rsid w:val="00276898"/>
    <w:rsid w:val="002768B1"/>
    <w:rsid w:val="002768C7"/>
    <w:rsid w:val="002768D4"/>
    <w:rsid w:val="002768EA"/>
    <w:rsid w:val="002768FB"/>
    <w:rsid w:val="002769D8"/>
    <w:rsid w:val="00276A03"/>
    <w:rsid w:val="00276B2C"/>
    <w:rsid w:val="00276B8A"/>
    <w:rsid w:val="00276C10"/>
    <w:rsid w:val="00276C3E"/>
    <w:rsid w:val="00276C55"/>
    <w:rsid w:val="00276C64"/>
    <w:rsid w:val="00276CB4"/>
    <w:rsid w:val="00276D32"/>
    <w:rsid w:val="00276D45"/>
    <w:rsid w:val="00276D59"/>
    <w:rsid w:val="00276EFB"/>
    <w:rsid w:val="00276F4F"/>
    <w:rsid w:val="00276FB8"/>
    <w:rsid w:val="00276FF0"/>
    <w:rsid w:val="00277031"/>
    <w:rsid w:val="002770C4"/>
    <w:rsid w:val="002770D0"/>
    <w:rsid w:val="002770EC"/>
    <w:rsid w:val="0027715E"/>
    <w:rsid w:val="00277172"/>
    <w:rsid w:val="002771A9"/>
    <w:rsid w:val="002771F0"/>
    <w:rsid w:val="002772EB"/>
    <w:rsid w:val="00277370"/>
    <w:rsid w:val="002773AD"/>
    <w:rsid w:val="002773FD"/>
    <w:rsid w:val="0027747E"/>
    <w:rsid w:val="002775E5"/>
    <w:rsid w:val="002775F2"/>
    <w:rsid w:val="00277604"/>
    <w:rsid w:val="00277660"/>
    <w:rsid w:val="002776E3"/>
    <w:rsid w:val="00277761"/>
    <w:rsid w:val="0027777C"/>
    <w:rsid w:val="002779A9"/>
    <w:rsid w:val="00277AB8"/>
    <w:rsid w:val="00277B3C"/>
    <w:rsid w:val="00277B8C"/>
    <w:rsid w:val="00277C10"/>
    <w:rsid w:val="00277CA1"/>
    <w:rsid w:val="00277CB2"/>
    <w:rsid w:val="00277CE1"/>
    <w:rsid w:val="00277D96"/>
    <w:rsid w:val="00277D9F"/>
    <w:rsid w:val="00277DA9"/>
    <w:rsid w:val="00277DE5"/>
    <w:rsid w:val="00277DE7"/>
    <w:rsid w:val="00277DF4"/>
    <w:rsid w:val="00277E66"/>
    <w:rsid w:val="00277F0D"/>
    <w:rsid w:val="00277F2F"/>
    <w:rsid w:val="00277FAF"/>
    <w:rsid w:val="00277FBA"/>
    <w:rsid w:val="0028001B"/>
    <w:rsid w:val="0028002A"/>
    <w:rsid w:val="002800A7"/>
    <w:rsid w:val="002800FD"/>
    <w:rsid w:val="00280153"/>
    <w:rsid w:val="0028017A"/>
    <w:rsid w:val="002801DE"/>
    <w:rsid w:val="002801E9"/>
    <w:rsid w:val="002803D5"/>
    <w:rsid w:val="00280475"/>
    <w:rsid w:val="002804E3"/>
    <w:rsid w:val="002804E7"/>
    <w:rsid w:val="002804FB"/>
    <w:rsid w:val="00280512"/>
    <w:rsid w:val="0028058A"/>
    <w:rsid w:val="002805AE"/>
    <w:rsid w:val="0028063B"/>
    <w:rsid w:val="002806C5"/>
    <w:rsid w:val="00280749"/>
    <w:rsid w:val="00280822"/>
    <w:rsid w:val="0028084A"/>
    <w:rsid w:val="00280880"/>
    <w:rsid w:val="002808BA"/>
    <w:rsid w:val="0028099D"/>
    <w:rsid w:val="00280AFC"/>
    <w:rsid w:val="00280B00"/>
    <w:rsid w:val="00280FA0"/>
    <w:rsid w:val="00281006"/>
    <w:rsid w:val="00281013"/>
    <w:rsid w:val="002810F1"/>
    <w:rsid w:val="002810F7"/>
    <w:rsid w:val="00281119"/>
    <w:rsid w:val="002811C7"/>
    <w:rsid w:val="002812B1"/>
    <w:rsid w:val="00281319"/>
    <w:rsid w:val="00281373"/>
    <w:rsid w:val="0028151B"/>
    <w:rsid w:val="002815B0"/>
    <w:rsid w:val="002815D8"/>
    <w:rsid w:val="002815F6"/>
    <w:rsid w:val="0028168B"/>
    <w:rsid w:val="002816FB"/>
    <w:rsid w:val="002817AE"/>
    <w:rsid w:val="002817D3"/>
    <w:rsid w:val="00281857"/>
    <w:rsid w:val="002818EE"/>
    <w:rsid w:val="00281A5D"/>
    <w:rsid w:val="00281AB8"/>
    <w:rsid w:val="00281B2A"/>
    <w:rsid w:val="00281B73"/>
    <w:rsid w:val="00281C08"/>
    <w:rsid w:val="00281C53"/>
    <w:rsid w:val="00281CDE"/>
    <w:rsid w:val="00281DDC"/>
    <w:rsid w:val="00281DF7"/>
    <w:rsid w:val="00281E73"/>
    <w:rsid w:val="00281F35"/>
    <w:rsid w:val="00281FAF"/>
    <w:rsid w:val="0028204B"/>
    <w:rsid w:val="0028214B"/>
    <w:rsid w:val="00282199"/>
    <w:rsid w:val="00282308"/>
    <w:rsid w:val="00282311"/>
    <w:rsid w:val="00282314"/>
    <w:rsid w:val="0028234A"/>
    <w:rsid w:val="00282366"/>
    <w:rsid w:val="0028242D"/>
    <w:rsid w:val="00282446"/>
    <w:rsid w:val="0028248F"/>
    <w:rsid w:val="00282501"/>
    <w:rsid w:val="00282558"/>
    <w:rsid w:val="0028256C"/>
    <w:rsid w:val="00282599"/>
    <w:rsid w:val="002825A0"/>
    <w:rsid w:val="0028260A"/>
    <w:rsid w:val="002826CF"/>
    <w:rsid w:val="002826E9"/>
    <w:rsid w:val="002826EB"/>
    <w:rsid w:val="002827F0"/>
    <w:rsid w:val="00282849"/>
    <w:rsid w:val="00282860"/>
    <w:rsid w:val="00282883"/>
    <w:rsid w:val="00282887"/>
    <w:rsid w:val="002828D7"/>
    <w:rsid w:val="00282932"/>
    <w:rsid w:val="00282936"/>
    <w:rsid w:val="00282942"/>
    <w:rsid w:val="002829E7"/>
    <w:rsid w:val="00282A88"/>
    <w:rsid w:val="00282AA7"/>
    <w:rsid w:val="00282AC5"/>
    <w:rsid w:val="00282B31"/>
    <w:rsid w:val="00282B73"/>
    <w:rsid w:val="00282B94"/>
    <w:rsid w:val="00282C2C"/>
    <w:rsid w:val="00282C5B"/>
    <w:rsid w:val="00282C9F"/>
    <w:rsid w:val="00282CFD"/>
    <w:rsid w:val="00282D25"/>
    <w:rsid w:val="00282D5C"/>
    <w:rsid w:val="00282D95"/>
    <w:rsid w:val="00282DAC"/>
    <w:rsid w:val="00282DD2"/>
    <w:rsid w:val="00282EBD"/>
    <w:rsid w:val="00282F4F"/>
    <w:rsid w:val="00282FBC"/>
    <w:rsid w:val="00283007"/>
    <w:rsid w:val="0028303D"/>
    <w:rsid w:val="0028303E"/>
    <w:rsid w:val="002830ED"/>
    <w:rsid w:val="00283123"/>
    <w:rsid w:val="00283146"/>
    <w:rsid w:val="0028318A"/>
    <w:rsid w:val="002831E0"/>
    <w:rsid w:val="00283228"/>
    <w:rsid w:val="0028324A"/>
    <w:rsid w:val="0028328F"/>
    <w:rsid w:val="002832B8"/>
    <w:rsid w:val="002832FA"/>
    <w:rsid w:val="00283342"/>
    <w:rsid w:val="00283410"/>
    <w:rsid w:val="00283436"/>
    <w:rsid w:val="002834A1"/>
    <w:rsid w:val="00283547"/>
    <w:rsid w:val="00283818"/>
    <w:rsid w:val="0028381A"/>
    <w:rsid w:val="002838A4"/>
    <w:rsid w:val="002838AB"/>
    <w:rsid w:val="002838D6"/>
    <w:rsid w:val="00283960"/>
    <w:rsid w:val="00283C4C"/>
    <w:rsid w:val="00283C67"/>
    <w:rsid w:val="00283C87"/>
    <w:rsid w:val="00283C93"/>
    <w:rsid w:val="00283C9C"/>
    <w:rsid w:val="00283D08"/>
    <w:rsid w:val="00283D65"/>
    <w:rsid w:val="00283D8E"/>
    <w:rsid w:val="00283E63"/>
    <w:rsid w:val="00283E6F"/>
    <w:rsid w:val="00283EAD"/>
    <w:rsid w:val="00283EFE"/>
    <w:rsid w:val="00283F21"/>
    <w:rsid w:val="00283F44"/>
    <w:rsid w:val="00283FA8"/>
    <w:rsid w:val="00283FB6"/>
    <w:rsid w:val="0028409B"/>
    <w:rsid w:val="002840B3"/>
    <w:rsid w:val="0028410C"/>
    <w:rsid w:val="002841D4"/>
    <w:rsid w:val="00284212"/>
    <w:rsid w:val="0028439A"/>
    <w:rsid w:val="002843AF"/>
    <w:rsid w:val="002844AB"/>
    <w:rsid w:val="00284556"/>
    <w:rsid w:val="0028459F"/>
    <w:rsid w:val="0028467B"/>
    <w:rsid w:val="00284724"/>
    <w:rsid w:val="0028477D"/>
    <w:rsid w:val="002849CA"/>
    <w:rsid w:val="00284A1B"/>
    <w:rsid w:val="00284A4B"/>
    <w:rsid w:val="00284A6D"/>
    <w:rsid w:val="00284C37"/>
    <w:rsid w:val="00284C5D"/>
    <w:rsid w:val="00284C6C"/>
    <w:rsid w:val="00284C89"/>
    <w:rsid w:val="00284D02"/>
    <w:rsid w:val="00284D0B"/>
    <w:rsid w:val="00284D2F"/>
    <w:rsid w:val="00284D83"/>
    <w:rsid w:val="00284D8B"/>
    <w:rsid w:val="00284D9F"/>
    <w:rsid w:val="00284DCD"/>
    <w:rsid w:val="00284E90"/>
    <w:rsid w:val="00284F38"/>
    <w:rsid w:val="00284F5A"/>
    <w:rsid w:val="00284F88"/>
    <w:rsid w:val="00285049"/>
    <w:rsid w:val="0028505F"/>
    <w:rsid w:val="002850F3"/>
    <w:rsid w:val="0028516D"/>
    <w:rsid w:val="00285268"/>
    <w:rsid w:val="0028529B"/>
    <w:rsid w:val="0028529F"/>
    <w:rsid w:val="002852B4"/>
    <w:rsid w:val="00285355"/>
    <w:rsid w:val="002853DE"/>
    <w:rsid w:val="0028546D"/>
    <w:rsid w:val="002854C6"/>
    <w:rsid w:val="0028550C"/>
    <w:rsid w:val="0028552C"/>
    <w:rsid w:val="002855F8"/>
    <w:rsid w:val="00285636"/>
    <w:rsid w:val="00285698"/>
    <w:rsid w:val="002856E7"/>
    <w:rsid w:val="00285737"/>
    <w:rsid w:val="002857BF"/>
    <w:rsid w:val="002857DE"/>
    <w:rsid w:val="00285887"/>
    <w:rsid w:val="002858C1"/>
    <w:rsid w:val="00285962"/>
    <w:rsid w:val="002859CA"/>
    <w:rsid w:val="00285A8C"/>
    <w:rsid w:val="00285AF3"/>
    <w:rsid w:val="00285B6D"/>
    <w:rsid w:val="00285BDE"/>
    <w:rsid w:val="00285CFD"/>
    <w:rsid w:val="00285DE4"/>
    <w:rsid w:val="00285E20"/>
    <w:rsid w:val="00285EF7"/>
    <w:rsid w:val="00285F1F"/>
    <w:rsid w:val="00285F46"/>
    <w:rsid w:val="00286043"/>
    <w:rsid w:val="002860A7"/>
    <w:rsid w:val="002860D5"/>
    <w:rsid w:val="002860DA"/>
    <w:rsid w:val="002860F4"/>
    <w:rsid w:val="00286132"/>
    <w:rsid w:val="0028617F"/>
    <w:rsid w:val="00286213"/>
    <w:rsid w:val="00286276"/>
    <w:rsid w:val="002862E7"/>
    <w:rsid w:val="00286389"/>
    <w:rsid w:val="002865C2"/>
    <w:rsid w:val="0028660D"/>
    <w:rsid w:val="00286677"/>
    <w:rsid w:val="00286679"/>
    <w:rsid w:val="002866CE"/>
    <w:rsid w:val="00286706"/>
    <w:rsid w:val="00286770"/>
    <w:rsid w:val="0028698C"/>
    <w:rsid w:val="00286A15"/>
    <w:rsid w:val="00286AC6"/>
    <w:rsid w:val="00286B2B"/>
    <w:rsid w:val="00286B47"/>
    <w:rsid w:val="00286C2E"/>
    <w:rsid w:val="00286C37"/>
    <w:rsid w:val="00286C41"/>
    <w:rsid w:val="00286C65"/>
    <w:rsid w:val="00286D20"/>
    <w:rsid w:val="00286D41"/>
    <w:rsid w:val="00286DDE"/>
    <w:rsid w:val="00286EC5"/>
    <w:rsid w:val="00286F01"/>
    <w:rsid w:val="00286F5B"/>
    <w:rsid w:val="00286FEB"/>
    <w:rsid w:val="002871E3"/>
    <w:rsid w:val="0028723E"/>
    <w:rsid w:val="00287243"/>
    <w:rsid w:val="00287377"/>
    <w:rsid w:val="00287447"/>
    <w:rsid w:val="002874A5"/>
    <w:rsid w:val="002874BA"/>
    <w:rsid w:val="00287515"/>
    <w:rsid w:val="0028755E"/>
    <w:rsid w:val="002875BE"/>
    <w:rsid w:val="002875F1"/>
    <w:rsid w:val="00287639"/>
    <w:rsid w:val="0028765F"/>
    <w:rsid w:val="002876F3"/>
    <w:rsid w:val="00287769"/>
    <w:rsid w:val="00287794"/>
    <w:rsid w:val="002877A6"/>
    <w:rsid w:val="002877F1"/>
    <w:rsid w:val="00287881"/>
    <w:rsid w:val="00287916"/>
    <w:rsid w:val="0028797A"/>
    <w:rsid w:val="002879C3"/>
    <w:rsid w:val="00287A04"/>
    <w:rsid w:val="00287AAA"/>
    <w:rsid w:val="00287AE8"/>
    <w:rsid w:val="00287B06"/>
    <w:rsid w:val="00287C70"/>
    <w:rsid w:val="00287CA1"/>
    <w:rsid w:val="00287CCE"/>
    <w:rsid w:val="00287D6B"/>
    <w:rsid w:val="00287F0C"/>
    <w:rsid w:val="00287FDE"/>
    <w:rsid w:val="0029007A"/>
    <w:rsid w:val="002901E5"/>
    <w:rsid w:val="00290224"/>
    <w:rsid w:val="0029024B"/>
    <w:rsid w:val="0029026C"/>
    <w:rsid w:val="00290334"/>
    <w:rsid w:val="00290375"/>
    <w:rsid w:val="002904F0"/>
    <w:rsid w:val="0029054D"/>
    <w:rsid w:val="0029064F"/>
    <w:rsid w:val="002907E0"/>
    <w:rsid w:val="00290808"/>
    <w:rsid w:val="002908A5"/>
    <w:rsid w:val="002908C2"/>
    <w:rsid w:val="0029099F"/>
    <w:rsid w:val="002909C3"/>
    <w:rsid w:val="00290A7B"/>
    <w:rsid w:val="00290AF3"/>
    <w:rsid w:val="00290B39"/>
    <w:rsid w:val="00290B53"/>
    <w:rsid w:val="00290B7A"/>
    <w:rsid w:val="00290C15"/>
    <w:rsid w:val="00290C4F"/>
    <w:rsid w:val="00290C9A"/>
    <w:rsid w:val="00290CC3"/>
    <w:rsid w:val="00290CCB"/>
    <w:rsid w:val="00290CD6"/>
    <w:rsid w:val="00290CF5"/>
    <w:rsid w:val="00290D0E"/>
    <w:rsid w:val="00290DA8"/>
    <w:rsid w:val="00290DB3"/>
    <w:rsid w:val="00290DF1"/>
    <w:rsid w:val="00290E25"/>
    <w:rsid w:val="00290E8B"/>
    <w:rsid w:val="00290EC3"/>
    <w:rsid w:val="00290F98"/>
    <w:rsid w:val="00291058"/>
    <w:rsid w:val="00291061"/>
    <w:rsid w:val="00291062"/>
    <w:rsid w:val="002910E4"/>
    <w:rsid w:val="00291124"/>
    <w:rsid w:val="002912F9"/>
    <w:rsid w:val="00291416"/>
    <w:rsid w:val="0029143D"/>
    <w:rsid w:val="00291493"/>
    <w:rsid w:val="002914C9"/>
    <w:rsid w:val="00291535"/>
    <w:rsid w:val="002915FB"/>
    <w:rsid w:val="0029160C"/>
    <w:rsid w:val="00291615"/>
    <w:rsid w:val="0029165D"/>
    <w:rsid w:val="00291677"/>
    <w:rsid w:val="002916C6"/>
    <w:rsid w:val="002917ED"/>
    <w:rsid w:val="00291946"/>
    <w:rsid w:val="0029194F"/>
    <w:rsid w:val="002919D2"/>
    <w:rsid w:val="00291A04"/>
    <w:rsid w:val="00291ABC"/>
    <w:rsid w:val="00291AFC"/>
    <w:rsid w:val="00291B1A"/>
    <w:rsid w:val="00291B6A"/>
    <w:rsid w:val="00291BCE"/>
    <w:rsid w:val="00291C18"/>
    <w:rsid w:val="00291C6C"/>
    <w:rsid w:val="00291CE0"/>
    <w:rsid w:val="00291D08"/>
    <w:rsid w:val="00291D1C"/>
    <w:rsid w:val="00291D6C"/>
    <w:rsid w:val="00291E7F"/>
    <w:rsid w:val="00291F0C"/>
    <w:rsid w:val="00291F18"/>
    <w:rsid w:val="00291F7D"/>
    <w:rsid w:val="00291FAA"/>
    <w:rsid w:val="0029214D"/>
    <w:rsid w:val="0029221A"/>
    <w:rsid w:val="00292255"/>
    <w:rsid w:val="002923DC"/>
    <w:rsid w:val="0029243C"/>
    <w:rsid w:val="00292493"/>
    <w:rsid w:val="0029253B"/>
    <w:rsid w:val="0029254F"/>
    <w:rsid w:val="002925EE"/>
    <w:rsid w:val="00292601"/>
    <w:rsid w:val="00292668"/>
    <w:rsid w:val="00292672"/>
    <w:rsid w:val="00292691"/>
    <w:rsid w:val="0029276E"/>
    <w:rsid w:val="0029281B"/>
    <w:rsid w:val="00292933"/>
    <w:rsid w:val="002929A3"/>
    <w:rsid w:val="002929E5"/>
    <w:rsid w:val="002929F5"/>
    <w:rsid w:val="00292A18"/>
    <w:rsid w:val="00292A38"/>
    <w:rsid w:val="00292A5D"/>
    <w:rsid w:val="00292A94"/>
    <w:rsid w:val="00292B28"/>
    <w:rsid w:val="00292B2A"/>
    <w:rsid w:val="00292B94"/>
    <w:rsid w:val="00292C1C"/>
    <w:rsid w:val="00292C49"/>
    <w:rsid w:val="00292C91"/>
    <w:rsid w:val="00292CB2"/>
    <w:rsid w:val="00292D0D"/>
    <w:rsid w:val="00292D61"/>
    <w:rsid w:val="00292D86"/>
    <w:rsid w:val="00292E1D"/>
    <w:rsid w:val="00292E5D"/>
    <w:rsid w:val="00292F7B"/>
    <w:rsid w:val="00292FCC"/>
    <w:rsid w:val="00293026"/>
    <w:rsid w:val="002930DA"/>
    <w:rsid w:val="002931A0"/>
    <w:rsid w:val="002931AA"/>
    <w:rsid w:val="00293237"/>
    <w:rsid w:val="002932B0"/>
    <w:rsid w:val="002932C8"/>
    <w:rsid w:val="00293317"/>
    <w:rsid w:val="00293398"/>
    <w:rsid w:val="00293421"/>
    <w:rsid w:val="00293425"/>
    <w:rsid w:val="0029342D"/>
    <w:rsid w:val="0029345C"/>
    <w:rsid w:val="0029349E"/>
    <w:rsid w:val="00293597"/>
    <w:rsid w:val="002935F6"/>
    <w:rsid w:val="00293615"/>
    <w:rsid w:val="0029368C"/>
    <w:rsid w:val="002936A7"/>
    <w:rsid w:val="002936CF"/>
    <w:rsid w:val="002936DD"/>
    <w:rsid w:val="00293701"/>
    <w:rsid w:val="0029370B"/>
    <w:rsid w:val="0029372E"/>
    <w:rsid w:val="00293898"/>
    <w:rsid w:val="002938D6"/>
    <w:rsid w:val="00293944"/>
    <w:rsid w:val="00293A05"/>
    <w:rsid w:val="00293A10"/>
    <w:rsid w:val="00293B2F"/>
    <w:rsid w:val="00293B92"/>
    <w:rsid w:val="00293C76"/>
    <w:rsid w:val="00293C87"/>
    <w:rsid w:val="00293CC5"/>
    <w:rsid w:val="00293DAF"/>
    <w:rsid w:val="00293E0B"/>
    <w:rsid w:val="00293E61"/>
    <w:rsid w:val="00293F7D"/>
    <w:rsid w:val="00293FF3"/>
    <w:rsid w:val="00294026"/>
    <w:rsid w:val="00294192"/>
    <w:rsid w:val="002941DD"/>
    <w:rsid w:val="00294289"/>
    <w:rsid w:val="00294325"/>
    <w:rsid w:val="00294576"/>
    <w:rsid w:val="0029459B"/>
    <w:rsid w:val="002945B2"/>
    <w:rsid w:val="00294601"/>
    <w:rsid w:val="00294890"/>
    <w:rsid w:val="002948C7"/>
    <w:rsid w:val="00294916"/>
    <w:rsid w:val="00294979"/>
    <w:rsid w:val="00294A6B"/>
    <w:rsid w:val="00294A94"/>
    <w:rsid w:val="00294AD0"/>
    <w:rsid w:val="00294B11"/>
    <w:rsid w:val="00294B7C"/>
    <w:rsid w:val="00294C4F"/>
    <w:rsid w:val="00294CB3"/>
    <w:rsid w:val="00294CEF"/>
    <w:rsid w:val="00294D35"/>
    <w:rsid w:val="00294D3B"/>
    <w:rsid w:val="00294D6A"/>
    <w:rsid w:val="00294D6D"/>
    <w:rsid w:val="00294D78"/>
    <w:rsid w:val="00294DB0"/>
    <w:rsid w:val="00294DB7"/>
    <w:rsid w:val="00294DF9"/>
    <w:rsid w:val="00294E44"/>
    <w:rsid w:val="00294EA4"/>
    <w:rsid w:val="00294EED"/>
    <w:rsid w:val="00294EFB"/>
    <w:rsid w:val="00294FF1"/>
    <w:rsid w:val="0029509D"/>
    <w:rsid w:val="00295136"/>
    <w:rsid w:val="0029515A"/>
    <w:rsid w:val="002951DD"/>
    <w:rsid w:val="002951E9"/>
    <w:rsid w:val="00295266"/>
    <w:rsid w:val="00295341"/>
    <w:rsid w:val="0029560D"/>
    <w:rsid w:val="00295655"/>
    <w:rsid w:val="0029567B"/>
    <w:rsid w:val="002956A0"/>
    <w:rsid w:val="00295739"/>
    <w:rsid w:val="002957AD"/>
    <w:rsid w:val="0029580C"/>
    <w:rsid w:val="0029582A"/>
    <w:rsid w:val="00295863"/>
    <w:rsid w:val="00295963"/>
    <w:rsid w:val="00295ACE"/>
    <w:rsid w:val="00295B47"/>
    <w:rsid w:val="00295B82"/>
    <w:rsid w:val="00295BB5"/>
    <w:rsid w:val="00295BFC"/>
    <w:rsid w:val="00295C09"/>
    <w:rsid w:val="00295C4B"/>
    <w:rsid w:val="00295C7D"/>
    <w:rsid w:val="00295CF4"/>
    <w:rsid w:val="00295D3C"/>
    <w:rsid w:val="00295D94"/>
    <w:rsid w:val="00295D9C"/>
    <w:rsid w:val="00295DC1"/>
    <w:rsid w:val="00295DF4"/>
    <w:rsid w:val="00295E65"/>
    <w:rsid w:val="00295F09"/>
    <w:rsid w:val="00295F46"/>
    <w:rsid w:val="00295F6A"/>
    <w:rsid w:val="00295F7E"/>
    <w:rsid w:val="00296005"/>
    <w:rsid w:val="00296008"/>
    <w:rsid w:val="00296076"/>
    <w:rsid w:val="002960C0"/>
    <w:rsid w:val="00296183"/>
    <w:rsid w:val="002961DA"/>
    <w:rsid w:val="0029627B"/>
    <w:rsid w:val="0029629E"/>
    <w:rsid w:val="002962B1"/>
    <w:rsid w:val="0029638C"/>
    <w:rsid w:val="0029644A"/>
    <w:rsid w:val="002964D8"/>
    <w:rsid w:val="002964E6"/>
    <w:rsid w:val="002965E0"/>
    <w:rsid w:val="0029662D"/>
    <w:rsid w:val="00296684"/>
    <w:rsid w:val="002966CE"/>
    <w:rsid w:val="00296705"/>
    <w:rsid w:val="0029677F"/>
    <w:rsid w:val="002967F4"/>
    <w:rsid w:val="0029680E"/>
    <w:rsid w:val="0029684D"/>
    <w:rsid w:val="00296895"/>
    <w:rsid w:val="002968F8"/>
    <w:rsid w:val="002969E9"/>
    <w:rsid w:val="00296AD5"/>
    <w:rsid w:val="00296AD9"/>
    <w:rsid w:val="00296B34"/>
    <w:rsid w:val="00296B3F"/>
    <w:rsid w:val="00296D07"/>
    <w:rsid w:val="00296D5C"/>
    <w:rsid w:val="00296DD4"/>
    <w:rsid w:val="00296DE0"/>
    <w:rsid w:val="00296F42"/>
    <w:rsid w:val="00296FA3"/>
    <w:rsid w:val="00297043"/>
    <w:rsid w:val="002970B7"/>
    <w:rsid w:val="002970BC"/>
    <w:rsid w:val="002970BE"/>
    <w:rsid w:val="00297137"/>
    <w:rsid w:val="002971F1"/>
    <w:rsid w:val="0029725E"/>
    <w:rsid w:val="002972BB"/>
    <w:rsid w:val="002972EE"/>
    <w:rsid w:val="0029732F"/>
    <w:rsid w:val="0029734A"/>
    <w:rsid w:val="0029736C"/>
    <w:rsid w:val="002974A5"/>
    <w:rsid w:val="002974B3"/>
    <w:rsid w:val="00297509"/>
    <w:rsid w:val="0029754F"/>
    <w:rsid w:val="0029755E"/>
    <w:rsid w:val="00297677"/>
    <w:rsid w:val="002976AD"/>
    <w:rsid w:val="002976D3"/>
    <w:rsid w:val="00297714"/>
    <w:rsid w:val="00297772"/>
    <w:rsid w:val="002977D8"/>
    <w:rsid w:val="002979FD"/>
    <w:rsid w:val="00297A8B"/>
    <w:rsid w:val="00297AA6"/>
    <w:rsid w:val="00297ACB"/>
    <w:rsid w:val="00297AF0"/>
    <w:rsid w:val="00297B9C"/>
    <w:rsid w:val="00297BAF"/>
    <w:rsid w:val="00297BC8"/>
    <w:rsid w:val="00297CD8"/>
    <w:rsid w:val="00297D05"/>
    <w:rsid w:val="00297E44"/>
    <w:rsid w:val="00297ED5"/>
    <w:rsid w:val="00297F55"/>
    <w:rsid w:val="00297F56"/>
    <w:rsid w:val="00297F8F"/>
    <w:rsid w:val="00297FD4"/>
    <w:rsid w:val="002A00B2"/>
    <w:rsid w:val="002A00EC"/>
    <w:rsid w:val="002A0114"/>
    <w:rsid w:val="002A0268"/>
    <w:rsid w:val="002A02B3"/>
    <w:rsid w:val="002A0329"/>
    <w:rsid w:val="002A034A"/>
    <w:rsid w:val="002A03A0"/>
    <w:rsid w:val="002A03C3"/>
    <w:rsid w:val="002A0423"/>
    <w:rsid w:val="002A04E2"/>
    <w:rsid w:val="002A0502"/>
    <w:rsid w:val="002A0639"/>
    <w:rsid w:val="002A0741"/>
    <w:rsid w:val="002A07C5"/>
    <w:rsid w:val="002A0872"/>
    <w:rsid w:val="002A08C3"/>
    <w:rsid w:val="002A09BE"/>
    <w:rsid w:val="002A09F0"/>
    <w:rsid w:val="002A0A0E"/>
    <w:rsid w:val="002A0AB6"/>
    <w:rsid w:val="002A0B3E"/>
    <w:rsid w:val="002A0B43"/>
    <w:rsid w:val="002A0B4A"/>
    <w:rsid w:val="002A0B67"/>
    <w:rsid w:val="002A0BF9"/>
    <w:rsid w:val="002A0C30"/>
    <w:rsid w:val="002A0C55"/>
    <w:rsid w:val="002A0CC2"/>
    <w:rsid w:val="002A0D1C"/>
    <w:rsid w:val="002A0F4B"/>
    <w:rsid w:val="002A1035"/>
    <w:rsid w:val="002A103C"/>
    <w:rsid w:val="002A107B"/>
    <w:rsid w:val="002A107E"/>
    <w:rsid w:val="002A10B4"/>
    <w:rsid w:val="002A10D6"/>
    <w:rsid w:val="002A11F9"/>
    <w:rsid w:val="002A12A1"/>
    <w:rsid w:val="002A12FA"/>
    <w:rsid w:val="002A137F"/>
    <w:rsid w:val="002A141E"/>
    <w:rsid w:val="002A1456"/>
    <w:rsid w:val="002A14F6"/>
    <w:rsid w:val="002A1513"/>
    <w:rsid w:val="002A153E"/>
    <w:rsid w:val="002A17A9"/>
    <w:rsid w:val="002A17D3"/>
    <w:rsid w:val="002A1897"/>
    <w:rsid w:val="002A191B"/>
    <w:rsid w:val="002A1927"/>
    <w:rsid w:val="002A192F"/>
    <w:rsid w:val="002A1982"/>
    <w:rsid w:val="002A1999"/>
    <w:rsid w:val="002A1A38"/>
    <w:rsid w:val="002A1A3C"/>
    <w:rsid w:val="002A1A79"/>
    <w:rsid w:val="002A1AF3"/>
    <w:rsid w:val="002A1B44"/>
    <w:rsid w:val="002A1C6D"/>
    <w:rsid w:val="002A1D64"/>
    <w:rsid w:val="002A1E18"/>
    <w:rsid w:val="002A1E20"/>
    <w:rsid w:val="002A1E59"/>
    <w:rsid w:val="002A1F35"/>
    <w:rsid w:val="002A1F8C"/>
    <w:rsid w:val="002A204C"/>
    <w:rsid w:val="002A2085"/>
    <w:rsid w:val="002A2395"/>
    <w:rsid w:val="002A245E"/>
    <w:rsid w:val="002A2596"/>
    <w:rsid w:val="002A25DE"/>
    <w:rsid w:val="002A264C"/>
    <w:rsid w:val="002A2736"/>
    <w:rsid w:val="002A2769"/>
    <w:rsid w:val="002A284F"/>
    <w:rsid w:val="002A2863"/>
    <w:rsid w:val="002A2866"/>
    <w:rsid w:val="002A2873"/>
    <w:rsid w:val="002A28F9"/>
    <w:rsid w:val="002A290E"/>
    <w:rsid w:val="002A29A6"/>
    <w:rsid w:val="002A2A26"/>
    <w:rsid w:val="002A2A53"/>
    <w:rsid w:val="002A2B67"/>
    <w:rsid w:val="002A2B85"/>
    <w:rsid w:val="002A2BC8"/>
    <w:rsid w:val="002A2BEA"/>
    <w:rsid w:val="002A2CB4"/>
    <w:rsid w:val="002A2CBC"/>
    <w:rsid w:val="002A2CE7"/>
    <w:rsid w:val="002A2E42"/>
    <w:rsid w:val="002A2ECC"/>
    <w:rsid w:val="002A2F24"/>
    <w:rsid w:val="002A2F93"/>
    <w:rsid w:val="002A3044"/>
    <w:rsid w:val="002A305D"/>
    <w:rsid w:val="002A306C"/>
    <w:rsid w:val="002A30A8"/>
    <w:rsid w:val="002A30C9"/>
    <w:rsid w:val="002A3104"/>
    <w:rsid w:val="002A313A"/>
    <w:rsid w:val="002A3166"/>
    <w:rsid w:val="002A31EB"/>
    <w:rsid w:val="002A3218"/>
    <w:rsid w:val="002A3260"/>
    <w:rsid w:val="002A3262"/>
    <w:rsid w:val="002A32D7"/>
    <w:rsid w:val="002A3476"/>
    <w:rsid w:val="002A349B"/>
    <w:rsid w:val="002A34FE"/>
    <w:rsid w:val="002A3570"/>
    <w:rsid w:val="002A35A9"/>
    <w:rsid w:val="002A3735"/>
    <w:rsid w:val="002A37F8"/>
    <w:rsid w:val="002A3813"/>
    <w:rsid w:val="002A3877"/>
    <w:rsid w:val="002A388A"/>
    <w:rsid w:val="002A38E5"/>
    <w:rsid w:val="002A390C"/>
    <w:rsid w:val="002A3929"/>
    <w:rsid w:val="002A393F"/>
    <w:rsid w:val="002A396F"/>
    <w:rsid w:val="002A3C63"/>
    <w:rsid w:val="002A3C7B"/>
    <w:rsid w:val="002A3D55"/>
    <w:rsid w:val="002A3D69"/>
    <w:rsid w:val="002A3DF3"/>
    <w:rsid w:val="002A3F7D"/>
    <w:rsid w:val="002A3FB8"/>
    <w:rsid w:val="002A40F4"/>
    <w:rsid w:val="002A40FC"/>
    <w:rsid w:val="002A4133"/>
    <w:rsid w:val="002A4147"/>
    <w:rsid w:val="002A41BE"/>
    <w:rsid w:val="002A4263"/>
    <w:rsid w:val="002A42B4"/>
    <w:rsid w:val="002A4303"/>
    <w:rsid w:val="002A4381"/>
    <w:rsid w:val="002A4459"/>
    <w:rsid w:val="002A4499"/>
    <w:rsid w:val="002A45DD"/>
    <w:rsid w:val="002A4605"/>
    <w:rsid w:val="002A4642"/>
    <w:rsid w:val="002A468C"/>
    <w:rsid w:val="002A4713"/>
    <w:rsid w:val="002A47F0"/>
    <w:rsid w:val="002A47F1"/>
    <w:rsid w:val="002A4861"/>
    <w:rsid w:val="002A48B4"/>
    <w:rsid w:val="002A4908"/>
    <w:rsid w:val="002A4964"/>
    <w:rsid w:val="002A496F"/>
    <w:rsid w:val="002A4A1E"/>
    <w:rsid w:val="002A4A56"/>
    <w:rsid w:val="002A4ADF"/>
    <w:rsid w:val="002A4B41"/>
    <w:rsid w:val="002A4B4D"/>
    <w:rsid w:val="002A4BDB"/>
    <w:rsid w:val="002A4BF6"/>
    <w:rsid w:val="002A4C8F"/>
    <w:rsid w:val="002A4D21"/>
    <w:rsid w:val="002A4D94"/>
    <w:rsid w:val="002A4DB7"/>
    <w:rsid w:val="002A4EB4"/>
    <w:rsid w:val="002A4EFE"/>
    <w:rsid w:val="002A4F5B"/>
    <w:rsid w:val="002A5078"/>
    <w:rsid w:val="002A5082"/>
    <w:rsid w:val="002A51B7"/>
    <w:rsid w:val="002A5249"/>
    <w:rsid w:val="002A526C"/>
    <w:rsid w:val="002A528B"/>
    <w:rsid w:val="002A52D1"/>
    <w:rsid w:val="002A5325"/>
    <w:rsid w:val="002A54AE"/>
    <w:rsid w:val="002A54D7"/>
    <w:rsid w:val="002A54EE"/>
    <w:rsid w:val="002A5555"/>
    <w:rsid w:val="002A555A"/>
    <w:rsid w:val="002A55B3"/>
    <w:rsid w:val="002A5617"/>
    <w:rsid w:val="002A563F"/>
    <w:rsid w:val="002A5701"/>
    <w:rsid w:val="002A579C"/>
    <w:rsid w:val="002A57C7"/>
    <w:rsid w:val="002A58A6"/>
    <w:rsid w:val="002A58AD"/>
    <w:rsid w:val="002A58C3"/>
    <w:rsid w:val="002A58CC"/>
    <w:rsid w:val="002A592A"/>
    <w:rsid w:val="002A5992"/>
    <w:rsid w:val="002A5A22"/>
    <w:rsid w:val="002A5B09"/>
    <w:rsid w:val="002A5B13"/>
    <w:rsid w:val="002A5B21"/>
    <w:rsid w:val="002A5B9C"/>
    <w:rsid w:val="002A5CA7"/>
    <w:rsid w:val="002A5CFB"/>
    <w:rsid w:val="002A5D0E"/>
    <w:rsid w:val="002A5D15"/>
    <w:rsid w:val="002A5D16"/>
    <w:rsid w:val="002A5D99"/>
    <w:rsid w:val="002A5DA8"/>
    <w:rsid w:val="002A5DF3"/>
    <w:rsid w:val="002A5E50"/>
    <w:rsid w:val="002A5EBC"/>
    <w:rsid w:val="002A5F0D"/>
    <w:rsid w:val="002A5F31"/>
    <w:rsid w:val="002A5F71"/>
    <w:rsid w:val="002A600F"/>
    <w:rsid w:val="002A604A"/>
    <w:rsid w:val="002A607F"/>
    <w:rsid w:val="002A6099"/>
    <w:rsid w:val="002A60D1"/>
    <w:rsid w:val="002A60EA"/>
    <w:rsid w:val="002A61DA"/>
    <w:rsid w:val="002A62A9"/>
    <w:rsid w:val="002A632C"/>
    <w:rsid w:val="002A6338"/>
    <w:rsid w:val="002A6495"/>
    <w:rsid w:val="002A655A"/>
    <w:rsid w:val="002A65C6"/>
    <w:rsid w:val="002A6677"/>
    <w:rsid w:val="002A6699"/>
    <w:rsid w:val="002A6795"/>
    <w:rsid w:val="002A67C5"/>
    <w:rsid w:val="002A681F"/>
    <w:rsid w:val="002A694E"/>
    <w:rsid w:val="002A695A"/>
    <w:rsid w:val="002A6971"/>
    <w:rsid w:val="002A69E7"/>
    <w:rsid w:val="002A6A03"/>
    <w:rsid w:val="002A6A38"/>
    <w:rsid w:val="002A6A96"/>
    <w:rsid w:val="002A6BB5"/>
    <w:rsid w:val="002A6C15"/>
    <w:rsid w:val="002A6C36"/>
    <w:rsid w:val="002A6C73"/>
    <w:rsid w:val="002A6C91"/>
    <w:rsid w:val="002A6D3E"/>
    <w:rsid w:val="002A6DA0"/>
    <w:rsid w:val="002A6E01"/>
    <w:rsid w:val="002A6E35"/>
    <w:rsid w:val="002A6FC3"/>
    <w:rsid w:val="002A709D"/>
    <w:rsid w:val="002A7167"/>
    <w:rsid w:val="002A7247"/>
    <w:rsid w:val="002A73CE"/>
    <w:rsid w:val="002A7444"/>
    <w:rsid w:val="002A749A"/>
    <w:rsid w:val="002A74B8"/>
    <w:rsid w:val="002A756F"/>
    <w:rsid w:val="002A75D6"/>
    <w:rsid w:val="002A75D7"/>
    <w:rsid w:val="002A75FC"/>
    <w:rsid w:val="002A7620"/>
    <w:rsid w:val="002A7694"/>
    <w:rsid w:val="002A76BE"/>
    <w:rsid w:val="002A7790"/>
    <w:rsid w:val="002A782B"/>
    <w:rsid w:val="002A786F"/>
    <w:rsid w:val="002A7899"/>
    <w:rsid w:val="002A7974"/>
    <w:rsid w:val="002A7995"/>
    <w:rsid w:val="002A7A10"/>
    <w:rsid w:val="002A7A33"/>
    <w:rsid w:val="002A7AAC"/>
    <w:rsid w:val="002A7B6A"/>
    <w:rsid w:val="002A7BDB"/>
    <w:rsid w:val="002A7C7F"/>
    <w:rsid w:val="002A7C8C"/>
    <w:rsid w:val="002A7C98"/>
    <w:rsid w:val="002A7D38"/>
    <w:rsid w:val="002A7D3A"/>
    <w:rsid w:val="002A7DB0"/>
    <w:rsid w:val="002A7DF9"/>
    <w:rsid w:val="002A7E0F"/>
    <w:rsid w:val="002A7E77"/>
    <w:rsid w:val="002A7E89"/>
    <w:rsid w:val="002A7ECA"/>
    <w:rsid w:val="002A7F02"/>
    <w:rsid w:val="002A7F3D"/>
    <w:rsid w:val="002A7FEA"/>
    <w:rsid w:val="002B0039"/>
    <w:rsid w:val="002B0111"/>
    <w:rsid w:val="002B0192"/>
    <w:rsid w:val="002B01C9"/>
    <w:rsid w:val="002B01F2"/>
    <w:rsid w:val="002B0306"/>
    <w:rsid w:val="002B0327"/>
    <w:rsid w:val="002B03AE"/>
    <w:rsid w:val="002B0467"/>
    <w:rsid w:val="002B0486"/>
    <w:rsid w:val="002B053F"/>
    <w:rsid w:val="002B0598"/>
    <w:rsid w:val="002B05A3"/>
    <w:rsid w:val="002B05B2"/>
    <w:rsid w:val="002B068F"/>
    <w:rsid w:val="002B06D0"/>
    <w:rsid w:val="002B0893"/>
    <w:rsid w:val="002B0957"/>
    <w:rsid w:val="002B09A9"/>
    <w:rsid w:val="002B0A07"/>
    <w:rsid w:val="002B0B0A"/>
    <w:rsid w:val="002B0C35"/>
    <w:rsid w:val="002B0C70"/>
    <w:rsid w:val="002B0D0B"/>
    <w:rsid w:val="002B0D36"/>
    <w:rsid w:val="002B0E50"/>
    <w:rsid w:val="002B0E65"/>
    <w:rsid w:val="002B1095"/>
    <w:rsid w:val="002B10A6"/>
    <w:rsid w:val="002B1113"/>
    <w:rsid w:val="002B1211"/>
    <w:rsid w:val="002B1259"/>
    <w:rsid w:val="002B12EF"/>
    <w:rsid w:val="002B1355"/>
    <w:rsid w:val="002B135E"/>
    <w:rsid w:val="002B13C1"/>
    <w:rsid w:val="002B13E4"/>
    <w:rsid w:val="002B13F6"/>
    <w:rsid w:val="002B144E"/>
    <w:rsid w:val="002B14B4"/>
    <w:rsid w:val="002B14E6"/>
    <w:rsid w:val="002B154C"/>
    <w:rsid w:val="002B155D"/>
    <w:rsid w:val="002B156B"/>
    <w:rsid w:val="002B1598"/>
    <w:rsid w:val="002B15C4"/>
    <w:rsid w:val="002B15F2"/>
    <w:rsid w:val="002B1621"/>
    <w:rsid w:val="002B1650"/>
    <w:rsid w:val="002B1730"/>
    <w:rsid w:val="002B173F"/>
    <w:rsid w:val="002B1753"/>
    <w:rsid w:val="002B17DF"/>
    <w:rsid w:val="002B181F"/>
    <w:rsid w:val="002B1829"/>
    <w:rsid w:val="002B1853"/>
    <w:rsid w:val="002B1903"/>
    <w:rsid w:val="002B1935"/>
    <w:rsid w:val="002B1962"/>
    <w:rsid w:val="002B1A00"/>
    <w:rsid w:val="002B1A19"/>
    <w:rsid w:val="002B1A6F"/>
    <w:rsid w:val="002B1B89"/>
    <w:rsid w:val="002B1C2B"/>
    <w:rsid w:val="002B1C51"/>
    <w:rsid w:val="002B1C59"/>
    <w:rsid w:val="002B1DC3"/>
    <w:rsid w:val="002B1E33"/>
    <w:rsid w:val="002B1E43"/>
    <w:rsid w:val="002B1EB6"/>
    <w:rsid w:val="002B1ECA"/>
    <w:rsid w:val="002B2087"/>
    <w:rsid w:val="002B20DD"/>
    <w:rsid w:val="002B210B"/>
    <w:rsid w:val="002B2182"/>
    <w:rsid w:val="002B229A"/>
    <w:rsid w:val="002B22D1"/>
    <w:rsid w:val="002B22F6"/>
    <w:rsid w:val="002B2339"/>
    <w:rsid w:val="002B2387"/>
    <w:rsid w:val="002B2410"/>
    <w:rsid w:val="002B2614"/>
    <w:rsid w:val="002B266A"/>
    <w:rsid w:val="002B26E7"/>
    <w:rsid w:val="002B2718"/>
    <w:rsid w:val="002B273A"/>
    <w:rsid w:val="002B2776"/>
    <w:rsid w:val="002B2786"/>
    <w:rsid w:val="002B283A"/>
    <w:rsid w:val="002B283C"/>
    <w:rsid w:val="002B295A"/>
    <w:rsid w:val="002B29F6"/>
    <w:rsid w:val="002B2A76"/>
    <w:rsid w:val="002B2A8A"/>
    <w:rsid w:val="002B2A91"/>
    <w:rsid w:val="002B2B49"/>
    <w:rsid w:val="002B2B75"/>
    <w:rsid w:val="002B2BAF"/>
    <w:rsid w:val="002B2BC7"/>
    <w:rsid w:val="002B2BF4"/>
    <w:rsid w:val="002B2C3D"/>
    <w:rsid w:val="002B2C8B"/>
    <w:rsid w:val="002B2CAA"/>
    <w:rsid w:val="002B2CC7"/>
    <w:rsid w:val="002B2D0C"/>
    <w:rsid w:val="002B2D87"/>
    <w:rsid w:val="002B2DF1"/>
    <w:rsid w:val="002B2E2E"/>
    <w:rsid w:val="002B2E99"/>
    <w:rsid w:val="002B2F14"/>
    <w:rsid w:val="002B2F5A"/>
    <w:rsid w:val="002B2FA8"/>
    <w:rsid w:val="002B3000"/>
    <w:rsid w:val="002B3104"/>
    <w:rsid w:val="002B311B"/>
    <w:rsid w:val="002B31D4"/>
    <w:rsid w:val="002B32AD"/>
    <w:rsid w:val="002B32C8"/>
    <w:rsid w:val="002B32FF"/>
    <w:rsid w:val="002B3305"/>
    <w:rsid w:val="002B3356"/>
    <w:rsid w:val="002B33BF"/>
    <w:rsid w:val="002B3463"/>
    <w:rsid w:val="002B3473"/>
    <w:rsid w:val="002B34DD"/>
    <w:rsid w:val="002B3546"/>
    <w:rsid w:val="002B35FB"/>
    <w:rsid w:val="002B3674"/>
    <w:rsid w:val="002B3782"/>
    <w:rsid w:val="002B3807"/>
    <w:rsid w:val="002B38CC"/>
    <w:rsid w:val="002B38F2"/>
    <w:rsid w:val="002B390D"/>
    <w:rsid w:val="002B3938"/>
    <w:rsid w:val="002B3960"/>
    <w:rsid w:val="002B3987"/>
    <w:rsid w:val="002B399E"/>
    <w:rsid w:val="002B3AB1"/>
    <w:rsid w:val="002B3B62"/>
    <w:rsid w:val="002B3B90"/>
    <w:rsid w:val="002B3BF6"/>
    <w:rsid w:val="002B3CC6"/>
    <w:rsid w:val="002B3CF8"/>
    <w:rsid w:val="002B3D0B"/>
    <w:rsid w:val="002B3D19"/>
    <w:rsid w:val="002B3DAC"/>
    <w:rsid w:val="002B3E3E"/>
    <w:rsid w:val="002B3E99"/>
    <w:rsid w:val="002B3EA4"/>
    <w:rsid w:val="002B3EB8"/>
    <w:rsid w:val="002B3F45"/>
    <w:rsid w:val="002B4027"/>
    <w:rsid w:val="002B4038"/>
    <w:rsid w:val="002B4177"/>
    <w:rsid w:val="002B4323"/>
    <w:rsid w:val="002B4458"/>
    <w:rsid w:val="002B44BE"/>
    <w:rsid w:val="002B44BF"/>
    <w:rsid w:val="002B44DD"/>
    <w:rsid w:val="002B4536"/>
    <w:rsid w:val="002B457A"/>
    <w:rsid w:val="002B46C8"/>
    <w:rsid w:val="002B4821"/>
    <w:rsid w:val="002B4881"/>
    <w:rsid w:val="002B4889"/>
    <w:rsid w:val="002B48B5"/>
    <w:rsid w:val="002B48D5"/>
    <w:rsid w:val="002B4965"/>
    <w:rsid w:val="002B498A"/>
    <w:rsid w:val="002B49BE"/>
    <w:rsid w:val="002B4A3E"/>
    <w:rsid w:val="002B4A49"/>
    <w:rsid w:val="002B4A6F"/>
    <w:rsid w:val="002B4B25"/>
    <w:rsid w:val="002B4C42"/>
    <w:rsid w:val="002B4D9E"/>
    <w:rsid w:val="002B4DD0"/>
    <w:rsid w:val="002B4E60"/>
    <w:rsid w:val="002B4ECD"/>
    <w:rsid w:val="002B4EE7"/>
    <w:rsid w:val="002B4F0A"/>
    <w:rsid w:val="002B4F4E"/>
    <w:rsid w:val="002B4F5C"/>
    <w:rsid w:val="002B5057"/>
    <w:rsid w:val="002B5066"/>
    <w:rsid w:val="002B5087"/>
    <w:rsid w:val="002B5132"/>
    <w:rsid w:val="002B517C"/>
    <w:rsid w:val="002B51DE"/>
    <w:rsid w:val="002B5206"/>
    <w:rsid w:val="002B524E"/>
    <w:rsid w:val="002B5289"/>
    <w:rsid w:val="002B5335"/>
    <w:rsid w:val="002B534F"/>
    <w:rsid w:val="002B5357"/>
    <w:rsid w:val="002B548F"/>
    <w:rsid w:val="002B54A4"/>
    <w:rsid w:val="002B550A"/>
    <w:rsid w:val="002B5533"/>
    <w:rsid w:val="002B5545"/>
    <w:rsid w:val="002B564C"/>
    <w:rsid w:val="002B56BD"/>
    <w:rsid w:val="002B571B"/>
    <w:rsid w:val="002B57A5"/>
    <w:rsid w:val="002B57E1"/>
    <w:rsid w:val="002B582A"/>
    <w:rsid w:val="002B5852"/>
    <w:rsid w:val="002B5919"/>
    <w:rsid w:val="002B5971"/>
    <w:rsid w:val="002B5987"/>
    <w:rsid w:val="002B59A9"/>
    <w:rsid w:val="002B5A11"/>
    <w:rsid w:val="002B5A18"/>
    <w:rsid w:val="002B5A32"/>
    <w:rsid w:val="002B5A71"/>
    <w:rsid w:val="002B5C10"/>
    <w:rsid w:val="002B5C4C"/>
    <w:rsid w:val="002B5CBF"/>
    <w:rsid w:val="002B5CD8"/>
    <w:rsid w:val="002B5DA6"/>
    <w:rsid w:val="002B5E41"/>
    <w:rsid w:val="002B5E78"/>
    <w:rsid w:val="002B5EA0"/>
    <w:rsid w:val="002B5F2C"/>
    <w:rsid w:val="002B5FA2"/>
    <w:rsid w:val="002B5FA4"/>
    <w:rsid w:val="002B6091"/>
    <w:rsid w:val="002B6111"/>
    <w:rsid w:val="002B6131"/>
    <w:rsid w:val="002B6166"/>
    <w:rsid w:val="002B6202"/>
    <w:rsid w:val="002B629A"/>
    <w:rsid w:val="002B62C3"/>
    <w:rsid w:val="002B62DA"/>
    <w:rsid w:val="002B6314"/>
    <w:rsid w:val="002B6380"/>
    <w:rsid w:val="002B63AA"/>
    <w:rsid w:val="002B641D"/>
    <w:rsid w:val="002B6436"/>
    <w:rsid w:val="002B643D"/>
    <w:rsid w:val="002B643F"/>
    <w:rsid w:val="002B6478"/>
    <w:rsid w:val="002B64AE"/>
    <w:rsid w:val="002B667F"/>
    <w:rsid w:val="002B66E7"/>
    <w:rsid w:val="002B66F1"/>
    <w:rsid w:val="002B686F"/>
    <w:rsid w:val="002B68F1"/>
    <w:rsid w:val="002B69E4"/>
    <w:rsid w:val="002B6AAE"/>
    <w:rsid w:val="002B6AC4"/>
    <w:rsid w:val="002B6B1D"/>
    <w:rsid w:val="002B6B36"/>
    <w:rsid w:val="002B6B89"/>
    <w:rsid w:val="002B6C36"/>
    <w:rsid w:val="002B6C54"/>
    <w:rsid w:val="002B6CBA"/>
    <w:rsid w:val="002B6CE4"/>
    <w:rsid w:val="002B6D92"/>
    <w:rsid w:val="002B6DEB"/>
    <w:rsid w:val="002B6E5D"/>
    <w:rsid w:val="002B6E91"/>
    <w:rsid w:val="002B6F00"/>
    <w:rsid w:val="002B6F57"/>
    <w:rsid w:val="002B6F7F"/>
    <w:rsid w:val="002B6FA2"/>
    <w:rsid w:val="002B7074"/>
    <w:rsid w:val="002B707A"/>
    <w:rsid w:val="002B70F5"/>
    <w:rsid w:val="002B711F"/>
    <w:rsid w:val="002B713B"/>
    <w:rsid w:val="002B716D"/>
    <w:rsid w:val="002B71B8"/>
    <w:rsid w:val="002B7278"/>
    <w:rsid w:val="002B72E2"/>
    <w:rsid w:val="002B7425"/>
    <w:rsid w:val="002B757D"/>
    <w:rsid w:val="002B757F"/>
    <w:rsid w:val="002B758F"/>
    <w:rsid w:val="002B75A9"/>
    <w:rsid w:val="002B75D1"/>
    <w:rsid w:val="002B75D7"/>
    <w:rsid w:val="002B75DC"/>
    <w:rsid w:val="002B760C"/>
    <w:rsid w:val="002B7685"/>
    <w:rsid w:val="002B76D1"/>
    <w:rsid w:val="002B7758"/>
    <w:rsid w:val="002B775C"/>
    <w:rsid w:val="002B7765"/>
    <w:rsid w:val="002B77BF"/>
    <w:rsid w:val="002B783F"/>
    <w:rsid w:val="002B785F"/>
    <w:rsid w:val="002B7A11"/>
    <w:rsid w:val="002B7AA0"/>
    <w:rsid w:val="002B7B93"/>
    <w:rsid w:val="002B7B98"/>
    <w:rsid w:val="002B7BFF"/>
    <w:rsid w:val="002B7E30"/>
    <w:rsid w:val="002B7E60"/>
    <w:rsid w:val="002B7E79"/>
    <w:rsid w:val="002B7FAD"/>
    <w:rsid w:val="002B7FC9"/>
    <w:rsid w:val="002B7FF7"/>
    <w:rsid w:val="002BE071"/>
    <w:rsid w:val="002C005D"/>
    <w:rsid w:val="002C008D"/>
    <w:rsid w:val="002C0122"/>
    <w:rsid w:val="002C0334"/>
    <w:rsid w:val="002C0376"/>
    <w:rsid w:val="002C0422"/>
    <w:rsid w:val="002C042A"/>
    <w:rsid w:val="002C05A8"/>
    <w:rsid w:val="002C0611"/>
    <w:rsid w:val="002C0613"/>
    <w:rsid w:val="002C0670"/>
    <w:rsid w:val="002C06C4"/>
    <w:rsid w:val="002C06DD"/>
    <w:rsid w:val="002C0708"/>
    <w:rsid w:val="002C07A5"/>
    <w:rsid w:val="002C07BF"/>
    <w:rsid w:val="002C08AD"/>
    <w:rsid w:val="002C090A"/>
    <w:rsid w:val="002C090E"/>
    <w:rsid w:val="002C0A68"/>
    <w:rsid w:val="002C0AEF"/>
    <w:rsid w:val="002C0B3F"/>
    <w:rsid w:val="002C0BE1"/>
    <w:rsid w:val="002C0D01"/>
    <w:rsid w:val="002C0D0A"/>
    <w:rsid w:val="002C0E49"/>
    <w:rsid w:val="002C0ECF"/>
    <w:rsid w:val="002C0F8E"/>
    <w:rsid w:val="002C1082"/>
    <w:rsid w:val="002C1109"/>
    <w:rsid w:val="002C11A6"/>
    <w:rsid w:val="002C12A0"/>
    <w:rsid w:val="002C12CF"/>
    <w:rsid w:val="002C12D8"/>
    <w:rsid w:val="002C12FA"/>
    <w:rsid w:val="002C13DB"/>
    <w:rsid w:val="002C1532"/>
    <w:rsid w:val="002C1559"/>
    <w:rsid w:val="002C15AC"/>
    <w:rsid w:val="002C1699"/>
    <w:rsid w:val="002C1712"/>
    <w:rsid w:val="002C1744"/>
    <w:rsid w:val="002C1789"/>
    <w:rsid w:val="002C17CB"/>
    <w:rsid w:val="002C185C"/>
    <w:rsid w:val="002C1988"/>
    <w:rsid w:val="002C1AB9"/>
    <w:rsid w:val="002C1AD2"/>
    <w:rsid w:val="002C1B11"/>
    <w:rsid w:val="002C1BDE"/>
    <w:rsid w:val="002C1BFB"/>
    <w:rsid w:val="002C1C4A"/>
    <w:rsid w:val="002C1D37"/>
    <w:rsid w:val="002C1D6D"/>
    <w:rsid w:val="002C1DAC"/>
    <w:rsid w:val="002C1DCE"/>
    <w:rsid w:val="002C1EA7"/>
    <w:rsid w:val="002C1EE9"/>
    <w:rsid w:val="002C1F4C"/>
    <w:rsid w:val="002C200F"/>
    <w:rsid w:val="002C208C"/>
    <w:rsid w:val="002C209A"/>
    <w:rsid w:val="002C211A"/>
    <w:rsid w:val="002C2148"/>
    <w:rsid w:val="002C2153"/>
    <w:rsid w:val="002C2226"/>
    <w:rsid w:val="002C223D"/>
    <w:rsid w:val="002C22CD"/>
    <w:rsid w:val="002C2428"/>
    <w:rsid w:val="002C24A9"/>
    <w:rsid w:val="002C25AC"/>
    <w:rsid w:val="002C2620"/>
    <w:rsid w:val="002C263B"/>
    <w:rsid w:val="002C2642"/>
    <w:rsid w:val="002C2682"/>
    <w:rsid w:val="002C2687"/>
    <w:rsid w:val="002C269E"/>
    <w:rsid w:val="002C26CE"/>
    <w:rsid w:val="002C272D"/>
    <w:rsid w:val="002C2787"/>
    <w:rsid w:val="002C2793"/>
    <w:rsid w:val="002C2806"/>
    <w:rsid w:val="002C280E"/>
    <w:rsid w:val="002C2882"/>
    <w:rsid w:val="002C28D0"/>
    <w:rsid w:val="002C2944"/>
    <w:rsid w:val="002C2958"/>
    <w:rsid w:val="002C296E"/>
    <w:rsid w:val="002C2976"/>
    <w:rsid w:val="002C29DF"/>
    <w:rsid w:val="002C2A10"/>
    <w:rsid w:val="002C2A89"/>
    <w:rsid w:val="002C2A98"/>
    <w:rsid w:val="002C2AAA"/>
    <w:rsid w:val="002C2AD2"/>
    <w:rsid w:val="002C2AD5"/>
    <w:rsid w:val="002C2B08"/>
    <w:rsid w:val="002C2B0C"/>
    <w:rsid w:val="002C2C11"/>
    <w:rsid w:val="002C2E15"/>
    <w:rsid w:val="002C2E82"/>
    <w:rsid w:val="002C2F11"/>
    <w:rsid w:val="002C2F86"/>
    <w:rsid w:val="002C2FA5"/>
    <w:rsid w:val="002C2FAC"/>
    <w:rsid w:val="002C3003"/>
    <w:rsid w:val="002C300D"/>
    <w:rsid w:val="002C30D7"/>
    <w:rsid w:val="002C317D"/>
    <w:rsid w:val="002C31B2"/>
    <w:rsid w:val="002C323F"/>
    <w:rsid w:val="002C33CD"/>
    <w:rsid w:val="002C348C"/>
    <w:rsid w:val="002C34BF"/>
    <w:rsid w:val="002C34DE"/>
    <w:rsid w:val="002C350E"/>
    <w:rsid w:val="002C363D"/>
    <w:rsid w:val="002C3657"/>
    <w:rsid w:val="002C372F"/>
    <w:rsid w:val="002C3750"/>
    <w:rsid w:val="002C37AD"/>
    <w:rsid w:val="002C37B3"/>
    <w:rsid w:val="002C38CF"/>
    <w:rsid w:val="002C39E6"/>
    <w:rsid w:val="002C3A9C"/>
    <w:rsid w:val="002C3ACC"/>
    <w:rsid w:val="002C3B6B"/>
    <w:rsid w:val="002C3BD6"/>
    <w:rsid w:val="002C3C2A"/>
    <w:rsid w:val="002C3C40"/>
    <w:rsid w:val="002C3C4B"/>
    <w:rsid w:val="002C3CA4"/>
    <w:rsid w:val="002C3CD2"/>
    <w:rsid w:val="002C3CED"/>
    <w:rsid w:val="002C3CFD"/>
    <w:rsid w:val="002C3D50"/>
    <w:rsid w:val="002C3DAA"/>
    <w:rsid w:val="002C407E"/>
    <w:rsid w:val="002C40EF"/>
    <w:rsid w:val="002C415C"/>
    <w:rsid w:val="002C4172"/>
    <w:rsid w:val="002C41B3"/>
    <w:rsid w:val="002C41BC"/>
    <w:rsid w:val="002C4276"/>
    <w:rsid w:val="002C42D6"/>
    <w:rsid w:val="002C43C7"/>
    <w:rsid w:val="002C4517"/>
    <w:rsid w:val="002C45A1"/>
    <w:rsid w:val="002C45A8"/>
    <w:rsid w:val="002C45DE"/>
    <w:rsid w:val="002C460D"/>
    <w:rsid w:val="002C468F"/>
    <w:rsid w:val="002C48CB"/>
    <w:rsid w:val="002C4906"/>
    <w:rsid w:val="002C49F6"/>
    <w:rsid w:val="002C4AD6"/>
    <w:rsid w:val="002C4B07"/>
    <w:rsid w:val="002C4B52"/>
    <w:rsid w:val="002C4B5A"/>
    <w:rsid w:val="002C4B9C"/>
    <w:rsid w:val="002C4C0E"/>
    <w:rsid w:val="002C4C4D"/>
    <w:rsid w:val="002C4C6A"/>
    <w:rsid w:val="002C4CC8"/>
    <w:rsid w:val="002C4D98"/>
    <w:rsid w:val="002C4DF4"/>
    <w:rsid w:val="002C4E1E"/>
    <w:rsid w:val="002C4E22"/>
    <w:rsid w:val="002C4F2C"/>
    <w:rsid w:val="002C4F34"/>
    <w:rsid w:val="002C4F4F"/>
    <w:rsid w:val="002C4FE0"/>
    <w:rsid w:val="002C5158"/>
    <w:rsid w:val="002C517F"/>
    <w:rsid w:val="002C5207"/>
    <w:rsid w:val="002C524C"/>
    <w:rsid w:val="002C531B"/>
    <w:rsid w:val="002C533D"/>
    <w:rsid w:val="002C5387"/>
    <w:rsid w:val="002C53A4"/>
    <w:rsid w:val="002C5492"/>
    <w:rsid w:val="002C54D4"/>
    <w:rsid w:val="002C54FF"/>
    <w:rsid w:val="002C5573"/>
    <w:rsid w:val="002C5634"/>
    <w:rsid w:val="002C57B1"/>
    <w:rsid w:val="002C58BD"/>
    <w:rsid w:val="002C58C1"/>
    <w:rsid w:val="002C5918"/>
    <w:rsid w:val="002C5C2E"/>
    <w:rsid w:val="002C5D07"/>
    <w:rsid w:val="002C5D20"/>
    <w:rsid w:val="002C5D3A"/>
    <w:rsid w:val="002C5D82"/>
    <w:rsid w:val="002C5D9D"/>
    <w:rsid w:val="002C5DCB"/>
    <w:rsid w:val="002C5E81"/>
    <w:rsid w:val="002C5EB7"/>
    <w:rsid w:val="002C5EBF"/>
    <w:rsid w:val="002C5EEE"/>
    <w:rsid w:val="002C5F12"/>
    <w:rsid w:val="002C5F5B"/>
    <w:rsid w:val="002C5FE1"/>
    <w:rsid w:val="002C6132"/>
    <w:rsid w:val="002C613A"/>
    <w:rsid w:val="002C6145"/>
    <w:rsid w:val="002C6289"/>
    <w:rsid w:val="002C629C"/>
    <w:rsid w:val="002C637C"/>
    <w:rsid w:val="002C638A"/>
    <w:rsid w:val="002C63FC"/>
    <w:rsid w:val="002C646E"/>
    <w:rsid w:val="002C6473"/>
    <w:rsid w:val="002C64B3"/>
    <w:rsid w:val="002C653E"/>
    <w:rsid w:val="002C65D6"/>
    <w:rsid w:val="002C6657"/>
    <w:rsid w:val="002C668E"/>
    <w:rsid w:val="002C66F9"/>
    <w:rsid w:val="002C6708"/>
    <w:rsid w:val="002C6729"/>
    <w:rsid w:val="002C67B1"/>
    <w:rsid w:val="002C6811"/>
    <w:rsid w:val="002C6880"/>
    <w:rsid w:val="002C68BD"/>
    <w:rsid w:val="002C69B1"/>
    <w:rsid w:val="002C69B9"/>
    <w:rsid w:val="002C6A0A"/>
    <w:rsid w:val="002C6A6A"/>
    <w:rsid w:val="002C6A78"/>
    <w:rsid w:val="002C6A90"/>
    <w:rsid w:val="002C6AA8"/>
    <w:rsid w:val="002C6AC7"/>
    <w:rsid w:val="002C6B08"/>
    <w:rsid w:val="002C6B52"/>
    <w:rsid w:val="002C6C30"/>
    <w:rsid w:val="002C6C5D"/>
    <w:rsid w:val="002C6D07"/>
    <w:rsid w:val="002C6D34"/>
    <w:rsid w:val="002C6EBA"/>
    <w:rsid w:val="002C6EE3"/>
    <w:rsid w:val="002C6F05"/>
    <w:rsid w:val="002C709E"/>
    <w:rsid w:val="002C71C6"/>
    <w:rsid w:val="002C72AA"/>
    <w:rsid w:val="002C730C"/>
    <w:rsid w:val="002C739A"/>
    <w:rsid w:val="002C73A2"/>
    <w:rsid w:val="002C73AD"/>
    <w:rsid w:val="002C742E"/>
    <w:rsid w:val="002C754B"/>
    <w:rsid w:val="002C75FE"/>
    <w:rsid w:val="002C7702"/>
    <w:rsid w:val="002C7852"/>
    <w:rsid w:val="002C78B1"/>
    <w:rsid w:val="002C78E8"/>
    <w:rsid w:val="002C78FB"/>
    <w:rsid w:val="002C7A26"/>
    <w:rsid w:val="002C7A2A"/>
    <w:rsid w:val="002C7AAF"/>
    <w:rsid w:val="002C7AB5"/>
    <w:rsid w:val="002C7B41"/>
    <w:rsid w:val="002C7B58"/>
    <w:rsid w:val="002C7B75"/>
    <w:rsid w:val="002C7B89"/>
    <w:rsid w:val="002C7BCC"/>
    <w:rsid w:val="002C7C26"/>
    <w:rsid w:val="002C7C56"/>
    <w:rsid w:val="002C7C64"/>
    <w:rsid w:val="002C7C73"/>
    <w:rsid w:val="002C7C87"/>
    <w:rsid w:val="002C7CDE"/>
    <w:rsid w:val="002C7D74"/>
    <w:rsid w:val="002C7DB3"/>
    <w:rsid w:val="002C7E72"/>
    <w:rsid w:val="002C7EDA"/>
    <w:rsid w:val="002C7F19"/>
    <w:rsid w:val="002C7F1E"/>
    <w:rsid w:val="002C7F70"/>
    <w:rsid w:val="002C7FE8"/>
    <w:rsid w:val="002D0042"/>
    <w:rsid w:val="002D00DC"/>
    <w:rsid w:val="002D00EB"/>
    <w:rsid w:val="002D0192"/>
    <w:rsid w:val="002D0284"/>
    <w:rsid w:val="002D02B9"/>
    <w:rsid w:val="002D031C"/>
    <w:rsid w:val="002D0385"/>
    <w:rsid w:val="002D0452"/>
    <w:rsid w:val="002D0457"/>
    <w:rsid w:val="002D045A"/>
    <w:rsid w:val="002D04CF"/>
    <w:rsid w:val="002D0565"/>
    <w:rsid w:val="002D056C"/>
    <w:rsid w:val="002D0609"/>
    <w:rsid w:val="002D0636"/>
    <w:rsid w:val="002D0654"/>
    <w:rsid w:val="002D0755"/>
    <w:rsid w:val="002D0810"/>
    <w:rsid w:val="002D083F"/>
    <w:rsid w:val="002D0959"/>
    <w:rsid w:val="002D0B9E"/>
    <w:rsid w:val="002D0BA1"/>
    <w:rsid w:val="002D0BA2"/>
    <w:rsid w:val="002D0C47"/>
    <w:rsid w:val="002D0C5E"/>
    <w:rsid w:val="002D0C6D"/>
    <w:rsid w:val="002D0CEA"/>
    <w:rsid w:val="002D0D69"/>
    <w:rsid w:val="002D0DA2"/>
    <w:rsid w:val="002D0DC0"/>
    <w:rsid w:val="002D0E01"/>
    <w:rsid w:val="002D0E1C"/>
    <w:rsid w:val="002D0E32"/>
    <w:rsid w:val="002D0E4C"/>
    <w:rsid w:val="002D0E90"/>
    <w:rsid w:val="002D0EDD"/>
    <w:rsid w:val="002D0F07"/>
    <w:rsid w:val="002D0F1C"/>
    <w:rsid w:val="002D0F3E"/>
    <w:rsid w:val="002D0F80"/>
    <w:rsid w:val="002D0FC4"/>
    <w:rsid w:val="002D1060"/>
    <w:rsid w:val="002D1175"/>
    <w:rsid w:val="002D11AF"/>
    <w:rsid w:val="002D11D8"/>
    <w:rsid w:val="002D1225"/>
    <w:rsid w:val="002D1238"/>
    <w:rsid w:val="002D137D"/>
    <w:rsid w:val="002D140B"/>
    <w:rsid w:val="002D1415"/>
    <w:rsid w:val="002D145F"/>
    <w:rsid w:val="002D149E"/>
    <w:rsid w:val="002D1518"/>
    <w:rsid w:val="002D153D"/>
    <w:rsid w:val="002D15E7"/>
    <w:rsid w:val="002D15FC"/>
    <w:rsid w:val="002D16A2"/>
    <w:rsid w:val="002D16CF"/>
    <w:rsid w:val="002D16F6"/>
    <w:rsid w:val="002D1740"/>
    <w:rsid w:val="002D1856"/>
    <w:rsid w:val="002D1881"/>
    <w:rsid w:val="002D1889"/>
    <w:rsid w:val="002D194D"/>
    <w:rsid w:val="002D1A26"/>
    <w:rsid w:val="002D1A7E"/>
    <w:rsid w:val="002D1AD5"/>
    <w:rsid w:val="002D1BE7"/>
    <w:rsid w:val="002D1CAE"/>
    <w:rsid w:val="002D1CEB"/>
    <w:rsid w:val="002D1E4E"/>
    <w:rsid w:val="002D1EEC"/>
    <w:rsid w:val="002D1F3F"/>
    <w:rsid w:val="002D1FFB"/>
    <w:rsid w:val="002D2031"/>
    <w:rsid w:val="002D2060"/>
    <w:rsid w:val="002D20C0"/>
    <w:rsid w:val="002D20C6"/>
    <w:rsid w:val="002D2200"/>
    <w:rsid w:val="002D221D"/>
    <w:rsid w:val="002D227F"/>
    <w:rsid w:val="002D2280"/>
    <w:rsid w:val="002D2327"/>
    <w:rsid w:val="002D2362"/>
    <w:rsid w:val="002D23BE"/>
    <w:rsid w:val="002D2410"/>
    <w:rsid w:val="002D254B"/>
    <w:rsid w:val="002D2581"/>
    <w:rsid w:val="002D27AC"/>
    <w:rsid w:val="002D27CC"/>
    <w:rsid w:val="002D27D5"/>
    <w:rsid w:val="002D2821"/>
    <w:rsid w:val="002D287E"/>
    <w:rsid w:val="002D28B2"/>
    <w:rsid w:val="002D28B5"/>
    <w:rsid w:val="002D28C5"/>
    <w:rsid w:val="002D2902"/>
    <w:rsid w:val="002D2954"/>
    <w:rsid w:val="002D295C"/>
    <w:rsid w:val="002D2982"/>
    <w:rsid w:val="002D29B7"/>
    <w:rsid w:val="002D29D5"/>
    <w:rsid w:val="002D2A0C"/>
    <w:rsid w:val="002D2A65"/>
    <w:rsid w:val="002D2B20"/>
    <w:rsid w:val="002D2B37"/>
    <w:rsid w:val="002D2C64"/>
    <w:rsid w:val="002D2DEC"/>
    <w:rsid w:val="002D2E58"/>
    <w:rsid w:val="002D2ECD"/>
    <w:rsid w:val="002D2F45"/>
    <w:rsid w:val="002D2F65"/>
    <w:rsid w:val="002D2FCB"/>
    <w:rsid w:val="002D2FD2"/>
    <w:rsid w:val="002D2FF2"/>
    <w:rsid w:val="002D302D"/>
    <w:rsid w:val="002D3042"/>
    <w:rsid w:val="002D30BB"/>
    <w:rsid w:val="002D3100"/>
    <w:rsid w:val="002D3144"/>
    <w:rsid w:val="002D31BC"/>
    <w:rsid w:val="002D3208"/>
    <w:rsid w:val="002D3324"/>
    <w:rsid w:val="002D337E"/>
    <w:rsid w:val="002D33B9"/>
    <w:rsid w:val="002D33BF"/>
    <w:rsid w:val="002D33D4"/>
    <w:rsid w:val="002D341E"/>
    <w:rsid w:val="002D3427"/>
    <w:rsid w:val="002D3486"/>
    <w:rsid w:val="002D34ED"/>
    <w:rsid w:val="002D35D5"/>
    <w:rsid w:val="002D35F4"/>
    <w:rsid w:val="002D3676"/>
    <w:rsid w:val="002D36DF"/>
    <w:rsid w:val="002D3744"/>
    <w:rsid w:val="002D37A0"/>
    <w:rsid w:val="002D37C9"/>
    <w:rsid w:val="002D37DD"/>
    <w:rsid w:val="002D3879"/>
    <w:rsid w:val="002D38E7"/>
    <w:rsid w:val="002D38EC"/>
    <w:rsid w:val="002D38FB"/>
    <w:rsid w:val="002D3979"/>
    <w:rsid w:val="002D39BF"/>
    <w:rsid w:val="002D39E9"/>
    <w:rsid w:val="002D3A72"/>
    <w:rsid w:val="002D3A94"/>
    <w:rsid w:val="002D3AAE"/>
    <w:rsid w:val="002D3ADD"/>
    <w:rsid w:val="002D3B21"/>
    <w:rsid w:val="002D3BC0"/>
    <w:rsid w:val="002D3BF6"/>
    <w:rsid w:val="002D3C09"/>
    <w:rsid w:val="002D3D0F"/>
    <w:rsid w:val="002D3E5A"/>
    <w:rsid w:val="002D3F4F"/>
    <w:rsid w:val="002D3F89"/>
    <w:rsid w:val="002D3FF5"/>
    <w:rsid w:val="002D3FFC"/>
    <w:rsid w:val="002D4010"/>
    <w:rsid w:val="002D4029"/>
    <w:rsid w:val="002D4038"/>
    <w:rsid w:val="002D4045"/>
    <w:rsid w:val="002D40CC"/>
    <w:rsid w:val="002D4153"/>
    <w:rsid w:val="002D41A8"/>
    <w:rsid w:val="002D41AA"/>
    <w:rsid w:val="002D41AE"/>
    <w:rsid w:val="002D4236"/>
    <w:rsid w:val="002D42F8"/>
    <w:rsid w:val="002D4364"/>
    <w:rsid w:val="002D438D"/>
    <w:rsid w:val="002D4400"/>
    <w:rsid w:val="002D44D1"/>
    <w:rsid w:val="002D44F8"/>
    <w:rsid w:val="002D450C"/>
    <w:rsid w:val="002D4578"/>
    <w:rsid w:val="002D45A2"/>
    <w:rsid w:val="002D468C"/>
    <w:rsid w:val="002D46B7"/>
    <w:rsid w:val="002D46C9"/>
    <w:rsid w:val="002D471C"/>
    <w:rsid w:val="002D48E8"/>
    <w:rsid w:val="002D48EE"/>
    <w:rsid w:val="002D4921"/>
    <w:rsid w:val="002D4968"/>
    <w:rsid w:val="002D499D"/>
    <w:rsid w:val="002D49CD"/>
    <w:rsid w:val="002D4A72"/>
    <w:rsid w:val="002D4AC7"/>
    <w:rsid w:val="002D4AC9"/>
    <w:rsid w:val="002D4BF3"/>
    <w:rsid w:val="002D4C47"/>
    <w:rsid w:val="002D4CE9"/>
    <w:rsid w:val="002D4D00"/>
    <w:rsid w:val="002D4DF9"/>
    <w:rsid w:val="002D4E84"/>
    <w:rsid w:val="002D4E88"/>
    <w:rsid w:val="002D4E8F"/>
    <w:rsid w:val="002D4EA7"/>
    <w:rsid w:val="002D4EE5"/>
    <w:rsid w:val="002D4F0B"/>
    <w:rsid w:val="002D4F99"/>
    <w:rsid w:val="002D4FB4"/>
    <w:rsid w:val="002D4FC1"/>
    <w:rsid w:val="002D4FFC"/>
    <w:rsid w:val="002D500D"/>
    <w:rsid w:val="002D5110"/>
    <w:rsid w:val="002D5137"/>
    <w:rsid w:val="002D516A"/>
    <w:rsid w:val="002D5171"/>
    <w:rsid w:val="002D522B"/>
    <w:rsid w:val="002D524D"/>
    <w:rsid w:val="002D53C2"/>
    <w:rsid w:val="002D53F6"/>
    <w:rsid w:val="002D5412"/>
    <w:rsid w:val="002D549B"/>
    <w:rsid w:val="002D5568"/>
    <w:rsid w:val="002D5580"/>
    <w:rsid w:val="002D56B3"/>
    <w:rsid w:val="002D5757"/>
    <w:rsid w:val="002D577B"/>
    <w:rsid w:val="002D5789"/>
    <w:rsid w:val="002D57B9"/>
    <w:rsid w:val="002D58C2"/>
    <w:rsid w:val="002D58D4"/>
    <w:rsid w:val="002D5955"/>
    <w:rsid w:val="002D5960"/>
    <w:rsid w:val="002D59C7"/>
    <w:rsid w:val="002D5AD4"/>
    <w:rsid w:val="002D5AD5"/>
    <w:rsid w:val="002D5B57"/>
    <w:rsid w:val="002D5BBD"/>
    <w:rsid w:val="002D5C81"/>
    <w:rsid w:val="002D5C8B"/>
    <w:rsid w:val="002D5CB6"/>
    <w:rsid w:val="002D5CBB"/>
    <w:rsid w:val="002D5D0D"/>
    <w:rsid w:val="002D5DCE"/>
    <w:rsid w:val="002D5DF3"/>
    <w:rsid w:val="002D5E31"/>
    <w:rsid w:val="002D5E41"/>
    <w:rsid w:val="002D5E81"/>
    <w:rsid w:val="002D5EC8"/>
    <w:rsid w:val="002D5F27"/>
    <w:rsid w:val="002D5F5C"/>
    <w:rsid w:val="002D5F5D"/>
    <w:rsid w:val="002D5F93"/>
    <w:rsid w:val="002D6085"/>
    <w:rsid w:val="002D6118"/>
    <w:rsid w:val="002D6139"/>
    <w:rsid w:val="002D6142"/>
    <w:rsid w:val="002D61F9"/>
    <w:rsid w:val="002D6211"/>
    <w:rsid w:val="002D63B8"/>
    <w:rsid w:val="002D6450"/>
    <w:rsid w:val="002D65F4"/>
    <w:rsid w:val="002D681C"/>
    <w:rsid w:val="002D6838"/>
    <w:rsid w:val="002D6893"/>
    <w:rsid w:val="002D6A49"/>
    <w:rsid w:val="002D6A87"/>
    <w:rsid w:val="002D6B88"/>
    <w:rsid w:val="002D6BCF"/>
    <w:rsid w:val="002D6BEE"/>
    <w:rsid w:val="002D6BF9"/>
    <w:rsid w:val="002D6C1A"/>
    <w:rsid w:val="002D6CBE"/>
    <w:rsid w:val="002D6CC5"/>
    <w:rsid w:val="002D6CD8"/>
    <w:rsid w:val="002D6D36"/>
    <w:rsid w:val="002D6D94"/>
    <w:rsid w:val="002D6DB2"/>
    <w:rsid w:val="002D6E26"/>
    <w:rsid w:val="002D6EAC"/>
    <w:rsid w:val="002D6F32"/>
    <w:rsid w:val="002D6F6D"/>
    <w:rsid w:val="002D724C"/>
    <w:rsid w:val="002D72E1"/>
    <w:rsid w:val="002D730E"/>
    <w:rsid w:val="002D733A"/>
    <w:rsid w:val="002D7347"/>
    <w:rsid w:val="002D735C"/>
    <w:rsid w:val="002D73B8"/>
    <w:rsid w:val="002D755B"/>
    <w:rsid w:val="002D7604"/>
    <w:rsid w:val="002D7605"/>
    <w:rsid w:val="002D764D"/>
    <w:rsid w:val="002D7710"/>
    <w:rsid w:val="002D774C"/>
    <w:rsid w:val="002D778F"/>
    <w:rsid w:val="002D77B0"/>
    <w:rsid w:val="002D77B8"/>
    <w:rsid w:val="002D780A"/>
    <w:rsid w:val="002D781D"/>
    <w:rsid w:val="002D786A"/>
    <w:rsid w:val="002D7AB6"/>
    <w:rsid w:val="002D7B55"/>
    <w:rsid w:val="002D7B56"/>
    <w:rsid w:val="002D7C98"/>
    <w:rsid w:val="002D7C9D"/>
    <w:rsid w:val="002D7CC6"/>
    <w:rsid w:val="002D7D18"/>
    <w:rsid w:val="002D7EB7"/>
    <w:rsid w:val="002D7F6A"/>
    <w:rsid w:val="002D7FEA"/>
    <w:rsid w:val="002E001F"/>
    <w:rsid w:val="002E0028"/>
    <w:rsid w:val="002E0031"/>
    <w:rsid w:val="002E003A"/>
    <w:rsid w:val="002E004D"/>
    <w:rsid w:val="002E0082"/>
    <w:rsid w:val="002E0096"/>
    <w:rsid w:val="002E019B"/>
    <w:rsid w:val="002E01BD"/>
    <w:rsid w:val="002E025E"/>
    <w:rsid w:val="002E0296"/>
    <w:rsid w:val="002E02F0"/>
    <w:rsid w:val="002E0387"/>
    <w:rsid w:val="002E03C1"/>
    <w:rsid w:val="002E0403"/>
    <w:rsid w:val="002E04A6"/>
    <w:rsid w:val="002E0546"/>
    <w:rsid w:val="002E055A"/>
    <w:rsid w:val="002E05BC"/>
    <w:rsid w:val="002E05C2"/>
    <w:rsid w:val="002E05D5"/>
    <w:rsid w:val="002E0664"/>
    <w:rsid w:val="002E06D6"/>
    <w:rsid w:val="002E06EC"/>
    <w:rsid w:val="002E0757"/>
    <w:rsid w:val="002E07AD"/>
    <w:rsid w:val="002E08BE"/>
    <w:rsid w:val="002E095F"/>
    <w:rsid w:val="002E0992"/>
    <w:rsid w:val="002E09CF"/>
    <w:rsid w:val="002E0A30"/>
    <w:rsid w:val="002E0BB3"/>
    <w:rsid w:val="002E0C66"/>
    <w:rsid w:val="002E0D4A"/>
    <w:rsid w:val="002E0DB0"/>
    <w:rsid w:val="002E0DD5"/>
    <w:rsid w:val="002E0EA9"/>
    <w:rsid w:val="002E0EBD"/>
    <w:rsid w:val="002E0ED6"/>
    <w:rsid w:val="002E0F87"/>
    <w:rsid w:val="002E1036"/>
    <w:rsid w:val="002E1085"/>
    <w:rsid w:val="002E10DD"/>
    <w:rsid w:val="002E10E3"/>
    <w:rsid w:val="002E10F1"/>
    <w:rsid w:val="002E1126"/>
    <w:rsid w:val="002E112B"/>
    <w:rsid w:val="002E1182"/>
    <w:rsid w:val="002E11A3"/>
    <w:rsid w:val="002E12AD"/>
    <w:rsid w:val="002E1362"/>
    <w:rsid w:val="002E1392"/>
    <w:rsid w:val="002E13DB"/>
    <w:rsid w:val="002E1496"/>
    <w:rsid w:val="002E14C3"/>
    <w:rsid w:val="002E14EB"/>
    <w:rsid w:val="002E15A2"/>
    <w:rsid w:val="002E15BF"/>
    <w:rsid w:val="002E15CB"/>
    <w:rsid w:val="002E15D4"/>
    <w:rsid w:val="002E15D8"/>
    <w:rsid w:val="002E1628"/>
    <w:rsid w:val="002E1692"/>
    <w:rsid w:val="002E16ED"/>
    <w:rsid w:val="002E180C"/>
    <w:rsid w:val="002E1840"/>
    <w:rsid w:val="002E18F1"/>
    <w:rsid w:val="002E193C"/>
    <w:rsid w:val="002E194A"/>
    <w:rsid w:val="002E19DA"/>
    <w:rsid w:val="002E1BA9"/>
    <w:rsid w:val="002E1C2B"/>
    <w:rsid w:val="002E1C91"/>
    <w:rsid w:val="002E1CF3"/>
    <w:rsid w:val="002E1D28"/>
    <w:rsid w:val="002E1E76"/>
    <w:rsid w:val="002E1E8A"/>
    <w:rsid w:val="002E1FC2"/>
    <w:rsid w:val="002E1FC6"/>
    <w:rsid w:val="002E2020"/>
    <w:rsid w:val="002E21A5"/>
    <w:rsid w:val="002E22B5"/>
    <w:rsid w:val="002E2520"/>
    <w:rsid w:val="002E25CB"/>
    <w:rsid w:val="002E260A"/>
    <w:rsid w:val="002E2614"/>
    <w:rsid w:val="002E2712"/>
    <w:rsid w:val="002E2715"/>
    <w:rsid w:val="002E2744"/>
    <w:rsid w:val="002E27CD"/>
    <w:rsid w:val="002E2858"/>
    <w:rsid w:val="002E2869"/>
    <w:rsid w:val="002E2879"/>
    <w:rsid w:val="002E287B"/>
    <w:rsid w:val="002E290C"/>
    <w:rsid w:val="002E2928"/>
    <w:rsid w:val="002E2942"/>
    <w:rsid w:val="002E2977"/>
    <w:rsid w:val="002E2A6F"/>
    <w:rsid w:val="002E2AB8"/>
    <w:rsid w:val="002E2ACE"/>
    <w:rsid w:val="002E2ADA"/>
    <w:rsid w:val="002E2B0F"/>
    <w:rsid w:val="002E2B14"/>
    <w:rsid w:val="002E2B16"/>
    <w:rsid w:val="002E2B91"/>
    <w:rsid w:val="002E2B97"/>
    <w:rsid w:val="002E2BA0"/>
    <w:rsid w:val="002E2BA2"/>
    <w:rsid w:val="002E2BEA"/>
    <w:rsid w:val="002E2C0E"/>
    <w:rsid w:val="002E2C74"/>
    <w:rsid w:val="002E2D5A"/>
    <w:rsid w:val="002E2D6B"/>
    <w:rsid w:val="002E2E64"/>
    <w:rsid w:val="002E2F81"/>
    <w:rsid w:val="002E2FD8"/>
    <w:rsid w:val="002E3022"/>
    <w:rsid w:val="002E3047"/>
    <w:rsid w:val="002E306F"/>
    <w:rsid w:val="002E30A5"/>
    <w:rsid w:val="002E30B9"/>
    <w:rsid w:val="002E310D"/>
    <w:rsid w:val="002E313A"/>
    <w:rsid w:val="002E3219"/>
    <w:rsid w:val="002E321F"/>
    <w:rsid w:val="002E3286"/>
    <w:rsid w:val="002E3360"/>
    <w:rsid w:val="002E33A4"/>
    <w:rsid w:val="002E33F3"/>
    <w:rsid w:val="002E3436"/>
    <w:rsid w:val="002E3458"/>
    <w:rsid w:val="002E3551"/>
    <w:rsid w:val="002E360F"/>
    <w:rsid w:val="002E3648"/>
    <w:rsid w:val="002E366E"/>
    <w:rsid w:val="002E36F1"/>
    <w:rsid w:val="002E3736"/>
    <w:rsid w:val="002E374A"/>
    <w:rsid w:val="002E386A"/>
    <w:rsid w:val="002E3871"/>
    <w:rsid w:val="002E38D1"/>
    <w:rsid w:val="002E3913"/>
    <w:rsid w:val="002E3950"/>
    <w:rsid w:val="002E3A01"/>
    <w:rsid w:val="002E3A83"/>
    <w:rsid w:val="002E3AB8"/>
    <w:rsid w:val="002E3B64"/>
    <w:rsid w:val="002E3BD5"/>
    <w:rsid w:val="002E3C50"/>
    <w:rsid w:val="002E3C92"/>
    <w:rsid w:val="002E3CF9"/>
    <w:rsid w:val="002E3D59"/>
    <w:rsid w:val="002E3D6A"/>
    <w:rsid w:val="002E3DD3"/>
    <w:rsid w:val="002E3E30"/>
    <w:rsid w:val="002E3E7F"/>
    <w:rsid w:val="002E3F46"/>
    <w:rsid w:val="002E40C8"/>
    <w:rsid w:val="002E415D"/>
    <w:rsid w:val="002E4254"/>
    <w:rsid w:val="002E4280"/>
    <w:rsid w:val="002E42AB"/>
    <w:rsid w:val="002E4329"/>
    <w:rsid w:val="002E43C5"/>
    <w:rsid w:val="002E44EE"/>
    <w:rsid w:val="002E451A"/>
    <w:rsid w:val="002E452E"/>
    <w:rsid w:val="002E45AF"/>
    <w:rsid w:val="002E4638"/>
    <w:rsid w:val="002E46DF"/>
    <w:rsid w:val="002E4731"/>
    <w:rsid w:val="002E47C2"/>
    <w:rsid w:val="002E4808"/>
    <w:rsid w:val="002E4896"/>
    <w:rsid w:val="002E4963"/>
    <w:rsid w:val="002E4968"/>
    <w:rsid w:val="002E4A8D"/>
    <w:rsid w:val="002E4B9B"/>
    <w:rsid w:val="002E4BE0"/>
    <w:rsid w:val="002E4DB5"/>
    <w:rsid w:val="002E4F61"/>
    <w:rsid w:val="002E5104"/>
    <w:rsid w:val="002E517B"/>
    <w:rsid w:val="002E521B"/>
    <w:rsid w:val="002E524E"/>
    <w:rsid w:val="002E527A"/>
    <w:rsid w:val="002E528E"/>
    <w:rsid w:val="002E52D3"/>
    <w:rsid w:val="002E52D9"/>
    <w:rsid w:val="002E533D"/>
    <w:rsid w:val="002E539B"/>
    <w:rsid w:val="002E53FB"/>
    <w:rsid w:val="002E54ED"/>
    <w:rsid w:val="002E557E"/>
    <w:rsid w:val="002E55AD"/>
    <w:rsid w:val="002E55F3"/>
    <w:rsid w:val="002E56F2"/>
    <w:rsid w:val="002E579B"/>
    <w:rsid w:val="002E5800"/>
    <w:rsid w:val="002E594F"/>
    <w:rsid w:val="002E5985"/>
    <w:rsid w:val="002E598A"/>
    <w:rsid w:val="002E5994"/>
    <w:rsid w:val="002E59AB"/>
    <w:rsid w:val="002E5A37"/>
    <w:rsid w:val="002E5A76"/>
    <w:rsid w:val="002E5AC6"/>
    <w:rsid w:val="002E5B19"/>
    <w:rsid w:val="002E5CCB"/>
    <w:rsid w:val="002E5CED"/>
    <w:rsid w:val="002E5D14"/>
    <w:rsid w:val="002E5DCD"/>
    <w:rsid w:val="002E5DD4"/>
    <w:rsid w:val="002E5E1A"/>
    <w:rsid w:val="002E5E90"/>
    <w:rsid w:val="002E5EDA"/>
    <w:rsid w:val="002E6033"/>
    <w:rsid w:val="002E6080"/>
    <w:rsid w:val="002E60F7"/>
    <w:rsid w:val="002E619C"/>
    <w:rsid w:val="002E61A4"/>
    <w:rsid w:val="002E61DD"/>
    <w:rsid w:val="002E61FC"/>
    <w:rsid w:val="002E620A"/>
    <w:rsid w:val="002E6279"/>
    <w:rsid w:val="002E62DD"/>
    <w:rsid w:val="002E62E0"/>
    <w:rsid w:val="002E62E3"/>
    <w:rsid w:val="002E62F1"/>
    <w:rsid w:val="002E62F7"/>
    <w:rsid w:val="002E6360"/>
    <w:rsid w:val="002E6368"/>
    <w:rsid w:val="002E6375"/>
    <w:rsid w:val="002E6442"/>
    <w:rsid w:val="002E6448"/>
    <w:rsid w:val="002E648C"/>
    <w:rsid w:val="002E6525"/>
    <w:rsid w:val="002E6590"/>
    <w:rsid w:val="002E6598"/>
    <w:rsid w:val="002E6637"/>
    <w:rsid w:val="002E6683"/>
    <w:rsid w:val="002E66C5"/>
    <w:rsid w:val="002E66C8"/>
    <w:rsid w:val="002E66DF"/>
    <w:rsid w:val="002E68AB"/>
    <w:rsid w:val="002E6932"/>
    <w:rsid w:val="002E6941"/>
    <w:rsid w:val="002E69B8"/>
    <w:rsid w:val="002E69D5"/>
    <w:rsid w:val="002E6A18"/>
    <w:rsid w:val="002E6A3C"/>
    <w:rsid w:val="002E6BB8"/>
    <w:rsid w:val="002E6CA3"/>
    <w:rsid w:val="002E6D49"/>
    <w:rsid w:val="002E6D4D"/>
    <w:rsid w:val="002E6DB0"/>
    <w:rsid w:val="002E6DBA"/>
    <w:rsid w:val="002E6DF6"/>
    <w:rsid w:val="002E6E6A"/>
    <w:rsid w:val="002E6E6E"/>
    <w:rsid w:val="002E6EAA"/>
    <w:rsid w:val="002E6F88"/>
    <w:rsid w:val="002E707A"/>
    <w:rsid w:val="002E7137"/>
    <w:rsid w:val="002E71AF"/>
    <w:rsid w:val="002E71C1"/>
    <w:rsid w:val="002E71C8"/>
    <w:rsid w:val="002E72EE"/>
    <w:rsid w:val="002E7450"/>
    <w:rsid w:val="002E7489"/>
    <w:rsid w:val="002E74B2"/>
    <w:rsid w:val="002E74C0"/>
    <w:rsid w:val="002E74DF"/>
    <w:rsid w:val="002E7664"/>
    <w:rsid w:val="002E773B"/>
    <w:rsid w:val="002E774C"/>
    <w:rsid w:val="002E774E"/>
    <w:rsid w:val="002E77BA"/>
    <w:rsid w:val="002E78F1"/>
    <w:rsid w:val="002E7996"/>
    <w:rsid w:val="002E79CF"/>
    <w:rsid w:val="002E7AB6"/>
    <w:rsid w:val="002E7AD3"/>
    <w:rsid w:val="002E7CDC"/>
    <w:rsid w:val="002E7CF6"/>
    <w:rsid w:val="002E7CFD"/>
    <w:rsid w:val="002E7DA0"/>
    <w:rsid w:val="002E7DA7"/>
    <w:rsid w:val="002E7E68"/>
    <w:rsid w:val="002F00B6"/>
    <w:rsid w:val="002F027E"/>
    <w:rsid w:val="002F0367"/>
    <w:rsid w:val="002F03FE"/>
    <w:rsid w:val="002F04A0"/>
    <w:rsid w:val="002F04E5"/>
    <w:rsid w:val="002F04F6"/>
    <w:rsid w:val="002F0506"/>
    <w:rsid w:val="002F0558"/>
    <w:rsid w:val="002F05BD"/>
    <w:rsid w:val="002F05D6"/>
    <w:rsid w:val="002F0692"/>
    <w:rsid w:val="002F07D4"/>
    <w:rsid w:val="002F07FD"/>
    <w:rsid w:val="002F0828"/>
    <w:rsid w:val="002F08F3"/>
    <w:rsid w:val="002F0905"/>
    <w:rsid w:val="002F0AA9"/>
    <w:rsid w:val="002F0B06"/>
    <w:rsid w:val="002F0B4A"/>
    <w:rsid w:val="002F0BA1"/>
    <w:rsid w:val="002F0BE3"/>
    <w:rsid w:val="002F0C8B"/>
    <w:rsid w:val="002F0CA1"/>
    <w:rsid w:val="002F0CF4"/>
    <w:rsid w:val="002F0E08"/>
    <w:rsid w:val="002F0E09"/>
    <w:rsid w:val="002F0E62"/>
    <w:rsid w:val="002F0EEE"/>
    <w:rsid w:val="002F0F63"/>
    <w:rsid w:val="002F0F91"/>
    <w:rsid w:val="002F0FC5"/>
    <w:rsid w:val="002F0FFD"/>
    <w:rsid w:val="002F1028"/>
    <w:rsid w:val="002F10B7"/>
    <w:rsid w:val="002F10F8"/>
    <w:rsid w:val="002F1137"/>
    <w:rsid w:val="002F11DC"/>
    <w:rsid w:val="002F11F7"/>
    <w:rsid w:val="002F1238"/>
    <w:rsid w:val="002F1283"/>
    <w:rsid w:val="002F12AE"/>
    <w:rsid w:val="002F12CC"/>
    <w:rsid w:val="002F1341"/>
    <w:rsid w:val="002F1348"/>
    <w:rsid w:val="002F13F3"/>
    <w:rsid w:val="002F141B"/>
    <w:rsid w:val="002F1431"/>
    <w:rsid w:val="002F1562"/>
    <w:rsid w:val="002F15DE"/>
    <w:rsid w:val="002F164B"/>
    <w:rsid w:val="002F1757"/>
    <w:rsid w:val="002F175B"/>
    <w:rsid w:val="002F17EB"/>
    <w:rsid w:val="002F182D"/>
    <w:rsid w:val="002F182E"/>
    <w:rsid w:val="002F18D9"/>
    <w:rsid w:val="002F1924"/>
    <w:rsid w:val="002F1929"/>
    <w:rsid w:val="002F19A1"/>
    <w:rsid w:val="002F1A37"/>
    <w:rsid w:val="002F1A57"/>
    <w:rsid w:val="002F1A91"/>
    <w:rsid w:val="002F1B0A"/>
    <w:rsid w:val="002F1B52"/>
    <w:rsid w:val="002F1B93"/>
    <w:rsid w:val="002F1BD5"/>
    <w:rsid w:val="002F1BDC"/>
    <w:rsid w:val="002F1C13"/>
    <w:rsid w:val="002F1C1A"/>
    <w:rsid w:val="002F1D5A"/>
    <w:rsid w:val="002F1D94"/>
    <w:rsid w:val="002F1EEE"/>
    <w:rsid w:val="002F1F73"/>
    <w:rsid w:val="002F2021"/>
    <w:rsid w:val="002F2038"/>
    <w:rsid w:val="002F2067"/>
    <w:rsid w:val="002F20C1"/>
    <w:rsid w:val="002F212D"/>
    <w:rsid w:val="002F217F"/>
    <w:rsid w:val="002F21AD"/>
    <w:rsid w:val="002F22AE"/>
    <w:rsid w:val="002F22AF"/>
    <w:rsid w:val="002F22F4"/>
    <w:rsid w:val="002F234E"/>
    <w:rsid w:val="002F238C"/>
    <w:rsid w:val="002F23D0"/>
    <w:rsid w:val="002F23D4"/>
    <w:rsid w:val="002F2442"/>
    <w:rsid w:val="002F24C1"/>
    <w:rsid w:val="002F252A"/>
    <w:rsid w:val="002F2546"/>
    <w:rsid w:val="002F2581"/>
    <w:rsid w:val="002F264D"/>
    <w:rsid w:val="002F26F7"/>
    <w:rsid w:val="002F2711"/>
    <w:rsid w:val="002F27D6"/>
    <w:rsid w:val="002F2802"/>
    <w:rsid w:val="002F284A"/>
    <w:rsid w:val="002F2918"/>
    <w:rsid w:val="002F2A52"/>
    <w:rsid w:val="002F2A7E"/>
    <w:rsid w:val="002F2AB6"/>
    <w:rsid w:val="002F2AF5"/>
    <w:rsid w:val="002F2B3C"/>
    <w:rsid w:val="002F2B6F"/>
    <w:rsid w:val="002F2C06"/>
    <w:rsid w:val="002F2C52"/>
    <w:rsid w:val="002F2C57"/>
    <w:rsid w:val="002F2C6B"/>
    <w:rsid w:val="002F2D80"/>
    <w:rsid w:val="002F2DFE"/>
    <w:rsid w:val="002F2E45"/>
    <w:rsid w:val="002F2E86"/>
    <w:rsid w:val="002F2EC2"/>
    <w:rsid w:val="002F2F4B"/>
    <w:rsid w:val="002F304B"/>
    <w:rsid w:val="002F31EC"/>
    <w:rsid w:val="002F32A6"/>
    <w:rsid w:val="002F34D4"/>
    <w:rsid w:val="002F3534"/>
    <w:rsid w:val="002F358A"/>
    <w:rsid w:val="002F359B"/>
    <w:rsid w:val="002F35A8"/>
    <w:rsid w:val="002F35B8"/>
    <w:rsid w:val="002F35C8"/>
    <w:rsid w:val="002F3601"/>
    <w:rsid w:val="002F3682"/>
    <w:rsid w:val="002F36F6"/>
    <w:rsid w:val="002F37CD"/>
    <w:rsid w:val="002F3816"/>
    <w:rsid w:val="002F39E5"/>
    <w:rsid w:val="002F3AAE"/>
    <w:rsid w:val="002F3B60"/>
    <w:rsid w:val="002F3C25"/>
    <w:rsid w:val="002F3C89"/>
    <w:rsid w:val="002F3CAA"/>
    <w:rsid w:val="002F3D76"/>
    <w:rsid w:val="002F3DC9"/>
    <w:rsid w:val="002F3E61"/>
    <w:rsid w:val="002F3EBD"/>
    <w:rsid w:val="002F3F9F"/>
    <w:rsid w:val="002F3FAB"/>
    <w:rsid w:val="002F3FC4"/>
    <w:rsid w:val="002F3FD3"/>
    <w:rsid w:val="002F41CA"/>
    <w:rsid w:val="002F4292"/>
    <w:rsid w:val="002F42CD"/>
    <w:rsid w:val="002F444B"/>
    <w:rsid w:val="002F445E"/>
    <w:rsid w:val="002F446E"/>
    <w:rsid w:val="002F44E7"/>
    <w:rsid w:val="002F4504"/>
    <w:rsid w:val="002F452B"/>
    <w:rsid w:val="002F457A"/>
    <w:rsid w:val="002F45DC"/>
    <w:rsid w:val="002F4798"/>
    <w:rsid w:val="002F47AC"/>
    <w:rsid w:val="002F47D2"/>
    <w:rsid w:val="002F4837"/>
    <w:rsid w:val="002F4894"/>
    <w:rsid w:val="002F492D"/>
    <w:rsid w:val="002F494B"/>
    <w:rsid w:val="002F49DF"/>
    <w:rsid w:val="002F4A38"/>
    <w:rsid w:val="002F4A59"/>
    <w:rsid w:val="002F4AE0"/>
    <w:rsid w:val="002F4C03"/>
    <w:rsid w:val="002F4C18"/>
    <w:rsid w:val="002F4D78"/>
    <w:rsid w:val="002F4DD3"/>
    <w:rsid w:val="002F4E08"/>
    <w:rsid w:val="002F4E3B"/>
    <w:rsid w:val="002F4F49"/>
    <w:rsid w:val="002F4F83"/>
    <w:rsid w:val="002F4FE3"/>
    <w:rsid w:val="002F5219"/>
    <w:rsid w:val="002F5336"/>
    <w:rsid w:val="002F5345"/>
    <w:rsid w:val="002F5351"/>
    <w:rsid w:val="002F53A8"/>
    <w:rsid w:val="002F5480"/>
    <w:rsid w:val="002F562A"/>
    <w:rsid w:val="002F5665"/>
    <w:rsid w:val="002F567B"/>
    <w:rsid w:val="002F569F"/>
    <w:rsid w:val="002F56F4"/>
    <w:rsid w:val="002F5788"/>
    <w:rsid w:val="002F57C8"/>
    <w:rsid w:val="002F580F"/>
    <w:rsid w:val="002F588C"/>
    <w:rsid w:val="002F58A9"/>
    <w:rsid w:val="002F58F2"/>
    <w:rsid w:val="002F5940"/>
    <w:rsid w:val="002F5A4E"/>
    <w:rsid w:val="002F5A91"/>
    <w:rsid w:val="002F5A93"/>
    <w:rsid w:val="002F5BBC"/>
    <w:rsid w:val="002F5BF7"/>
    <w:rsid w:val="002F5CDD"/>
    <w:rsid w:val="002F5CF5"/>
    <w:rsid w:val="002F5D1C"/>
    <w:rsid w:val="002F600D"/>
    <w:rsid w:val="002F60C5"/>
    <w:rsid w:val="002F610B"/>
    <w:rsid w:val="002F6156"/>
    <w:rsid w:val="002F6163"/>
    <w:rsid w:val="002F6189"/>
    <w:rsid w:val="002F61A0"/>
    <w:rsid w:val="002F6261"/>
    <w:rsid w:val="002F62B7"/>
    <w:rsid w:val="002F62FA"/>
    <w:rsid w:val="002F6328"/>
    <w:rsid w:val="002F63A1"/>
    <w:rsid w:val="002F63D8"/>
    <w:rsid w:val="002F647D"/>
    <w:rsid w:val="002F64B4"/>
    <w:rsid w:val="002F64D0"/>
    <w:rsid w:val="002F64DC"/>
    <w:rsid w:val="002F6714"/>
    <w:rsid w:val="002F671D"/>
    <w:rsid w:val="002F675A"/>
    <w:rsid w:val="002F6857"/>
    <w:rsid w:val="002F68DC"/>
    <w:rsid w:val="002F690E"/>
    <w:rsid w:val="002F6980"/>
    <w:rsid w:val="002F69BB"/>
    <w:rsid w:val="002F69EE"/>
    <w:rsid w:val="002F6A94"/>
    <w:rsid w:val="002F6ABC"/>
    <w:rsid w:val="002F6AC7"/>
    <w:rsid w:val="002F6AD4"/>
    <w:rsid w:val="002F6B35"/>
    <w:rsid w:val="002F6BD1"/>
    <w:rsid w:val="002F6CBF"/>
    <w:rsid w:val="002F6CEF"/>
    <w:rsid w:val="002F6DA0"/>
    <w:rsid w:val="002F6DAA"/>
    <w:rsid w:val="002F6DC4"/>
    <w:rsid w:val="002F6E9A"/>
    <w:rsid w:val="002F6EA7"/>
    <w:rsid w:val="002F6F12"/>
    <w:rsid w:val="002F7094"/>
    <w:rsid w:val="002F709F"/>
    <w:rsid w:val="002F714F"/>
    <w:rsid w:val="002F7152"/>
    <w:rsid w:val="002F7209"/>
    <w:rsid w:val="002F720D"/>
    <w:rsid w:val="002F7223"/>
    <w:rsid w:val="002F7234"/>
    <w:rsid w:val="002F7277"/>
    <w:rsid w:val="002F741D"/>
    <w:rsid w:val="002F7443"/>
    <w:rsid w:val="002F7502"/>
    <w:rsid w:val="002F7529"/>
    <w:rsid w:val="002F756A"/>
    <w:rsid w:val="002F76AF"/>
    <w:rsid w:val="002F76E5"/>
    <w:rsid w:val="002F7744"/>
    <w:rsid w:val="002F781D"/>
    <w:rsid w:val="002F790A"/>
    <w:rsid w:val="002F7938"/>
    <w:rsid w:val="002F7939"/>
    <w:rsid w:val="002F793E"/>
    <w:rsid w:val="002F7B0F"/>
    <w:rsid w:val="002F7B88"/>
    <w:rsid w:val="002F7BA4"/>
    <w:rsid w:val="002F7BC6"/>
    <w:rsid w:val="002F7C3B"/>
    <w:rsid w:val="002F7D22"/>
    <w:rsid w:val="002F7E6E"/>
    <w:rsid w:val="002F7EB0"/>
    <w:rsid w:val="002F7EB4"/>
    <w:rsid w:val="002F7F44"/>
    <w:rsid w:val="002F7FDC"/>
    <w:rsid w:val="003000FE"/>
    <w:rsid w:val="00300164"/>
    <w:rsid w:val="00300170"/>
    <w:rsid w:val="003001AE"/>
    <w:rsid w:val="003001B5"/>
    <w:rsid w:val="003001D7"/>
    <w:rsid w:val="0030042D"/>
    <w:rsid w:val="003004BA"/>
    <w:rsid w:val="003004D5"/>
    <w:rsid w:val="003005DF"/>
    <w:rsid w:val="00300667"/>
    <w:rsid w:val="00300687"/>
    <w:rsid w:val="003006C6"/>
    <w:rsid w:val="003006CA"/>
    <w:rsid w:val="003006E6"/>
    <w:rsid w:val="00300720"/>
    <w:rsid w:val="0030072E"/>
    <w:rsid w:val="00300780"/>
    <w:rsid w:val="0030078F"/>
    <w:rsid w:val="003007BA"/>
    <w:rsid w:val="0030089C"/>
    <w:rsid w:val="00300942"/>
    <w:rsid w:val="0030094A"/>
    <w:rsid w:val="00300966"/>
    <w:rsid w:val="003009B0"/>
    <w:rsid w:val="00300A61"/>
    <w:rsid w:val="00300B76"/>
    <w:rsid w:val="00300CB4"/>
    <w:rsid w:val="00300D71"/>
    <w:rsid w:val="00300E4D"/>
    <w:rsid w:val="00300E7C"/>
    <w:rsid w:val="00300EC6"/>
    <w:rsid w:val="00300F15"/>
    <w:rsid w:val="00300F1A"/>
    <w:rsid w:val="0030109B"/>
    <w:rsid w:val="003010B1"/>
    <w:rsid w:val="003010E5"/>
    <w:rsid w:val="00301112"/>
    <w:rsid w:val="003011AA"/>
    <w:rsid w:val="00301247"/>
    <w:rsid w:val="003012B3"/>
    <w:rsid w:val="00301421"/>
    <w:rsid w:val="00301536"/>
    <w:rsid w:val="00301562"/>
    <w:rsid w:val="0030158E"/>
    <w:rsid w:val="003015CB"/>
    <w:rsid w:val="003015FC"/>
    <w:rsid w:val="003016B2"/>
    <w:rsid w:val="00301712"/>
    <w:rsid w:val="0030179B"/>
    <w:rsid w:val="0030179C"/>
    <w:rsid w:val="003017C6"/>
    <w:rsid w:val="003017E1"/>
    <w:rsid w:val="003017E4"/>
    <w:rsid w:val="00301837"/>
    <w:rsid w:val="0030187F"/>
    <w:rsid w:val="003018E0"/>
    <w:rsid w:val="00301911"/>
    <w:rsid w:val="00301979"/>
    <w:rsid w:val="0030197D"/>
    <w:rsid w:val="00301984"/>
    <w:rsid w:val="00301A31"/>
    <w:rsid w:val="00301AA3"/>
    <w:rsid w:val="00301AC9"/>
    <w:rsid w:val="00301AF2"/>
    <w:rsid w:val="00301CA0"/>
    <w:rsid w:val="00301CB9"/>
    <w:rsid w:val="00301D4B"/>
    <w:rsid w:val="00301E63"/>
    <w:rsid w:val="00301E9B"/>
    <w:rsid w:val="00301EBF"/>
    <w:rsid w:val="00301F92"/>
    <w:rsid w:val="0030200B"/>
    <w:rsid w:val="0030211E"/>
    <w:rsid w:val="0030216E"/>
    <w:rsid w:val="003021E7"/>
    <w:rsid w:val="0030221B"/>
    <w:rsid w:val="00302239"/>
    <w:rsid w:val="0030224C"/>
    <w:rsid w:val="0030226C"/>
    <w:rsid w:val="00302355"/>
    <w:rsid w:val="00302357"/>
    <w:rsid w:val="0030246D"/>
    <w:rsid w:val="00302495"/>
    <w:rsid w:val="0030256C"/>
    <w:rsid w:val="00302588"/>
    <w:rsid w:val="003025A0"/>
    <w:rsid w:val="003025F1"/>
    <w:rsid w:val="0030261D"/>
    <w:rsid w:val="0030267F"/>
    <w:rsid w:val="003027EE"/>
    <w:rsid w:val="00302837"/>
    <w:rsid w:val="00302910"/>
    <w:rsid w:val="00302B0E"/>
    <w:rsid w:val="00302B12"/>
    <w:rsid w:val="00302B45"/>
    <w:rsid w:val="00302C28"/>
    <w:rsid w:val="00302C51"/>
    <w:rsid w:val="00302C6E"/>
    <w:rsid w:val="00302CA0"/>
    <w:rsid w:val="00302D07"/>
    <w:rsid w:val="00302D0F"/>
    <w:rsid w:val="00302E04"/>
    <w:rsid w:val="00302F07"/>
    <w:rsid w:val="00302FCB"/>
    <w:rsid w:val="00302FFD"/>
    <w:rsid w:val="0030301A"/>
    <w:rsid w:val="00303029"/>
    <w:rsid w:val="0030306B"/>
    <w:rsid w:val="00303075"/>
    <w:rsid w:val="00303134"/>
    <w:rsid w:val="00303193"/>
    <w:rsid w:val="003031BA"/>
    <w:rsid w:val="003031CE"/>
    <w:rsid w:val="00303211"/>
    <w:rsid w:val="003032D5"/>
    <w:rsid w:val="00303311"/>
    <w:rsid w:val="0030331F"/>
    <w:rsid w:val="00303353"/>
    <w:rsid w:val="003033C7"/>
    <w:rsid w:val="003033CB"/>
    <w:rsid w:val="003033D0"/>
    <w:rsid w:val="003034A5"/>
    <w:rsid w:val="003035B0"/>
    <w:rsid w:val="003035BA"/>
    <w:rsid w:val="00303636"/>
    <w:rsid w:val="00303689"/>
    <w:rsid w:val="0030368A"/>
    <w:rsid w:val="003036D2"/>
    <w:rsid w:val="0030379F"/>
    <w:rsid w:val="003037BA"/>
    <w:rsid w:val="003037C9"/>
    <w:rsid w:val="003037D0"/>
    <w:rsid w:val="00303820"/>
    <w:rsid w:val="00303826"/>
    <w:rsid w:val="00303835"/>
    <w:rsid w:val="00303888"/>
    <w:rsid w:val="003038AE"/>
    <w:rsid w:val="0030393E"/>
    <w:rsid w:val="0030396E"/>
    <w:rsid w:val="003039B5"/>
    <w:rsid w:val="00303A23"/>
    <w:rsid w:val="00303B01"/>
    <w:rsid w:val="00303B83"/>
    <w:rsid w:val="00303B93"/>
    <w:rsid w:val="00303C28"/>
    <w:rsid w:val="00303C47"/>
    <w:rsid w:val="00303C5B"/>
    <w:rsid w:val="00303C77"/>
    <w:rsid w:val="00303CBC"/>
    <w:rsid w:val="00303CC8"/>
    <w:rsid w:val="00303D7D"/>
    <w:rsid w:val="00303D85"/>
    <w:rsid w:val="00303DB4"/>
    <w:rsid w:val="00303E76"/>
    <w:rsid w:val="00303E80"/>
    <w:rsid w:val="00303E9E"/>
    <w:rsid w:val="00303ED1"/>
    <w:rsid w:val="00303ED2"/>
    <w:rsid w:val="00303F7B"/>
    <w:rsid w:val="00303FC8"/>
    <w:rsid w:val="0030408A"/>
    <w:rsid w:val="003040BB"/>
    <w:rsid w:val="003040BC"/>
    <w:rsid w:val="003041C2"/>
    <w:rsid w:val="003041FF"/>
    <w:rsid w:val="00304273"/>
    <w:rsid w:val="003042B5"/>
    <w:rsid w:val="00304354"/>
    <w:rsid w:val="003043A1"/>
    <w:rsid w:val="003044ED"/>
    <w:rsid w:val="00304549"/>
    <w:rsid w:val="003046BD"/>
    <w:rsid w:val="0030474F"/>
    <w:rsid w:val="00304821"/>
    <w:rsid w:val="0030488E"/>
    <w:rsid w:val="0030498D"/>
    <w:rsid w:val="003049CE"/>
    <w:rsid w:val="003049E7"/>
    <w:rsid w:val="00304AAD"/>
    <w:rsid w:val="00304B35"/>
    <w:rsid w:val="00304B96"/>
    <w:rsid w:val="00304BFB"/>
    <w:rsid w:val="00304BFF"/>
    <w:rsid w:val="00304CDB"/>
    <w:rsid w:val="00304D3A"/>
    <w:rsid w:val="00304D45"/>
    <w:rsid w:val="00304DA8"/>
    <w:rsid w:val="00304E7A"/>
    <w:rsid w:val="00304F1B"/>
    <w:rsid w:val="00305036"/>
    <w:rsid w:val="0030516A"/>
    <w:rsid w:val="00305196"/>
    <w:rsid w:val="0030529D"/>
    <w:rsid w:val="003052FD"/>
    <w:rsid w:val="00305370"/>
    <w:rsid w:val="0030539F"/>
    <w:rsid w:val="003053FB"/>
    <w:rsid w:val="003054D8"/>
    <w:rsid w:val="00305541"/>
    <w:rsid w:val="00305559"/>
    <w:rsid w:val="003055A2"/>
    <w:rsid w:val="00305600"/>
    <w:rsid w:val="00305636"/>
    <w:rsid w:val="0030563C"/>
    <w:rsid w:val="003056CA"/>
    <w:rsid w:val="003056E5"/>
    <w:rsid w:val="003056F4"/>
    <w:rsid w:val="00305713"/>
    <w:rsid w:val="00305757"/>
    <w:rsid w:val="00305863"/>
    <w:rsid w:val="00305872"/>
    <w:rsid w:val="003058D2"/>
    <w:rsid w:val="003058F4"/>
    <w:rsid w:val="00305922"/>
    <w:rsid w:val="00305927"/>
    <w:rsid w:val="0030596C"/>
    <w:rsid w:val="00305AA2"/>
    <w:rsid w:val="00305AAA"/>
    <w:rsid w:val="00305AD9"/>
    <w:rsid w:val="00305B43"/>
    <w:rsid w:val="00305B59"/>
    <w:rsid w:val="00305B66"/>
    <w:rsid w:val="00305BE7"/>
    <w:rsid w:val="00305CFC"/>
    <w:rsid w:val="00305D18"/>
    <w:rsid w:val="00305D4C"/>
    <w:rsid w:val="00305DBF"/>
    <w:rsid w:val="00305DF5"/>
    <w:rsid w:val="00305E1D"/>
    <w:rsid w:val="00305ECA"/>
    <w:rsid w:val="00305F23"/>
    <w:rsid w:val="00305F45"/>
    <w:rsid w:val="00305F6E"/>
    <w:rsid w:val="00305FC4"/>
    <w:rsid w:val="00306091"/>
    <w:rsid w:val="003060A7"/>
    <w:rsid w:val="003060F1"/>
    <w:rsid w:val="003060FD"/>
    <w:rsid w:val="003062B1"/>
    <w:rsid w:val="003062BB"/>
    <w:rsid w:val="003062FD"/>
    <w:rsid w:val="00306392"/>
    <w:rsid w:val="0030642A"/>
    <w:rsid w:val="0030652B"/>
    <w:rsid w:val="00306683"/>
    <w:rsid w:val="003066D4"/>
    <w:rsid w:val="003067DA"/>
    <w:rsid w:val="0030682D"/>
    <w:rsid w:val="00306881"/>
    <w:rsid w:val="003069EB"/>
    <w:rsid w:val="00306A15"/>
    <w:rsid w:val="00306B72"/>
    <w:rsid w:val="00306BAD"/>
    <w:rsid w:val="00306BCA"/>
    <w:rsid w:val="00306C72"/>
    <w:rsid w:val="00306D7C"/>
    <w:rsid w:val="00306E6E"/>
    <w:rsid w:val="00306EAA"/>
    <w:rsid w:val="00306F16"/>
    <w:rsid w:val="00306F27"/>
    <w:rsid w:val="00306F80"/>
    <w:rsid w:val="00306FA0"/>
    <w:rsid w:val="00306FFB"/>
    <w:rsid w:val="00307013"/>
    <w:rsid w:val="00307016"/>
    <w:rsid w:val="003070C5"/>
    <w:rsid w:val="003070D0"/>
    <w:rsid w:val="003070D1"/>
    <w:rsid w:val="003070F1"/>
    <w:rsid w:val="0030716F"/>
    <w:rsid w:val="0030717A"/>
    <w:rsid w:val="00307182"/>
    <w:rsid w:val="0030723F"/>
    <w:rsid w:val="00307281"/>
    <w:rsid w:val="003073C9"/>
    <w:rsid w:val="0030742D"/>
    <w:rsid w:val="0030759A"/>
    <w:rsid w:val="0030760C"/>
    <w:rsid w:val="003076AD"/>
    <w:rsid w:val="003077B7"/>
    <w:rsid w:val="0030781D"/>
    <w:rsid w:val="003078CA"/>
    <w:rsid w:val="00307948"/>
    <w:rsid w:val="00307996"/>
    <w:rsid w:val="003079AC"/>
    <w:rsid w:val="003079B9"/>
    <w:rsid w:val="00307A13"/>
    <w:rsid w:val="00307A32"/>
    <w:rsid w:val="00307A54"/>
    <w:rsid w:val="00307B22"/>
    <w:rsid w:val="00307B59"/>
    <w:rsid w:val="00307C5B"/>
    <w:rsid w:val="00307C80"/>
    <w:rsid w:val="00307C9A"/>
    <w:rsid w:val="00307D0A"/>
    <w:rsid w:val="00307D44"/>
    <w:rsid w:val="00307DEF"/>
    <w:rsid w:val="00307F68"/>
    <w:rsid w:val="00307F83"/>
    <w:rsid w:val="00307F94"/>
    <w:rsid w:val="00307FC9"/>
    <w:rsid w:val="00307FE2"/>
    <w:rsid w:val="00307FE8"/>
    <w:rsid w:val="00307FFA"/>
    <w:rsid w:val="00310087"/>
    <w:rsid w:val="003100B9"/>
    <w:rsid w:val="003101B6"/>
    <w:rsid w:val="003101BC"/>
    <w:rsid w:val="00310222"/>
    <w:rsid w:val="00310239"/>
    <w:rsid w:val="00310272"/>
    <w:rsid w:val="00310344"/>
    <w:rsid w:val="0031038A"/>
    <w:rsid w:val="003103C9"/>
    <w:rsid w:val="00310472"/>
    <w:rsid w:val="003104F9"/>
    <w:rsid w:val="003105CF"/>
    <w:rsid w:val="00310666"/>
    <w:rsid w:val="0031066C"/>
    <w:rsid w:val="00310672"/>
    <w:rsid w:val="003106EC"/>
    <w:rsid w:val="003106FB"/>
    <w:rsid w:val="00310796"/>
    <w:rsid w:val="0031081F"/>
    <w:rsid w:val="0031093E"/>
    <w:rsid w:val="00310A4B"/>
    <w:rsid w:val="00310A8B"/>
    <w:rsid w:val="00310A8E"/>
    <w:rsid w:val="00310A9F"/>
    <w:rsid w:val="00310AD8"/>
    <w:rsid w:val="00310BBA"/>
    <w:rsid w:val="00310BEE"/>
    <w:rsid w:val="00310D94"/>
    <w:rsid w:val="00310F2A"/>
    <w:rsid w:val="00310F69"/>
    <w:rsid w:val="00311006"/>
    <w:rsid w:val="00311101"/>
    <w:rsid w:val="0031118B"/>
    <w:rsid w:val="0031131A"/>
    <w:rsid w:val="0031133E"/>
    <w:rsid w:val="0031134A"/>
    <w:rsid w:val="00311397"/>
    <w:rsid w:val="003113C5"/>
    <w:rsid w:val="003114E1"/>
    <w:rsid w:val="00311501"/>
    <w:rsid w:val="0031151C"/>
    <w:rsid w:val="0031171E"/>
    <w:rsid w:val="00311731"/>
    <w:rsid w:val="003118BE"/>
    <w:rsid w:val="003118DC"/>
    <w:rsid w:val="00311A49"/>
    <w:rsid w:val="00311A4C"/>
    <w:rsid w:val="00311A53"/>
    <w:rsid w:val="00311AD3"/>
    <w:rsid w:val="00311B04"/>
    <w:rsid w:val="00311B99"/>
    <w:rsid w:val="00311C11"/>
    <w:rsid w:val="00311CA8"/>
    <w:rsid w:val="00311D1A"/>
    <w:rsid w:val="00311D58"/>
    <w:rsid w:val="00311DF7"/>
    <w:rsid w:val="00311EA3"/>
    <w:rsid w:val="00311F54"/>
    <w:rsid w:val="00311F73"/>
    <w:rsid w:val="00312051"/>
    <w:rsid w:val="00312071"/>
    <w:rsid w:val="00312155"/>
    <w:rsid w:val="003121B2"/>
    <w:rsid w:val="003121F6"/>
    <w:rsid w:val="003122A8"/>
    <w:rsid w:val="00312308"/>
    <w:rsid w:val="00312309"/>
    <w:rsid w:val="0031234F"/>
    <w:rsid w:val="00312389"/>
    <w:rsid w:val="003123AB"/>
    <w:rsid w:val="003124F3"/>
    <w:rsid w:val="003124F5"/>
    <w:rsid w:val="003124F9"/>
    <w:rsid w:val="0031256A"/>
    <w:rsid w:val="0031258C"/>
    <w:rsid w:val="00312629"/>
    <w:rsid w:val="00312658"/>
    <w:rsid w:val="003126E0"/>
    <w:rsid w:val="003126E2"/>
    <w:rsid w:val="00312727"/>
    <w:rsid w:val="00312773"/>
    <w:rsid w:val="0031278D"/>
    <w:rsid w:val="0031283E"/>
    <w:rsid w:val="003128D3"/>
    <w:rsid w:val="0031293A"/>
    <w:rsid w:val="0031296C"/>
    <w:rsid w:val="00312991"/>
    <w:rsid w:val="003129B6"/>
    <w:rsid w:val="00312AFE"/>
    <w:rsid w:val="00312B05"/>
    <w:rsid w:val="00312B06"/>
    <w:rsid w:val="00312B07"/>
    <w:rsid w:val="00312B7D"/>
    <w:rsid w:val="00312B9B"/>
    <w:rsid w:val="00312BFC"/>
    <w:rsid w:val="00312C8B"/>
    <w:rsid w:val="00312D61"/>
    <w:rsid w:val="00312D78"/>
    <w:rsid w:val="00312DA5"/>
    <w:rsid w:val="00312E96"/>
    <w:rsid w:val="00312EC9"/>
    <w:rsid w:val="00312F0F"/>
    <w:rsid w:val="00312FE7"/>
    <w:rsid w:val="0031314D"/>
    <w:rsid w:val="0031317F"/>
    <w:rsid w:val="003131A2"/>
    <w:rsid w:val="003132AC"/>
    <w:rsid w:val="00313466"/>
    <w:rsid w:val="0031347C"/>
    <w:rsid w:val="003134B7"/>
    <w:rsid w:val="003134C1"/>
    <w:rsid w:val="00313504"/>
    <w:rsid w:val="00313505"/>
    <w:rsid w:val="0031358F"/>
    <w:rsid w:val="0031376A"/>
    <w:rsid w:val="00313782"/>
    <w:rsid w:val="003138D7"/>
    <w:rsid w:val="003138D9"/>
    <w:rsid w:val="00313953"/>
    <w:rsid w:val="0031395C"/>
    <w:rsid w:val="003139F9"/>
    <w:rsid w:val="00313A90"/>
    <w:rsid w:val="00313AAF"/>
    <w:rsid w:val="00313AC5"/>
    <w:rsid w:val="00313B2B"/>
    <w:rsid w:val="00313B9B"/>
    <w:rsid w:val="00313C3E"/>
    <w:rsid w:val="00313C89"/>
    <w:rsid w:val="00313CDD"/>
    <w:rsid w:val="00313E5B"/>
    <w:rsid w:val="00313E74"/>
    <w:rsid w:val="00313F0C"/>
    <w:rsid w:val="00313F32"/>
    <w:rsid w:val="00313F5D"/>
    <w:rsid w:val="00313F85"/>
    <w:rsid w:val="003141BE"/>
    <w:rsid w:val="003141FC"/>
    <w:rsid w:val="00314213"/>
    <w:rsid w:val="00314241"/>
    <w:rsid w:val="003142BA"/>
    <w:rsid w:val="003142DE"/>
    <w:rsid w:val="0031437D"/>
    <w:rsid w:val="003143C4"/>
    <w:rsid w:val="0031440F"/>
    <w:rsid w:val="0031442F"/>
    <w:rsid w:val="00314438"/>
    <w:rsid w:val="003144CC"/>
    <w:rsid w:val="00314590"/>
    <w:rsid w:val="003145CD"/>
    <w:rsid w:val="00314625"/>
    <w:rsid w:val="0031468A"/>
    <w:rsid w:val="00314748"/>
    <w:rsid w:val="00314749"/>
    <w:rsid w:val="0031475A"/>
    <w:rsid w:val="00314777"/>
    <w:rsid w:val="003147A1"/>
    <w:rsid w:val="003147C4"/>
    <w:rsid w:val="0031485C"/>
    <w:rsid w:val="003148C2"/>
    <w:rsid w:val="003149C1"/>
    <w:rsid w:val="003149DE"/>
    <w:rsid w:val="003149F0"/>
    <w:rsid w:val="00314A2F"/>
    <w:rsid w:val="00314A75"/>
    <w:rsid w:val="00314A96"/>
    <w:rsid w:val="00314B1F"/>
    <w:rsid w:val="00314B6A"/>
    <w:rsid w:val="00314BCA"/>
    <w:rsid w:val="00314C2E"/>
    <w:rsid w:val="00314C52"/>
    <w:rsid w:val="00314C8B"/>
    <w:rsid w:val="00314DFC"/>
    <w:rsid w:val="00314E56"/>
    <w:rsid w:val="00314E88"/>
    <w:rsid w:val="00314ED2"/>
    <w:rsid w:val="00314EDA"/>
    <w:rsid w:val="00314FAF"/>
    <w:rsid w:val="00314FBA"/>
    <w:rsid w:val="00314FC4"/>
    <w:rsid w:val="00315010"/>
    <w:rsid w:val="003150EE"/>
    <w:rsid w:val="003150F3"/>
    <w:rsid w:val="0031520D"/>
    <w:rsid w:val="0031520F"/>
    <w:rsid w:val="003152BD"/>
    <w:rsid w:val="003153C4"/>
    <w:rsid w:val="003153DC"/>
    <w:rsid w:val="003153F5"/>
    <w:rsid w:val="0031540C"/>
    <w:rsid w:val="0031540E"/>
    <w:rsid w:val="00315422"/>
    <w:rsid w:val="00315435"/>
    <w:rsid w:val="003155FB"/>
    <w:rsid w:val="00315629"/>
    <w:rsid w:val="0031562C"/>
    <w:rsid w:val="003157CB"/>
    <w:rsid w:val="00315874"/>
    <w:rsid w:val="00315882"/>
    <w:rsid w:val="003158D3"/>
    <w:rsid w:val="003158FF"/>
    <w:rsid w:val="00315942"/>
    <w:rsid w:val="003159E9"/>
    <w:rsid w:val="003159EB"/>
    <w:rsid w:val="00315B1F"/>
    <w:rsid w:val="00315B3B"/>
    <w:rsid w:val="00315B54"/>
    <w:rsid w:val="00315B57"/>
    <w:rsid w:val="00315BBD"/>
    <w:rsid w:val="00315BC2"/>
    <w:rsid w:val="00315C9E"/>
    <w:rsid w:val="00315CBB"/>
    <w:rsid w:val="00315D0E"/>
    <w:rsid w:val="00315E4D"/>
    <w:rsid w:val="00315E81"/>
    <w:rsid w:val="00315E9F"/>
    <w:rsid w:val="00315EE0"/>
    <w:rsid w:val="00315F14"/>
    <w:rsid w:val="00315FEC"/>
    <w:rsid w:val="00316016"/>
    <w:rsid w:val="0031606B"/>
    <w:rsid w:val="00316111"/>
    <w:rsid w:val="0031636E"/>
    <w:rsid w:val="003163CE"/>
    <w:rsid w:val="0031656E"/>
    <w:rsid w:val="00316570"/>
    <w:rsid w:val="00316596"/>
    <w:rsid w:val="003165C7"/>
    <w:rsid w:val="003165F2"/>
    <w:rsid w:val="00316683"/>
    <w:rsid w:val="0031677C"/>
    <w:rsid w:val="003167C2"/>
    <w:rsid w:val="00316864"/>
    <w:rsid w:val="00316878"/>
    <w:rsid w:val="00316882"/>
    <w:rsid w:val="003168E7"/>
    <w:rsid w:val="00316915"/>
    <w:rsid w:val="003169CA"/>
    <w:rsid w:val="00316A0D"/>
    <w:rsid w:val="00316A30"/>
    <w:rsid w:val="00316A44"/>
    <w:rsid w:val="00316C03"/>
    <w:rsid w:val="00316C1D"/>
    <w:rsid w:val="00316D05"/>
    <w:rsid w:val="00316D73"/>
    <w:rsid w:val="00316DE6"/>
    <w:rsid w:val="00316E01"/>
    <w:rsid w:val="00316E97"/>
    <w:rsid w:val="00316FDE"/>
    <w:rsid w:val="0031707E"/>
    <w:rsid w:val="003170CF"/>
    <w:rsid w:val="00317129"/>
    <w:rsid w:val="003171B0"/>
    <w:rsid w:val="003171C7"/>
    <w:rsid w:val="00317235"/>
    <w:rsid w:val="003172C0"/>
    <w:rsid w:val="003173A5"/>
    <w:rsid w:val="003173C1"/>
    <w:rsid w:val="0031742A"/>
    <w:rsid w:val="00317490"/>
    <w:rsid w:val="003174A0"/>
    <w:rsid w:val="003174B0"/>
    <w:rsid w:val="003174D7"/>
    <w:rsid w:val="00317531"/>
    <w:rsid w:val="00317548"/>
    <w:rsid w:val="0031757A"/>
    <w:rsid w:val="003175F1"/>
    <w:rsid w:val="0031762D"/>
    <w:rsid w:val="00317745"/>
    <w:rsid w:val="00317749"/>
    <w:rsid w:val="003177BE"/>
    <w:rsid w:val="00317849"/>
    <w:rsid w:val="00317864"/>
    <w:rsid w:val="00317A0B"/>
    <w:rsid w:val="00317A7B"/>
    <w:rsid w:val="00317AB2"/>
    <w:rsid w:val="00317ABB"/>
    <w:rsid w:val="00317B9D"/>
    <w:rsid w:val="00317BA1"/>
    <w:rsid w:val="00317DAD"/>
    <w:rsid w:val="00317EBB"/>
    <w:rsid w:val="00317F42"/>
    <w:rsid w:val="00317FB2"/>
    <w:rsid w:val="00317FE8"/>
    <w:rsid w:val="003200EA"/>
    <w:rsid w:val="00320174"/>
    <w:rsid w:val="00320198"/>
    <w:rsid w:val="003202E3"/>
    <w:rsid w:val="00320355"/>
    <w:rsid w:val="00320361"/>
    <w:rsid w:val="003203D4"/>
    <w:rsid w:val="003203E1"/>
    <w:rsid w:val="0032040A"/>
    <w:rsid w:val="00320509"/>
    <w:rsid w:val="0032050F"/>
    <w:rsid w:val="00320663"/>
    <w:rsid w:val="00320696"/>
    <w:rsid w:val="00320743"/>
    <w:rsid w:val="0032080E"/>
    <w:rsid w:val="00320870"/>
    <w:rsid w:val="003208C6"/>
    <w:rsid w:val="00320A15"/>
    <w:rsid w:val="00320A2E"/>
    <w:rsid w:val="00320ACF"/>
    <w:rsid w:val="00320AD0"/>
    <w:rsid w:val="00320B0D"/>
    <w:rsid w:val="00320B1A"/>
    <w:rsid w:val="00320B25"/>
    <w:rsid w:val="00320BF5"/>
    <w:rsid w:val="00320C16"/>
    <w:rsid w:val="00320C2E"/>
    <w:rsid w:val="00320D79"/>
    <w:rsid w:val="00320DE5"/>
    <w:rsid w:val="00320E3E"/>
    <w:rsid w:val="00320E6D"/>
    <w:rsid w:val="00320EC9"/>
    <w:rsid w:val="00320F7B"/>
    <w:rsid w:val="0032101B"/>
    <w:rsid w:val="0032107C"/>
    <w:rsid w:val="003210CB"/>
    <w:rsid w:val="003211B2"/>
    <w:rsid w:val="00321205"/>
    <w:rsid w:val="00321266"/>
    <w:rsid w:val="0032138F"/>
    <w:rsid w:val="00321400"/>
    <w:rsid w:val="003214B3"/>
    <w:rsid w:val="003214B6"/>
    <w:rsid w:val="00321540"/>
    <w:rsid w:val="00321683"/>
    <w:rsid w:val="00321693"/>
    <w:rsid w:val="003216A2"/>
    <w:rsid w:val="00321804"/>
    <w:rsid w:val="00321843"/>
    <w:rsid w:val="00321864"/>
    <w:rsid w:val="003218D4"/>
    <w:rsid w:val="003218FE"/>
    <w:rsid w:val="00321932"/>
    <w:rsid w:val="0032195E"/>
    <w:rsid w:val="00321965"/>
    <w:rsid w:val="00321A65"/>
    <w:rsid w:val="00321ABE"/>
    <w:rsid w:val="00321B29"/>
    <w:rsid w:val="00321B60"/>
    <w:rsid w:val="00321BCA"/>
    <w:rsid w:val="00321C25"/>
    <w:rsid w:val="00321C45"/>
    <w:rsid w:val="00321D08"/>
    <w:rsid w:val="00321D76"/>
    <w:rsid w:val="00321E05"/>
    <w:rsid w:val="00321EE0"/>
    <w:rsid w:val="00321EF8"/>
    <w:rsid w:val="00321F14"/>
    <w:rsid w:val="00321F6B"/>
    <w:rsid w:val="00321FE7"/>
    <w:rsid w:val="0032201B"/>
    <w:rsid w:val="00322024"/>
    <w:rsid w:val="00322035"/>
    <w:rsid w:val="00322090"/>
    <w:rsid w:val="003220F3"/>
    <w:rsid w:val="00322101"/>
    <w:rsid w:val="00322160"/>
    <w:rsid w:val="003221BF"/>
    <w:rsid w:val="003221C8"/>
    <w:rsid w:val="00322395"/>
    <w:rsid w:val="00322438"/>
    <w:rsid w:val="0032248A"/>
    <w:rsid w:val="00322495"/>
    <w:rsid w:val="003224AD"/>
    <w:rsid w:val="0032252A"/>
    <w:rsid w:val="003225C1"/>
    <w:rsid w:val="003226FE"/>
    <w:rsid w:val="00322723"/>
    <w:rsid w:val="0032272B"/>
    <w:rsid w:val="00322758"/>
    <w:rsid w:val="00322791"/>
    <w:rsid w:val="003227DC"/>
    <w:rsid w:val="00322842"/>
    <w:rsid w:val="00322946"/>
    <w:rsid w:val="0032297F"/>
    <w:rsid w:val="0032298E"/>
    <w:rsid w:val="00322BC2"/>
    <w:rsid w:val="00322BDB"/>
    <w:rsid w:val="00322CD9"/>
    <w:rsid w:val="00322CF2"/>
    <w:rsid w:val="00322E0F"/>
    <w:rsid w:val="00322E22"/>
    <w:rsid w:val="00322E33"/>
    <w:rsid w:val="00322FEE"/>
    <w:rsid w:val="00322FF4"/>
    <w:rsid w:val="00323014"/>
    <w:rsid w:val="003230C8"/>
    <w:rsid w:val="003230ED"/>
    <w:rsid w:val="0032319F"/>
    <w:rsid w:val="003231EB"/>
    <w:rsid w:val="0032323F"/>
    <w:rsid w:val="00323266"/>
    <w:rsid w:val="0032326C"/>
    <w:rsid w:val="003232E1"/>
    <w:rsid w:val="00323394"/>
    <w:rsid w:val="003234CC"/>
    <w:rsid w:val="00323523"/>
    <w:rsid w:val="0032356C"/>
    <w:rsid w:val="003235BF"/>
    <w:rsid w:val="003235C2"/>
    <w:rsid w:val="003235F2"/>
    <w:rsid w:val="00323645"/>
    <w:rsid w:val="0032364F"/>
    <w:rsid w:val="003236A0"/>
    <w:rsid w:val="003236F4"/>
    <w:rsid w:val="00323701"/>
    <w:rsid w:val="00323703"/>
    <w:rsid w:val="00323762"/>
    <w:rsid w:val="0032380A"/>
    <w:rsid w:val="00323887"/>
    <w:rsid w:val="00323899"/>
    <w:rsid w:val="00323917"/>
    <w:rsid w:val="00323A09"/>
    <w:rsid w:val="00323B14"/>
    <w:rsid w:val="00323B4A"/>
    <w:rsid w:val="00323BBE"/>
    <w:rsid w:val="00323C5D"/>
    <w:rsid w:val="00323C6A"/>
    <w:rsid w:val="00323E14"/>
    <w:rsid w:val="00323E6A"/>
    <w:rsid w:val="00323F1C"/>
    <w:rsid w:val="00323FC4"/>
    <w:rsid w:val="00324006"/>
    <w:rsid w:val="0032409B"/>
    <w:rsid w:val="003241B0"/>
    <w:rsid w:val="003241CB"/>
    <w:rsid w:val="00324214"/>
    <w:rsid w:val="00324232"/>
    <w:rsid w:val="00324325"/>
    <w:rsid w:val="0032437C"/>
    <w:rsid w:val="003243B4"/>
    <w:rsid w:val="0032443B"/>
    <w:rsid w:val="00324448"/>
    <w:rsid w:val="003244CE"/>
    <w:rsid w:val="00324504"/>
    <w:rsid w:val="00324518"/>
    <w:rsid w:val="00324522"/>
    <w:rsid w:val="00324608"/>
    <w:rsid w:val="00324640"/>
    <w:rsid w:val="003246BB"/>
    <w:rsid w:val="00324727"/>
    <w:rsid w:val="003247A3"/>
    <w:rsid w:val="0032486B"/>
    <w:rsid w:val="0032495A"/>
    <w:rsid w:val="0032495E"/>
    <w:rsid w:val="00324983"/>
    <w:rsid w:val="003249DE"/>
    <w:rsid w:val="00324AA1"/>
    <w:rsid w:val="00324BB5"/>
    <w:rsid w:val="00324C19"/>
    <w:rsid w:val="00324C1D"/>
    <w:rsid w:val="00324C24"/>
    <w:rsid w:val="00324D57"/>
    <w:rsid w:val="00324D5F"/>
    <w:rsid w:val="00324DAD"/>
    <w:rsid w:val="00324E7D"/>
    <w:rsid w:val="00324ED2"/>
    <w:rsid w:val="00324F53"/>
    <w:rsid w:val="00324FD8"/>
    <w:rsid w:val="0032501C"/>
    <w:rsid w:val="00325093"/>
    <w:rsid w:val="003250B3"/>
    <w:rsid w:val="003250C1"/>
    <w:rsid w:val="003251D3"/>
    <w:rsid w:val="00325228"/>
    <w:rsid w:val="00325234"/>
    <w:rsid w:val="00325283"/>
    <w:rsid w:val="00325397"/>
    <w:rsid w:val="0032543B"/>
    <w:rsid w:val="00325462"/>
    <w:rsid w:val="003254C7"/>
    <w:rsid w:val="003255E1"/>
    <w:rsid w:val="003255E3"/>
    <w:rsid w:val="00325676"/>
    <w:rsid w:val="0032567B"/>
    <w:rsid w:val="003256CF"/>
    <w:rsid w:val="0032576A"/>
    <w:rsid w:val="00325798"/>
    <w:rsid w:val="00325862"/>
    <w:rsid w:val="003258A8"/>
    <w:rsid w:val="003258FC"/>
    <w:rsid w:val="00325925"/>
    <w:rsid w:val="0032595C"/>
    <w:rsid w:val="00325966"/>
    <w:rsid w:val="00325A36"/>
    <w:rsid w:val="00325A51"/>
    <w:rsid w:val="00325A56"/>
    <w:rsid w:val="00325A59"/>
    <w:rsid w:val="00325B36"/>
    <w:rsid w:val="00325C40"/>
    <w:rsid w:val="00325D27"/>
    <w:rsid w:val="00325D51"/>
    <w:rsid w:val="00325E79"/>
    <w:rsid w:val="00325EA5"/>
    <w:rsid w:val="00325F66"/>
    <w:rsid w:val="00325FF2"/>
    <w:rsid w:val="0032602C"/>
    <w:rsid w:val="00326039"/>
    <w:rsid w:val="003260B6"/>
    <w:rsid w:val="003260FB"/>
    <w:rsid w:val="003261D7"/>
    <w:rsid w:val="00326303"/>
    <w:rsid w:val="003263C5"/>
    <w:rsid w:val="003263F0"/>
    <w:rsid w:val="003264A8"/>
    <w:rsid w:val="003264F8"/>
    <w:rsid w:val="0032650B"/>
    <w:rsid w:val="0032662E"/>
    <w:rsid w:val="0032667B"/>
    <w:rsid w:val="003266CB"/>
    <w:rsid w:val="003266DF"/>
    <w:rsid w:val="00326781"/>
    <w:rsid w:val="003267C8"/>
    <w:rsid w:val="0032682D"/>
    <w:rsid w:val="00326949"/>
    <w:rsid w:val="00326A7F"/>
    <w:rsid w:val="00326AFE"/>
    <w:rsid w:val="00326BC0"/>
    <w:rsid w:val="00326C7D"/>
    <w:rsid w:val="00326D57"/>
    <w:rsid w:val="00326D81"/>
    <w:rsid w:val="00326DEB"/>
    <w:rsid w:val="00326E7B"/>
    <w:rsid w:val="00326EE7"/>
    <w:rsid w:val="00326F07"/>
    <w:rsid w:val="00326FC2"/>
    <w:rsid w:val="00326FD6"/>
    <w:rsid w:val="003270D7"/>
    <w:rsid w:val="00327162"/>
    <w:rsid w:val="00327200"/>
    <w:rsid w:val="00327206"/>
    <w:rsid w:val="0032728B"/>
    <w:rsid w:val="003272A5"/>
    <w:rsid w:val="003273D8"/>
    <w:rsid w:val="0032744F"/>
    <w:rsid w:val="003274A9"/>
    <w:rsid w:val="003274C0"/>
    <w:rsid w:val="00327557"/>
    <w:rsid w:val="0032756A"/>
    <w:rsid w:val="00327580"/>
    <w:rsid w:val="003275F3"/>
    <w:rsid w:val="0032769E"/>
    <w:rsid w:val="003277F9"/>
    <w:rsid w:val="00327851"/>
    <w:rsid w:val="0032787B"/>
    <w:rsid w:val="0032799B"/>
    <w:rsid w:val="00327A18"/>
    <w:rsid w:val="00327B4A"/>
    <w:rsid w:val="00327C6B"/>
    <w:rsid w:val="00327CF9"/>
    <w:rsid w:val="00327D25"/>
    <w:rsid w:val="00327D84"/>
    <w:rsid w:val="00327DA1"/>
    <w:rsid w:val="00327DC8"/>
    <w:rsid w:val="00327E12"/>
    <w:rsid w:val="00327E56"/>
    <w:rsid w:val="00327E9C"/>
    <w:rsid w:val="00327F42"/>
    <w:rsid w:val="00330113"/>
    <w:rsid w:val="00330248"/>
    <w:rsid w:val="0033026D"/>
    <w:rsid w:val="003302A7"/>
    <w:rsid w:val="003302D9"/>
    <w:rsid w:val="003302FB"/>
    <w:rsid w:val="00330305"/>
    <w:rsid w:val="0033036B"/>
    <w:rsid w:val="0033038E"/>
    <w:rsid w:val="00330408"/>
    <w:rsid w:val="0033046B"/>
    <w:rsid w:val="00330475"/>
    <w:rsid w:val="0033055C"/>
    <w:rsid w:val="00330614"/>
    <w:rsid w:val="00330711"/>
    <w:rsid w:val="00330731"/>
    <w:rsid w:val="00330763"/>
    <w:rsid w:val="003307E6"/>
    <w:rsid w:val="0033082A"/>
    <w:rsid w:val="003308A0"/>
    <w:rsid w:val="00330912"/>
    <w:rsid w:val="00330913"/>
    <w:rsid w:val="00330952"/>
    <w:rsid w:val="003309A3"/>
    <w:rsid w:val="00330A12"/>
    <w:rsid w:val="00330A13"/>
    <w:rsid w:val="00330AD7"/>
    <w:rsid w:val="00330B6F"/>
    <w:rsid w:val="00330BFD"/>
    <w:rsid w:val="00330C42"/>
    <w:rsid w:val="00330CAD"/>
    <w:rsid w:val="00330CB3"/>
    <w:rsid w:val="00330CD6"/>
    <w:rsid w:val="00330F1D"/>
    <w:rsid w:val="00330F9C"/>
    <w:rsid w:val="0033103A"/>
    <w:rsid w:val="00331090"/>
    <w:rsid w:val="003310D5"/>
    <w:rsid w:val="0033116D"/>
    <w:rsid w:val="00331255"/>
    <w:rsid w:val="003312C1"/>
    <w:rsid w:val="003312E8"/>
    <w:rsid w:val="00331369"/>
    <w:rsid w:val="003313A4"/>
    <w:rsid w:val="003313AD"/>
    <w:rsid w:val="003314A1"/>
    <w:rsid w:val="00331510"/>
    <w:rsid w:val="00331513"/>
    <w:rsid w:val="0033169B"/>
    <w:rsid w:val="003316DE"/>
    <w:rsid w:val="003317A8"/>
    <w:rsid w:val="00331812"/>
    <w:rsid w:val="0033185D"/>
    <w:rsid w:val="00331924"/>
    <w:rsid w:val="00331A47"/>
    <w:rsid w:val="00331AA4"/>
    <w:rsid w:val="00331B06"/>
    <w:rsid w:val="00331B68"/>
    <w:rsid w:val="00331C36"/>
    <w:rsid w:val="00331C84"/>
    <w:rsid w:val="00331CE9"/>
    <w:rsid w:val="00331DD5"/>
    <w:rsid w:val="00331E07"/>
    <w:rsid w:val="00331E87"/>
    <w:rsid w:val="00331F12"/>
    <w:rsid w:val="003320A8"/>
    <w:rsid w:val="003320AD"/>
    <w:rsid w:val="003320B1"/>
    <w:rsid w:val="00332100"/>
    <w:rsid w:val="0033213D"/>
    <w:rsid w:val="003321B0"/>
    <w:rsid w:val="00332201"/>
    <w:rsid w:val="00332259"/>
    <w:rsid w:val="00332262"/>
    <w:rsid w:val="00332265"/>
    <w:rsid w:val="003322A2"/>
    <w:rsid w:val="003323E0"/>
    <w:rsid w:val="003324B2"/>
    <w:rsid w:val="003324E6"/>
    <w:rsid w:val="00332505"/>
    <w:rsid w:val="0033252E"/>
    <w:rsid w:val="003325C5"/>
    <w:rsid w:val="003326F3"/>
    <w:rsid w:val="003326F9"/>
    <w:rsid w:val="0033273F"/>
    <w:rsid w:val="00332810"/>
    <w:rsid w:val="0033297F"/>
    <w:rsid w:val="00332987"/>
    <w:rsid w:val="00332988"/>
    <w:rsid w:val="00332A54"/>
    <w:rsid w:val="00332A73"/>
    <w:rsid w:val="00332AF5"/>
    <w:rsid w:val="00332B09"/>
    <w:rsid w:val="00332B35"/>
    <w:rsid w:val="00332B4A"/>
    <w:rsid w:val="00332C81"/>
    <w:rsid w:val="00332CDF"/>
    <w:rsid w:val="00332CF5"/>
    <w:rsid w:val="00332D11"/>
    <w:rsid w:val="00332D16"/>
    <w:rsid w:val="00332D17"/>
    <w:rsid w:val="00332D1A"/>
    <w:rsid w:val="00332D8B"/>
    <w:rsid w:val="00332DFA"/>
    <w:rsid w:val="00332E18"/>
    <w:rsid w:val="00332E39"/>
    <w:rsid w:val="00332E99"/>
    <w:rsid w:val="00332F8A"/>
    <w:rsid w:val="00333061"/>
    <w:rsid w:val="00333099"/>
    <w:rsid w:val="003330EC"/>
    <w:rsid w:val="00333146"/>
    <w:rsid w:val="00333258"/>
    <w:rsid w:val="0033326B"/>
    <w:rsid w:val="00333307"/>
    <w:rsid w:val="003333BC"/>
    <w:rsid w:val="00333431"/>
    <w:rsid w:val="00333561"/>
    <w:rsid w:val="003335AC"/>
    <w:rsid w:val="00333605"/>
    <w:rsid w:val="003336D4"/>
    <w:rsid w:val="00333719"/>
    <w:rsid w:val="0033378B"/>
    <w:rsid w:val="003337A0"/>
    <w:rsid w:val="00333892"/>
    <w:rsid w:val="003338B2"/>
    <w:rsid w:val="00333A1F"/>
    <w:rsid w:val="00333A3C"/>
    <w:rsid w:val="00333AC5"/>
    <w:rsid w:val="00333B3E"/>
    <w:rsid w:val="00333B66"/>
    <w:rsid w:val="00333B73"/>
    <w:rsid w:val="00333C17"/>
    <w:rsid w:val="00333C4E"/>
    <w:rsid w:val="00333DE8"/>
    <w:rsid w:val="00333DFD"/>
    <w:rsid w:val="00333E36"/>
    <w:rsid w:val="00333E4A"/>
    <w:rsid w:val="00333EE7"/>
    <w:rsid w:val="00333F78"/>
    <w:rsid w:val="00333F90"/>
    <w:rsid w:val="00333FFF"/>
    <w:rsid w:val="0033406C"/>
    <w:rsid w:val="003340C5"/>
    <w:rsid w:val="00334141"/>
    <w:rsid w:val="0033418B"/>
    <w:rsid w:val="00334241"/>
    <w:rsid w:val="00334293"/>
    <w:rsid w:val="003342B5"/>
    <w:rsid w:val="003342E7"/>
    <w:rsid w:val="0033432E"/>
    <w:rsid w:val="00334334"/>
    <w:rsid w:val="003343ED"/>
    <w:rsid w:val="00334407"/>
    <w:rsid w:val="0033443B"/>
    <w:rsid w:val="0033447B"/>
    <w:rsid w:val="003344BE"/>
    <w:rsid w:val="003344C6"/>
    <w:rsid w:val="003344E6"/>
    <w:rsid w:val="00334552"/>
    <w:rsid w:val="003345EF"/>
    <w:rsid w:val="003346E5"/>
    <w:rsid w:val="00334747"/>
    <w:rsid w:val="00334754"/>
    <w:rsid w:val="0033493A"/>
    <w:rsid w:val="0033494F"/>
    <w:rsid w:val="0033496C"/>
    <w:rsid w:val="00334973"/>
    <w:rsid w:val="003349BC"/>
    <w:rsid w:val="003349EA"/>
    <w:rsid w:val="00334B4C"/>
    <w:rsid w:val="00334C19"/>
    <w:rsid w:val="00334CFB"/>
    <w:rsid w:val="00334D18"/>
    <w:rsid w:val="00334D4F"/>
    <w:rsid w:val="00334D71"/>
    <w:rsid w:val="00334D83"/>
    <w:rsid w:val="00334DA4"/>
    <w:rsid w:val="00334DBF"/>
    <w:rsid w:val="00334DD2"/>
    <w:rsid w:val="00334DF5"/>
    <w:rsid w:val="00334E20"/>
    <w:rsid w:val="00334E2D"/>
    <w:rsid w:val="00334E3E"/>
    <w:rsid w:val="00334E84"/>
    <w:rsid w:val="00334E94"/>
    <w:rsid w:val="00334EED"/>
    <w:rsid w:val="00334F60"/>
    <w:rsid w:val="00334FEC"/>
    <w:rsid w:val="00334FFB"/>
    <w:rsid w:val="003350A9"/>
    <w:rsid w:val="00335153"/>
    <w:rsid w:val="00335159"/>
    <w:rsid w:val="00335164"/>
    <w:rsid w:val="003351B4"/>
    <w:rsid w:val="003351D8"/>
    <w:rsid w:val="003351E8"/>
    <w:rsid w:val="0033528B"/>
    <w:rsid w:val="003352E0"/>
    <w:rsid w:val="00335381"/>
    <w:rsid w:val="003353C3"/>
    <w:rsid w:val="0033540C"/>
    <w:rsid w:val="003354F6"/>
    <w:rsid w:val="00335500"/>
    <w:rsid w:val="0033553D"/>
    <w:rsid w:val="0033557B"/>
    <w:rsid w:val="00335581"/>
    <w:rsid w:val="0033566F"/>
    <w:rsid w:val="003356D7"/>
    <w:rsid w:val="003356F5"/>
    <w:rsid w:val="0033573C"/>
    <w:rsid w:val="0033573F"/>
    <w:rsid w:val="00335755"/>
    <w:rsid w:val="003357AA"/>
    <w:rsid w:val="003357DB"/>
    <w:rsid w:val="0033598D"/>
    <w:rsid w:val="00335A29"/>
    <w:rsid w:val="00335AB0"/>
    <w:rsid w:val="00335B29"/>
    <w:rsid w:val="00335BF9"/>
    <w:rsid w:val="00335C52"/>
    <w:rsid w:val="00335C5E"/>
    <w:rsid w:val="00335CE5"/>
    <w:rsid w:val="00335D11"/>
    <w:rsid w:val="00335DBC"/>
    <w:rsid w:val="00335E75"/>
    <w:rsid w:val="00335EAF"/>
    <w:rsid w:val="00335EBD"/>
    <w:rsid w:val="00335EEB"/>
    <w:rsid w:val="00335F1E"/>
    <w:rsid w:val="00335F7A"/>
    <w:rsid w:val="00335FBF"/>
    <w:rsid w:val="00335FDA"/>
    <w:rsid w:val="00336076"/>
    <w:rsid w:val="003360B3"/>
    <w:rsid w:val="0033615E"/>
    <w:rsid w:val="00336169"/>
    <w:rsid w:val="00336350"/>
    <w:rsid w:val="00336369"/>
    <w:rsid w:val="003364F3"/>
    <w:rsid w:val="00336627"/>
    <w:rsid w:val="00336693"/>
    <w:rsid w:val="003366FE"/>
    <w:rsid w:val="00336716"/>
    <w:rsid w:val="00336795"/>
    <w:rsid w:val="0033686F"/>
    <w:rsid w:val="00336907"/>
    <w:rsid w:val="0033696B"/>
    <w:rsid w:val="003369D7"/>
    <w:rsid w:val="003369EF"/>
    <w:rsid w:val="00336A60"/>
    <w:rsid w:val="00336B14"/>
    <w:rsid w:val="00336BB6"/>
    <w:rsid w:val="00336BD0"/>
    <w:rsid w:val="00336C93"/>
    <w:rsid w:val="00336D50"/>
    <w:rsid w:val="00336DD6"/>
    <w:rsid w:val="00336EA2"/>
    <w:rsid w:val="00336EA3"/>
    <w:rsid w:val="00336F05"/>
    <w:rsid w:val="00336F41"/>
    <w:rsid w:val="00336F5E"/>
    <w:rsid w:val="00336F65"/>
    <w:rsid w:val="00336FD4"/>
    <w:rsid w:val="003370C2"/>
    <w:rsid w:val="0033725A"/>
    <w:rsid w:val="003372BE"/>
    <w:rsid w:val="00337300"/>
    <w:rsid w:val="0033736B"/>
    <w:rsid w:val="003373FA"/>
    <w:rsid w:val="0033756C"/>
    <w:rsid w:val="00337597"/>
    <w:rsid w:val="00337682"/>
    <w:rsid w:val="003376A2"/>
    <w:rsid w:val="0033787C"/>
    <w:rsid w:val="003378B6"/>
    <w:rsid w:val="003378C2"/>
    <w:rsid w:val="003378F5"/>
    <w:rsid w:val="00337925"/>
    <w:rsid w:val="0033792B"/>
    <w:rsid w:val="0033793C"/>
    <w:rsid w:val="0033797F"/>
    <w:rsid w:val="00337988"/>
    <w:rsid w:val="003379CE"/>
    <w:rsid w:val="003379F6"/>
    <w:rsid w:val="003379FF"/>
    <w:rsid w:val="00337A42"/>
    <w:rsid w:val="00337A46"/>
    <w:rsid w:val="00337A7A"/>
    <w:rsid w:val="00337ADA"/>
    <w:rsid w:val="00337AF4"/>
    <w:rsid w:val="00337B5E"/>
    <w:rsid w:val="00337B8B"/>
    <w:rsid w:val="00337BCC"/>
    <w:rsid w:val="00337D63"/>
    <w:rsid w:val="00337D94"/>
    <w:rsid w:val="00337DD1"/>
    <w:rsid w:val="00337DDE"/>
    <w:rsid w:val="00337E1C"/>
    <w:rsid w:val="00337E2A"/>
    <w:rsid w:val="00337E3A"/>
    <w:rsid w:val="00337E8D"/>
    <w:rsid w:val="00337ED8"/>
    <w:rsid w:val="00337FD4"/>
    <w:rsid w:val="0034005F"/>
    <w:rsid w:val="003401F0"/>
    <w:rsid w:val="00340266"/>
    <w:rsid w:val="003402CA"/>
    <w:rsid w:val="003402D4"/>
    <w:rsid w:val="003402DC"/>
    <w:rsid w:val="00340333"/>
    <w:rsid w:val="0034036F"/>
    <w:rsid w:val="00340379"/>
    <w:rsid w:val="00340392"/>
    <w:rsid w:val="003403E9"/>
    <w:rsid w:val="0034045E"/>
    <w:rsid w:val="00340465"/>
    <w:rsid w:val="00340489"/>
    <w:rsid w:val="003404AE"/>
    <w:rsid w:val="003405BA"/>
    <w:rsid w:val="003405BC"/>
    <w:rsid w:val="003406AE"/>
    <w:rsid w:val="003406B9"/>
    <w:rsid w:val="00340706"/>
    <w:rsid w:val="00340716"/>
    <w:rsid w:val="00340748"/>
    <w:rsid w:val="00340793"/>
    <w:rsid w:val="003407F3"/>
    <w:rsid w:val="00340816"/>
    <w:rsid w:val="00340A4C"/>
    <w:rsid w:val="00340A67"/>
    <w:rsid w:val="00340A87"/>
    <w:rsid w:val="00340B10"/>
    <w:rsid w:val="00340B54"/>
    <w:rsid w:val="00340BC7"/>
    <w:rsid w:val="00340DA3"/>
    <w:rsid w:val="00340E0F"/>
    <w:rsid w:val="00340E72"/>
    <w:rsid w:val="00340E7B"/>
    <w:rsid w:val="00340E7D"/>
    <w:rsid w:val="00340EBD"/>
    <w:rsid w:val="0034103E"/>
    <w:rsid w:val="0034117A"/>
    <w:rsid w:val="0034121C"/>
    <w:rsid w:val="00341223"/>
    <w:rsid w:val="0034126C"/>
    <w:rsid w:val="00341277"/>
    <w:rsid w:val="003412B3"/>
    <w:rsid w:val="003412D6"/>
    <w:rsid w:val="003412EC"/>
    <w:rsid w:val="00341368"/>
    <w:rsid w:val="003413B3"/>
    <w:rsid w:val="00341497"/>
    <w:rsid w:val="0034155D"/>
    <w:rsid w:val="00341638"/>
    <w:rsid w:val="00341656"/>
    <w:rsid w:val="0034169B"/>
    <w:rsid w:val="003416D3"/>
    <w:rsid w:val="00341709"/>
    <w:rsid w:val="003417C7"/>
    <w:rsid w:val="003417DA"/>
    <w:rsid w:val="00341815"/>
    <w:rsid w:val="003418D2"/>
    <w:rsid w:val="003418EB"/>
    <w:rsid w:val="00341957"/>
    <w:rsid w:val="00341983"/>
    <w:rsid w:val="003419F8"/>
    <w:rsid w:val="00341A39"/>
    <w:rsid w:val="00341B55"/>
    <w:rsid w:val="00341B62"/>
    <w:rsid w:val="00341BF4"/>
    <w:rsid w:val="00341C18"/>
    <w:rsid w:val="00341CFF"/>
    <w:rsid w:val="00341E15"/>
    <w:rsid w:val="00341E90"/>
    <w:rsid w:val="00341EB0"/>
    <w:rsid w:val="00341EFB"/>
    <w:rsid w:val="00341F3B"/>
    <w:rsid w:val="0034209C"/>
    <w:rsid w:val="00342107"/>
    <w:rsid w:val="00342125"/>
    <w:rsid w:val="003421DF"/>
    <w:rsid w:val="0034220C"/>
    <w:rsid w:val="0034229D"/>
    <w:rsid w:val="0034229F"/>
    <w:rsid w:val="003422BF"/>
    <w:rsid w:val="003422C1"/>
    <w:rsid w:val="003423BE"/>
    <w:rsid w:val="00342526"/>
    <w:rsid w:val="00342634"/>
    <w:rsid w:val="00342647"/>
    <w:rsid w:val="00342A1D"/>
    <w:rsid w:val="00342A36"/>
    <w:rsid w:val="00342B5F"/>
    <w:rsid w:val="00342BC7"/>
    <w:rsid w:val="00342BE7"/>
    <w:rsid w:val="00342C0D"/>
    <w:rsid w:val="00342C2D"/>
    <w:rsid w:val="00342C30"/>
    <w:rsid w:val="00342C57"/>
    <w:rsid w:val="00342C61"/>
    <w:rsid w:val="00342C87"/>
    <w:rsid w:val="00342CA5"/>
    <w:rsid w:val="00342DA3"/>
    <w:rsid w:val="00342E1D"/>
    <w:rsid w:val="00342E33"/>
    <w:rsid w:val="00342F12"/>
    <w:rsid w:val="0034302D"/>
    <w:rsid w:val="00343100"/>
    <w:rsid w:val="00343113"/>
    <w:rsid w:val="003431A6"/>
    <w:rsid w:val="003431E0"/>
    <w:rsid w:val="00343273"/>
    <w:rsid w:val="0034330F"/>
    <w:rsid w:val="003433D2"/>
    <w:rsid w:val="0034342B"/>
    <w:rsid w:val="0034349E"/>
    <w:rsid w:val="0034361F"/>
    <w:rsid w:val="00343651"/>
    <w:rsid w:val="00343705"/>
    <w:rsid w:val="0034370C"/>
    <w:rsid w:val="0034373C"/>
    <w:rsid w:val="0034381D"/>
    <w:rsid w:val="003438BD"/>
    <w:rsid w:val="003438C6"/>
    <w:rsid w:val="003438D2"/>
    <w:rsid w:val="00343911"/>
    <w:rsid w:val="003439DA"/>
    <w:rsid w:val="00343AAF"/>
    <w:rsid w:val="00343AD6"/>
    <w:rsid w:val="00343B38"/>
    <w:rsid w:val="00343B69"/>
    <w:rsid w:val="00343B73"/>
    <w:rsid w:val="00343C25"/>
    <w:rsid w:val="00343CCC"/>
    <w:rsid w:val="00343D33"/>
    <w:rsid w:val="00343DDA"/>
    <w:rsid w:val="00343DDD"/>
    <w:rsid w:val="00343DF6"/>
    <w:rsid w:val="00343E1B"/>
    <w:rsid w:val="00343E4C"/>
    <w:rsid w:val="00343E77"/>
    <w:rsid w:val="00343E88"/>
    <w:rsid w:val="00343F41"/>
    <w:rsid w:val="00343FDD"/>
    <w:rsid w:val="00343FDE"/>
    <w:rsid w:val="0034408C"/>
    <w:rsid w:val="003440A7"/>
    <w:rsid w:val="0034410A"/>
    <w:rsid w:val="003441FA"/>
    <w:rsid w:val="00344215"/>
    <w:rsid w:val="0034435D"/>
    <w:rsid w:val="0034436C"/>
    <w:rsid w:val="003443FD"/>
    <w:rsid w:val="0034446C"/>
    <w:rsid w:val="003445A7"/>
    <w:rsid w:val="00344628"/>
    <w:rsid w:val="0034468C"/>
    <w:rsid w:val="00344766"/>
    <w:rsid w:val="003447D3"/>
    <w:rsid w:val="003447DB"/>
    <w:rsid w:val="00344849"/>
    <w:rsid w:val="003448AE"/>
    <w:rsid w:val="00344981"/>
    <w:rsid w:val="00344988"/>
    <w:rsid w:val="003449CA"/>
    <w:rsid w:val="00344B0B"/>
    <w:rsid w:val="00344B22"/>
    <w:rsid w:val="00344B5B"/>
    <w:rsid w:val="00344CB1"/>
    <w:rsid w:val="00344D4C"/>
    <w:rsid w:val="00344DEB"/>
    <w:rsid w:val="00344E57"/>
    <w:rsid w:val="00344E6C"/>
    <w:rsid w:val="00344EB5"/>
    <w:rsid w:val="00344EC6"/>
    <w:rsid w:val="00344ED9"/>
    <w:rsid w:val="00344FB5"/>
    <w:rsid w:val="00345016"/>
    <w:rsid w:val="00345048"/>
    <w:rsid w:val="003450D1"/>
    <w:rsid w:val="00345115"/>
    <w:rsid w:val="00345280"/>
    <w:rsid w:val="003452D6"/>
    <w:rsid w:val="003453D6"/>
    <w:rsid w:val="00345484"/>
    <w:rsid w:val="0034554F"/>
    <w:rsid w:val="0034570E"/>
    <w:rsid w:val="00345767"/>
    <w:rsid w:val="0034576E"/>
    <w:rsid w:val="003457A8"/>
    <w:rsid w:val="003457BB"/>
    <w:rsid w:val="003458E0"/>
    <w:rsid w:val="003458E4"/>
    <w:rsid w:val="00345992"/>
    <w:rsid w:val="003459AA"/>
    <w:rsid w:val="00345A3B"/>
    <w:rsid w:val="00345A79"/>
    <w:rsid w:val="00345AA3"/>
    <w:rsid w:val="00345B8D"/>
    <w:rsid w:val="00345BA5"/>
    <w:rsid w:val="00345C98"/>
    <w:rsid w:val="00345C99"/>
    <w:rsid w:val="00345E0D"/>
    <w:rsid w:val="00345E8A"/>
    <w:rsid w:val="00345F40"/>
    <w:rsid w:val="0034602C"/>
    <w:rsid w:val="00346106"/>
    <w:rsid w:val="00346155"/>
    <w:rsid w:val="003461CD"/>
    <w:rsid w:val="00346248"/>
    <w:rsid w:val="003463AD"/>
    <w:rsid w:val="00346466"/>
    <w:rsid w:val="00346496"/>
    <w:rsid w:val="003464EB"/>
    <w:rsid w:val="003464EC"/>
    <w:rsid w:val="00346634"/>
    <w:rsid w:val="00346647"/>
    <w:rsid w:val="0034669A"/>
    <w:rsid w:val="0034669D"/>
    <w:rsid w:val="003466A3"/>
    <w:rsid w:val="003466F5"/>
    <w:rsid w:val="00346854"/>
    <w:rsid w:val="003469A7"/>
    <w:rsid w:val="003469F4"/>
    <w:rsid w:val="00346A5B"/>
    <w:rsid w:val="00346AB8"/>
    <w:rsid w:val="00346AD1"/>
    <w:rsid w:val="00346AEC"/>
    <w:rsid w:val="00346B23"/>
    <w:rsid w:val="00346B60"/>
    <w:rsid w:val="00346C5D"/>
    <w:rsid w:val="00346D6B"/>
    <w:rsid w:val="00346DA9"/>
    <w:rsid w:val="00346F70"/>
    <w:rsid w:val="00346F88"/>
    <w:rsid w:val="00346F8E"/>
    <w:rsid w:val="00346FAE"/>
    <w:rsid w:val="0034700B"/>
    <w:rsid w:val="00347044"/>
    <w:rsid w:val="00347047"/>
    <w:rsid w:val="003470B2"/>
    <w:rsid w:val="003470DC"/>
    <w:rsid w:val="003470FD"/>
    <w:rsid w:val="0034710F"/>
    <w:rsid w:val="00347112"/>
    <w:rsid w:val="00347118"/>
    <w:rsid w:val="00347182"/>
    <w:rsid w:val="003471C5"/>
    <w:rsid w:val="003471D4"/>
    <w:rsid w:val="003471F3"/>
    <w:rsid w:val="003472A5"/>
    <w:rsid w:val="003472DF"/>
    <w:rsid w:val="0034734F"/>
    <w:rsid w:val="00347396"/>
    <w:rsid w:val="003473C3"/>
    <w:rsid w:val="003473C6"/>
    <w:rsid w:val="003473EA"/>
    <w:rsid w:val="00347474"/>
    <w:rsid w:val="0034749D"/>
    <w:rsid w:val="003474B6"/>
    <w:rsid w:val="003474DA"/>
    <w:rsid w:val="003476D5"/>
    <w:rsid w:val="00347729"/>
    <w:rsid w:val="00347774"/>
    <w:rsid w:val="00347794"/>
    <w:rsid w:val="00347809"/>
    <w:rsid w:val="0034780F"/>
    <w:rsid w:val="00347862"/>
    <w:rsid w:val="003478AE"/>
    <w:rsid w:val="003478EA"/>
    <w:rsid w:val="00347934"/>
    <w:rsid w:val="00347949"/>
    <w:rsid w:val="0034796F"/>
    <w:rsid w:val="00347ACD"/>
    <w:rsid w:val="00347B9A"/>
    <w:rsid w:val="00347BC3"/>
    <w:rsid w:val="00347BF6"/>
    <w:rsid w:val="00347D4E"/>
    <w:rsid w:val="00347D5F"/>
    <w:rsid w:val="00347D89"/>
    <w:rsid w:val="00347D8C"/>
    <w:rsid w:val="00347DA8"/>
    <w:rsid w:val="00347DB6"/>
    <w:rsid w:val="00347DF1"/>
    <w:rsid w:val="00347E0E"/>
    <w:rsid w:val="00347EEC"/>
    <w:rsid w:val="00347EFC"/>
    <w:rsid w:val="00347F88"/>
    <w:rsid w:val="00350003"/>
    <w:rsid w:val="00350017"/>
    <w:rsid w:val="00350024"/>
    <w:rsid w:val="00350057"/>
    <w:rsid w:val="003500C7"/>
    <w:rsid w:val="003500E0"/>
    <w:rsid w:val="00350228"/>
    <w:rsid w:val="00350277"/>
    <w:rsid w:val="0035029B"/>
    <w:rsid w:val="003502A6"/>
    <w:rsid w:val="003503A2"/>
    <w:rsid w:val="003503A6"/>
    <w:rsid w:val="003503CD"/>
    <w:rsid w:val="00350465"/>
    <w:rsid w:val="003504DE"/>
    <w:rsid w:val="0035051A"/>
    <w:rsid w:val="00350543"/>
    <w:rsid w:val="00350576"/>
    <w:rsid w:val="003505A6"/>
    <w:rsid w:val="003505CF"/>
    <w:rsid w:val="00350630"/>
    <w:rsid w:val="003506E0"/>
    <w:rsid w:val="003506F5"/>
    <w:rsid w:val="003508CC"/>
    <w:rsid w:val="003509AF"/>
    <w:rsid w:val="00350AB9"/>
    <w:rsid w:val="00350B5A"/>
    <w:rsid w:val="00350B70"/>
    <w:rsid w:val="00350B98"/>
    <w:rsid w:val="00350BB5"/>
    <w:rsid w:val="00350CAE"/>
    <w:rsid w:val="00350D10"/>
    <w:rsid w:val="00350E6E"/>
    <w:rsid w:val="00350E73"/>
    <w:rsid w:val="00350EE3"/>
    <w:rsid w:val="00350EED"/>
    <w:rsid w:val="00350F5C"/>
    <w:rsid w:val="00350FDB"/>
    <w:rsid w:val="0035105C"/>
    <w:rsid w:val="00351197"/>
    <w:rsid w:val="003511C1"/>
    <w:rsid w:val="003511DA"/>
    <w:rsid w:val="003512A0"/>
    <w:rsid w:val="003512F2"/>
    <w:rsid w:val="0035130A"/>
    <w:rsid w:val="00351326"/>
    <w:rsid w:val="0035144B"/>
    <w:rsid w:val="003514C1"/>
    <w:rsid w:val="0035152C"/>
    <w:rsid w:val="00351572"/>
    <w:rsid w:val="003515D9"/>
    <w:rsid w:val="003515FC"/>
    <w:rsid w:val="00351623"/>
    <w:rsid w:val="0035166E"/>
    <w:rsid w:val="003516AA"/>
    <w:rsid w:val="003516E4"/>
    <w:rsid w:val="00351766"/>
    <w:rsid w:val="003517A1"/>
    <w:rsid w:val="00351850"/>
    <w:rsid w:val="00351894"/>
    <w:rsid w:val="003518F3"/>
    <w:rsid w:val="00351975"/>
    <w:rsid w:val="00351A70"/>
    <w:rsid w:val="00351AF6"/>
    <w:rsid w:val="00351B3E"/>
    <w:rsid w:val="00351B86"/>
    <w:rsid w:val="00351C47"/>
    <w:rsid w:val="00351CD1"/>
    <w:rsid w:val="00351D93"/>
    <w:rsid w:val="00351DAB"/>
    <w:rsid w:val="00351E5C"/>
    <w:rsid w:val="00351F9B"/>
    <w:rsid w:val="00351FC7"/>
    <w:rsid w:val="00352050"/>
    <w:rsid w:val="00352057"/>
    <w:rsid w:val="003520DA"/>
    <w:rsid w:val="00352116"/>
    <w:rsid w:val="00352132"/>
    <w:rsid w:val="0035217E"/>
    <w:rsid w:val="00352195"/>
    <w:rsid w:val="00352251"/>
    <w:rsid w:val="00352273"/>
    <w:rsid w:val="00352352"/>
    <w:rsid w:val="0035235E"/>
    <w:rsid w:val="0035239D"/>
    <w:rsid w:val="003523E8"/>
    <w:rsid w:val="003525EB"/>
    <w:rsid w:val="003526BD"/>
    <w:rsid w:val="00352776"/>
    <w:rsid w:val="003527A1"/>
    <w:rsid w:val="003527DE"/>
    <w:rsid w:val="00352801"/>
    <w:rsid w:val="003528B6"/>
    <w:rsid w:val="003528BD"/>
    <w:rsid w:val="003528FD"/>
    <w:rsid w:val="003529D9"/>
    <w:rsid w:val="003529DC"/>
    <w:rsid w:val="003529E7"/>
    <w:rsid w:val="00352A60"/>
    <w:rsid w:val="00352A62"/>
    <w:rsid w:val="00352AA5"/>
    <w:rsid w:val="00352B79"/>
    <w:rsid w:val="00352B7B"/>
    <w:rsid w:val="00352BCF"/>
    <w:rsid w:val="00352C79"/>
    <w:rsid w:val="00352CC6"/>
    <w:rsid w:val="00352D4C"/>
    <w:rsid w:val="00352D71"/>
    <w:rsid w:val="00352DAE"/>
    <w:rsid w:val="00352DF0"/>
    <w:rsid w:val="00352E1C"/>
    <w:rsid w:val="00352E5D"/>
    <w:rsid w:val="00352F5B"/>
    <w:rsid w:val="00352F76"/>
    <w:rsid w:val="0035300B"/>
    <w:rsid w:val="0035300D"/>
    <w:rsid w:val="003530B3"/>
    <w:rsid w:val="0035317B"/>
    <w:rsid w:val="00353188"/>
    <w:rsid w:val="00353198"/>
    <w:rsid w:val="003531A5"/>
    <w:rsid w:val="003531A6"/>
    <w:rsid w:val="003531AE"/>
    <w:rsid w:val="003531D1"/>
    <w:rsid w:val="003532A9"/>
    <w:rsid w:val="0035331B"/>
    <w:rsid w:val="0035332A"/>
    <w:rsid w:val="00353344"/>
    <w:rsid w:val="0035336D"/>
    <w:rsid w:val="00353453"/>
    <w:rsid w:val="003534A8"/>
    <w:rsid w:val="00353532"/>
    <w:rsid w:val="003535D2"/>
    <w:rsid w:val="003535EC"/>
    <w:rsid w:val="00353607"/>
    <w:rsid w:val="0035367B"/>
    <w:rsid w:val="003536F7"/>
    <w:rsid w:val="0035377C"/>
    <w:rsid w:val="003537C4"/>
    <w:rsid w:val="00353863"/>
    <w:rsid w:val="00353901"/>
    <w:rsid w:val="00353924"/>
    <w:rsid w:val="00353941"/>
    <w:rsid w:val="00353A76"/>
    <w:rsid w:val="00353AC6"/>
    <w:rsid w:val="00353AFB"/>
    <w:rsid w:val="00353B37"/>
    <w:rsid w:val="00353BEF"/>
    <w:rsid w:val="00353C56"/>
    <w:rsid w:val="00353C72"/>
    <w:rsid w:val="00353CBE"/>
    <w:rsid w:val="00353CD3"/>
    <w:rsid w:val="00353D04"/>
    <w:rsid w:val="00353E03"/>
    <w:rsid w:val="00353E3A"/>
    <w:rsid w:val="00353E41"/>
    <w:rsid w:val="0035402F"/>
    <w:rsid w:val="00354090"/>
    <w:rsid w:val="003540AD"/>
    <w:rsid w:val="00354115"/>
    <w:rsid w:val="00354187"/>
    <w:rsid w:val="003541AF"/>
    <w:rsid w:val="003541D9"/>
    <w:rsid w:val="003541F3"/>
    <w:rsid w:val="0035422B"/>
    <w:rsid w:val="0035424D"/>
    <w:rsid w:val="003542B9"/>
    <w:rsid w:val="003543B5"/>
    <w:rsid w:val="003544FD"/>
    <w:rsid w:val="0035450F"/>
    <w:rsid w:val="003545B2"/>
    <w:rsid w:val="003545BE"/>
    <w:rsid w:val="003545E3"/>
    <w:rsid w:val="00354642"/>
    <w:rsid w:val="003548DC"/>
    <w:rsid w:val="003549DF"/>
    <w:rsid w:val="003549E4"/>
    <w:rsid w:val="00354A6B"/>
    <w:rsid w:val="00354A80"/>
    <w:rsid w:val="00354AE9"/>
    <w:rsid w:val="00354B16"/>
    <w:rsid w:val="00354B3C"/>
    <w:rsid w:val="00354B4E"/>
    <w:rsid w:val="00354BFD"/>
    <w:rsid w:val="00354C27"/>
    <w:rsid w:val="00354C2A"/>
    <w:rsid w:val="00354C95"/>
    <w:rsid w:val="00354CBC"/>
    <w:rsid w:val="00354D46"/>
    <w:rsid w:val="00354E11"/>
    <w:rsid w:val="00354E84"/>
    <w:rsid w:val="00354EE4"/>
    <w:rsid w:val="00354FDB"/>
    <w:rsid w:val="00355013"/>
    <w:rsid w:val="0035511B"/>
    <w:rsid w:val="0035511C"/>
    <w:rsid w:val="003551E0"/>
    <w:rsid w:val="00355252"/>
    <w:rsid w:val="00355261"/>
    <w:rsid w:val="003552CE"/>
    <w:rsid w:val="0035532D"/>
    <w:rsid w:val="003553E7"/>
    <w:rsid w:val="00355478"/>
    <w:rsid w:val="0035549C"/>
    <w:rsid w:val="003554DB"/>
    <w:rsid w:val="003555A6"/>
    <w:rsid w:val="003555CC"/>
    <w:rsid w:val="003555ED"/>
    <w:rsid w:val="0035566F"/>
    <w:rsid w:val="003556A4"/>
    <w:rsid w:val="003556E4"/>
    <w:rsid w:val="0035590E"/>
    <w:rsid w:val="0035599E"/>
    <w:rsid w:val="00355A1E"/>
    <w:rsid w:val="00355B33"/>
    <w:rsid w:val="00355C97"/>
    <w:rsid w:val="00355CA7"/>
    <w:rsid w:val="00355E2F"/>
    <w:rsid w:val="00355E62"/>
    <w:rsid w:val="00355EC1"/>
    <w:rsid w:val="00355F92"/>
    <w:rsid w:val="00355FF8"/>
    <w:rsid w:val="00356043"/>
    <w:rsid w:val="0035608B"/>
    <w:rsid w:val="003561C6"/>
    <w:rsid w:val="003561E0"/>
    <w:rsid w:val="0035629B"/>
    <w:rsid w:val="0035631E"/>
    <w:rsid w:val="0035636D"/>
    <w:rsid w:val="003563C3"/>
    <w:rsid w:val="0035642F"/>
    <w:rsid w:val="0035647A"/>
    <w:rsid w:val="00356499"/>
    <w:rsid w:val="003564CA"/>
    <w:rsid w:val="003564FC"/>
    <w:rsid w:val="0035652D"/>
    <w:rsid w:val="003565EB"/>
    <w:rsid w:val="003565EF"/>
    <w:rsid w:val="003566A4"/>
    <w:rsid w:val="0035672A"/>
    <w:rsid w:val="0035681D"/>
    <w:rsid w:val="0035683B"/>
    <w:rsid w:val="0035688B"/>
    <w:rsid w:val="003568E3"/>
    <w:rsid w:val="003568FF"/>
    <w:rsid w:val="00356944"/>
    <w:rsid w:val="00356A20"/>
    <w:rsid w:val="00356A56"/>
    <w:rsid w:val="00356B07"/>
    <w:rsid w:val="00356B9B"/>
    <w:rsid w:val="00356C64"/>
    <w:rsid w:val="00356D2D"/>
    <w:rsid w:val="00356D93"/>
    <w:rsid w:val="00356DAB"/>
    <w:rsid w:val="00356E16"/>
    <w:rsid w:val="00356E33"/>
    <w:rsid w:val="00356E48"/>
    <w:rsid w:val="00356E5A"/>
    <w:rsid w:val="00356F45"/>
    <w:rsid w:val="00357030"/>
    <w:rsid w:val="003570C2"/>
    <w:rsid w:val="003571D1"/>
    <w:rsid w:val="00357245"/>
    <w:rsid w:val="00357252"/>
    <w:rsid w:val="00357257"/>
    <w:rsid w:val="0035730B"/>
    <w:rsid w:val="00357352"/>
    <w:rsid w:val="0035737B"/>
    <w:rsid w:val="003573F0"/>
    <w:rsid w:val="003573FB"/>
    <w:rsid w:val="003574AB"/>
    <w:rsid w:val="00357500"/>
    <w:rsid w:val="00357511"/>
    <w:rsid w:val="0035754E"/>
    <w:rsid w:val="00357590"/>
    <w:rsid w:val="00357594"/>
    <w:rsid w:val="003575FD"/>
    <w:rsid w:val="003576E2"/>
    <w:rsid w:val="0035771E"/>
    <w:rsid w:val="00357721"/>
    <w:rsid w:val="00357797"/>
    <w:rsid w:val="003577F4"/>
    <w:rsid w:val="00357826"/>
    <w:rsid w:val="00357842"/>
    <w:rsid w:val="003578B6"/>
    <w:rsid w:val="0035791F"/>
    <w:rsid w:val="00357A38"/>
    <w:rsid w:val="00357AB3"/>
    <w:rsid w:val="00357ABF"/>
    <w:rsid w:val="00357B3B"/>
    <w:rsid w:val="00357BCA"/>
    <w:rsid w:val="00357CC6"/>
    <w:rsid w:val="00357D06"/>
    <w:rsid w:val="00357D8F"/>
    <w:rsid w:val="00357E85"/>
    <w:rsid w:val="00357EA0"/>
    <w:rsid w:val="00357ED9"/>
    <w:rsid w:val="00357F8D"/>
    <w:rsid w:val="00357F9F"/>
    <w:rsid w:val="00357FB5"/>
    <w:rsid w:val="00357FEE"/>
    <w:rsid w:val="0036009A"/>
    <w:rsid w:val="00360291"/>
    <w:rsid w:val="0036040B"/>
    <w:rsid w:val="003604BE"/>
    <w:rsid w:val="00360532"/>
    <w:rsid w:val="003605C6"/>
    <w:rsid w:val="003606F9"/>
    <w:rsid w:val="0036081D"/>
    <w:rsid w:val="00360899"/>
    <w:rsid w:val="003608AC"/>
    <w:rsid w:val="003608AE"/>
    <w:rsid w:val="003608C7"/>
    <w:rsid w:val="003608F5"/>
    <w:rsid w:val="0036094A"/>
    <w:rsid w:val="003609DE"/>
    <w:rsid w:val="00360AAD"/>
    <w:rsid w:val="00360AFC"/>
    <w:rsid w:val="00360B0B"/>
    <w:rsid w:val="00360B30"/>
    <w:rsid w:val="00360BD7"/>
    <w:rsid w:val="00360BFA"/>
    <w:rsid w:val="00360C64"/>
    <w:rsid w:val="00360CC0"/>
    <w:rsid w:val="00360D3E"/>
    <w:rsid w:val="00360DBE"/>
    <w:rsid w:val="00360E14"/>
    <w:rsid w:val="00360E23"/>
    <w:rsid w:val="00360E71"/>
    <w:rsid w:val="00360F0B"/>
    <w:rsid w:val="00360F21"/>
    <w:rsid w:val="0036110B"/>
    <w:rsid w:val="00361119"/>
    <w:rsid w:val="00361280"/>
    <w:rsid w:val="003612A4"/>
    <w:rsid w:val="00361373"/>
    <w:rsid w:val="003613AF"/>
    <w:rsid w:val="003613C4"/>
    <w:rsid w:val="003613D5"/>
    <w:rsid w:val="0036140B"/>
    <w:rsid w:val="0036140F"/>
    <w:rsid w:val="0036145D"/>
    <w:rsid w:val="003614B2"/>
    <w:rsid w:val="00361527"/>
    <w:rsid w:val="00361553"/>
    <w:rsid w:val="003615AE"/>
    <w:rsid w:val="003615B7"/>
    <w:rsid w:val="0036164E"/>
    <w:rsid w:val="00361654"/>
    <w:rsid w:val="003616C2"/>
    <w:rsid w:val="003616DC"/>
    <w:rsid w:val="00361719"/>
    <w:rsid w:val="00361747"/>
    <w:rsid w:val="00361754"/>
    <w:rsid w:val="00361807"/>
    <w:rsid w:val="0036187D"/>
    <w:rsid w:val="00361A5A"/>
    <w:rsid w:val="00361AA6"/>
    <w:rsid w:val="00361B85"/>
    <w:rsid w:val="00361BE0"/>
    <w:rsid w:val="00361BFD"/>
    <w:rsid w:val="00361C16"/>
    <w:rsid w:val="00361C5A"/>
    <w:rsid w:val="00361CC7"/>
    <w:rsid w:val="00361D36"/>
    <w:rsid w:val="00361D46"/>
    <w:rsid w:val="00361DF0"/>
    <w:rsid w:val="00361E3F"/>
    <w:rsid w:val="00361EEE"/>
    <w:rsid w:val="00361FEB"/>
    <w:rsid w:val="00362001"/>
    <w:rsid w:val="0036201F"/>
    <w:rsid w:val="00362064"/>
    <w:rsid w:val="0036220F"/>
    <w:rsid w:val="00362292"/>
    <w:rsid w:val="003622DA"/>
    <w:rsid w:val="00362303"/>
    <w:rsid w:val="00362541"/>
    <w:rsid w:val="00362556"/>
    <w:rsid w:val="0036255B"/>
    <w:rsid w:val="0036259B"/>
    <w:rsid w:val="003625C9"/>
    <w:rsid w:val="0036269E"/>
    <w:rsid w:val="0036272F"/>
    <w:rsid w:val="003627B3"/>
    <w:rsid w:val="0036289A"/>
    <w:rsid w:val="003628CC"/>
    <w:rsid w:val="0036297E"/>
    <w:rsid w:val="003629E2"/>
    <w:rsid w:val="00362A31"/>
    <w:rsid w:val="00362C26"/>
    <w:rsid w:val="00362C5F"/>
    <w:rsid w:val="00362C79"/>
    <w:rsid w:val="00362C83"/>
    <w:rsid w:val="00362CC3"/>
    <w:rsid w:val="00362E34"/>
    <w:rsid w:val="00362E80"/>
    <w:rsid w:val="00362E8B"/>
    <w:rsid w:val="00362EF5"/>
    <w:rsid w:val="00362F5F"/>
    <w:rsid w:val="00362F6E"/>
    <w:rsid w:val="00362F8D"/>
    <w:rsid w:val="003630B8"/>
    <w:rsid w:val="003630BE"/>
    <w:rsid w:val="003630F4"/>
    <w:rsid w:val="00363152"/>
    <w:rsid w:val="0036316B"/>
    <w:rsid w:val="0036330F"/>
    <w:rsid w:val="00363325"/>
    <w:rsid w:val="00363389"/>
    <w:rsid w:val="0036346B"/>
    <w:rsid w:val="003634CD"/>
    <w:rsid w:val="00363582"/>
    <w:rsid w:val="00363677"/>
    <w:rsid w:val="003636BC"/>
    <w:rsid w:val="00363762"/>
    <w:rsid w:val="0036381C"/>
    <w:rsid w:val="00363885"/>
    <w:rsid w:val="00363974"/>
    <w:rsid w:val="003639B1"/>
    <w:rsid w:val="00363A2E"/>
    <w:rsid w:val="00363A83"/>
    <w:rsid w:val="00363AA1"/>
    <w:rsid w:val="00363B4C"/>
    <w:rsid w:val="00363B9E"/>
    <w:rsid w:val="00363BEC"/>
    <w:rsid w:val="00363C37"/>
    <w:rsid w:val="00363C3D"/>
    <w:rsid w:val="00363E25"/>
    <w:rsid w:val="00363ECE"/>
    <w:rsid w:val="00363EFF"/>
    <w:rsid w:val="00363F47"/>
    <w:rsid w:val="00363F50"/>
    <w:rsid w:val="00363F7D"/>
    <w:rsid w:val="00363FA2"/>
    <w:rsid w:val="00364026"/>
    <w:rsid w:val="00364103"/>
    <w:rsid w:val="00364115"/>
    <w:rsid w:val="0036413B"/>
    <w:rsid w:val="0036419B"/>
    <w:rsid w:val="003641BE"/>
    <w:rsid w:val="003641D3"/>
    <w:rsid w:val="003641DC"/>
    <w:rsid w:val="0036421E"/>
    <w:rsid w:val="003642E6"/>
    <w:rsid w:val="00364316"/>
    <w:rsid w:val="00364351"/>
    <w:rsid w:val="00364381"/>
    <w:rsid w:val="0036440F"/>
    <w:rsid w:val="00364411"/>
    <w:rsid w:val="003644BB"/>
    <w:rsid w:val="003644FE"/>
    <w:rsid w:val="0036458F"/>
    <w:rsid w:val="00364710"/>
    <w:rsid w:val="00364712"/>
    <w:rsid w:val="003647A0"/>
    <w:rsid w:val="003647F1"/>
    <w:rsid w:val="00364834"/>
    <w:rsid w:val="0036486A"/>
    <w:rsid w:val="00364916"/>
    <w:rsid w:val="00364A03"/>
    <w:rsid w:val="00364AB2"/>
    <w:rsid w:val="00364AF7"/>
    <w:rsid w:val="00364B37"/>
    <w:rsid w:val="00364BC7"/>
    <w:rsid w:val="00364BF9"/>
    <w:rsid w:val="00364C07"/>
    <w:rsid w:val="00364CA6"/>
    <w:rsid w:val="00364CD8"/>
    <w:rsid w:val="00364D33"/>
    <w:rsid w:val="00364D8C"/>
    <w:rsid w:val="00364E10"/>
    <w:rsid w:val="00364E18"/>
    <w:rsid w:val="00364E84"/>
    <w:rsid w:val="00364ECB"/>
    <w:rsid w:val="0036502F"/>
    <w:rsid w:val="003650D2"/>
    <w:rsid w:val="00365117"/>
    <w:rsid w:val="003651AA"/>
    <w:rsid w:val="003651BF"/>
    <w:rsid w:val="00365224"/>
    <w:rsid w:val="00365259"/>
    <w:rsid w:val="003652D9"/>
    <w:rsid w:val="003652F8"/>
    <w:rsid w:val="0036537E"/>
    <w:rsid w:val="003653EB"/>
    <w:rsid w:val="00365427"/>
    <w:rsid w:val="003654E2"/>
    <w:rsid w:val="0036551F"/>
    <w:rsid w:val="0036552F"/>
    <w:rsid w:val="0036562F"/>
    <w:rsid w:val="00365744"/>
    <w:rsid w:val="00365746"/>
    <w:rsid w:val="00365847"/>
    <w:rsid w:val="00365867"/>
    <w:rsid w:val="0036586B"/>
    <w:rsid w:val="003658DE"/>
    <w:rsid w:val="00365912"/>
    <w:rsid w:val="00365A44"/>
    <w:rsid w:val="00365A8B"/>
    <w:rsid w:val="00365AD2"/>
    <w:rsid w:val="00365B3E"/>
    <w:rsid w:val="00365C33"/>
    <w:rsid w:val="00365C92"/>
    <w:rsid w:val="00365C95"/>
    <w:rsid w:val="00365DC7"/>
    <w:rsid w:val="00365E6A"/>
    <w:rsid w:val="0036603E"/>
    <w:rsid w:val="0036607C"/>
    <w:rsid w:val="003660DB"/>
    <w:rsid w:val="003660EB"/>
    <w:rsid w:val="00366171"/>
    <w:rsid w:val="00366187"/>
    <w:rsid w:val="003661FF"/>
    <w:rsid w:val="0036622E"/>
    <w:rsid w:val="00366321"/>
    <w:rsid w:val="003663A9"/>
    <w:rsid w:val="00366446"/>
    <w:rsid w:val="0036645C"/>
    <w:rsid w:val="00366477"/>
    <w:rsid w:val="00366546"/>
    <w:rsid w:val="00366675"/>
    <w:rsid w:val="003666E3"/>
    <w:rsid w:val="0036693D"/>
    <w:rsid w:val="0036696F"/>
    <w:rsid w:val="0036699E"/>
    <w:rsid w:val="00366BB9"/>
    <w:rsid w:val="00366CC3"/>
    <w:rsid w:val="00366D29"/>
    <w:rsid w:val="00366E48"/>
    <w:rsid w:val="00366EEA"/>
    <w:rsid w:val="00366F25"/>
    <w:rsid w:val="00366FAF"/>
    <w:rsid w:val="0036701D"/>
    <w:rsid w:val="0036708E"/>
    <w:rsid w:val="003670D7"/>
    <w:rsid w:val="003670DB"/>
    <w:rsid w:val="00367115"/>
    <w:rsid w:val="0036711C"/>
    <w:rsid w:val="0036722B"/>
    <w:rsid w:val="0036729A"/>
    <w:rsid w:val="003672B4"/>
    <w:rsid w:val="003672FC"/>
    <w:rsid w:val="0036736A"/>
    <w:rsid w:val="00367440"/>
    <w:rsid w:val="003674DD"/>
    <w:rsid w:val="0036753B"/>
    <w:rsid w:val="003675E9"/>
    <w:rsid w:val="003675EA"/>
    <w:rsid w:val="0036766F"/>
    <w:rsid w:val="003676AF"/>
    <w:rsid w:val="00367745"/>
    <w:rsid w:val="00367817"/>
    <w:rsid w:val="003678B3"/>
    <w:rsid w:val="00367A44"/>
    <w:rsid w:val="00367AB6"/>
    <w:rsid w:val="00367AD8"/>
    <w:rsid w:val="00367ADC"/>
    <w:rsid w:val="00367B33"/>
    <w:rsid w:val="00367C0F"/>
    <w:rsid w:val="00367C3E"/>
    <w:rsid w:val="00367C53"/>
    <w:rsid w:val="00367CB2"/>
    <w:rsid w:val="00367CEF"/>
    <w:rsid w:val="00367D28"/>
    <w:rsid w:val="00367D2D"/>
    <w:rsid w:val="00367DA5"/>
    <w:rsid w:val="00367DA6"/>
    <w:rsid w:val="00367ECD"/>
    <w:rsid w:val="00367EDF"/>
    <w:rsid w:val="00367EEB"/>
    <w:rsid w:val="00367FAE"/>
    <w:rsid w:val="003700BF"/>
    <w:rsid w:val="003700C5"/>
    <w:rsid w:val="003700C7"/>
    <w:rsid w:val="003700C9"/>
    <w:rsid w:val="00370131"/>
    <w:rsid w:val="003701BA"/>
    <w:rsid w:val="00370273"/>
    <w:rsid w:val="003702A9"/>
    <w:rsid w:val="00370344"/>
    <w:rsid w:val="003703B9"/>
    <w:rsid w:val="003703C6"/>
    <w:rsid w:val="003703EA"/>
    <w:rsid w:val="003703F1"/>
    <w:rsid w:val="00370448"/>
    <w:rsid w:val="00370467"/>
    <w:rsid w:val="00370479"/>
    <w:rsid w:val="00370498"/>
    <w:rsid w:val="003704D7"/>
    <w:rsid w:val="00370574"/>
    <w:rsid w:val="003705EE"/>
    <w:rsid w:val="00370676"/>
    <w:rsid w:val="003707A7"/>
    <w:rsid w:val="00370822"/>
    <w:rsid w:val="003708DD"/>
    <w:rsid w:val="00370901"/>
    <w:rsid w:val="00370905"/>
    <w:rsid w:val="00370A37"/>
    <w:rsid w:val="00370A3D"/>
    <w:rsid w:val="00370AF4"/>
    <w:rsid w:val="00370B1C"/>
    <w:rsid w:val="00370B9B"/>
    <w:rsid w:val="00370C26"/>
    <w:rsid w:val="00370C7E"/>
    <w:rsid w:val="00370D7A"/>
    <w:rsid w:val="00370E0B"/>
    <w:rsid w:val="00370E6E"/>
    <w:rsid w:val="00370F66"/>
    <w:rsid w:val="00370F78"/>
    <w:rsid w:val="00370FEE"/>
    <w:rsid w:val="00371057"/>
    <w:rsid w:val="0037110F"/>
    <w:rsid w:val="0037113D"/>
    <w:rsid w:val="00371151"/>
    <w:rsid w:val="003711AA"/>
    <w:rsid w:val="003711C5"/>
    <w:rsid w:val="0037123E"/>
    <w:rsid w:val="0037125F"/>
    <w:rsid w:val="003712A1"/>
    <w:rsid w:val="00371386"/>
    <w:rsid w:val="003713B7"/>
    <w:rsid w:val="003713C2"/>
    <w:rsid w:val="00371403"/>
    <w:rsid w:val="00371449"/>
    <w:rsid w:val="0037145F"/>
    <w:rsid w:val="003714B6"/>
    <w:rsid w:val="00371530"/>
    <w:rsid w:val="00371652"/>
    <w:rsid w:val="0037169B"/>
    <w:rsid w:val="0037172D"/>
    <w:rsid w:val="00371749"/>
    <w:rsid w:val="00371764"/>
    <w:rsid w:val="00371780"/>
    <w:rsid w:val="003717C0"/>
    <w:rsid w:val="003717C8"/>
    <w:rsid w:val="003717E8"/>
    <w:rsid w:val="0037189B"/>
    <w:rsid w:val="003718FF"/>
    <w:rsid w:val="003719D8"/>
    <w:rsid w:val="00371A33"/>
    <w:rsid w:val="00371A4C"/>
    <w:rsid w:val="00371AE1"/>
    <w:rsid w:val="00371B5A"/>
    <w:rsid w:val="00371CDC"/>
    <w:rsid w:val="00371DD9"/>
    <w:rsid w:val="00371E7A"/>
    <w:rsid w:val="00371E9E"/>
    <w:rsid w:val="00371F6F"/>
    <w:rsid w:val="00371F8C"/>
    <w:rsid w:val="00372021"/>
    <w:rsid w:val="0037205C"/>
    <w:rsid w:val="003720FE"/>
    <w:rsid w:val="00372114"/>
    <w:rsid w:val="003721B4"/>
    <w:rsid w:val="003722A1"/>
    <w:rsid w:val="003722E6"/>
    <w:rsid w:val="00372367"/>
    <w:rsid w:val="00372382"/>
    <w:rsid w:val="00372446"/>
    <w:rsid w:val="0037254F"/>
    <w:rsid w:val="003725F9"/>
    <w:rsid w:val="00372605"/>
    <w:rsid w:val="0037261F"/>
    <w:rsid w:val="003726D5"/>
    <w:rsid w:val="0037271C"/>
    <w:rsid w:val="00372742"/>
    <w:rsid w:val="0037274A"/>
    <w:rsid w:val="0037280E"/>
    <w:rsid w:val="003728E5"/>
    <w:rsid w:val="00372914"/>
    <w:rsid w:val="00372916"/>
    <w:rsid w:val="00372959"/>
    <w:rsid w:val="003729F7"/>
    <w:rsid w:val="00372A85"/>
    <w:rsid w:val="00372ACD"/>
    <w:rsid w:val="00372B05"/>
    <w:rsid w:val="00372B99"/>
    <w:rsid w:val="00372BBC"/>
    <w:rsid w:val="00372BE6"/>
    <w:rsid w:val="00372C54"/>
    <w:rsid w:val="00372C73"/>
    <w:rsid w:val="00372C7A"/>
    <w:rsid w:val="00372D44"/>
    <w:rsid w:val="00372D69"/>
    <w:rsid w:val="00372E4D"/>
    <w:rsid w:val="00372E52"/>
    <w:rsid w:val="00372E5E"/>
    <w:rsid w:val="00372E74"/>
    <w:rsid w:val="00372EF5"/>
    <w:rsid w:val="003730DA"/>
    <w:rsid w:val="003730F2"/>
    <w:rsid w:val="00373125"/>
    <w:rsid w:val="00373126"/>
    <w:rsid w:val="00373147"/>
    <w:rsid w:val="0037316E"/>
    <w:rsid w:val="0037318D"/>
    <w:rsid w:val="00373299"/>
    <w:rsid w:val="003732CF"/>
    <w:rsid w:val="00373423"/>
    <w:rsid w:val="00373474"/>
    <w:rsid w:val="003734BB"/>
    <w:rsid w:val="003734F4"/>
    <w:rsid w:val="0037355F"/>
    <w:rsid w:val="003735BF"/>
    <w:rsid w:val="003735D9"/>
    <w:rsid w:val="00373676"/>
    <w:rsid w:val="00373695"/>
    <w:rsid w:val="003736F9"/>
    <w:rsid w:val="00373721"/>
    <w:rsid w:val="0037372E"/>
    <w:rsid w:val="00373820"/>
    <w:rsid w:val="003738DE"/>
    <w:rsid w:val="0037392F"/>
    <w:rsid w:val="0037393E"/>
    <w:rsid w:val="0037396C"/>
    <w:rsid w:val="00373982"/>
    <w:rsid w:val="00373A1B"/>
    <w:rsid w:val="00373A61"/>
    <w:rsid w:val="00373AAC"/>
    <w:rsid w:val="00373B52"/>
    <w:rsid w:val="00373B8B"/>
    <w:rsid w:val="00373C5B"/>
    <w:rsid w:val="00373C81"/>
    <w:rsid w:val="00373E42"/>
    <w:rsid w:val="00373EFE"/>
    <w:rsid w:val="00373F4D"/>
    <w:rsid w:val="00373F78"/>
    <w:rsid w:val="00374007"/>
    <w:rsid w:val="00374008"/>
    <w:rsid w:val="003740A6"/>
    <w:rsid w:val="003741A6"/>
    <w:rsid w:val="00374231"/>
    <w:rsid w:val="003742C0"/>
    <w:rsid w:val="003742CE"/>
    <w:rsid w:val="0037435C"/>
    <w:rsid w:val="0037435E"/>
    <w:rsid w:val="003743F7"/>
    <w:rsid w:val="003744B3"/>
    <w:rsid w:val="00374548"/>
    <w:rsid w:val="0037455F"/>
    <w:rsid w:val="00374695"/>
    <w:rsid w:val="003746BC"/>
    <w:rsid w:val="003746DE"/>
    <w:rsid w:val="003746EC"/>
    <w:rsid w:val="0037473F"/>
    <w:rsid w:val="0037477D"/>
    <w:rsid w:val="00374861"/>
    <w:rsid w:val="00374917"/>
    <w:rsid w:val="003749E6"/>
    <w:rsid w:val="00374A35"/>
    <w:rsid w:val="00374A36"/>
    <w:rsid w:val="00374AFE"/>
    <w:rsid w:val="00374B14"/>
    <w:rsid w:val="00374B2D"/>
    <w:rsid w:val="00374B94"/>
    <w:rsid w:val="00374C1D"/>
    <w:rsid w:val="00374C84"/>
    <w:rsid w:val="00374CBF"/>
    <w:rsid w:val="00374D3C"/>
    <w:rsid w:val="00374D62"/>
    <w:rsid w:val="00374D81"/>
    <w:rsid w:val="00374DC6"/>
    <w:rsid w:val="00374FE2"/>
    <w:rsid w:val="00375005"/>
    <w:rsid w:val="003750B2"/>
    <w:rsid w:val="003750B7"/>
    <w:rsid w:val="003750C4"/>
    <w:rsid w:val="003750F3"/>
    <w:rsid w:val="0037510E"/>
    <w:rsid w:val="00375218"/>
    <w:rsid w:val="00375219"/>
    <w:rsid w:val="003752C9"/>
    <w:rsid w:val="003754B3"/>
    <w:rsid w:val="003754F0"/>
    <w:rsid w:val="003754F5"/>
    <w:rsid w:val="00375552"/>
    <w:rsid w:val="003755C1"/>
    <w:rsid w:val="003755DE"/>
    <w:rsid w:val="003756B9"/>
    <w:rsid w:val="00375715"/>
    <w:rsid w:val="00375852"/>
    <w:rsid w:val="00375876"/>
    <w:rsid w:val="00375891"/>
    <w:rsid w:val="003758A7"/>
    <w:rsid w:val="00375B24"/>
    <w:rsid w:val="00375BCE"/>
    <w:rsid w:val="00375C53"/>
    <w:rsid w:val="00375C9E"/>
    <w:rsid w:val="00375D87"/>
    <w:rsid w:val="00375DF0"/>
    <w:rsid w:val="00375E1F"/>
    <w:rsid w:val="00375E71"/>
    <w:rsid w:val="00375EB0"/>
    <w:rsid w:val="00375FD4"/>
    <w:rsid w:val="00375FF4"/>
    <w:rsid w:val="0037607E"/>
    <w:rsid w:val="00376280"/>
    <w:rsid w:val="003762DF"/>
    <w:rsid w:val="0037636A"/>
    <w:rsid w:val="0037637E"/>
    <w:rsid w:val="00376380"/>
    <w:rsid w:val="0037639E"/>
    <w:rsid w:val="0037640E"/>
    <w:rsid w:val="003764D8"/>
    <w:rsid w:val="003765E2"/>
    <w:rsid w:val="00376633"/>
    <w:rsid w:val="00376635"/>
    <w:rsid w:val="00376701"/>
    <w:rsid w:val="003767C7"/>
    <w:rsid w:val="003768A7"/>
    <w:rsid w:val="003769AF"/>
    <w:rsid w:val="003769E1"/>
    <w:rsid w:val="003769FB"/>
    <w:rsid w:val="00376B33"/>
    <w:rsid w:val="00376B3D"/>
    <w:rsid w:val="00376C67"/>
    <w:rsid w:val="00376C7A"/>
    <w:rsid w:val="00376CCC"/>
    <w:rsid w:val="00376D15"/>
    <w:rsid w:val="00376E0E"/>
    <w:rsid w:val="00376EDC"/>
    <w:rsid w:val="0037704B"/>
    <w:rsid w:val="003770D5"/>
    <w:rsid w:val="0037721B"/>
    <w:rsid w:val="0037723B"/>
    <w:rsid w:val="003772B5"/>
    <w:rsid w:val="00377364"/>
    <w:rsid w:val="0037740E"/>
    <w:rsid w:val="00377447"/>
    <w:rsid w:val="00377464"/>
    <w:rsid w:val="00377557"/>
    <w:rsid w:val="00377593"/>
    <w:rsid w:val="003775A1"/>
    <w:rsid w:val="00377616"/>
    <w:rsid w:val="0037762B"/>
    <w:rsid w:val="003776A2"/>
    <w:rsid w:val="00377843"/>
    <w:rsid w:val="00377886"/>
    <w:rsid w:val="00377897"/>
    <w:rsid w:val="0037789D"/>
    <w:rsid w:val="00377980"/>
    <w:rsid w:val="003779FA"/>
    <w:rsid w:val="00377B39"/>
    <w:rsid w:val="00377BB3"/>
    <w:rsid w:val="00377BEA"/>
    <w:rsid w:val="00377C26"/>
    <w:rsid w:val="00377C6F"/>
    <w:rsid w:val="00377CA8"/>
    <w:rsid w:val="00377CF7"/>
    <w:rsid w:val="00377D41"/>
    <w:rsid w:val="00377D6C"/>
    <w:rsid w:val="00377DC1"/>
    <w:rsid w:val="00377E64"/>
    <w:rsid w:val="00377EBE"/>
    <w:rsid w:val="00377EE9"/>
    <w:rsid w:val="00377EF8"/>
    <w:rsid w:val="00377EFB"/>
    <w:rsid w:val="00377F33"/>
    <w:rsid w:val="00377F58"/>
    <w:rsid w:val="00377F70"/>
    <w:rsid w:val="00377FED"/>
    <w:rsid w:val="00380093"/>
    <w:rsid w:val="00380123"/>
    <w:rsid w:val="00380134"/>
    <w:rsid w:val="0038013D"/>
    <w:rsid w:val="00380312"/>
    <w:rsid w:val="00380330"/>
    <w:rsid w:val="00380369"/>
    <w:rsid w:val="00380474"/>
    <w:rsid w:val="003804C1"/>
    <w:rsid w:val="003804CE"/>
    <w:rsid w:val="00380540"/>
    <w:rsid w:val="003805FF"/>
    <w:rsid w:val="00380629"/>
    <w:rsid w:val="0038062B"/>
    <w:rsid w:val="0038074B"/>
    <w:rsid w:val="00380754"/>
    <w:rsid w:val="0038075E"/>
    <w:rsid w:val="00380776"/>
    <w:rsid w:val="003807FB"/>
    <w:rsid w:val="003807FC"/>
    <w:rsid w:val="00380949"/>
    <w:rsid w:val="0038097C"/>
    <w:rsid w:val="00380A16"/>
    <w:rsid w:val="00380A3A"/>
    <w:rsid w:val="00380A7A"/>
    <w:rsid w:val="00380AC4"/>
    <w:rsid w:val="00380B4C"/>
    <w:rsid w:val="00380BDC"/>
    <w:rsid w:val="00380C06"/>
    <w:rsid w:val="00380C0E"/>
    <w:rsid w:val="00380C6D"/>
    <w:rsid w:val="00380CE9"/>
    <w:rsid w:val="00380CEB"/>
    <w:rsid w:val="00380D04"/>
    <w:rsid w:val="00380D21"/>
    <w:rsid w:val="00380D8B"/>
    <w:rsid w:val="00380DB2"/>
    <w:rsid w:val="00380E1C"/>
    <w:rsid w:val="00380E36"/>
    <w:rsid w:val="00380F1A"/>
    <w:rsid w:val="00380F9F"/>
    <w:rsid w:val="00380FAA"/>
    <w:rsid w:val="00380FC7"/>
    <w:rsid w:val="00380FCC"/>
    <w:rsid w:val="0038109C"/>
    <w:rsid w:val="003810BD"/>
    <w:rsid w:val="003810D4"/>
    <w:rsid w:val="00381116"/>
    <w:rsid w:val="0038121A"/>
    <w:rsid w:val="0038129B"/>
    <w:rsid w:val="003812D5"/>
    <w:rsid w:val="003812D7"/>
    <w:rsid w:val="003812F7"/>
    <w:rsid w:val="00381322"/>
    <w:rsid w:val="0038132E"/>
    <w:rsid w:val="003813DB"/>
    <w:rsid w:val="003814A5"/>
    <w:rsid w:val="003814AB"/>
    <w:rsid w:val="003814C7"/>
    <w:rsid w:val="00381502"/>
    <w:rsid w:val="00381621"/>
    <w:rsid w:val="00381622"/>
    <w:rsid w:val="0038162D"/>
    <w:rsid w:val="0038168F"/>
    <w:rsid w:val="00381723"/>
    <w:rsid w:val="00381903"/>
    <w:rsid w:val="0038190D"/>
    <w:rsid w:val="00381971"/>
    <w:rsid w:val="003819D2"/>
    <w:rsid w:val="003819E6"/>
    <w:rsid w:val="003819ED"/>
    <w:rsid w:val="00381A24"/>
    <w:rsid w:val="00381A53"/>
    <w:rsid w:val="00381B4F"/>
    <w:rsid w:val="00381BD8"/>
    <w:rsid w:val="00381BDC"/>
    <w:rsid w:val="00381D28"/>
    <w:rsid w:val="00381DD4"/>
    <w:rsid w:val="00381EBD"/>
    <w:rsid w:val="00381F1B"/>
    <w:rsid w:val="00381F41"/>
    <w:rsid w:val="00381FE2"/>
    <w:rsid w:val="003820F3"/>
    <w:rsid w:val="0038211A"/>
    <w:rsid w:val="00382120"/>
    <w:rsid w:val="003821E0"/>
    <w:rsid w:val="00382207"/>
    <w:rsid w:val="0038227E"/>
    <w:rsid w:val="00382335"/>
    <w:rsid w:val="0038238B"/>
    <w:rsid w:val="003823C6"/>
    <w:rsid w:val="00382471"/>
    <w:rsid w:val="003825E6"/>
    <w:rsid w:val="003826BD"/>
    <w:rsid w:val="003826C7"/>
    <w:rsid w:val="00382715"/>
    <w:rsid w:val="0038284D"/>
    <w:rsid w:val="003828DF"/>
    <w:rsid w:val="0038296A"/>
    <w:rsid w:val="00382AD6"/>
    <w:rsid w:val="00382B5A"/>
    <w:rsid w:val="00382B83"/>
    <w:rsid w:val="00382B9C"/>
    <w:rsid w:val="00382BCF"/>
    <w:rsid w:val="00382D24"/>
    <w:rsid w:val="00382D72"/>
    <w:rsid w:val="00382DC5"/>
    <w:rsid w:val="00382DE2"/>
    <w:rsid w:val="00382E23"/>
    <w:rsid w:val="00382E28"/>
    <w:rsid w:val="00382E2D"/>
    <w:rsid w:val="00382E45"/>
    <w:rsid w:val="00382F4E"/>
    <w:rsid w:val="00382F81"/>
    <w:rsid w:val="00382FEB"/>
    <w:rsid w:val="0038301E"/>
    <w:rsid w:val="00383035"/>
    <w:rsid w:val="0038303A"/>
    <w:rsid w:val="00383063"/>
    <w:rsid w:val="0038324E"/>
    <w:rsid w:val="00383294"/>
    <w:rsid w:val="00383334"/>
    <w:rsid w:val="00383360"/>
    <w:rsid w:val="003833E4"/>
    <w:rsid w:val="003833FD"/>
    <w:rsid w:val="003834A2"/>
    <w:rsid w:val="0038358E"/>
    <w:rsid w:val="00383626"/>
    <w:rsid w:val="0038364A"/>
    <w:rsid w:val="00383698"/>
    <w:rsid w:val="00383734"/>
    <w:rsid w:val="003837DB"/>
    <w:rsid w:val="00383819"/>
    <w:rsid w:val="00383887"/>
    <w:rsid w:val="00383A01"/>
    <w:rsid w:val="00383A38"/>
    <w:rsid w:val="00383A3E"/>
    <w:rsid w:val="00383A81"/>
    <w:rsid w:val="00383ADD"/>
    <w:rsid w:val="00383B4B"/>
    <w:rsid w:val="00383BB1"/>
    <w:rsid w:val="00383BEA"/>
    <w:rsid w:val="00383CAE"/>
    <w:rsid w:val="00383DD7"/>
    <w:rsid w:val="00383E0A"/>
    <w:rsid w:val="00383E95"/>
    <w:rsid w:val="00383EA6"/>
    <w:rsid w:val="0038400D"/>
    <w:rsid w:val="003840C8"/>
    <w:rsid w:val="00384120"/>
    <w:rsid w:val="00384128"/>
    <w:rsid w:val="003841A4"/>
    <w:rsid w:val="003841AF"/>
    <w:rsid w:val="003841E5"/>
    <w:rsid w:val="003842B6"/>
    <w:rsid w:val="00384307"/>
    <w:rsid w:val="0038435C"/>
    <w:rsid w:val="0038439D"/>
    <w:rsid w:val="00384431"/>
    <w:rsid w:val="0038454C"/>
    <w:rsid w:val="003845B2"/>
    <w:rsid w:val="003845C8"/>
    <w:rsid w:val="00384720"/>
    <w:rsid w:val="00384817"/>
    <w:rsid w:val="00384830"/>
    <w:rsid w:val="00384862"/>
    <w:rsid w:val="003848D0"/>
    <w:rsid w:val="00384980"/>
    <w:rsid w:val="0038498B"/>
    <w:rsid w:val="00384B95"/>
    <w:rsid w:val="00384BA5"/>
    <w:rsid w:val="00384BD5"/>
    <w:rsid w:val="00384BEA"/>
    <w:rsid w:val="00384C1F"/>
    <w:rsid w:val="00384C4C"/>
    <w:rsid w:val="00384CE2"/>
    <w:rsid w:val="00384D47"/>
    <w:rsid w:val="00384D77"/>
    <w:rsid w:val="00384DAF"/>
    <w:rsid w:val="00384DB4"/>
    <w:rsid w:val="00384E84"/>
    <w:rsid w:val="00385010"/>
    <w:rsid w:val="00385036"/>
    <w:rsid w:val="003850A8"/>
    <w:rsid w:val="00385133"/>
    <w:rsid w:val="003851CC"/>
    <w:rsid w:val="0038522C"/>
    <w:rsid w:val="00385303"/>
    <w:rsid w:val="00385375"/>
    <w:rsid w:val="003853CF"/>
    <w:rsid w:val="00385587"/>
    <w:rsid w:val="0038559C"/>
    <w:rsid w:val="003855C4"/>
    <w:rsid w:val="00385607"/>
    <w:rsid w:val="00385609"/>
    <w:rsid w:val="00385656"/>
    <w:rsid w:val="00385662"/>
    <w:rsid w:val="003856C6"/>
    <w:rsid w:val="00385712"/>
    <w:rsid w:val="003857F7"/>
    <w:rsid w:val="003857FC"/>
    <w:rsid w:val="0038581E"/>
    <w:rsid w:val="003858AC"/>
    <w:rsid w:val="003858C3"/>
    <w:rsid w:val="00385910"/>
    <w:rsid w:val="00385A70"/>
    <w:rsid w:val="00385AB8"/>
    <w:rsid w:val="00385B68"/>
    <w:rsid w:val="00385BC4"/>
    <w:rsid w:val="00385C17"/>
    <w:rsid w:val="00385C2B"/>
    <w:rsid w:val="00385C37"/>
    <w:rsid w:val="00385D74"/>
    <w:rsid w:val="00385E48"/>
    <w:rsid w:val="00385E92"/>
    <w:rsid w:val="00385EA0"/>
    <w:rsid w:val="00385EB4"/>
    <w:rsid w:val="00385F55"/>
    <w:rsid w:val="00385F78"/>
    <w:rsid w:val="00385F7B"/>
    <w:rsid w:val="00385FAA"/>
    <w:rsid w:val="00385FEC"/>
    <w:rsid w:val="00386001"/>
    <w:rsid w:val="00386146"/>
    <w:rsid w:val="00386241"/>
    <w:rsid w:val="003862DA"/>
    <w:rsid w:val="00386337"/>
    <w:rsid w:val="003863D9"/>
    <w:rsid w:val="0038648A"/>
    <w:rsid w:val="00386535"/>
    <w:rsid w:val="0038655A"/>
    <w:rsid w:val="00386590"/>
    <w:rsid w:val="003865DD"/>
    <w:rsid w:val="00386603"/>
    <w:rsid w:val="00386642"/>
    <w:rsid w:val="00386671"/>
    <w:rsid w:val="0038667B"/>
    <w:rsid w:val="0038667F"/>
    <w:rsid w:val="003866CC"/>
    <w:rsid w:val="003866FD"/>
    <w:rsid w:val="00386740"/>
    <w:rsid w:val="003868EB"/>
    <w:rsid w:val="003869EB"/>
    <w:rsid w:val="00386AD3"/>
    <w:rsid w:val="00386B39"/>
    <w:rsid w:val="00386B61"/>
    <w:rsid w:val="00386CE1"/>
    <w:rsid w:val="00386D2F"/>
    <w:rsid w:val="00386F05"/>
    <w:rsid w:val="00386FA2"/>
    <w:rsid w:val="0038705C"/>
    <w:rsid w:val="003870F5"/>
    <w:rsid w:val="003871A8"/>
    <w:rsid w:val="00387253"/>
    <w:rsid w:val="003872A2"/>
    <w:rsid w:val="003872E6"/>
    <w:rsid w:val="00387359"/>
    <w:rsid w:val="0038735C"/>
    <w:rsid w:val="00387381"/>
    <w:rsid w:val="003873EC"/>
    <w:rsid w:val="003873F2"/>
    <w:rsid w:val="0038744D"/>
    <w:rsid w:val="0038747A"/>
    <w:rsid w:val="003874E2"/>
    <w:rsid w:val="00387518"/>
    <w:rsid w:val="0038752F"/>
    <w:rsid w:val="003875AF"/>
    <w:rsid w:val="00387658"/>
    <w:rsid w:val="0038765E"/>
    <w:rsid w:val="003876B6"/>
    <w:rsid w:val="00387785"/>
    <w:rsid w:val="003877CA"/>
    <w:rsid w:val="00387831"/>
    <w:rsid w:val="0038785C"/>
    <w:rsid w:val="003878B8"/>
    <w:rsid w:val="003878F3"/>
    <w:rsid w:val="0038791A"/>
    <w:rsid w:val="0038792C"/>
    <w:rsid w:val="0038793F"/>
    <w:rsid w:val="003879AC"/>
    <w:rsid w:val="00387A41"/>
    <w:rsid w:val="00387AA6"/>
    <w:rsid w:val="00387AEF"/>
    <w:rsid w:val="00387B06"/>
    <w:rsid w:val="00387C4C"/>
    <w:rsid w:val="00387CCA"/>
    <w:rsid w:val="00387D47"/>
    <w:rsid w:val="00387E38"/>
    <w:rsid w:val="00387E73"/>
    <w:rsid w:val="00387EB5"/>
    <w:rsid w:val="00387F1E"/>
    <w:rsid w:val="00387F3B"/>
    <w:rsid w:val="00387F49"/>
    <w:rsid w:val="00387F61"/>
    <w:rsid w:val="00387F6E"/>
    <w:rsid w:val="0038CD21"/>
    <w:rsid w:val="00390094"/>
    <w:rsid w:val="003900BF"/>
    <w:rsid w:val="0039013B"/>
    <w:rsid w:val="0039015C"/>
    <w:rsid w:val="003901F7"/>
    <w:rsid w:val="00390309"/>
    <w:rsid w:val="00390352"/>
    <w:rsid w:val="003903C8"/>
    <w:rsid w:val="003903FB"/>
    <w:rsid w:val="0039047C"/>
    <w:rsid w:val="0039047E"/>
    <w:rsid w:val="003904E0"/>
    <w:rsid w:val="0039059E"/>
    <w:rsid w:val="003905CD"/>
    <w:rsid w:val="003905E4"/>
    <w:rsid w:val="003906CA"/>
    <w:rsid w:val="0039079B"/>
    <w:rsid w:val="003907C0"/>
    <w:rsid w:val="003908BB"/>
    <w:rsid w:val="00390979"/>
    <w:rsid w:val="003909B5"/>
    <w:rsid w:val="00390A6F"/>
    <w:rsid w:val="00390ACC"/>
    <w:rsid w:val="00390AE1"/>
    <w:rsid w:val="00390B1D"/>
    <w:rsid w:val="00390BFE"/>
    <w:rsid w:val="00390CF2"/>
    <w:rsid w:val="00390D09"/>
    <w:rsid w:val="00390D82"/>
    <w:rsid w:val="00390E02"/>
    <w:rsid w:val="00390E4B"/>
    <w:rsid w:val="00390ED6"/>
    <w:rsid w:val="00390FA5"/>
    <w:rsid w:val="00390FE5"/>
    <w:rsid w:val="0039105C"/>
    <w:rsid w:val="0039106A"/>
    <w:rsid w:val="00391155"/>
    <w:rsid w:val="0039115D"/>
    <w:rsid w:val="003911CD"/>
    <w:rsid w:val="00391258"/>
    <w:rsid w:val="003912E7"/>
    <w:rsid w:val="00391347"/>
    <w:rsid w:val="0039135E"/>
    <w:rsid w:val="003913D4"/>
    <w:rsid w:val="003913D5"/>
    <w:rsid w:val="003914C3"/>
    <w:rsid w:val="0039152E"/>
    <w:rsid w:val="0039168F"/>
    <w:rsid w:val="003916C4"/>
    <w:rsid w:val="003916F5"/>
    <w:rsid w:val="00391746"/>
    <w:rsid w:val="00391787"/>
    <w:rsid w:val="003917BF"/>
    <w:rsid w:val="00391829"/>
    <w:rsid w:val="00391873"/>
    <w:rsid w:val="003918CA"/>
    <w:rsid w:val="003918D9"/>
    <w:rsid w:val="0039198F"/>
    <w:rsid w:val="00391A92"/>
    <w:rsid w:val="00391AC4"/>
    <w:rsid w:val="00391B34"/>
    <w:rsid w:val="00391B5F"/>
    <w:rsid w:val="00391BF1"/>
    <w:rsid w:val="00391BF4"/>
    <w:rsid w:val="00391C62"/>
    <w:rsid w:val="00391C6F"/>
    <w:rsid w:val="00391C72"/>
    <w:rsid w:val="00391C9E"/>
    <w:rsid w:val="00391CA2"/>
    <w:rsid w:val="00391D69"/>
    <w:rsid w:val="00391D80"/>
    <w:rsid w:val="00391EDD"/>
    <w:rsid w:val="00391FB8"/>
    <w:rsid w:val="00392080"/>
    <w:rsid w:val="00392084"/>
    <w:rsid w:val="003920BC"/>
    <w:rsid w:val="003920FA"/>
    <w:rsid w:val="00392270"/>
    <w:rsid w:val="00392286"/>
    <w:rsid w:val="00392295"/>
    <w:rsid w:val="003922EB"/>
    <w:rsid w:val="003922EE"/>
    <w:rsid w:val="00392329"/>
    <w:rsid w:val="00392358"/>
    <w:rsid w:val="00392372"/>
    <w:rsid w:val="0039239A"/>
    <w:rsid w:val="003923BE"/>
    <w:rsid w:val="00392498"/>
    <w:rsid w:val="003924B3"/>
    <w:rsid w:val="00392582"/>
    <w:rsid w:val="00392639"/>
    <w:rsid w:val="0039282B"/>
    <w:rsid w:val="00392865"/>
    <w:rsid w:val="003928D0"/>
    <w:rsid w:val="00392923"/>
    <w:rsid w:val="00392983"/>
    <w:rsid w:val="003929F3"/>
    <w:rsid w:val="00392AC0"/>
    <w:rsid w:val="00392B20"/>
    <w:rsid w:val="00392B78"/>
    <w:rsid w:val="00392BBE"/>
    <w:rsid w:val="00392C15"/>
    <w:rsid w:val="00392C73"/>
    <w:rsid w:val="00392C81"/>
    <w:rsid w:val="00392D07"/>
    <w:rsid w:val="00392D45"/>
    <w:rsid w:val="00392D8C"/>
    <w:rsid w:val="00392F00"/>
    <w:rsid w:val="00392F9A"/>
    <w:rsid w:val="00392FDF"/>
    <w:rsid w:val="003930B1"/>
    <w:rsid w:val="00393118"/>
    <w:rsid w:val="00393130"/>
    <w:rsid w:val="0039319E"/>
    <w:rsid w:val="003931EF"/>
    <w:rsid w:val="0039325D"/>
    <w:rsid w:val="0039335B"/>
    <w:rsid w:val="00393392"/>
    <w:rsid w:val="0039339D"/>
    <w:rsid w:val="00393447"/>
    <w:rsid w:val="0039347C"/>
    <w:rsid w:val="0039350C"/>
    <w:rsid w:val="00393526"/>
    <w:rsid w:val="003935F1"/>
    <w:rsid w:val="00393625"/>
    <w:rsid w:val="00393679"/>
    <w:rsid w:val="00393750"/>
    <w:rsid w:val="00393815"/>
    <w:rsid w:val="0039383D"/>
    <w:rsid w:val="0039385D"/>
    <w:rsid w:val="003938DD"/>
    <w:rsid w:val="003938E2"/>
    <w:rsid w:val="00393963"/>
    <w:rsid w:val="0039397B"/>
    <w:rsid w:val="00393A3A"/>
    <w:rsid w:val="00393AE0"/>
    <w:rsid w:val="00393B02"/>
    <w:rsid w:val="00393B43"/>
    <w:rsid w:val="00393B9E"/>
    <w:rsid w:val="00393E0A"/>
    <w:rsid w:val="00393E5E"/>
    <w:rsid w:val="00393E74"/>
    <w:rsid w:val="00393E90"/>
    <w:rsid w:val="00393F4C"/>
    <w:rsid w:val="00393F54"/>
    <w:rsid w:val="00393F6D"/>
    <w:rsid w:val="00393F7A"/>
    <w:rsid w:val="00394009"/>
    <w:rsid w:val="00394076"/>
    <w:rsid w:val="0039409D"/>
    <w:rsid w:val="003940A8"/>
    <w:rsid w:val="003940CD"/>
    <w:rsid w:val="003940D2"/>
    <w:rsid w:val="0039411C"/>
    <w:rsid w:val="00394178"/>
    <w:rsid w:val="003941F2"/>
    <w:rsid w:val="00394265"/>
    <w:rsid w:val="0039444D"/>
    <w:rsid w:val="003944CB"/>
    <w:rsid w:val="00394539"/>
    <w:rsid w:val="003945D5"/>
    <w:rsid w:val="003945DA"/>
    <w:rsid w:val="00394669"/>
    <w:rsid w:val="00394685"/>
    <w:rsid w:val="003946E4"/>
    <w:rsid w:val="003946E9"/>
    <w:rsid w:val="003946EA"/>
    <w:rsid w:val="003946EB"/>
    <w:rsid w:val="00394725"/>
    <w:rsid w:val="00394792"/>
    <w:rsid w:val="003947B4"/>
    <w:rsid w:val="003948D7"/>
    <w:rsid w:val="0039491F"/>
    <w:rsid w:val="003949AD"/>
    <w:rsid w:val="00394A11"/>
    <w:rsid w:val="00394A38"/>
    <w:rsid w:val="00394A4F"/>
    <w:rsid w:val="00394AB4"/>
    <w:rsid w:val="00394B20"/>
    <w:rsid w:val="00394B24"/>
    <w:rsid w:val="00394C0E"/>
    <w:rsid w:val="00394CBC"/>
    <w:rsid w:val="00394D0C"/>
    <w:rsid w:val="00394DFC"/>
    <w:rsid w:val="00394E7C"/>
    <w:rsid w:val="00394E86"/>
    <w:rsid w:val="00394E95"/>
    <w:rsid w:val="00394F99"/>
    <w:rsid w:val="00394FA2"/>
    <w:rsid w:val="00395076"/>
    <w:rsid w:val="003951FB"/>
    <w:rsid w:val="00395262"/>
    <w:rsid w:val="0039527F"/>
    <w:rsid w:val="00395388"/>
    <w:rsid w:val="003953F0"/>
    <w:rsid w:val="0039549D"/>
    <w:rsid w:val="0039551B"/>
    <w:rsid w:val="00395665"/>
    <w:rsid w:val="003956A1"/>
    <w:rsid w:val="003956B5"/>
    <w:rsid w:val="003956D5"/>
    <w:rsid w:val="00395762"/>
    <w:rsid w:val="003957BC"/>
    <w:rsid w:val="00395840"/>
    <w:rsid w:val="003958A5"/>
    <w:rsid w:val="003958B8"/>
    <w:rsid w:val="003958E4"/>
    <w:rsid w:val="00395934"/>
    <w:rsid w:val="0039595B"/>
    <w:rsid w:val="00395982"/>
    <w:rsid w:val="00395A24"/>
    <w:rsid w:val="00395B53"/>
    <w:rsid w:val="00395C26"/>
    <w:rsid w:val="00395C68"/>
    <w:rsid w:val="00395CA6"/>
    <w:rsid w:val="00395D7F"/>
    <w:rsid w:val="00395E55"/>
    <w:rsid w:val="00395E7D"/>
    <w:rsid w:val="00395F77"/>
    <w:rsid w:val="0039606F"/>
    <w:rsid w:val="00396077"/>
    <w:rsid w:val="003960C6"/>
    <w:rsid w:val="00396174"/>
    <w:rsid w:val="00396218"/>
    <w:rsid w:val="00396241"/>
    <w:rsid w:val="003962AD"/>
    <w:rsid w:val="003962BC"/>
    <w:rsid w:val="003963FD"/>
    <w:rsid w:val="003963FF"/>
    <w:rsid w:val="0039647D"/>
    <w:rsid w:val="0039655F"/>
    <w:rsid w:val="003965FE"/>
    <w:rsid w:val="00396603"/>
    <w:rsid w:val="0039666D"/>
    <w:rsid w:val="00396698"/>
    <w:rsid w:val="003966D2"/>
    <w:rsid w:val="003966E2"/>
    <w:rsid w:val="00396747"/>
    <w:rsid w:val="003967C6"/>
    <w:rsid w:val="00396876"/>
    <w:rsid w:val="0039696D"/>
    <w:rsid w:val="00396AB5"/>
    <w:rsid w:val="00396B0D"/>
    <w:rsid w:val="00396B24"/>
    <w:rsid w:val="00396B6A"/>
    <w:rsid w:val="00396C89"/>
    <w:rsid w:val="00396C9E"/>
    <w:rsid w:val="00396D3B"/>
    <w:rsid w:val="00396D87"/>
    <w:rsid w:val="00396D99"/>
    <w:rsid w:val="00396DBF"/>
    <w:rsid w:val="00396E12"/>
    <w:rsid w:val="00396F6A"/>
    <w:rsid w:val="00396FEA"/>
    <w:rsid w:val="00396FFD"/>
    <w:rsid w:val="00397036"/>
    <w:rsid w:val="00397072"/>
    <w:rsid w:val="00397112"/>
    <w:rsid w:val="00397194"/>
    <w:rsid w:val="003971F2"/>
    <w:rsid w:val="00397232"/>
    <w:rsid w:val="00397274"/>
    <w:rsid w:val="003972AD"/>
    <w:rsid w:val="003972C9"/>
    <w:rsid w:val="00397310"/>
    <w:rsid w:val="00397315"/>
    <w:rsid w:val="00397399"/>
    <w:rsid w:val="00397437"/>
    <w:rsid w:val="003974A3"/>
    <w:rsid w:val="003975CA"/>
    <w:rsid w:val="003975FA"/>
    <w:rsid w:val="00397626"/>
    <w:rsid w:val="003977F5"/>
    <w:rsid w:val="00397815"/>
    <w:rsid w:val="00397860"/>
    <w:rsid w:val="00397873"/>
    <w:rsid w:val="003978D4"/>
    <w:rsid w:val="0039798C"/>
    <w:rsid w:val="003979B0"/>
    <w:rsid w:val="00397A77"/>
    <w:rsid w:val="00397AC9"/>
    <w:rsid w:val="00397AE0"/>
    <w:rsid w:val="00397C00"/>
    <w:rsid w:val="00397C1F"/>
    <w:rsid w:val="00397D9D"/>
    <w:rsid w:val="00397E75"/>
    <w:rsid w:val="00397F0D"/>
    <w:rsid w:val="00397F3B"/>
    <w:rsid w:val="00397F3D"/>
    <w:rsid w:val="00397F4A"/>
    <w:rsid w:val="00397F92"/>
    <w:rsid w:val="003A0038"/>
    <w:rsid w:val="003A005F"/>
    <w:rsid w:val="003A0065"/>
    <w:rsid w:val="003A007B"/>
    <w:rsid w:val="003A00CB"/>
    <w:rsid w:val="003A00D5"/>
    <w:rsid w:val="003A00ED"/>
    <w:rsid w:val="003A011F"/>
    <w:rsid w:val="003A019A"/>
    <w:rsid w:val="003A024C"/>
    <w:rsid w:val="003A024D"/>
    <w:rsid w:val="003A0266"/>
    <w:rsid w:val="003A0287"/>
    <w:rsid w:val="003A02AC"/>
    <w:rsid w:val="003A02F1"/>
    <w:rsid w:val="003A0464"/>
    <w:rsid w:val="003A0504"/>
    <w:rsid w:val="003A0589"/>
    <w:rsid w:val="003A0604"/>
    <w:rsid w:val="003A06C5"/>
    <w:rsid w:val="003A07B8"/>
    <w:rsid w:val="003A080D"/>
    <w:rsid w:val="003A0876"/>
    <w:rsid w:val="003A0920"/>
    <w:rsid w:val="003A096D"/>
    <w:rsid w:val="003A09BB"/>
    <w:rsid w:val="003A0B21"/>
    <w:rsid w:val="003A0C18"/>
    <w:rsid w:val="003A0C90"/>
    <w:rsid w:val="003A0CC1"/>
    <w:rsid w:val="003A0DCB"/>
    <w:rsid w:val="003A0DF2"/>
    <w:rsid w:val="003A0E1F"/>
    <w:rsid w:val="003A0EDC"/>
    <w:rsid w:val="003A0FD4"/>
    <w:rsid w:val="003A1049"/>
    <w:rsid w:val="003A107B"/>
    <w:rsid w:val="003A10A8"/>
    <w:rsid w:val="003A1173"/>
    <w:rsid w:val="003A11FC"/>
    <w:rsid w:val="003A122A"/>
    <w:rsid w:val="003A12B3"/>
    <w:rsid w:val="003A130B"/>
    <w:rsid w:val="003A132D"/>
    <w:rsid w:val="003A1430"/>
    <w:rsid w:val="003A143C"/>
    <w:rsid w:val="003A148C"/>
    <w:rsid w:val="003A14D4"/>
    <w:rsid w:val="003A1550"/>
    <w:rsid w:val="003A1623"/>
    <w:rsid w:val="003A1632"/>
    <w:rsid w:val="003A1678"/>
    <w:rsid w:val="003A16A4"/>
    <w:rsid w:val="003A16B6"/>
    <w:rsid w:val="003A17AE"/>
    <w:rsid w:val="003A17B2"/>
    <w:rsid w:val="003A17C0"/>
    <w:rsid w:val="003A18E6"/>
    <w:rsid w:val="003A18F8"/>
    <w:rsid w:val="003A18FC"/>
    <w:rsid w:val="003A1907"/>
    <w:rsid w:val="003A194F"/>
    <w:rsid w:val="003A196F"/>
    <w:rsid w:val="003A19BE"/>
    <w:rsid w:val="003A1A46"/>
    <w:rsid w:val="003A1A6C"/>
    <w:rsid w:val="003A1A8C"/>
    <w:rsid w:val="003A1BFC"/>
    <w:rsid w:val="003A1C85"/>
    <w:rsid w:val="003A1CBF"/>
    <w:rsid w:val="003A1D68"/>
    <w:rsid w:val="003A1D9D"/>
    <w:rsid w:val="003A1E5D"/>
    <w:rsid w:val="003A1E67"/>
    <w:rsid w:val="003A1EE4"/>
    <w:rsid w:val="003A1EF7"/>
    <w:rsid w:val="003A1F02"/>
    <w:rsid w:val="003A1F34"/>
    <w:rsid w:val="003A2036"/>
    <w:rsid w:val="003A2071"/>
    <w:rsid w:val="003A20C0"/>
    <w:rsid w:val="003A219C"/>
    <w:rsid w:val="003A21C8"/>
    <w:rsid w:val="003A21E0"/>
    <w:rsid w:val="003A22D6"/>
    <w:rsid w:val="003A2345"/>
    <w:rsid w:val="003A2387"/>
    <w:rsid w:val="003A23E7"/>
    <w:rsid w:val="003A244D"/>
    <w:rsid w:val="003A2457"/>
    <w:rsid w:val="003A24B1"/>
    <w:rsid w:val="003A24F3"/>
    <w:rsid w:val="003A2521"/>
    <w:rsid w:val="003A25E3"/>
    <w:rsid w:val="003A2635"/>
    <w:rsid w:val="003A268F"/>
    <w:rsid w:val="003A26FE"/>
    <w:rsid w:val="003A2878"/>
    <w:rsid w:val="003A287D"/>
    <w:rsid w:val="003A28B1"/>
    <w:rsid w:val="003A28C5"/>
    <w:rsid w:val="003A28EE"/>
    <w:rsid w:val="003A291D"/>
    <w:rsid w:val="003A299D"/>
    <w:rsid w:val="003A2A46"/>
    <w:rsid w:val="003A2A6F"/>
    <w:rsid w:val="003A2AD2"/>
    <w:rsid w:val="003A2AE8"/>
    <w:rsid w:val="003A2B7A"/>
    <w:rsid w:val="003A2C53"/>
    <w:rsid w:val="003A2C7A"/>
    <w:rsid w:val="003A2C86"/>
    <w:rsid w:val="003A2C9C"/>
    <w:rsid w:val="003A2D3B"/>
    <w:rsid w:val="003A2DA8"/>
    <w:rsid w:val="003A2DB1"/>
    <w:rsid w:val="003A2DFC"/>
    <w:rsid w:val="003A2DFD"/>
    <w:rsid w:val="003A2E1E"/>
    <w:rsid w:val="003A2E67"/>
    <w:rsid w:val="003A2E75"/>
    <w:rsid w:val="003A2EA7"/>
    <w:rsid w:val="003A2F1A"/>
    <w:rsid w:val="003A308D"/>
    <w:rsid w:val="003A30A7"/>
    <w:rsid w:val="003A30E3"/>
    <w:rsid w:val="003A3168"/>
    <w:rsid w:val="003A316E"/>
    <w:rsid w:val="003A319D"/>
    <w:rsid w:val="003A31B9"/>
    <w:rsid w:val="003A32AD"/>
    <w:rsid w:val="003A32EB"/>
    <w:rsid w:val="003A32ED"/>
    <w:rsid w:val="003A3300"/>
    <w:rsid w:val="003A3319"/>
    <w:rsid w:val="003A3459"/>
    <w:rsid w:val="003A347A"/>
    <w:rsid w:val="003A34C6"/>
    <w:rsid w:val="003A351B"/>
    <w:rsid w:val="003A354B"/>
    <w:rsid w:val="003A3637"/>
    <w:rsid w:val="003A3669"/>
    <w:rsid w:val="003A368F"/>
    <w:rsid w:val="003A3767"/>
    <w:rsid w:val="003A3786"/>
    <w:rsid w:val="003A3789"/>
    <w:rsid w:val="003A3795"/>
    <w:rsid w:val="003A37B0"/>
    <w:rsid w:val="003A37DA"/>
    <w:rsid w:val="003A381A"/>
    <w:rsid w:val="003A381B"/>
    <w:rsid w:val="003A3955"/>
    <w:rsid w:val="003A3976"/>
    <w:rsid w:val="003A39A6"/>
    <w:rsid w:val="003A39C6"/>
    <w:rsid w:val="003A3A35"/>
    <w:rsid w:val="003A3ADE"/>
    <w:rsid w:val="003A3AE6"/>
    <w:rsid w:val="003A3B6E"/>
    <w:rsid w:val="003A3CC6"/>
    <w:rsid w:val="003A3D05"/>
    <w:rsid w:val="003A3F0D"/>
    <w:rsid w:val="003A3FB7"/>
    <w:rsid w:val="003A4110"/>
    <w:rsid w:val="003A4182"/>
    <w:rsid w:val="003A41E8"/>
    <w:rsid w:val="003A420F"/>
    <w:rsid w:val="003A4401"/>
    <w:rsid w:val="003A4467"/>
    <w:rsid w:val="003A4496"/>
    <w:rsid w:val="003A44DA"/>
    <w:rsid w:val="003A4503"/>
    <w:rsid w:val="003A4538"/>
    <w:rsid w:val="003A4604"/>
    <w:rsid w:val="003A4605"/>
    <w:rsid w:val="003A466A"/>
    <w:rsid w:val="003A4764"/>
    <w:rsid w:val="003A476E"/>
    <w:rsid w:val="003A4817"/>
    <w:rsid w:val="003A492C"/>
    <w:rsid w:val="003A4B0A"/>
    <w:rsid w:val="003A4BAC"/>
    <w:rsid w:val="003A4C8A"/>
    <w:rsid w:val="003A4CA5"/>
    <w:rsid w:val="003A4D38"/>
    <w:rsid w:val="003A4DCC"/>
    <w:rsid w:val="003A4DE7"/>
    <w:rsid w:val="003A4E47"/>
    <w:rsid w:val="003A4E94"/>
    <w:rsid w:val="003A4E9F"/>
    <w:rsid w:val="003A4EFC"/>
    <w:rsid w:val="003A4F17"/>
    <w:rsid w:val="003A4F89"/>
    <w:rsid w:val="003A5062"/>
    <w:rsid w:val="003A5193"/>
    <w:rsid w:val="003A51A3"/>
    <w:rsid w:val="003A51A8"/>
    <w:rsid w:val="003A51E8"/>
    <w:rsid w:val="003A521D"/>
    <w:rsid w:val="003A5243"/>
    <w:rsid w:val="003A528E"/>
    <w:rsid w:val="003A5373"/>
    <w:rsid w:val="003A53A2"/>
    <w:rsid w:val="003A5417"/>
    <w:rsid w:val="003A5431"/>
    <w:rsid w:val="003A5459"/>
    <w:rsid w:val="003A548F"/>
    <w:rsid w:val="003A54C2"/>
    <w:rsid w:val="003A54D8"/>
    <w:rsid w:val="003A54D9"/>
    <w:rsid w:val="003A5512"/>
    <w:rsid w:val="003A552E"/>
    <w:rsid w:val="003A55B9"/>
    <w:rsid w:val="003A56C2"/>
    <w:rsid w:val="003A5738"/>
    <w:rsid w:val="003A575B"/>
    <w:rsid w:val="003A57AC"/>
    <w:rsid w:val="003A57F7"/>
    <w:rsid w:val="003A5840"/>
    <w:rsid w:val="003A5844"/>
    <w:rsid w:val="003A5A5B"/>
    <w:rsid w:val="003A5AB4"/>
    <w:rsid w:val="003A5AE7"/>
    <w:rsid w:val="003A5C0C"/>
    <w:rsid w:val="003A5C36"/>
    <w:rsid w:val="003A5C6C"/>
    <w:rsid w:val="003A5CD9"/>
    <w:rsid w:val="003A5D25"/>
    <w:rsid w:val="003A5D39"/>
    <w:rsid w:val="003A5D7D"/>
    <w:rsid w:val="003A5E24"/>
    <w:rsid w:val="003A5E3F"/>
    <w:rsid w:val="003A5EDA"/>
    <w:rsid w:val="003A5F40"/>
    <w:rsid w:val="003A5F92"/>
    <w:rsid w:val="003A5FCA"/>
    <w:rsid w:val="003A6016"/>
    <w:rsid w:val="003A6053"/>
    <w:rsid w:val="003A60BC"/>
    <w:rsid w:val="003A611D"/>
    <w:rsid w:val="003A6160"/>
    <w:rsid w:val="003A618A"/>
    <w:rsid w:val="003A61B1"/>
    <w:rsid w:val="003A61D3"/>
    <w:rsid w:val="003A61F1"/>
    <w:rsid w:val="003A6226"/>
    <w:rsid w:val="003A6229"/>
    <w:rsid w:val="003A622C"/>
    <w:rsid w:val="003A62D7"/>
    <w:rsid w:val="003A63D1"/>
    <w:rsid w:val="003A6467"/>
    <w:rsid w:val="003A646D"/>
    <w:rsid w:val="003A6481"/>
    <w:rsid w:val="003A64F4"/>
    <w:rsid w:val="003A653D"/>
    <w:rsid w:val="003A65AF"/>
    <w:rsid w:val="003A65C7"/>
    <w:rsid w:val="003A6653"/>
    <w:rsid w:val="003A6681"/>
    <w:rsid w:val="003A669F"/>
    <w:rsid w:val="003A6759"/>
    <w:rsid w:val="003A6784"/>
    <w:rsid w:val="003A68E1"/>
    <w:rsid w:val="003A68F1"/>
    <w:rsid w:val="003A68FF"/>
    <w:rsid w:val="003A69C4"/>
    <w:rsid w:val="003A6A20"/>
    <w:rsid w:val="003A6A21"/>
    <w:rsid w:val="003A6A4F"/>
    <w:rsid w:val="003A6B49"/>
    <w:rsid w:val="003A6BC0"/>
    <w:rsid w:val="003A6BC3"/>
    <w:rsid w:val="003A6BCC"/>
    <w:rsid w:val="003A6C11"/>
    <w:rsid w:val="003A6D19"/>
    <w:rsid w:val="003A6E2B"/>
    <w:rsid w:val="003A6E4D"/>
    <w:rsid w:val="003A6E9C"/>
    <w:rsid w:val="003A6FCE"/>
    <w:rsid w:val="003A6FD6"/>
    <w:rsid w:val="003A708E"/>
    <w:rsid w:val="003A709C"/>
    <w:rsid w:val="003A70D4"/>
    <w:rsid w:val="003A7138"/>
    <w:rsid w:val="003A7170"/>
    <w:rsid w:val="003A71F7"/>
    <w:rsid w:val="003A7244"/>
    <w:rsid w:val="003A729F"/>
    <w:rsid w:val="003A72C2"/>
    <w:rsid w:val="003A7347"/>
    <w:rsid w:val="003A734D"/>
    <w:rsid w:val="003A7389"/>
    <w:rsid w:val="003A7408"/>
    <w:rsid w:val="003A741A"/>
    <w:rsid w:val="003A7463"/>
    <w:rsid w:val="003A74BD"/>
    <w:rsid w:val="003A74CE"/>
    <w:rsid w:val="003A7636"/>
    <w:rsid w:val="003A7638"/>
    <w:rsid w:val="003A7645"/>
    <w:rsid w:val="003A7690"/>
    <w:rsid w:val="003A769F"/>
    <w:rsid w:val="003A7710"/>
    <w:rsid w:val="003A7755"/>
    <w:rsid w:val="003A7798"/>
    <w:rsid w:val="003A780A"/>
    <w:rsid w:val="003A799C"/>
    <w:rsid w:val="003A79C1"/>
    <w:rsid w:val="003A7A1F"/>
    <w:rsid w:val="003A7B20"/>
    <w:rsid w:val="003A7B86"/>
    <w:rsid w:val="003A7C04"/>
    <w:rsid w:val="003A7C29"/>
    <w:rsid w:val="003A7C2B"/>
    <w:rsid w:val="003A7D46"/>
    <w:rsid w:val="003A7D47"/>
    <w:rsid w:val="003A7DE5"/>
    <w:rsid w:val="003A7E16"/>
    <w:rsid w:val="003A7E9A"/>
    <w:rsid w:val="003A7EDC"/>
    <w:rsid w:val="003A7F15"/>
    <w:rsid w:val="003A7F76"/>
    <w:rsid w:val="003A7F97"/>
    <w:rsid w:val="003B00CE"/>
    <w:rsid w:val="003B018B"/>
    <w:rsid w:val="003B0205"/>
    <w:rsid w:val="003B021B"/>
    <w:rsid w:val="003B023E"/>
    <w:rsid w:val="003B0271"/>
    <w:rsid w:val="003B02B8"/>
    <w:rsid w:val="003B0370"/>
    <w:rsid w:val="003B0440"/>
    <w:rsid w:val="003B04F3"/>
    <w:rsid w:val="003B0532"/>
    <w:rsid w:val="003B0569"/>
    <w:rsid w:val="003B05EF"/>
    <w:rsid w:val="003B063A"/>
    <w:rsid w:val="003B06FF"/>
    <w:rsid w:val="003B0718"/>
    <w:rsid w:val="003B0752"/>
    <w:rsid w:val="003B0859"/>
    <w:rsid w:val="003B085F"/>
    <w:rsid w:val="003B089D"/>
    <w:rsid w:val="003B08C1"/>
    <w:rsid w:val="003B0982"/>
    <w:rsid w:val="003B09F2"/>
    <w:rsid w:val="003B0A17"/>
    <w:rsid w:val="003B0ACA"/>
    <w:rsid w:val="003B0AD3"/>
    <w:rsid w:val="003B0AFC"/>
    <w:rsid w:val="003B0B42"/>
    <w:rsid w:val="003B0B6A"/>
    <w:rsid w:val="003B0B80"/>
    <w:rsid w:val="003B0B94"/>
    <w:rsid w:val="003B0BA9"/>
    <w:rsid w:val="003B0BAF"/>
    <w:rsid w:val="003B0BCF"/>
    <w:rsid w:val="003B0C2E"/>
    <w:rsid w:val="003B0C47"/>
    <w:rsid w:val="003B0C9A"/>
    <w:rsid w:val="003B0CAC"/>
    <w:rsid w:val="003B0CBE"/>
    <w:rsid w:val="003B0D02"/>
    <w:rsid w:val="003B0D15"/>
    <w:rsid w:val="003B0D47"/>
    <w:rsid w:val="003B0D68"/>
    <w:rsid w:val="003B0DA6"/>
    <w:rsid w:val="003B0DB8"/>
    <w:rsid w:val="003B0DC1"/>
    <w:rsid w:val="003B0DEA"/>
    <w:rsid w:val="003B0E6A"/>
    <w:rsid w:val="003B0EA1"/>
    <w:rsid w:val="003B0FFC"/>
    <w:rsid w:val="003B1059"/>
    <w:rsid w:val="003B108F"/>
    <w:rsid w:val="003B10A3"/>
    <w:rsid w:val="003B10DB"/>
    <w:rsid w:val="003B1144"/>
    <w:rsid w:val="003B11BB"/>
    <w:rsid w:val="003B11ED"/>
    <w:rsid w:val="003B122C"/>
    <w:rsid w:val="003B1254"/>
    <w:rsid w:val="003B126A"/>
    <w:rsid w:val="003B1272"/>
    <w:rsid w:val="003B12D4"/>
    <w:rsid w:val="003B12E8"/>
    <w:rsid w:val="003B1368"/>
    <w:rsid w:val="003B13B0"/>
    <w:rsid w:val="003B13C3"/>
    <w:rsid w:val="003B1402"/>
    <w:rsid w:val="003B158A"/>
    <w:rsid w:val="003B1727"/>
    <w:rsid w:val="003B178A"/>
    <w:rsid w:val="003B179B"/>
    <w:rsid w:val="003B17DF"/>
    <w:rsid w:val="003B1851"/>
    <w:rsid w:val="003B18C6"/>
    <w:rsid w:val="003B1996"/>
    <w:rsid w:val="003B19E6"/>
    <w:rsid w:val="003B1A03"/>
    <w:rsid w:val="003B1A9F"/>
    <w:rsid w:val="003B1B0F"/>
    <w:rsid w:val="003B1B6D"/>
    <w:rsid w:val="003B1C53"/>
    <w:rsid w:val="003B1CBF"/>
    <w:rsid w:val="003B1D6A"/>
    <w:rsid w:val="003B1E0C"/>
    <w:rsid w:val="003B1E71"/>
    <w:rsid w:val="003B1F0D"/>
    <w:rsid w:val="003B1F4C"/>
    <w:rsid w:val="003B1F55"/>
    <w:rsid w:val="003B1FAD"/>
    <w:rsid w:val="003B204C"/>
    <w:rsid w:val="003B2051"/>
    <w:rsid w:val="003B2058"/>
    <w:rsid w:val="003B2095"/>
    <w:rsid w:val="003B214E"/>
    <w:rsid w:val="003B219F"/>
    <w:rsid w:val="003B21E9"/>
    <w:rsid w:val="003B21F1"/>
    <w:rsid w:val="003B21F8"/>
    <w:rsid w:val="003B2211"/>
    <w:rsid w:val="003B2275"/>
    <w:rsid w:val="003B22E4"/>
    <w:rsid w:val="003B230E"/>
    <w:rsid w:val="003B2329"/>
    <w:rsid w:val="003B234F"/>
    <w:rsid w:val="003B23C9"/>
    <w:rsid w:val="003B23CD"/>
    <w:rsid w:val="003B23FA"/>
    <w:rsid w:val="003B241A"/>
    <w:rsid w:val="003B24C4"/>
    <w:rsid w:val="003B24D2"/>
    <w:rsid w:val="003B258B"/>
    <w:rsid w:val="003B25AB"/>
    <w:rsid w:val="003B25D8"/>
    <w:rsid w:val="003B260D"/>
    <w:rsid w:val="003B2651"/>
    <w:rsid w:val="003B278A"/>
    <w:rsid w:val="003B2863"/>
    <w:rsid w:val="003B296E"/>
    <w:rsid w:val="003B298F"/>
    <w:rsid w:val="003B29BA"/>
    <w:rsid w:val="003B2A28"/>
    <w:rsid w:val="003B2A43"/>
    <w:rsid w:val="003B2AF3"/>
    <w:rsid w:val="003B2C0A"/>
    <w:rsid w:val="003B2D98"/>
    <w:rsid w:val="003B2E6C"/>
    <w:rsid w:val="003B302C"/>
    <w:rsid w:val="003B3043"/>
    <w:rsid w:val="003B3064"/>
    <w:rsid w:val="003B308C"/>
    <w:rsid w:val="003B3112"/>
    <w:rsid w:val="003B315B"/>
    <w:rsid w:val="003B31BF"/>
    <w:rsid w:val="003B3225"/>
    <w:rsid w:val="003B326F"/>
    <w:rsid w:val="003B338A"/>
    <w:rsid w:val="003B3391"/>
    <w:rsid w:val="003B33D9"/>
    <w:rsid w:val="003B351C"/>
    <w:rsid w:val="003B3580"/>
    <w:rsid w:val="003B35CF"/>
    <w:rsid w:val="003B35DC"/>
    <w:rsid w:val="003B3686"/>
    <w:rsid w:val="003B36F6"/>
    <w:rsid w:val="003B36FD"/>
    <w:rsid w:val="003B38B5"/>
    <w:rsid w:val="003B3A6D"/>
    <w:rsid w:val="003B3A93"/>
    <w:rsid w:val="003B3A99"/>
    <w:rsid w:val="003B3AAD"/>
    <w:rsid w:val="003B3ABE"/>
    <w:rsid w:val="003B3BB7"/>
    <w:rsid w:val="003B3C09"/>
    <w:rsid w:val="003B3CE7"/>
    <w:rsid w:val="003B3D86"/>
    <w:rsid w:val="003B3D9E"/>
    <w:rsid w:val="003B3DA5"/>
    <w:rsid w:val="003B3E04"/>
    <w:rsid w:val="003B3E2B"/>
    <w:rsid w:val="003B3EFB"/>
    <w:rsid w:val="003B3FF6"/>
    <w:rsid w:val="003B4036"/>
    <w:rsid w:val="003B4049"/>
    <w:rsid w:val="003B4093"/>
    <w:rsid w:val="003B40B5"/>
    <w:rsid w:val="003B40E9"/>
    <w:rsid w:val="003B413A"/>
    <w:rsid w:val="003B427A"/>
    <w:rsid w:val="003B42C9"/>
    <w:rsid w:val="003B42DD"/>
    <w:rsid w:val="003B433E"/>
    <w:rsid w:val="003B436B"/>
    <w:rsid w:val="003B446B"/>
    <w:rsid w:val="003B4493"/>
    <w:rsid w:val="003B44A8"/>
    <w:rsid w:val="003B44FE"/>
    <w:rsid w:val="003B4521"/>
    <w:rsid w:val="003B4574"/>
    <w:rsid w:val="003B45D3"/>
    <w:rsid w:val="003B4641"/>
    <w:rsid w:val="003B475A"/>
    <w:rsid w:val="003B475C"/>
    <w:rsid w:val="003B4782"/>
    <w:rsid w:val="003B496B"/>
    <w:rsid w:val="003B497B"/>
    <w:rsid w:val="003B49A4"/>
    <w:rsid w:val="003B4A06"/>
    <w:rsid w:val="003B4A9A"/>
    <w:rsid w:val="003B4B25"/>
    <w:rsid w:val="003B4B52"/>
    <w:rsid w:val="003B4B8A"/>
    <w:rsid w:val="003B4C2A"/>
    <w:rsid w:val="003B4C76"/>
    <w:rsid w:val="003B4D3E"/>
    <w:rsid w:val="003B4D62"/>
    <w:rsid w:val="003B4DF9"/>
    <w:rsid w:val="003B4E32"/>
    <w:rsid w:val="003B4ED2"/>
    <w:rsid w:val="003B4EE3"/>
    <w:rsid w:val="003B4EE6"/>
    <w:rsid w:val="003B4FCC"/>
    <w:rsid w:val="003B5004"/>
    <w:rsid w:val="003B514F"/>
    <w:rsid w:val="003B51C3"/>
    <w:rsid w:val="003B52AF"/>
    <w:rsid w:val="003B533E"/>
    <w:rsid w:val="003B53F3"/>
    <w:rsid w:val="003B54D1"/>
    <w:rsid w:val="003B54D7"/>
    <w:rsid w:val="003B5500"/>
    <w:rsid w:val="003B55EF"/>
    <w:rsid w:val="003B5606"/>
    <w:rsid w:val="003B5645"/>
    <w:rsid w:val="003B5650"/>
    <w:rsid w:val="003B5676"/>
    <w:rsid w:val="003B569C"/>
    <w:rsid w:val="003B5723"/>
    <w:rsid w:val="003B5739"/>
    <w:rsid w:val="003B5760"/>
    <w:rsid w:val="003B57F1"/>
    <w:rsid w:val="003B57FF"/>
    <w:rsid w:val="003B581E"/>
    <w:rsid w:val="003B5873"/>
    <w:rsid w:val="003B58D7"/>
    <w:rsid w:val="003B5915"/>
    <w:rsid w:val="003B596A"/>
    <w:rsid w:val="003B59CA"/>
    <w:rsid w:val="003B59DF"/>
    <w:rsid w:val="003B5A04"/>
    <w:rsid w:val="003B5A33"/>
    <w:rsid w:val="003B5A37"/>
    <w:rsid w:val="003B5A64"/>
    <w:rsid w:val="003B5A85"/>
    <w:rsid w:val="003B5B73"/>
    <w:rsid w:val="003B5B9F"/>
    <w:rsid w:val="003B5C1A"/>
    <w:rsid w:val="003B5D10"/>
    <w:rsid w:val="003B5D3D"/>
    <w:rsid w:val="003B5DA6"/>
    <w:rsid w:val="003B5E46"/>
    <w:rsid w:val="003B5E69"/>
    <w:rsid w:val="003B5E96"/>
    <w:rsid w:val="003B5EB5"/>
    <w:rsid w:val="003B5EDA"/>
    <w:rsid w:val="003B5EF2"/>
    <w:rsid w:val="003B5F6B"/>
    <w:rsid w:val="003B5FB9"/>
    <w:rsid w:val="003B60EF"/>
    <w:rsid w:val="003B60F4"/>
    <w:rsid w:val="003B619F"/>
    <w:rsid w:val="003B61BD"/>
    <w:rsid w:val="003B61EF"/>
    <w:rsid w:val="003B6217"/>
    <w:rsid w:val="003B6249"/>
    <w:rsid w:val="003B6266"/>
    <w:rsid w:val="003B62C5"/>
    <w:rsid w:val="003B631E"/>
    <w:rsid w:val="003B641E"/>
    <w:rsid w:val="003B6451"/>
    <w:rsid w:val="003B6454"/>
    <w:rsid w:val="003B64CF"/>
    <w:rsid w:val="003B64D3"/>
    <w:rsid w:val="003B6737"/>
    <w:rsid w:val="003B6795"/>
    <w:rsid w:val="003B6854"/>
    <w:rsid w:val="003B6880"/>
    <w:rsid w:val="003B6883"/>
    <w:rsid w:val="003B68B8"/>
    <w:rsid w:val="003B68FF"/>
    <w:rsid w:val="003B69BF"/>
    <w:rsid w:val="003B69FA"/>
    <w:rsid w:val="003B6A40"/>
    <w:rsid w:val="003B6C8B"/>
    <w:rsid w:val="003B6D36"/>
    <w:rsid w:val="003B6D6E"/>
    <w:rsid w:val="003B6D81"/>
    <w:rsid w:val="003B6DDE"/>
    <w:rsid w:val="003B6DEC"/>
    <w:rsid w:val="003B6F01"/>
    <w:rsid w:val="003B7085"/>
    <w:rsid w:val="003B710C"/>
    <w:rsid w:val="003B713D"/>
    <w:rsid w:val="003B714B"/>
    <w:rsid w:val="003B714F"/>
    <w:rsid w:val="003B71B1"/>
    <w:rsid w:val="003B71C0"/>
    <w:rsid w:val="003B71D5"/>
    <w:rsid w:val="003B71EF"/>
    <w:rsid w:val="003B727F"/>
    <w:rsid w:val="003B72FC"/>
    <w:rsid w:val="003B7341"/>
    <w:rsid w:val="003B738E"/>
    <w:rsid w:val="003B73FE"/>
    <w:rsid w:val="003B749C"/>
    <w:rsid w:val="003B74C1"/>
    <w:rsid w:val="003B7512"/>
    <w:rsid w:val="003B7541"/>
    <w:rsid w:val="003B7605"/>
    <w:rsid w:val="003B7628"/>
    <w:rsid w:val="003B769B"/>
    <w:rsid w:val="003B76A9"/>
    <w:rsid w:val="003B76AF"/>
    <w:rsid w:val="003B76DE"/>
    <w:rsid w:val="003B7875"/>
    <w:rsid w:val="003B7893"/>
    <w:rsid w:val="003B78AC"/>
    <w:rsid w:val="003B7910"/>
    <w:rsid w:val="003B799B"/>
    <w:rsid w:val="003B799D"/>
    <w:rsid w:val="003B7A3A"/>
    <w:rsid w:val="003B7A4E"/>
    <w:rsid w:val="003B7AC7"/>
    <w:rsid w:val="003B7AF6"/>
    <w:rsid w:val="003B7B90"/>
    <w:rsid w:val="003B7D54"/>
    <w:rsid w:val="003B7DAA"/>
    <w:rsid w:val="003B7DBA"/>
    <w:rsid w:val="003B7DCC"/>
    <w:rsid w:val="003B7DE7"/>
    <w:rsid w:val="003B7EDA"/>
    <w:rsid w:val="003B7F24"/>
    <w:rsid w:val="003B7F79"/>
    <w:rsid w:val="003B7FAF"/>
    <w:rsid w:val="003B7FB5"/>
    <w:rsid w:val="003C0077"/>
    <w:rsid w:val="003C00A7"/>
    <w:rsid w:val="003C0105"/>
    <w:rsid w:val="003C0138"/>
    <w:rsid w:val="003C02C6"/>
    <w:rsid w:val="003C02D6"/>
    <w:rsid w:val="003C03D2"/>
    <w:rsid w:val="003C0493"/>
    <w:rsid w:val="003C0555"/>
    <w:rsid w:val="003C0671"/>
    <w:rsid w:val="003C06F5"/>
    <w:rsid w:val="003C0797"/>
    <w:rsid w:val="003C07A4"/>
    <w:rsid w:val="003C07E7"/>
    <w:rsid w:val="003C0861"/>
    <w:rsid w:val="003C088B"/>
    <w:rsid w:val="003C08A3"/>
    <w:rsid w:val="003C08DB"/>
    <w:rsid w:val="003C08E2"/>
    <w:rsid w:val="003C0915"/>
    <w:rsid w:val="003C097D"/>
    <w:rsid w:val="003C0A3B"/>
    <w:rsid w:val="003C0A71"/>
    <w:rsid w:val="003C0B31"/>
    <w:rsid w:val="003C0B5D"/>
    <w:rsid w:val="003C0B9E"/>
    <w:rsid w:val="003C0C2D"/>
    <w:rsid w:val="003C0D26"/>
    <w:rsid w:val="003C0D88"/>
    <w:rsid w:val="003C0DFA"/>
    <w:rsid w:val="003C0E10"/>
    <w:rsid w:val="003C0E34"/>
    <w:rsid w:val="003C0F82"/>
    <w:rsid w:val="003C0F83"/>
    <w:rsid w:val="003C0FBB"/>
    <w:rsid w:val="003C10C1"/>
    <w:rsid w:val="003C10C7"/>
    <w:rsid w:val="003C118C"/>
    <w:rsid w:val="003C11C7"/>
    <w:rsid w:val="003C11EB"/>
    <w:rsid w:val="003C12B0"/>
    <w:rsid w:val="003C12F9"/>
    <w:rsid w:val="003C1308"/>
    <w:rsid w:val="003C138D"/>
    <w:rsid w:val="003C139C"/>
    <w:rsid w:val="003C1405"/>
    <w:rsid w:val="003C1495"/>
    <w:rsid w:val="003C14FD"/>
    <w:rsid w:val="003C14FF"/>
    <w:rsid w:val="003C1509"/>
    <w:rsid w:val="003C153B"/>
    <w:rsid w:val="003C15F8"/>
    <w:rsid w:val="003C167F"/>
    <w:rsid w:val="003C1708"/>
    <w:rsid w:val="003C1716"/>
    <w:rsid w:val="003C1719"/>
    <w:rsid w:val="003C175C"/>
    <w:rsid w:val="003C177E"/>
    <w:rsid w:val="003C1803"/>
    <w:rsid w:val="003C183D"/>
    <w:rsid w:val="003C18D0"/>
    <w:rsid w:val="003C18FC"/>
    <w:rsid w:val="003C1A19"/>
    <w:rsid w:val="003C1A42"/>
    <w:rsid w:val="003C1A59"/>
    <w:rsid w:val="003C1A5D"/>
    <w:rsid w:val="003C1A7E"/>
    <w:rsid w:val="003C1B09"/>
    <w:rsid w:val="003C1B16"/>
    <w:rsid w:val="003C1B4B"/>
    <w:rsid w:val="003C1B6D"/>
    <w:rsid w:val="003C1B81"/>
    <w:rsid w:val="003C1B9D"/>
    <w:rsid w:val="003C1BEB"/>
    <w:rsid w:val="003C1C3C"/>
    <w:rsid w:val="003C1C45"/>
    <w:rsid w:val="003C1D13"/>
    <w:rsid w:val="003C1D1D"/>
    <w:rsid w:val="003C1D90"/>
    <w:rsid w:val="003C1E69"/>
    <w:rsid w:val="003C1E83"/>
    <w:rsid w:val="003C1FBC"/>
    <w:rsid w:val="003C207A"/>
    <w:rsid w:val="003C2097"/>
    <w:rsid w:val="003C209E"/>
    <w:rsid w:val="003C21A9"/>
    <w:rsid w:val="003C2207"/>
    <w:rsid w:val="003C22AD"/>
    <w:rsid w:val="003C22DF"/>
    <w:rsid w:val="003C2305"/>
    <w:rsid w:val="003C230D"/>
    <w:rsid w:val="003C233A"/>
    <w:rsid w:val="003C233C"/>
    <w:rsid w:val="003C237C"/>
    <w:rsid w:val="003C23CD"/>
    <w:rsid w:val="003C23E9"/>
    <w:rsid w:val="003C2424"/>
    <w:rsid w:val="003C2430"/>
    <w:rsid w:val="003C243D"/>
    <w:rsid w:val="003C24D4"/>
    <w:rsid w:val="003C251C"/>
    <w:rsid w:val="003C25FC"/>
    <w:rsid w:val="003C260C"/>
    <w:rsid w:val="003C2669"/>
    <w:rsid w:val="003C268B"/>
    <w:rsid w:val="003C26D6"/>
    <w:rsid w:val="003C26EE"/>
    <w:rsid w:val="003C270B"/>
    <w:rsid w:val="003C2747"/>
    <w:rsid w:val="003C2766"/>
    <w:rsid w:val="003C27F1"/>
    <w:rsid w:val="003C280B"/>
    <w:rsid w:val="003C282D"/>
    <w:rsid w:val="003C284F"/>
    <w:rsid w:val="003C2889"/>
    <w:rsid w:val="003C28C2"/>
    <w:rsid w:val="003C28D4"/>
    <w:rsid w:val="003C291C"/>
    <w:rsid w:val="003C2A11"/>
    <w:rsid w:val="003C2B0F"/>
    <w:rsid w:val="003C2BD5"/>
    <w:rsid w:val="003C2BF1"/>
    <w:rsid w:val="003C2CAB"/>
    <w:rsid w:val="003C2D35"/>
    <w:rsid w:val="003C2D5F"/>
    <w:rsid w:val="003C2DA9"/>
    <w:rsid w:val="003C2DD6"/>
    <w:rsid w:val="003C2E1B"/>
    <w:rsid w:val="003C2E83"/>
    <w:rsid w:val="003C2ED1"/>
    <w:rsid w:val="003C2F3C"/>
    <w:rsid w:val="003C2FF2"/>
    <w:rsid w:val="003C30C1"/>
    <w:rsid w:val="003C311C"/>
    <w:rsid w:val="003C319E"/>
    <w:rsid w:val="003C31B9"/>
    <w:rsid w:val="003C3224"/>
    <w:rsid w:val="003C326B"/>
    <w:rsid w:val="003C3290"/>
    <w:rsid w:val="003C342A"/>
    <w:rsid w:val="003C34AD"/>
    <w:rsid w:val="003C34BC"/>
    <w:rsid w:val="003C3563"/>
    <w:rsid w:val="003C36F8"/>
    <w:rsid w:val="003C3714"/>
    <w:rsid w:val="003C3782"/>
    <w:rsid w:val="003C3833"/>
    <w:rsid w:val="003C38B1"/>
    <w:rsid w:val="003C38BE"/>
    <w:rsid w:val="003C3B73"/>
    <w:rsid w:val="003C3B8C"/>
    <w:rsid w:val="003C3B8E"/>
    <w:rsid w:val="003C3BB4"/>
    <w:rsid w:val="003C3C6F"/>
    <w:rsid w:val="003C3C7A"/>
    <w:rsid w:val="003C3D6E"/>
    <w:rsid w:val="003C3D9C"/>
    <w:rsid w:val="003C3E4A"/>
    <w:rsid w:val="003C3E63"/>
    <w:rsid w:val="003C3EA0"/>
    <w:rsid w:val="003C3F29"/>
    <w:rsid w:val="003C3F91"/>
    <w:rsid w:val="003C3FCE"/>
    <w:rsid w:val="003C3FE3"/>
    <w:rsid w:val="003C40BF"/>
    <w:rsid w:val="003C4125"/>
    <w:rsid w:val="003C413A"/>
    <w:rsid w:val="003C4261"/>
    <w:rsid w:val="003C430A"/>
    <w:rsid w:val="003C435C"/>
    <w:rsid w:val="003C43AD"/>
    <w:rsid w:val="003C43F7"/>
    <w:rsid w:val="003C4495"/>
    <w:rsid w:val="003C44A1"/>
    <w:rsid w:val="003C450C"/>
    <w:rsid w:val="003C4557"/>
    <w:rsid w:val="003C4585"/>
    <w:rsid w:val="003C4634"/>
    <w:rsid w:val="003C46C1"/>
    <w:rsid w:val="003C4732"/>
    <w:rsid w:val="003C4860"/>
    <w:rsid w:val="003C48DF"/>
    <w:rsid w:val="003C4A26"/>
    <w:rsid w:val="003C4AD6"/>
    <w:rsid w:val="003C4AEA"/>
    <w:rsid w:val="003C4B7E"/>
    <w:rsid w:val="003C4B97"/>
    <w:rsid w:val="003C4BAD"/>
    <w:rsid w:val="003C4C5D"/>
    <w:rsid w:val="003C4C8E"/>
    <w:rsid w:val="003C4CDC"/>
    <w:rsid w:val="003C4CF4"/>
    <w:rsid w:val="003C4DD6"/>
    <w:rsid w:val="003C4EF9"/>
    <w:rsid w:val="003C4F00"/>
    <w:rsid w:val="003C4F66"/>
    <w:rsid w:val="003C4FCE"/>
    <w:rsid w:val="003C4FEE"/>
    <w:rsid w:val="003C5011"/>
    <w:rsid w:val="003C5066"/>
    <w:rsid w:val="003C50EF"/>
    <w:rsid w:val="003C519A"/>
    <w:rsid w:val="003C523E"/>
    <w:rsid w:val="003C5253"/>
    <w:rsid w:val="003C52CD"/>
    <w:rsid w:val="003C5341"/>
    <w:rsid w:val="003C53A9"/>
    <w:rsid w:val="003C53FE"/>
    <w:rsid w:val="003C5490"/>
    <w:rsid w:val="003C5563"/>
    <w:rsid w:val="003C56B0"/>
    <w:rsid w:val="003C56FE"/>
    <w:rsid w:val="003C5732"/>
    <w:rsid w:val="003C5783"/>
    <w:rsid w:val="003C5786"/>
    <w:rsid w:val="003C57D4"/>
    <w:rsid w:val="003C5803"/>
    <w:rsid w:val="003C580D"/>
    <w:rsid w:val="003C5813"/>
    <w:rsid w:val="003C5893"/>
    <w:rsid w:val="003C58A4"/>
    <w:rsid w:val="003C5910"/>
    <w:rsid w:val="003C5962"/>
    <w:rsid w:val="003C5BE4"/>
    <w:rsid w:val="003C5C05"/>
    <w:rsid w:val="003C5C28"/>
    <w:rsid w:val="003C5C4C"/>
    <w:rsid w:val="003C5CC2"/>
    <w:rsid w:val="003C5D2E"/>
    <w:rsid w:val="003C5DBA"/>
    <w:rsid w:val="003C5E09"/>
    <w:rsid w:val="003C5E41"/>
    <w:rsid w:val="003C5F04"/>
    <w:rsid w:val="003C5FD9"/>
    <w:rsid w:val="003C6042"/>
    <w:rsid w:val="003C621B"/>
    <w:rsid w:val="003C624C"/>
    <w:rsid w:val="003C626A"/>
    <w:rsid w:val="003C62B4"/>
    <w:rsid w:val="003C62DC"/>
    <w:rsid w:val="003C6406"/>
    <w:rsid w:val="003C6435"/>
    <w:rsid w:val="003C6441"/>
    <w:rsid w:val="003C6488"/>
    <w:rsid w:val="003C648C"/>
    <w:rsid w:val="003C6496"/>
    <w:rsid w:val="003C64C3"/>
    <w:rsid w:val="003C64CB"/>
    <w:rsid w:val="003C651D"/>
    <w:rsid w:val="003C65F7"/>
    <w:rsid w:val="003C65F8"/>
    <w:rsid w:val="003C6633"/>
    <w:rsid w:val="003C6673"/>
    <w:rsid w:val="003C66C6"/>
    <w:rsid w:val="003C6806"/>
    <w:rsid w:val="003C686A"/>
    <w:rsid w:val="003C6878"/>
    <w:rsid w:val="003C687B"/>
    <w:rsid w:val="003C688B"/>
    <w:rsid w:val="003C68BF"/>
    <w:rsid w:val="003C6927"/>
    <w:rsid w:val="003C6928"/>
    <w:rsid w:val="003C692E"/>
    <w:rsid w:val="003C693F"/>
    <w:rsid w:val="003C69F5"/>
    <w:rsid w:val="003C6B20"/>
    <w:rsid w:val="003C6C87"/>
    <w:rsid w:val="003C6CA2"/>
    <w:rsid w:val="003C6CB7"/>
    <w:rsid w:val="003C6D75"/>
    <w:rsid w:val="003C6EA7"/>
    <w:rsid w:val="003C6EB3"/>
    <w:rsid w:val="003C6ECD"/>
    <w:rsid w:val="003C6EDE"/>
    <w:rsid w:val="003C6F44"/>
    <w:rsid w:val="003C70AB"/>
    <w:rsid w:val="003C71C1"/>
    <w:rsid w:val="003C71D4"/>
    <w:rsid w:val="003C71DC"/>
    <w:rsid w:val="003C7256"/>
    <w:rsid w:val="003C72A4"/>
    <w:rsid w:val="003C72B5"/>
    <w:rsid w:val="003C7321"/>
    <w:rsid w:val="003C73D0"/>
    <w:rsid w:val="003C7439"/>
    <w:rsid w:val="003C744C"/>
    <w:rsid w:val="003C751A"/>
    <w:rsid w:val="003C765D"/>
    <w:rsid w:val="003C7692"/>
    <w:rsid w:val="003C76AF"/>
    <w:rsid w:val="003C76D3"/>
    <w:rsid w:val="003C773A"/>
    <w:rsid w:val="003C773D"/>
    <w:rsid w:val="003C778C"/>
    <w:rsid w:val="003C79E0"/>
    <w:rsid w:val="003C7A2B"/>
    <w:rsid w:val="003C7A2C"/>
    <w:rsid w:val="003C7A9F"/>
    <w:rsid w:val="003C7B51"/>
    <w:rsid w:val="003C7C3C"/>
    <w:rsid w:val="003C7D62"/>
    <w:rsid w:val="003C7D71"/>
    <w:rsid w:val="003C7DDC"/>
    <w:rsid w:val="003C7E31"/>
    <w:rsid w:val="003C7F16"/>
    <w:rsid w:val="003C7FC7"/>
    <w:rsid w:val="003D011D"/>
    <w:rsid w:val="003D0139"/>
    <w:rsid w:val="003D0172"/>
    <w:rsid w:val="003D019D"/>
    <w:rsid w:val="003D028C"/>
    <w:rsid w:val="003D0366"/>
    <w:rsid w:val="003D03B1"/>
    <w:rsid w:val="003D03C0"/>
    <w:rsid w:val="003D03D8"/>
    <w:rsid w:val="003D03E1"/>
    <w:rsid w:val="003D0550"/>
    <w:rsid w:val="003D0570"/>
    <w:rsid w:val="003D058C"/>
    <w:rsid w:val="003D05CE"/>
    <w:rsid w:val="003D05DD"/>
    <w:rsid w:val="003D0607"/>
    <w:rsid w:val="003D0615"/>
    <w:rsid w:val="003D0616"/>
    <w:rsid w:val="003D06B3"/>
    <w:rsid w:val="003D0747"/>
    <w:rsid w:val="003D07E1"/>
    <w:rsid w:val="003D088C"/>
    <w:rsid w:val="003D099C"/>
    <w:rsid w:val="003D0A49"/>
    <w:rsid w:val="003D0A5D"/>
    <w:rsid w:val="003D0AD2"/>
    <w:rsid w:val="003D0B59"/>
    <w:rsid w:val="003D0BB9"/>
    <w:rsid w:val="003D0BF3"/>
    <w:rsid w:val="003D0C5A"/>
    <w:rsid w:val="003D0C66"/>
    <w:rsid w:val="003D0D75"/>
    <w:rsid w:val="003D0F0B"/>
    <w:rsid w:val="003D0F10"/>
    <w:rsid w:val="003D0F18"/>
    <w:rsid w:val="003D0FF0"/>
    <w:rsid w:val="003D1027"/>
    <w:rsid w:val="003D109B"/>
    <w:rsid w:val="003D10AD"/>
    <w:rsid w:val="003D1125"/>
    <w:rsid w:val="003D1149"/>
    <w:rsid w:val="003D1341"/>
    <w:rsid w:val="003D140E"/>
    <w:rsid w:val="003D143D"/>
    <w:rsid w:val="003D1458"/>
    <w:rsid w:val="003D14CC"/>
    <w:rsid w:val="003D1531"/>
    <w:rsid w:val="003D1556"/>
    <w:rsid w:val="003D1589"/>
    <w:rsid w:val="003D160D"/>
    <w:rsid w:val="003D1652"/>
    <w:rsid w:val="003D1658"/>
    <w:rsid w:val="003D16B0"/>
    <w:rsid w:val="003D1710"/>
    <w:rsid w:val="003D1764"/>
    <w:rsid w:val="003D178C"/>
    <w:rsid w:val="003D17BE"/>
    <w:rsid w:val="003D184F"/>
    <w:rsid w:val="003D1892"/>
    <w:rsid w:val="003D18DD"/>
    <w:rsid w:val="003D1907"/>
    <w:rsid w:val="003D195B"/>
    <w:rsid w:val="003D1967"/>
    <w:rsid w:val="003D1989"/>
    <w:rsid w:val="003D19C8"/>
    <w:rsid w:val="003D1AD2"/>
    <w:rsid w:val="003D1B87"/>
    <w:rsid w:val="003D1BB6"/>
    <w:rsid w:val="003D1C27"/>
    <w:rsid w:val="003D1C71"/>
    <w:rsid w:val="003D1CA6"/>
    <w:rsid w:val="003D1D57"/>
    <w:rsid w:val="003D1D71"/>
    <w:rsid w:val="003D1D73"/>
    <w:rsid w:val="003D1DE1"/>
    <w:rsid w:val="003D1DEA"/>
    <w:rsid w:val="003D1E9B"/>
    <w:rsid w:val="003D1EC3"/>
    <w:rsid w:val="003D1EF6"/>
    <w:rsid w:val="003D1F07"/>
    <w:rsid w:val="003D1FC9"/>
    <w:rsid w:val="003D1FF8"/>
    <w:rsid w:val="003D206F"/>
    <w:rsid w:val="003D20D2"/>
    <w:rsid w:val="003D2130"/>
    <w:rsid w:val="003D2142"/>
    <w:rsid w:val="003D2173"/>
    <w:rsid w:val="003D2182"/>
    <w:rsid w:val="003D2198"/>
    <w:rsid w:val="003D21A1"/>
    <w:rsid w:val="003D21FA"/>
    <w:rsid w:val="003D225B"/>
    <w:rsid w:val="003D2280"/>
    <w:rsid w:val="003D2300"/>
    <w:rsid w:val="003D2337"/>
    <w:rsid w:val="003D2355"/>
    <w:rsid w:val="003D240B"/>
    <w:rsid w:val="003D2443"/>
    <w:rsid w:val="003D2484"/>
    <w:rsid w:val="003D24DB"/>
    <w:rsid w:val="003D2523"/>
    <w:rsid w:val="003D2567"/>
    <w:rsid w:val="003D257B"/>
    <w:rsid w:val="003D25BF"/>
    <w:rsid w:val="003D25E0"/>
    <w:rsid w:val="003D2674"/>
    <w:rsid w:val="003D267D"/>
    <w:rsid w:val="003D2686"/>
    <w:rsid w:val="003D27BA"/>
    <w:rsid w:val="003D2800"/>
    <w:rsid w:val="003D286E"/>
    <w:rsid w:val="003D287B"/>
    <w:rsid w:val="003D289F"/>
    <w:rsid w:val="003D28B7"/>
    <w:rsid w:val="003D28E4"/>
    <w:rsid w:val="003D290E"/>
    <w:rsid w:val="003D2924"/>
    <w:rsid w:val="003D29C2"/>
    <w:rsid w:val="003D29D4"/>
    <w:rsid w:val="003D29F7"/>
    <w:rsid w:val="003D2A47"/>
    <w:rsid w:val="003D2A70"/>
    <w:rsid w:val="003D2B2C"/>
    <w:rsid w:val="003D2B47"/>
    <w:rsid w:val="003D2C53"/>
    <w:rsid w:val="003D2CCB"/>
    <w:rsid w:val="003D2D46"/>
    <w:rsid w:val="003D2DEB"/>
    <w:rsid w:val="003D2E33"/>
    <w:rsid w:val="003D2E50"/>
    <w:rsid w:val="003D2E63"/>
    <w:rsid w:val="003D2EE8"/>
    <w:rsid w:val="003D2EFA"/>
    <w:rsid w:val="003D2EFE"/>
    <w:rsid w:val="003D30A7"/>
    <w:rsid w:val="003D30E5"/>
    <w:rsid w:val="003D321F"/>
    <w:rsid w:val="003D3351"/>
    <w:rsid w:val="003D3359"/>
    <w:rsid w:val="003D33A9"/>
    <w:rsid w:val="003D33D5"/>
    <w:rsid w:val="003D34A3"/>
    <w:rsid w:val="003D3504"/>
    <w:rsid w:val="003D3537"/>
    <w:rsid w:val="003D35A8"/>
    <w:rsid w:val="003D363D"/>
    <w:rsid w:val="003D36C2"/>
    <w:rsid w:val="003D3700"/>
    <w:rsid w:val="003D3744"/>
    <w:rsid w:val="003D379F"/>
    <w:rsid w:val="003D3808"/>
    <w:rsid w:val="003D3869"/>
    <w:rsid w:val="003D38AE"/>
    <w:rsid w:val="003D391F"/>
    <w:rsid w:val="003D399A"/>
    <w:rsid w:val="003D39FA"/>
    <w:rsid w:val="003D3A08"/>
    <w:rsid w:val="003D3A20"/>
    <w:rsid w:val="003D3A37"/>
    <w:rsid w:val="003D3AB8"/>
    <w:rsid w:val="003D3AF3"/>
    <w:rsid w:val="003D3B0A"/>
    <w:rsid w:val="003D3B51"/>
    <w:rsid w:val="003D3B5B"/>
    <w:rsid w:val="003D3C31"/>
    <w:rsid w:val="003D3F52"/>
    <w:rsid w:val="003D3F9C"/>
    <w:rsid w:val="003D3FF1"/>
    <w:rsid w:val="003D401E"/>
    <w:rsid w:val="003D4026"/>
    <w:rsid w:val="003D4077"/>
    <w:rsid w:val="003D40CB"/>
    <w:rsid w:val="003D40FF"/>
    <w:rsid w:val="003D415A"/>
    <w:rsid w:val="003D417F"/>
    <w:rsid w:val="003D4293"/>
    <w:rsid w:val="003D4294"/>
    <w:rsid w:val="003D42BA"/>
    <w:rsid w:val="003D4341"/>
    <w:rsid w:val="003D43B3"/>
    <w:rsid w:val="003D44EC"/>
    <w:rsid w:val="003D45B3"/>
    <w:rsid w:val="003D482E"/>
    <w:rsid w:val="003D488D"/>
    <w:rsid w:val="003D48CF"/>
    <w:rsid w:val="003D48ED"/>
    <w:rsid w:val="003D4946"/>
    <w:rsid w:val="003D495E"/>
    <w:rsid w:val="003D49A6"/>
    <w:rsid w:val="003D49FC"/>
    <w:rsid w:val="003D4A15"/>
    <w:rsid w:val="003D4A33"/>
    <w:rsid w:val="003D4A48"/>
    <w:rsid w:val="003D4BA0"/>
    <w:rsid w:val="003D4C6E"/>
    <w:rsid w:val="003D4D6D"/>
    <w:rsid w:val="003D4DAF"/>
    <w:rsid w:val="003D4DD9"/>
    <w:rsid w:val="003D4DDA"/>
    <w:rsid w:val="003D4DF8"/>
    <w:rsid w:val="003D4E25"/>
    <w:rsid w:val="003D4EAD"/>
    <w:rsid w:val="003D4EFB"/>
    <w:rsid w:val="003D4F2A"/>
    <w:rsid w:val="003D4FCE"/>
    <w:rsid w:val="003D4FD8"/>
    <w:rsid w:val="003D50B7"/>
    <w:rsid w:val="003D533C"/>
    <w:rsid w:val="003D5554"/>
    <w:rsid w:val="003D5563"/>
    <w:rsid w:val="003D55A0"/>
    <w:rsid w:val="003D55D5"/>
    <w:rsid w:val="003D5603"/>
    <w:rsid w:val="003D56B5"/>
    <w:rsid w:val="003D5714"/>
    <w:rsid w:val="003D57B3"/>
    <w:rsid w:val="003D585E"/>
    <w:rsid w:val="003D58DE"/>
    <w:rsid w:val="003D58DF"/>
    <w:rsid w:val="003D5A3B"/>
    <w:rsid w:val="003D5A6E"/>
    <w:rsid w:val="003D5AE3"/>
    <w:rsid w:val="003D5B05"/>
    <w:rsid w:val="003D5B06"/>
    <w:rsid w:val="003D5BFB"/>
    <w:rsid w:val="003D5C0B"/>
    <w:rsid w:val="003D5C1E"/>
    <w:rsid w:val="003D5C98"/>
    <w:rsid w:val="003D5D48"/>
    <w:rsid w:val="003D5D61"/>
    <w:rsid w:val="003D5D72"/>
    <w:rsid w:val="003D5DE9"/>
    <w:rsid w:val="003D5EC1"/>
    <w:rsid w:val="003D5F26"/>
    <w:rsid w:val="003D6078"/>
    <w:rsid w:val="003D60F8"/>
    <w:rsid w:val="003D62AC"/>
    <w:rsid w:val="003D62BF"/>
    <w:rsid w:val="003D63C9"/>
    <w:rsid w:val="003D63F7"/>
    <w:rsid w:val="003D6437"/>
    <w:rsid w:val="003D6449"/>
    <w:rsid w:val="003D6485"/>
    <w:rsid w:val="003D6569"/>
    <w:rsid w:val="003D6576"/>
    <w:rsid w:val="003D658B"/>
    <w:rsid w:val="003D65F7"/>
    <w:rsid w:val="003D65FD"/>
    <w:rsid w:val="003D66E2"/>
    <w:rsid w:val="003D6760"/>
    <w:rsid w:val="003D687A"/>
    <w:rsid w:val="003D68BB"/>
    <w:rsid w:val="003D68F0"/>
    <w:rsid w:val="003D69CB"/>
    <w:rsid w:val="003D6A14"/>
    <w:rsid w:val="003D6A7A"/>
    <w:rsid w:val="003D6B0D"/>
    <w:rsid w:val="003D6BCF"/>
    <w:rsid w:val="003D6C36"/>
    <w:rsid w:val="003D6C6E"/>
    <w:rsid w:val="003D6C70"/>
    <w:rsid w:val="003D6D76"/>
    <w:rsid w:val="003D6D79"/>
    <w:rsid w:val="003D6D87"/>
    <w:rsid w:val="003D6DFA"/>
    <w:rsid w:val="003D6E06"/>
    <w:rsid w:val="003D6ECB"/>
    <w:rsid w:val="003D6F1D"/>
    <w:rsid w:val="003D6FB8"/>
    <w:rsid w:val="003D6FFC"/>
    <w:rsid w:val="003D7007"/>
    <w:rsid w:val="003D70D5"/>
    <w:rsid w:val="003D710F"/>
    <w:rsid w:val="003D7137"/>
    <w:rsid w:val="003D740C"/>
    <w:rsid w:val="003D7428"/>
    <w:rsid w:val="003D74F5"/>
    <w:rsid w:val="003D7517"/>
    <w:rsid w:val="003D7532"/>
    <w:rsid w:val="003D7552"/>
    <w:rsid w:val="003D7630"/>
    <w:rsid w:val="003D771D"/>
    <w:rsid w:val="003D785A"/>
    <w:rsid w:val="003D79A4"/>
    <w:rsid w:val="003D7A00"/>
    <w:rsid w:val="003D7A13"/>
    <w:rsid w:val="003D7A4E"/>
    <w:rsid w:val="003D7C82"/>
    <w:rsid w:val="003D7C97"/>
    <w:rsid w:val="003D7CC1"/>
    <w:rsid w:val="003D7E41"/>
    <w:rsid w:val="003D7E79"/>
    <w:rsid w:val="003D7EB1"/>
    <w:rsid w:val="003D7EDC"/>
    <w:rsid w:val="003E0051"/>
    <w:rsid w:val="003E0078"/>
    <w:rsid w:val="003E0109"/>
    <w:rsid w:val="003E014A"/>
    <w:rsid w:val="003E0167"/>
    <w:rsid w:val="003E019E"/>
    <w:rsid w:val="003E026B"/>
    <w:rsid w:val="003E026F"/>
    <w:rsid w:val="003E0312"/>
    <w:rsid w:val="003E0330"/>
    <w:rsid w:val="003E0396"/>
    <w:rsid w:val="003E0399"/>
    <w:rsid w:val="003E03B4"/>
    <w:rsid w:val="003E03C0"/>
    <w:rsid w:val="003E0541"/>
    <w:rsid w:val="003E0617"/>
    <w:rsid w:val="003E0656"/>
    <w:rsid w:val="003E070D"/>
    <w:rsid w:val="003E079E"/>
    <w:rsid w:val="003E07A4"/>
    <w:rsid w:val="003E07A7"/>
    <w:rsid w:val="003E07EC"/>
    <w:rsid w:val="003E0847"/>
    <w:rsid w:val="003E0951"/>
    <w:rsid w:val="003E0A70"/>
    <w:rsid w:val="003E0AD1"/>
    <w:rsid w:val="003E0ADB"/>
    <w:rsid w:val="003E0B23"/>
    <w:rsid w:val="003E0B38"/>
    <w:rsid w:val="003E0B6B"/>
    <w:rsid w:val="003E0B9A"/>
    <w:rsid w:val="003E0CEF"/>
    <w:rsid w:val="003E0D6E"/>
    <w:rsid w:val="003E0D80"/>
    <w:rsid w:val="003E0DB9"/>
    <w:rsid w:val="003E0E33"/>
    <w:rsid w:val="003E0E82"/>
    <w:rsid w:val="003E0FD9"/>
    <w:rsid w:val="003E1083"/>
    <w:rsid w:val="003E10EF"/>
    <w:rsid w:val="003E1112"/>
    <w:rsid w:val="003E12E3"/>
    <w:rsid w:val="003E132C"/>
    <w:rsid w:val="003E14BC"/>
    <w:rsid w:val="003E1587"/>
    <w:rsid w:val="003E1788"/>
    <w:rsid w:val="003E1839"/>
    <w:rsid w:val="003E1932"/>
    <w:rsid w:val="003E195F"/>
    <w:rsid w:val="003E19C8"/>
    <w:rsid w:val="003E19DC"/>
    <w:rsid w:val="003E19F7"/>
    <w:rsid w:val="003E1AB1"/>
    <w:rsid w:val="003E1AE5"/>
    <w:rsid w:val="003E1B02"/>
    <w:rsid w:val="003E1BFD"/>
    <w:rsid w:val="003E1C6E"/>
    <w:rsid w:val="003E1C8C"/>
    <w:rsid w:val="003E1D28"/>
    <w:rsid w:val="003E1E37"/>
    <w:rsid w:val="003E1E40"/>
    <w:rsid w:val="003E1EA3"/>
    <w:rsid w:val="003E1F00"/>
    <w:rsid w:val="003E1F91"/>
    <w:rsid w:val="003E1FB6"/>
    <w:rsid w:val="003E2006"/>
    <w:rsid w:val="003E2016"/>
    <w:rsid w:val="003E2032"/>
    <w:rsid w:val="003E206C"/>
    <w:rsid w:val="003E20A4"/>
    <w:rsid w:val="003E20D1"/>
    <w:rsid w:val="003E20D2"/>
    <w:rsid w:val="003E20F8"/>
    <w:rsid w:val="003E219E"/>
    <w:rsid w:val="003E21E1"/>
    <w:rsid w:val="003E21F4"/>
    <w:rsid w:val="003E22B0"/>
    <w:rsid w:val="003E22BA"/>
    <w:rsid w:val="003E230F"/>
    <w:rsid w:val="003E2314"/>
    <w:rsid w:val="003E2392"/>
    <w:rsid w:val="003E2405"/>
    <w:rsid w:val="003E2437"/>
    <w:rsid w:val="003E24AB"/>
    <w:rsid w:val="003E2502"/>
    <w:rsid w:val="003E254A"/>
    <w:rsid w:val="003E25D4"/>
    <w:rsid w:val="003E26F8"/>
    <w:rsid w:val="003E274D"/>
    <w:rsid w:val="003E2763"/>
    <w:rsid w:val="003E2795"/>
    <w:rsid w:val="003E2890"/>
    <w:rsid w:val="003E2962"/>
    <w:rsid w:val="003E29A8"/>
    <w:rsid w:val="003E2A3C"/>
    <w:rsid w:val="003E2A6A"/>
    <w:rsid w:val="003E2AB1"/>
    <w:rsid w:val="003E2B5B"/>
    <w:rsid w:val="003E2B6F"/>
    <w:rsid w:val="003E2BBB"/>
    <w:rsid w:val="003E2BEB"/>
    <w:rsid w:val="003E2BED"/>
    <w:rsid w:val="003E2C28"/>
    <w:rsid w:val="003E2CCF"/>
    <w:rsid w:val="003E2CE6"/>
    <w:rsid w:val="003E2D7B"/>
    <w:rsid w:val="003E2D97"/>
    <w:rsid w:val="003E2E02"/>
    <w:rsid w:val="003E2E1A"/>
    <w:rsid w:val="003E2E47"/>
    <w:rsid w:val="003E2F78"/>
    <w:rsid w:val="003E2F7F"/>
    <w:rsid w:val="003E2FDE"/>
    <w:rsid w:val="003E2FE9"/>
    <w:rsid w:val="003E3083"/>
    <w:rsid w:val="003E30D2"/>
    <w:rsid w:val="003E3166"/>
    <w:rsid w:val="003E31CF"/>
    <w:rsid w:val="003E327C"/>
    <w:rsid w:val="003E3312"/>
    <w:rsid w:val="003E33CE"/>
    <w:rsid w:val="003E342F"/>
    <w:rsid w:val="003E3464"/>
    <w:rsid w:val="003E34EE"/>
    <w:rsid w:val="003E351A"/>
    <w:rsid w:val="003E3532"/>
    <w:rsid w:val="003E3546"/>
    <w:rsid w:val="003E355C"/>
    <w:rsid w:val="003E3560"/>
    <w:rsid w:val="003E3619"/>
    <w:rsid w:val="003E3669"/>
    <w:rsid w:val="003E377C"/>
    <w:rsid w:val="003E3781"/>
    <w:rsid w:val="003E37A4"/>
    <w:rsid w:val="003E37B5"/>
    <w:rsid w:val="003E383C"/>
    <w:rsid w:val="003E3850"/>
    <w:rsid w:val="003E3987"/>
    <w:rsid w:val="003E39A3"/>
    <w:rsid w:val="003E3A50"/>
    <w:rsid w:val="003E3A62"/>
    <w:rsid w:val="003E3A90"/>
    <w:rsid w:val="003E3B13"/>
    <w:rsid w:val="003E3B18"/>
    <w:rsid w:val="003E3B7C"/>
    <w:rsid w:val="003E3C05"/>
    <w:rsid w:val="003E3C48"/>
    <w:rsid w:val="003E3CB6"/>
    <w:rsid w:val="003E3CF0"/>
    <w:rsid w:val="003E3DB7"/>
    <w:rsid w:val="003E3E6C"/>
    <w:rsid w:val="003E3EA4"/>
    <w:rsid w:val="003E3ECF"/>
    <w:rsid w:val="003E3F52"/>
    <w:rsid w:val="003E3F76"/>
    <w:rsid w:val="003E3F90"/>
    <w:rsid w:val="003E3FBC"/>
    <w:rsid w:val="003E3FF8"/>
    <w:rsid w:val="003E3FFF"/>
    <w:rsid w:val="003E402D"/>
    <w:rsid w:val="003E4050"/>
    <w:rsid w:val="003E40C4"/>
    <w:rsid w:val="003E4115"/>
    <w:rsid w:val="003E41EF"/>
    <w:rsid w:val="003E41F7"/>
    <w:rsid w:val="003E4227"/>
    <w:rsid w:val="003E423A"/>
    <w:rsid w:val="003E4296"/>
    <w:rsid w:val="003E4343"/>
    <w:rsid w:val="003E4361"/>
    <w:rsid w:val="003E43A5"/>
    <w:rsid w:val="003E441B"/>
    <w:rsid w:val="003E44E3"/>
    <w:rsid w:val="003E451F"/>
    <w:rsid w:val="003E4596"/>
    <w:rsid w:val="003E4610"/>
    <w:rsid w:val="003E4629"/>
    <w:rsid w:val="003E4652"/>
    <w:rsid w:val="003E4656"/>
    <w:rsid w:val="003E4689"/>
    <w:rsid w:val="003E46FE"/>
    <w:rsid w:val="003E4720"/>
    <w:rsid w:val="003E477D"/>
    <w:rsid w:val="003E478E"/>
    <w:rsid w:val="003E48A0"/>
    <w:rsid w:val="003E48E2"/>
    <w:rsid w:val="003E492D"/>
    <w:rsid w:val="003E49A4"/>
    <w:rsid w:val="003E49E4"/>
    <w:rsid w:val="003E4A5A"/>
    <w:rsid w:val="003E4B8D"/>
    <w:rsid w:val="003E4BE4"/>
    <w:rsid w:val="003E4C2D"/>
    <w:rsid w:val="003E4C9E"/>
    <w:rsid w:val="003E4DE4"/>
    <w:rsid w:val="003E4E6D"/>
    <w:rsid w:val="003E4E71"/>
    <w:rsid w:val="003E4EBC"/>
    <w:rsid w:val="003E4F4D"/>
    <w:rsid w:val="003E4F9A"/>
    <w:rsid w:val="003E5055"/>
    <w:rsid w:val="003E509A"/>
    <w:rsid w:val="003E510F"/>
    <w:rsid w:val="003E5129"/>
    <w:rsid w:val="003E51F2"/>
    <w:rsid w:val="003E5202"/>
    <w:rsid w:val="003E5226"/>
    <w:rsid w:val="003E5258"/>
    <w:rsid w:val="003E5343"/>
    <w:rsid w:val="003E5348"/>
    <w:rsid w:val="003E53B2"/>
    <w:rsid w:val="003E5482"/>
    <w:rsid w:val="003E549F"/>
    <w:rsid w:val="003E5659"/>
    <w:rsid w:val="003E56F5"/>
    <w:rsid w:val="003E5799"/>
    <w:rsid w:val="003E57C5"/>
    <w:rsid w:val="003E58AC"/>
    <w:rsid w:val="003E5978"/>
    <w:rsid w:val="003E59B0"/>
    <w:rsid w:val="003E59CF"/>
    <w:rsid w:val="003E5A02"/>
    <w:rsid w:val="003E5A21"/>
    <w:rsid w:val="003E5A5A"/>
    <w:rsid w:val="003E5A6D"/>
    <w:rsid w:val="003E5AB9"/>
    <w:rsid w:val="003E5ACE"/>
    <w:rsid w:val="003E5BD5"/>
    <w:rsid w:val="003E5C03"/>
    <w:rsid w:val="003E5C2A"/>
    <w:rsid w:val="003E5C68"/>
    <w:rsid w:val="003E5C71"/>
    <w:rsid w:val="003E5CD0"/>
    <w:rsid w:val="003E5CFE"/>
    <w:rsid w:val="003E5D05"/>
    <w:rsid w:val="003E5DA1"/>
    <w:rsid w:val="003E5DE5"/>
    <w:rsid w:val="003E5E3C"/>
    <w:rsid w:val="003E5E60"/>
    <w:rsid w:val="003E5EC8"/>
    <w:rsid w:val="003E5EFA"/>
    <w:rsid w:val="003E5EFC"/>
    <w:rsid w:val="003E5F98"/>
    <w:rsid w:val="003E6099"/>
    <w:rsid w:val="003E60FD"/>
    <w:rsid w:val="003E60FE"/>
    <w:rsid w:val="003E6130"/>
    <w:rsid w:val="003E61D6"/>
    <w:rsid w:val="003E6244"/>
    <w:rsid w:val="003E625E"/>
    <w:rsid w:val="003E626E"/>
    <w:rsid w:val="003E62D4"/>
    <w:rsid w:val="003E62FD"/>
    <w:rsid w:val="003E63E7"/>
    <w:rsid w:val="003E63F3"/>
    <w:rsid w:val="003E642B"/>
    <w:rsid w:val="003E647A"/>
    <w:rsid w:val="003E64AB"/>
    <w:rsid w:val="003E65C0"/>
    <w:rsid w:val="003E65FF"/>
    <w:rsid w:val="003E666E"/>
    <w:rsid w:val="003E674F"/>
    <w:rsid w:val="003E677A"/>
    <w:rsid w:val="003E67ED"/>
    <w:rsid w:val="003E693A"/>
    <w:rsid w:val="003E6944"/>
    <w:rsid w:val="003E6969"/>
    <w:rsid w:val="003E69A5"/>
    <w:rsid w:val="003E6A96"/>
    <w:rsid w:val="003E6C1E"/>
    <w:rsid w:val="003E6C6B"/>
    <w:rsid w:val="003E6C74"/>
    <w:rsid w:val="003E6CFA"/>
    <w:rsid w:val="003E6D1C"/>
    <w:rsid w:val="003E6D2B"/>
    <w:rsid w:val="003E6DDA"/>
    <w:rsid w:val="003E6E7A"/>
    <w:rsid w:val="003E6F38"/>
    <w:rsid w:val="003E6F4E"/>
    <w:rsid w:val="003E6F9B"/>
    <w:rsid w:val="003E704E"/>
    <w:rsid w:val="003E70A1"/>
    <w:rsid w:val="003E70B4"/>
    <w:rsid w:val="003E712B"/>
    <w:rsid w:val="003E716B"/>
    <w:rsid w:val="003E72BA"/>
    <w:rsid w:val="003E72E3"/>
    <w:rsid w:val="003E7324"/>
    <w:rsid w:val="003E734C"/>
    <w:rsid w:val="003E73CD"/>
    <w:rsid w:val="003E7402"/>
    <w:rsid w:val="003E748C"/>
    <w:rsid w:val="003E74C5"/>
    <w:rsid w:val="003E74D7"/>
    <w:rsid w:val="003E752E"/>
    <w:rsid w:val="003E765B"/>
    <w:rsid w:val="003E76D6"/>
    <w:rsid w:val="003E7737"/>
    <w:rsid w:val="003E77D3"/>
    <w:rsid w:val="003E7852"/>
    <w:rsid w:val="003E78F5"/>
    <w:rsid w:val="003E7985"/>
    <w:rsid w:val="003E79A4"/>
    <w:rsid w:val="003E7A0E"/>
    <w:rsid w:val="003E7A2F"/>
    <w:rsid w:val="003E7A3B"/>
    <w:rsid w:val="003E7B9E"/>
    <w:rsid w:val="003E7BF2"/>
    <w:rsid w:val="003E7C1C"/>
    <w:rsid w:val="003E7CB9"/>
    <w:rsid w:val="003E7CD8"/>
    <w:rsid w:val="003E7CFE"/>
    <w:rsid w:val="003E7D51"/>
    <w:rsid w:val="003E7D7B"/>
    <w:rsid w:val="003E7DAA"/>
    <w:rsid w:val="003E7E1C"/>
    <w:rsid w:val="003E7E23"/>
    <w:rsid w:val="003E7E77"/>
    <w:rsid w:val="003E7EF7"/>
    <w:rsid w:val="003E7FB9"/>
    <w:rsid w:val="003F0084"/>
    <w:rsid w:val="003F0087"/>
    <w:rsid w:val="003F00FF"/>
    <w:rsid w:val="003F0101"/>
    <w:rsid w:val="003F010E"/>
    <w:rsid w:val="003F016E"/>
    <w:rsid w:val="003F01B5"/>
    <w:rsid w:val="003F0300"/>
    <w:rsid w:val="003F0336"/>
    <w:rsid w:val="003F038A"/>
    <w:rsid w:val="003F041E"/>
    <w:rsid w:val="003F0451"/>
    <w:rsid w:val="003F04EF"/>
    <w:rsid w:val="003F0506"/>
    <w:rsid w:val="003F05C8"/>
    <w:rsid w:val="003F05F6"/>
    <w:rsid w:val="003F0684"/>
    <w:rsid w:val="003F06EF"/>
    <w:rsid w:val="003F077D"/>
    <w:rsid w:val="003F086D"/>
    <w:rsid w:val="003F092C"/>
    <w:rsid w:val="003F0987"/>
    <w:rsid w:val="003F099A"/>
    <w:rsid w:val="003F0A43"/>
    <w:rsid w:val="003F0A49"/>
    <w:rsid w:val="003F0A99"/>
    <w:rsid w:val="003F0AD2"/>
    <w:rsid w:val="003F0AED"/>
    <w:rsid w:val="003F0B6C"/>
    <w:rsid w:val="003F0B73"/>
    <w:rsid w:val="003F0BA1"/>
    <w:rsid w:val="003F0BEA"/>
    <w:rsid w:val="003F0C03"/>
    <w:rsid w:val="003F0C04"/>
    <w:rsid w:val="003F0C92"/>
    <w:rsid w:val="003F0E5D"/>
    <w:rsid w:val="003F0F15"/>
    <w:rsid w:val="003F0F1E"/>
    <w:rsid w:val="003F0F2D"/>
    <w:rsid w:val="003F0F67"/>
    <w:rsid w:val="003F0F87"/>
    <w:rsid w:val="003F0FC7"/>
    <w:rsid w:val="003F1004"/>
    <w:rsid w:val="003F1067"/>
    <w:rsid w:val="003F1092"/>
    <w:rsid w:val="003F10C8"/>
    <w:rsid w:val="003F1131"/>
    <w:rsid w:val="003F11F6"/>
    <w:rsid w:val="003F1257"/>
    <w:rsid w:val="003F1267"/>
    <w:rsid w:val="003F12DC"/>
    <w:rsid w:val="003F133C"/>
    <w:rsid w:val="003F1395"/>
    <w:rsid w:val="003F13D4"/>
    <w:rsid w:val="003F15B0"/>
    <w:rsid w:val="003F1647"/>
    <w:rsid w:val="003F16C2"/>
    <w:rsid w:val="003F16E3"/>
    <w:rsid w:val="003F1829"/>
    <w:rsid w:val="003F1856"/>
    <w:rsid w:val="003F1882"/>
    <w:rsid w:val="003F18A3"/>
    <w:rsid w:val="003F18AB"/>
    <w:rsid w:val="003F18B2"/>
    <w:rsid w:val="003F18E4"/>
    <w:rsid w:val="003F19D0"/>
    <w:rsid w:val="003F19F6"/>
    <w:rsid w:val="003F1A92"/>
    <w:rsid w:val="003F1AE0"/>
    <w:rsid w:val="003F1B1D"/>
    <w:rsid w:val="003F1B20"/>
    <w:rsid w:val="003F1C99"/>
    <w:rsid w:val="003F1DE4"/>
    <w:rsid w:val="003F1DEA"/>
    <w:rsid w:val="003F1DF5"/>
    <w:rsid w:val="003F1ED2"/>
    <w:rsid w:val="003F1F34"/>
    <w:rsid w:val="003F1FC3"/>
    <w:rsid w:val="003F2007"/>
    <w:rsid w:val="003F2038"/>
    <w:rsid w:val="003F207B"/>
    <w:rsid w:val="003F217C"/>
    <w:rsid w:val="003F21A0"/>
    <w:rsid w:val="003F21A9"/>
    <w:rsid w:val="003F21E4"/>
    <w:rsid w:val="003F2210"/>
    <w:rsid w:val="003F2211"/>
    <w:rsid w:val="003F2219"/>
    <w:rsid w:val="003F22BD"/>
    <w:rsid w:val="003F22C2"/>
    <w:rsid w:val="003F22D9"/>
    <w:rsid w:val="003F233C"/>
    <w:rsid w:val="003F234F"/>
    <w:rsid w:val="003F2381"/>
    <w:rsid w:val="003F244F"/>
    <w:rsid w:val="003F25E2"/>
    <w:rsid w:val="003F25EE"/>
    <w:rsid w:val="003F26A8"/>
    <w:rsid w:val="003F2719"/>
    <w:rsid w:val="003F27B0"/>
    <w:rsid w:val="003F27D4"/>
    <w:rsid w:val="003F281B"/>
    <w:rsid w:val="003F2A69"/>
    <w:rsid w:val="003F2C3E"/>
    <w:rsid w:val="003F2C5B"/>
    <w:rsid w:val="003F2D3A"/>
    <w:rsid w:val="003F2D8B"/>
    <w:rsid w:val="003F2DCA"/>
    <w:rsid w:val="003F2E03"/>
    <w:rsid w:val="003F2E57"/>
    <w:rsid w:val="003F2E98"/>
    <w:rsid w:val="003F2EA6"/>
    <w:rsid w:val="003F2F02"/>
    <w:rsid w:val="003F2F55"/>
    <w:rsid w:val="003F2F58"/>
    <w:rsid w:val="003F2FF5"/>
    <w:rsid w:val="003F30AE"/>
    <w:rsid w:val="003F315A"/>
    <w:rsid w:val="003F319C"/>
    <w:rsid w:val="003F31C6"/>
    <w:rsid w:val="003F31F3"/>
    <w:rsid w:val="003F324F"/>
    <w:rsid w:val="003F3282"/>
    <w:rsid w:val="003F3337"/>
    <w:rsid w:val="003F34AA"/>
    <w:rsid w:val="003F34D3"/>
    <w:rsid w:val="003F3550"/>
    <w:rsid w:val="003F3580"/>
    <w:rsid w:val="003F3585"/>
    <w:rsid w:val="003F370B"/>
    <w:rsid w:val="003F3753"/>
    <w:rsid w:val="003F382F"/>
    <w:rsid w:val="003F383F"/>
    <w:rsid w:val="003F3861"/>
    <w:rsid w:val="003F3900"/>
    <w:rsid w:val="003F39D3"/>
    <w:rsid w:val="003F3A80"/>
    <w:rsid w:val="003F3AA4"/>
    <w:rsid w:val="003F3C35"/>
    <w:rsid w:val="003F3CDD"/>
    <w:rsid w:val="003F3D94"/>
    <w:rsid w:val="003F3DC5"/>
    <w:rsid w:val="003F3E92"/>
    <w:rsid w:val="003F3EB1"/>
    <w:rsid w:val="003F3F11"/>
    <w:rsid w:val="003F3FE7"/>
    <w:rsid w:val="003F3FFA"/>
    <w:rsid w:val="003F4057"/>
    <w:rsid w:val="003F40FD"/>
    <w:rsid w:val="003F4113"/>
    <w:rsid w:val="003F412E"/>
    <w:rsid w:val="003F4149"/>
    <w:rsid w:val="003F416A"/>
    <w:rsid w:val="003F418D"/>
    <w:rsid w:val="003F4190"/>
    <w:rsid w:val="003F41C9"/>
    <w:rsid w:val="003F42B0"/>
    <w:rsid w:val="003F4310"/>
    <w:rsid w:val="003F432F"/>
    <w:rsid w:val="003F4332"/>
    <w:rsid w:val="003F438E"/>
    <w:rsid w:val="003F43B4"/>
    <w:rsid w:val="003F4460"/>
    <w:rsid w:val="003F44CC"/>
    <w:rsid w:val="003F4542"/>
    <w:rsid w:val="003F45A3"/>
    <w:rsid w:val="003F4604"/>
    <w:rsid w:val="003F469E"/>
    <w:rsid w:val="003F46F1"/>
    <w:rsid w:val="003F46FC"/>
    <w:rsid w:val="003F4714"/>
    <w:rsid w:val="003F47CD"/>
    <w:rsid w:val="003F4920"/>
    <w:rsid w:val="003F49D1"/>
    <w:rsid w:val="003F4A49"/>
    <w:rsid w:val="003F4AE8"/>
    <w:rsid w:val="003F4B35"/>
    <w:rsid w:val="003F4C08"/>
    <w:rsid w:val="003F4CF7"/>
    <w:rsid w:val="003F4DD3"/>
    <w:rsid w:val="003F4EA6"/>
    <w:rsid w:val="003F4EDA"/>
    <w:rsid w:val="003F5017"/>
    <w:rsid w:val="003F50A1"/>
    <w:rsid w:val="003F5117"/>
    <w:rsid w:val="003F530A"/>
    <w:rsid w:val="003F532E"/>
    <w:rsid w:val="003F5449"/>
    <w:rsid w:val="003F547E"/>
    <w:rsid w:val="003F5489"/>
    <w:rsid w:val="003F5492"/>
    <w:rsid w:val="003F556C"/>
    <w:rsid w:val="003F558A"/>
    <w:rsid w:val="003F558D"/>
    <w:rsid w:val="003F559D"/>
    <w:rsid w:val="003F5630"/>
    <w:rsid w:val="003F5680"/>
    <w:rsid w:val="003F56F1"/>
    <w:rsid w:val="003F5711"/>
    <w:rsid w:val="003F57C6"/>
    <w:rsid w:val="003F5938"/>
    <w:rsid w:val="003F59B1"/>
    <w:rsid w:val="003F5A27"/>
    <w:rsid w:val="003F5A85"/>
    <w:rsid w:val="003F5AEA"/>
    <w:rsid w:val="003F5BE5"/>
    <w:rsid w:val="003F5BF5"/>
    <w:rsid w:val="003F5BFD"/>
    <w:rsid w:val="003F5C2E"/>
    <w:rsid w:val="003F5CCD"/>
    <w:rsid w:val="003F5D00"/>
    <w:rsid w:val="003F5D34"/>
    <w:rsid w:val="003F5D7B"/>
    <w:rsid w:val="003F5DC2"/>
    <w:rsid w:val="003F5E61"/>
    <w:rsid w:val="003F5EBF"/>
    <w:rsid w:val="003F602E"/>
    <w:rsid w:val="003F6059"/>
    <w:rsid w:val="003F60F4"/>
    <w:rsid w:val="003F6112"/>
    <w:rsid w:val="003F616F"/>
    <w:rsid w:val="003F618A"/>
    <w:rsid w:val="003F6192"/>
    <w:rsid w:val="003F6231"/>
    <w:rsid w:val="003F630A"/>
    <w:rsid w:val="003F6332"/>
    <w:rsid w:val="003F63B7"/>
    <w:rsid w:val="003F63B8"/>
    <w:rsid w:val="003F63BE"/>
    <w:rsid w:val="003F645B"/>
    <w:rsid w:val="003F647B"/>
    <w:rsid w:val="003F64BD"/>
    <w:rsid w:val="003F6521"/>
    <w:rsid w:val="003F654D"/>
    <w:rsid w:val="003F6554"/>
    <w:rsid w:val="003F67B9"/>
    <w:rsid w:val="003F67CC"/>
    <w:rsid w:val="003F6811"/>
    <w:rsid w:val="003F6867"/>
    <w:rsid w:val="003F68CD"/>
    <w:rsid w:val="003F68E0"/>
    <w:rsid w:val="003F6A09"/>
    <w:rsid w:val="003F6A7F"/>
    <w:rsid w:val="003F6AB3"/>
    <w:rsid w:val="003F6B5B"/>
    <w:rsid w:val="003F6B64"/>
    <w:rsid w:val="003F6BD7"/>
    <w:rsid w:val="003F6BEB"/>
    <w:rsid w:val="003F6D9E"/>
    <w:rsid w:val="003F6E20"/>
    <w:rsid w:val="003F6E8B"/>
    <w:rsid w:val="003F6EAE"/>
    <w:rsid w:val="003F6ED3"/>
    <w:rsid w:val="003F6EF5"/>
    <w:rsid w:val="003F6F73"/>
    <w:rsid w:val="003F6FDA"/>
    <w:rsid w:val="003F7075"/>
    <w:rsid w:val="003F725F"/>
    <w:rsid w:val="003F7297"/>
    <w:rsid w:val="003F72CE"/>
    <w:rsid w:val="003F73D4"/>
    <w:rsid w:val="003F73D8"/>
    <w:rsid w:val="003F73FA"/>
    <w:rsid w:val="003F7408"/>
    <w:rsid w:val="003F7453"/>
    <w:rsid w:val="003F7461"/>
    <w:rsid w:val="003F7477"/>
    <w:rsid w:val="003F74BB"/>
    <w:rsid w:val="003F74EB"/>
    <w:rsid w:val="003F7551"/>
    <w:rsid w:val="003F758A"/>
    <w:rsid w:val="003F76A5"/>
    <w:rsid w:val="003F77CA"/>
    <w:rsid w:val="003F77D4"/>
    <w:rsid w:val="003F780E"/>
    <w:rsid w:val="003F7834"/>
    <w:rsid w:val="003F7870"/>
    <w:rsid w:val="003F7878"/>
    <w:rsid w:val="003F78DB"/>
    <w:rsid w:val="003F78F6"/>
    <w:rsid w:val="003F792B"/>
    <w:rsid w:val="003F7935"/>
    <w:rsid w:val="003F79D2"/>
    <w:rsid w:val="003F7A0B"/>
    <w:rsid w:val="003F7A0C"/>
    <w:rsid w:val="003F7A6F"/>
    <w:rsid w:val="003F7AA8"/>
    <w:rsid w:val="003F7AD1"/>
    <w:rsid w:val="003F7B2E"/>
    <w:rsid w:val="003F7B36"/>
    <w:rsid w:val="003F7BF6"/>
    <w:rsid w:val="003F7C01"/>
    <w:rsid w:val="003F7C88"/>
    <w:rsid w:val="003F7CA6"/>
    <w:rsid w:val="003F7D48"/>
    <w:rsid w:val="003F7DB0"/>
    <w:rsid w:val="003F7E5D"/>
    <w:rsid w:val="003F7E92"/>
    <w:rsid w:val="003F7EB0"/>
    <w:rsid w:val="003F7F55"/>
    <w:rsid w:val="003F7FE3"/>
    <w:rsid w:val="00400037"/>
    <w:rsid w:val="0040010F"/>
    <w:rsid w:val="00400122"/>
    <w:rsid w:val="00400446"/>
    <w:rsid w:val="004004F0"/>
    <w:rsid w:val="0040058E"/>
    <w:rsid w:val="00400665"/>
    <w:rsid w:val="00400708"/>
    <w:rsid w:val="0040073C"/>
    <w:rsid w:val="004007EE"/>
    <w:rsid w:val="004007FB"/>
    <w:rsid w:val="00400844"/>
    <w:rsid w:val="00400875"/>
    <w:rsid w:val="004008A8"/>
    <w:rsid w:val="004009CA"/>
    <w:rsid w:val="004009D0"/>
    <w:rsid w:val="004009ED"/>
    <w:rsid w:val="004009F8"/>
    <w:rsid w:val="00400A6F"/>
    <w:rsid w:val="00400B03"/>
    <w:rsid w:val="00400B8F"/>
    <w:rsid w:val="00400BA4"/>
    <w:rsid w:val="00400C0D"/>
    <w:rsid w:val="00400C3A"/>
    <w:rsid w:val="00400C83"/>
    <w:rsid w:val="00400D25"/>
    <w:rsid w:val="00400D3F"/>
    <w:rsid w:val="00400D67"/>
    <w:rsid w:val="00400E58"/>
    <w:rsid w:val="00400E83"/>
    <w:rsid w:val="00400E8F"/>
    <w:rsid w:val="00400F1F"/>
    <w:rsid w:val="00400FA2"/>
    <w:rsid w:val="0040100F"/>
    <w:rsid w:val="0040101F"/>
    <w:rsid w:val="0040104B"/>
    <w:rsid w:val="0040107C"/>
    <w:rsid w:val="00401113"/>
    <w:rsid w:val="00401159"/>
    <w:rsid w:val="0040119D"/>
    <w:rsid w:val="004011A2"/>
    <w:rsid w:val="004011E8"/>
    <w:rsid w:val="004012C6"/>
    <w:rsid w:val="0040133A"/>
    <w:rsid w:val="00401367"/>
    <w:rsid w:val="004013B8"/>
    <w:rsid w:val="004014CC"/>
    <w:rsid w:val="004014F9"/>
    <w:rsid w:val="00401523"/>
    <w:rsid w:val="00401671"/>
    <w:rsid w:val="004016B8"/>
    <w:rsid w:val="004016D2"/>
    <w:rsid w:val="00401700"/>
    <w:rsid w:val="00401784"/>
    <w:rsid w:val="004017E4"/>
    <w:rsid w:val="004018DE"/>
    <w:rsid w:val="00401910"/>
    <w:rsid w:val="00401948"/>
    <w:rsid w:val="00401966"/>
    <w:rsid w:val="00401A0A"/>
    <w:rsid w:val="00401A33"/>
    <w:rsid w:val="00401AE3"/>
    <w:rsid w:val="00401AE8"/>
    <w:rsid w:val="00401B1E"/>
    <w:rsid w:val="00401B73"/>
    <w:rsid w:val="00401B7F"/>
    <w:rsid w:val="00401BD5"/>
    <w:rsid w:val="00401BE3"/>
    <w:rsid w:val="00401C44"/>
    <w:rsid w:val="00401C6F"/>
    <w:rsid w:val="00401C73"/>
    <w:rsid w:val="00401CE1"/>
    <w:rsid w:val="00401D0F"/>
    <w:rsid w:val="00401E46"/>
    <w:rsid w:val="00401E76"/>
    <w:rsid w:val="00401F14"/>
    <w:rsid w:val="00401F71"/>
    <w:rsid w:val="0040207D"/>
    <w:rsid w:val="00402112"/>
    <w:rsid w:val="00402274"/>
    <w:rsid w:val="004022A4"/>
    <w:rsid w:val="00402321"/>
    <w:rsid w:val="00402356"/>
    <w:rsid w:val="004023B3"/>
    <w:rsid w:val="004023FB"/>
    <w:rsid w:val="00402401"/>
    <w:rsid w:val="00402498"/>
    <w:rsid w:val="004024A9"/>
    <w:rsid w:val="004024FC"/>
    <w:rsid w:val="00402526"/>
    <w:rsid w:val="0040253E"/>
    <w:rsid w:val="004025A6"/>
    <w:rsid w:val="004025CD"/>
    <w:rsid w:val="004026EA"/>
    <w:rsid w:val="0040272B"/>
    <w:rsid w:val="00402786"/>
    <w:rsid w:val="004027A0"/>
    <w:rsid w:val="004027E0"/>
    <w:rsid w:val="00402814"/>
    <w:rsid w:val="0040282F"/>
    <w:rsid w:val="0040283B"/>
    <w:rsid w:val="004028EA"/>
    <w:rsid w:val="004028F6"/>
    <w:rsid w:val="00402A0F"/>
    <w:rsid w:val="00402B59"/>
    <w:rsid w:val="00402BA2"/>
    <w:rsid w:val="00402BEE"/>
    <w:rsid w:val="00402C30"/>
    <w:rsid w:val="00402C39"/>
    <w:rsid w:val="00402D0C"/>
    <w:rsid w:val="00402DF0"/>
    <w:rsid w:val="00402E69"/>
    <w:rsid w:val="00402FA2"/>
    <w:rsid w:val="004030A9"/>
    <w:rsid w:val="004030D8"/>
    <w:rsid w:val="004030FF"/>
    <w:rsid w:val="00403197"/>
    <w:rsid w:val="004031C8"/>
    <w:rsid w:val="00403201"/>
    <w:rsid w:val="00403205"/>
    <w:rsid w:val="00403214"/>
    <w:rsid w:val="00403216"/>
    <w:rsid w:val="00403228"/>
    <w:rsid w:val="00403296"/>
    <w:rsid w:val="00403308"/>
    <w:rsid w:val="00403356"/>
    <w:rsid w:val="00403373"/>
    <w:rsid w:val="0040344B"/>
    <w:rsid w:val="0040344C"/>
    <w:rsid w:val="0040348C"/>
    <w:rsid w:val="004034F4"/>
    <w:rsid w:val="00403507"/>
    <w:rsid w:val="0040350F"/>
    <w:rsid w:val="004035A4"/>
    <w:rsid w:val="004035AC"/>
    <w:rsid w:val="004035AE"/>
    <w:rsid w:val="004035CC"/>
    <w:rsid w:val="004035FF"/>
    <w:rsid w:val="00403699"/>
    <w:rsid w:val="00403749"/>
    <w:rsid w:val="0040376B"/>
    <w:rsid w:val="0040377C"/>
    <w:rsid w:val="0040379A"/>
    <w:rsid w:val="004037DF"/>
    <w:rsid w:val="004038E4"/>
    <w:rsid w:val="00403ABE"/>
    <w:rsid w:val="00403B5A"/>
    <w:rsid w:val="00403BE9"/>
    <w:rsid w:val="00403C11"/>
    <w:rsid w:val="00403C5D"/>
    <w:rsid w:val="00403C60"/>
    <w:rsid w:val="00403C79"/>
    <w:rsid w:val="00403C88"/>
    <w:rsid w:val="00403C9D"/>
    <w:rsid w:val="00403D41"/>
    <w:rsid w:val="00403D59"/>
    <w:rsid w:val="00403DA4"/>
    <w:rsid w:val="00403DFC"/>
    <w:rsid w:val="00403EBD"/>
    <w:rsid w:val="00403F4C"/>
    <w:rsid w:val="00403FC5"/>
    <w:rsid w:val="00403FD5"/>
    <w:rsid w:val="00403FD9"/>
    <w:rsid w:val="0040400F"/>
    <w:rsid w:val="00404065"/>
    <w:rsid w:val="0040406B"/>
    <w:rsid w:val="004040F7"/>
    <w:rsid w:val="004041A5"/>
    <w:rsid w:val="004041D6"/>
    <w:rsid w:val="0040427C"/>
    <w:rsid w:val="004042CC"/>
    <w:rsid w:val="004042FC"/>
    <w:rsid w:val="0040437E"/>
    <w:rsid w:val="0040443D"/>
    <w:rsid w:val="004044DE"/>
    <w:rsid w:val="004045FB"/>
    <w:rsid w:val="0040460F"/>
    <w:rsid w:val="0040467A"/>
    <w:rsid w:val="004046E0"/>
    <w:rsid w:val="004047F8"/>
    <w:rsid w:val="004047FC"/>
    <w:rsid w:val="0040485A"/>
    <w:rsid w:val="0040488C"/>
    <w:rsid w:val="004048F4"/>
    <w:rsid w:val="0040491A"/>
    <w:rsid w:val="004049F0"/>
    <w:rsid w:val="00404AE5"/>
    <w:rsid w:val="00404AF5"/>
    <w:rsid w:val="00404B15"/>
    <w:rsid w:val="00404B66"/>
    <w:rsid w:val="00404B9D"/>
    <w:rsid w:val="00404C44"/>
    <w:rsid w:val="00404C84"/>
    <w:rsid w:val="00404CF5"/>
    <w:rsid w:val="00404D91"/>
    <w:rsid w:val="00404E76"/>
    <w:rsid w:val="00404E89"/>
    <w:rsid w:val="00404F30"/>
    <w:rsid w:val="00404FC1"/>
    <w:rsid w:val="00404FC9"/>
    <w:rsid w:val="00404FE4"/>
    <w:rsid w:val="004050BE"/>
    <w:rsid w:val="004050D4"/>
    <w:rsid w:val="004050DD"/>
    <w:rsid w:val="004050EA"/>
    <w:rsid w:val="00405107"/>
    <w:rsid w:val="0040515B"/>
    <w:rsid w:val="00405187"/>
    <w:rsid w:val="00405260"/>
    <w:rsid w:val="004052D0"/>
    <w:rsid w:val="004052FA"/>
    <w:rsid w:val="004053B1"/>
    <w:rsid w:val="004053C6"/>
    <w:rsid w:val="004053CD"/>
    <w:rsid w:val="00405400"/>
    <w:rsid w:val="0040541B"/>
    <w:rsid w:val="00405428"/>
    <w:rsid w:val="00405467"/>
    <w:rsid w:val="004054A8"/>
    <w:rsid w:val="004054D5"/>
    <w:rsid w:val="004055F2"/>
    <w:rsid w:val="0040560F"/>
    <w:rsid w:val="0040569A"/>
    <w:rsid w:val="00405766"/>
    <w:rsid w:val="004057B6"/>
    <w:rsid w:val="00405895"/>
    <w:rsid w:val="004058F3"/>
    <w:rsid w:val="0040591C"/>
    <w:rsid w:val="00405944"/>
    <w:rsid w:val="004059E7"/>
    <w:rsid w:val="00405A08"/>
    <w:rsid w:val="00405A3F"/>
    <w:rsid w:val="00405A7B"/>
    <w:rsid w:val="00405B51"/>
    <w:rsid w:val="00405C83"/>
    <w:rsid w:val="00405CA0"/>
    <w:rsid w:val="00405E9B"/>
    <w:rsid w:val="00405EA4"/>
    <w:rsid w:val="00406018"/>
    <w:rsid w:val="004060AA"/>
    <w:rsid w:val="004060D1"/>
    <w:rsid w:val="0040610D"/>
    <w:rsid w:val="0040611B"/>
    <w:rsid w:val="00406159"/>
    <w:rsid w:val="00406183"/>
    <w:rsid w:val="004061F7"/>
    <w:rsid w:val="00406223"/>
    <w:rsid w:val="00406271"/>
    <w:rsid w:val="004062FA"/>
    <w:rsid w:val="0040639A"/>
    <w:rsid w:val="0040640F"/>
    <w:rsid w:val="00406418"/>
    <w:rsid w:val="0040641A"/>
    <w:rsid w:val="0040645B"/>
    <w:rsid w:val="0040647F"/>
    <w:rsid w:val="00406487"/>
    <w:rsid w:val="004064E9"/>
    <w:rsid w:val="004064F6"/>
    <w:rsid w:val="00406512"/>
    <w:rsid w:val="00406521"/>
    <w:rsid w:val="004065DF"/>
    <w:rsid w:val="00406701"/>
    <w:rsid w:val="00406703"/>
    <w:rsid w:val="00406750"/>
    <w:rsid w:val="004067CE"/>
    <w:rsid w:val="00406898"/>
    <w:rsid w:val="0040691E"/>
    <w:rsid w:val="00406A96"/>
    <w:rsid w:val="00406AF3"/>
    <w:rsid w:val="00406B6D"/>
    <w:rsid w:val="00406BB9"/>
    <w:rsid w:val="00406C62"/>
    <w:rsid w:val="00406C9B"/>
    <w:rsid w:val="00406D1D"/>
    <w:rsid w:val="00406D62"/>
    <w:rsid w:val="00406E44"/>
    <w:rsid w:val="00406F05"/>
    <w:rsid w:val="0040701E"/>
    <w:rsid w:val="00407035"/>
    <w:rsid w:val="00407048"/>
    <w:rsid w:val="004070FF"/>
    <w:rsid w:val="0040710E"/>
    <w:rsid w:val="0040710F"/>
    <w:rsid w:val="00407111"/>
    <w:rsid w:val="0040717E"/>
    <w:rsid w:val="004071C1"/>
    <w:rsid w:val="00407226"/>
    <w:rsid w:val="0040732F"/>
    <w:rsid w:val="0040736C"/>
    <w:rsid w:val="00407390"/>
    <w:rsid w:val="004074D4"/>
    <w:rsid w:val="004075AD"/>
    <w:rsid w:val="0040764D"/>
    <w:rsid w:val="004076B1"/>
    <w:rsid w:val="004076CC"/>
    <w:rsid w:val="004076DF"/>
    <w:rsid w:val="004076E5"/>
    <w:rsid w:val="00407713"/>
    <w:rsid w:val="00407721"/>
    <w:rsid w:val="00407726"/>
    <w:rsid w:val="00407833"/>
    <w:rsid w:val="00407889"/>
    <w:rsid w:val="004078B5"/>
    <w:rsid w:val="004078D1"/>
    <w:rsid w:val="00407913"/>
    <w:rsid w:val="00407937"/>
    <w:rsid w:val="00407993"/>
    <w:rsid w:val="00407A73"/>
    <w:rsid w:val="00407B28"/>
    <w:rsid w:val="00407B9D"/>
    <w:rsid w:val="00407BFE"/>
    <w:rsid w:val="00407C4E"/>
    <w:rsid w:val="00407C9E"/>
    <w:rsid w:val="00407D55"/>
    <w:rsid w:val="00407D9F"/>
    <w:rsid w:val="00407E3D"/>
    <w:rsid w:val="00407E5D"/>
    <w:rsid w:val="00407EA0"/>
    <w:rsid w:val="00407EF5"/>
    <w:rsid w:val="00407F03"/>
    <w:rsid w:val="00407F1C"/>
    <w:rsid w:val="00407FDD"/>
    <w:rsid w:val="004101F4"/>
    <w:rsid w:val="00410343"/>
    <w:rsid w:val="00410368"/>
    <w:rsid w:val="004103BC"/>
    <w:rsid w:val="00410459"/>
    <w:rsid w:val="004104A6"/>
    <w:rsid w:val="00410504"/>
    <w:rsid w:val="0041052C"/>
    <w:rsid w:val="004105F2"/>
    <w:rsid w:val="004105F9"/>
    <w:rsid w:val="0041061F"/>
    <w:rsid w:val="004106F1"/>
    <w:rsid w:val="0041092E"/>
    <w:rsid w:val="004109D2"/>
    <w:rsid w:val="00410A3B"/>
    <w:rsid w:val="00410AEF"/>
    <w:rsid w:val="00410B0C"/>
    <w:rsid w:val="00410BBD"/>
    <w:rsid w:val="00410C7A"/>
    <w:rsid w:val="00410CB8"/>
    <w:rsid w:val="00410CDD"/>
    <w:rsid w:val="00410DC9"/>
    <w:rsid w:val="00410F59"/>
    <w:rsid w:val="00410F5D"/>
    <w:rsid w:val="00410F5E"/>
    <w:rsid w:val="00410FB4"/>
    <w:rsid w:val="00411003"/>
    <w:rsid w:val="00411033"/>
    <w:rsid w:val="004110BB"/>
    <w:rsid w:val="004110E2"/>
    <w:rsid w:val="004110FA"/>
    <w:rsid w:val="00411156"/>
    <w:rsid w:val="00411193"/>
    <w:rsid w:val="0041119C"/>
    <w:rsid w:val="004111B8"/>
    <w:rsid w:val="004111E6"/>
    <w:rsid w:val="00411260"/>
    <w:rsid w:val="0041127D"/>
    <w:rsid w:val="004112AE"/>
    <w:rsid w:val="004112D9"/>
    <w:rsid w:val="00411305"/>
    <w:rsid w:val="004113A6"/>
    <w:rsid w:val="00411415"/>
    <w:rsid w:val="00411436"/>
    <w:rsid w:val="0041148D"/>
    <w:rsid w:val="004114DA"/>
    <w:rsid w:val="00411574"/>
    <w:rsid w:val="004115A3"/>
    <w:rsid w:val="0041167E"/>
    <w:rsid w:val="004116B4"/>
    <w:rsid w:val="004116ED"/>
    <w:rsid w:val="00411798"/>
    <w:rsid w:val="0041179C"/>
    <w:rsid w:val="0041188B"/>
    <w:rsid w:val="004118A2"/>
    <w:rsid w:val="00411A2C"/>
    <w:rsid w:val="00411A34"/>
    <w:rsid w:val="00411AAF"/>
    <w:rsid w:val="00411B00"/>
    <w:rsid w:val="00411B68"/>
    <w:rsid w:val="00411B6E"/>
    <w:rsid w:val="00411B72"/>
    <w:rsid w:val="00411C0B"/>
    <w:rsid w:val="00411C2A"/>
    <w:rsid w:val="00411C4A"/>
    <w:rsid w:val="00411D75"/>
    <w:rsid w:val="00411E1F"/>
    <w:rsid w:val="00411EE8"/>
    <w:rsid w:val="00411FBE"/>
    <w:rsid w:val="00412015"/>
    <w:rsid w:val="00412120"/>
    <w:rsid w:val="00412360"/>
    <w:rsid w:val="00412418"/>
    <w:rsid w:val="0041246E"/>
    <w:rsid w:val="004125BD"/>
    <w:rsid w:val="004125D4"/>
    <w:rsid w:val="00412600"/>
    <w:rsid w:val="004127AB"/>
    <w:rsid w:val="004127C7"/>
    <w:rsid w:val="004127E0"/>
    <w:rsid w:val="0041280B"/>
    <w:rsid w:val="00412842"/>
    <w:rsid w:val="00412878"/>
    <w:rsid w:val="00412933"/>
    <w:rsid w:val="00412950"/>
    <w:rsid w:val="004129E4"/>
    <w:rsid w:val="00412A27"/>
    <w:rsid w:val="00412A4E"/>
    <w:rsid w:val="00412B17"/>
    <w:rsid w:val="00412BB9"/>
    <w:rsid w:val="00412C7E"/>
    <w:rsid w:val="00412CC5"/>
    <w:rsid w:val="00412CF1"/>
    <w:rsid w:val="00412D39"/>
    <w:rsid w:val="00412E26"/>
    <w:rsid w:val="00412EF3"/>
    <w:rsid w:val="00412EFC"/>
    <w:rsid w:val="00412FEE"/>
    <w:rsid w:val="0041301A"/>
    <w:rsid w:val="004130A9"/>
    <w:rsid w:val="004130FB"/>
    <w:rsid w:val="00413106"/>
    <w:rsid w:val="00413131"/>
    <w:rsid w:val="00413196"/>
    <w:rsid w:val="004131C0"/>
    <w:rsid w:val="0041320B"/>
    <w:rsid w:val="00413267"/>
    <w:rsid w:val="00413294"/>
    <w:rsid w:val="004132FA"/>
    <w:rsid w:val="00413333"/>
    <w:rsid w:val="00413356"/>
    <w:rsid w:val="0041336C"/>
    <w:rsid w:val="004133B6"/>
    <w:rsid w:val="0041348D"/>
    <w:rsid w:val="004135A1"/>
    <w:rsid w:val="00413602"/>
    <w:rsid w:val="00413627"/>
    <w:rsid w:val="00413634"/>
    <w:rsid w:val="00413793"/>
    <w:rsid w:val="004137AE"/>
    <w:rsid w:val="00413874"/>
    <w:rsid w:val="00413961"/>
    <w:rsid w:val="00413A34"/>
    <w:rsid w:val="00413A82"/>
    <w:rsid w:val="00413AB7"/>
    <w:rsid w:val="00413B41"/>
    <w:rsid w:val="00413B4D"/>
    <w:rsid w:val="00413BAF"/>
    <w:rsid w:val="00413BBF"/>
    <w:rsid w:val="00413BE0"/>
    <w:rsid w:val="00413C58"/>
    <w:rsid w:val="00413C6A"/>
    <w:rsid w:val="00413CA9"/>
    <w:rsid w:val="00413CC4"/>
    <w:rsid w:val="00413CE0"/>
    <w:rsid w:val="00413D43"/>
    <w:rsid w:val="00413E5E"/>
    <w:rsid w:val="00413EB0"/>
    <w:rsid w:val="00413EBC"/>
    <w:rsid w:val="00413ECE"/>
    <w:rsid w:val="00413EE0"/>
    <w:rsid w:val="00413EF3"/>
    <w:rsid w:val="00414044"/>
    <w:rsid w:val="004140BE"/>
    <w:rsid w:val="0041414D"/>
    <w:rsid w:val="004141D3"/>
    <w:rsid w:val="00414328"/>
    <w:rsid w:val="004143C3"/>
    <w:rsid w:val="0041449E"/>
    <w:rsid w:val="004144AD"/>
    <w:rsid w:val="004144C7"/>
    <w:rsid w:val="00414527"/>
    <w:rsid w:val="0041453B"/>
    <w:rsid w:val="0041463B"/>
    <w:rsid w:val="0041464F"/>
    <w:rsid w:val="00414667"/>
    <w:rsid w:val="00414680"/>
    <w:rsid w:val="00414686"/>
    <w:rsid w:val="00414687"/>
    <w:rsid w:val="0041471F"/>
    <w:rsid w:val="004147A5"/>
    <w:rsid w:val="004147D4"/>
    <w:rsid w:val="004147F5"/>
    <w:rsid w:val="004149A8"/>
    <w:rsid w:val="004149DE"/>
    <w:rsid w:val="00414A19"/>
    <w:rsid w:val="00414A91"/>
    <w:rsid w:val="00414B41"/>
    <w:rsid w:val="00414BFC"/>
    <w:rsid w:val="00414CA0"/>
    <w:rsid w:val="00414CC2"/>
    <w:rsid w:val="00414E7C"/>
    <w:rsid w:val="00414E9E"/>
    <w:rsid w:val="00414EF0"/>
    <w:rsid w:val="00414FF3"/>
    <w:rsid w:val="004151E8"/>
    <w:rsid w:val="0041529C"/>
    <w:rsid w:val="004152DB"/>
    <w:rsid w:val="004152EA"/>
    <w:rsid w:val="0041535E"/>
    <w:rsid w:val="00415422"/>
    <w:rsid w:val="00415478"/>
    <w:rsid w:val="0041547D"/>
    <w:rsid w:val="00415548"/>
    <w:rsid w:val="004155C0"/>
    <w:rsid w:val="004155D9"/>
    <w:rsid w:val="00415618"/>
    <w:rsid w:val="0041583B"/>
    <w:rsid w:val="004158D1"/>
    <w:rsid w:val="0041590C"/>
    <w:rsid w:val="00415924"/>
    <w:rsid w:val="0041598A"/>
    <w:rsid w:val="00415A7D"/>
    <w:rsid w:val="00415AD6"/>
    <w:rsid w:val="00415B01"/>
    <w:rsid w:val="00415B04"/>
    <w:rsid w:val="00415B5A"/>
    <w:rsid w:val="00415C04"/>
    <w:rsid w:val="00415C21"/>
    <w:rsid w:val="00415C87"/>
    <w:rsid w:val="00415CF5"/>
    <w:rsid w:val="00415D87"/>
    <w:rsid w:val="00415ED4"/>
    <w:rsid w:val="00415F4B"/>
    <w:rsid w:val="00415F68"/>
    <w:rsid w:val="00415FC1"/>
    <w:rsid w:val="00415FC3"/>
    <w:rsid w:val="00415FE8"/>
    <w:rsid w:val="0041601F"/>
    <w:rsid w:val="004160B9"/>
    <w:rsid w:val="00416157"/>
    <w:rsid w:val="00416183"/>
    <w:rsid w:val="004161AC"/>
    <w:rsid w:val="004162D2"/>
    <w:rsid w:val="0041642A"/>
    <w:rsid w:val="0041647B"/>
    <w:rsid w:val="004164EC"/>
    <w:rsid w:val="004165F4"/>
    <w:rsid w:val="00416649"/>
    <w:rsid w:val="00416657"/>
    <w:rsid w:val="0041665F"/>
    <w:rsid w:val="0041677F"/>
    <w:rsid w:val="004167B3"/>
    <w:rsid w:val="004167F4"/>
    <w:rsid w:val="004168AC"/>
    <w:rsid w:val="004168E5"/>
    <w:rsid w:val="0041691C"/>
    <w:rsid w:val="0041699A"/>
    <w:rsid w:val="00416AC3"/>
    <w:rsid w:val="00416AD9"/>
    <w:rsid w:val="00416AF1"/>
    <w:rsid w:val="00416B91"/>
    <w:rsid w:val="00416BBA"/>
    <w:rsid w:val="00416BFE"/>
    <w:rsid w:val="00416CBB"/>
    <w:rsid w:val="00416CFA"/>
    <w:rsid w:val="00416D7F"/>
    <w:rsid w:val="00416DDA"/>
    <w:rsid w:val="00416E75"/>
    <w:rsid w:val="00416F04"/>
    <w:rsid w:val="00416FD0"/>
    <w:rsid w:val="00416FDC"/>
    <w:rsid w:val="0041701E"/>
    <w:rsid w:val="00417055"/>
    <w:rsid w:val="004170FB"/>
    <w:rsid w:val="00417118"/>
    <w:rsid w:val="00417175"/>
    <w:rsid w:val="004171F2"/>
    <w:rsid w:val="0041729D"/>
    <w:rsid w:val="004172F2"/>
    <w:rsid w:val="00417327"/>
    <w:rsid w:val="00417464"/>
    <w:rsid w:val="00417481"/>
    <w:rsid w:val="00417508"/>
    <w:rsid w:val="00417574"/>
    <w:rsid w:val="004175A8"/>
    <w:rsid w:val="00417610"/>
    <w:rsid w:val="004176BE"/>
    <w:rsid w:val="00417706"/>
    <w:rsid w:val="00417774"/>
    <w:rsid w:val="00417778"/>
    <w:rsid w:val="004177A3"/>
    <w:rsid w:val="004177AB"/>
    <w:rsid w:val="004178F4"/>
    <w:rsid w:val="004178FA"/>
    <w:rsid w:val="00417927"/>
    <w:rsid w:val="004179D9"/>
    <w:rsid w:val="00417A06"/>
    <w:rsid w:val="00417A0E"/>
    <w:rsid w:val="00417A5D"/>
    <w:rsid w:val="00417A8C"/>
    <w:rsid w:val="00417A9C"/>
    <w:rsid w:val="00417B7E"/>
    <w:rsid w:val="00417B8D"/>
    <w:rsid w:val="00417B96"/>
    <w:rsid w:val="00417D3D"/>
    <w:rsid w:val="00417D86"/>
    <w:rsid w:val="00417E51"/>
    <w:rsid w:val="00417EB1"/>
    <w:rsid w:val="00417F61"/>
    <w:rsid w:val="004200CC"/>
    <w:rsid w:val="004200FA"/>
    <w:rsid w:val="00420163"/>
    <w:rsid w:val="0042016E"/>
    <w:rsid w:val="0042018F"/>
    <w:rsid w:val="00420198"/>
    <w:rsid w:val="004201E2"/>
    <w:rsid w:val="0042023E"/>
    <w:rsid w:val="00420275"/>
    <w:rsid w:val="004202E6"/>
    <w:rsid w:val="004202EF"/>
    <w:rsid w:val="004203A7"/>
    <w:rsid w:val="0042050A"/>
    <w:rsid w:val="004205DC"/>
    <w:rsid w:val="004206B0"/>
    <w:rsid w:val="00420824"/>
    <w:rsid w:val="004208BE"/>
    <w:rsid w:val="0042091F"/>
    <w:rsid w:val="0042094B"/>
    <w:rsid w:val="00420AD2"/>
    <w:rsid w:val="00420BA6"/>
    <w:rsid w:val="00420BB7"/>
    <w:rsid w:val="00420D5B"/>
    <w:rsid w:val="00420DAF"/>
    <w:rsid w:val="00420E06"/>
    <w:rsid w:val="00420E2B"/>
    <w:rsid w:val="00420EF7"/>
    <w:rsid w:val="00420F43"/>
    <w:rsid w:val="00420F88"/>
    <w:rsid w:val="00420F8C"/>
    <w:rsid w:val="00420FA6"/>
    <w:rsid w:val="00420FF7"/>
    <w:rsid w:val="00421000"/>
    <w:rsid w:val="00421166"/>
    <w:rsid w:val="00421228"/>
    <w:rsid w:val="0042123E"/>
    <w:rsid w:val="00421241"/>
    <w:rsid w:val="0042126D"/>
    <w:rsid w:val="004212F0"/>
    <w:rsid w:val="004213A6"/>
    <w:rsid w:val="004213FC"/>
    <w:rsid w:val="0042140C"/>
    <w:rsid w:val="0042149C"/>
    <w:rsid w:val="00421668"/>
    <w:rsid w:val="004216D5"/>
    <w:rsid w:val="00421747"/>
    <w:rsid w:val="0042175C"/>
    <w:rsid w:val="00421799"/>
    <w:rsid w:val="00421820"/>
    <w:rsid w:val="00421A60"/>
    <w:rsid w:val="00421A95"/>
    <w:rsid w:val="00421B0D"/>
    <w:rsid w:val="00421B23"/>
    <w:rsid w:val="00421B4A"/>
    <w:rsid w:val="00421B96"/>
    <w:rsid w:val="00421C47"/>
    <w:rsid w:val="00421CBB"/>
    <w:rsid w:val="00421CCE"/>
    <w:rsid w:val="00421D18"/>
    <w:rsid w:val="00421D4C"/>
    <w:rsid w:val="00421DAF"/>
    <w:rsid w:val="00421DFB"/>
    <w:rsid w:val="00421E09"/>
    <w:rsid w:val="00421E12"/>
    <w:rsid w:val="00421EAB"/>
    <w:rsid w:val="00421EF7"/>
    <w:rsid w:val="00421FDB"/>
    <w:rsid w:val="00422108"/>
    <w:rsid w:val="00422181"/>
    <w:rsid w:val="0042218F"/>
    <w:rsid w:val="004221C1"/>
    <w:rsid w:val="004221D2"/>
    <w:rsid w:val="00422223"/>
    <w:rsid w:val="0042227F"/>
    <w:rsid w:val="00422313"/>
    <w:rsid w:val="00422354"/>
    <w:rsid w:val="0042235A"/>
    <w:rsid w:val="00422381"/>
    <w:rsid w:val="004223B2"/>
    <w:rsid w:val="0042246D"/>
    <w:rsid w:val="00422486"/>
    <w:rsid w:val="004224A2"/>
    <w:rsid w:val="004224BA"/>
    <w:rsid w:val="00422519"/>
    <w:rsid w:val="0042255C"/>
    <w:rsid w:val="0042259E"/>
    <w:rsid w:val="004225F9"/>
    <w:rsid w:val="0042269F"/>
    <w:rsid w:val="004226D4"/>
    <w:rsid w:val="004226EA"/>
    <w:rsid w:val="004226F1"/>
    <w:rsid w:val="00422747"/>
    <w:rsid w:val="00422891"/>
    <w:rsid w:val="004228B6"/>
    <w:rsid w:val="004228F2"/>
    <w:rsid w:val="00422963"/>
    <w:rsid w:val="00422A15"/>
    <w:rsid w:val="00422A9E"/>
    <w:rsid w:val="00422AA4"/>
    <w:rsid w:val="00422AE1"/>
    <w:rsid w:val="00422BEC"/>
    <w:rsid w:val="00422BFA"/>
    <w:rsid w:val="00422C9D"/>
    <w:rsid w:val="00422CA5"/>
    <w:rsid w:val="00422CB7"/>
    <w:rsid w:val="00422CCA"/>
    <w:rsid w:val="00422CE4"/>
    <w:rsid w:val="00422D47"/>
    <w:rsid w:val="00422DB8"/>
    <w:rsid w:val="00422DEA"/>
    <w:rsid w:val="00422E3B"/>
    <w:rsid w:val="00422E8B"/>
    <w:rsid w:val="00422F2E"/>
    <w:rsid w:val="00422F7A"/>
    <w:rsid w:val="00423005"/>
    <w:rsid w:val="0042308C"/>
    <w:rsid w:val="004231C3"/>
    <w:rsid w:val="00423251"/>
    <w:rsid w:val="0042338B"/>
    <w:rsid w:val="0042345F"/>
    <w:rsid w:val="00423505"/>
    <w:rsid w:val="004235C7"/>
    <w:rsid w:val="004235EB"/>
    <w:rsid w:val="004236C1"/>
    <w:rsid w:val="0042372B"/>
    <w:rsid w:val="0042373D"/>
    <w:rsid w:val="0042377E"/>
    <w:rsid w:val="004239A8"/>
    <w:rsid w:val="00423A3B"/>
    <w:rsid w:val="00423A57"/>
    <w:rsid w:val="00423A70"/>
    <w:rsid w:val="00423A88"/>
    <w:rsid w:val="00423BB2"/>
    <w:rsid w:val="00423BD7"/>
    <w:rsid w:val="00423C4F"/>
    <w:rsid w:val="00423D5D"/>
    <w:rsid w:val="00423DED"/>
    <w:rsid w:val="00423DF4"/>
    <w:rsid w:val="00423DFB"/>
    <w:rsid w:val="00423E7C"/>
    <w:rsid w:val="00423FAB"/>
    <w:rsid w:val="00423FE2"/>
    <w:rsid w:val="00423FF6"/>
    <w:rsid w:val="00424014"/>
    <w:rsid w:val="00424135"/>
    <w:rsid w:val="0042418F"/>
    <w:rsid w:val="004241FE"/>
    <w:rsid w:val="00424224"/>
    <w:rsid w:val="00424250"/>
    <w:rsid w:val="00424264"/>
    <w:rsid w:val="004242A0"/>
    <w:rsid w:val="004242C7"/>
    <w:rsid w:val="004242D9"/>
    <w:rsid w:val="004242F3"/>
    <w:rsid w:val="0042439D"/>
    <w:rsid w:val="00424407"/>
    <w:rsid w:val="00424470"/>
    <w:rsid w:val="0042448E"/>
    <w:rsid w:val="004244B1"/>
    <w:rsid w:val="0042453B"/>
    <w:rsid w:val="00424650"/>
    <w:rsid w:val="004246C7"/>
    <w:rsid w:val="004246DF"/>
    <w:rsid w:val="00424777"/>
    <w:rsid w:val="0042482F"/>
    <w:rsid w:val="0042486E"/>
    <w:rsid w:val="00424880"/>
    <w:rsid w:val="004249C1"/>
    <w:rsid w:val="00424A26"/>
    <w:rsid w:val="00424A51"/>
    <w:rsid w:val="00424A58"/>
    <w:rsid w:val="00424A9A"/>
    <w:rsid w:val="00424B58"/>
    <w:rsid w:val="00424B7A"/>
    <w:rsid w:val="00424BBD"/>
    <w:rsid w:val="00424BC7"/>
    <w:rsid w:val="00424BFD"/>
    <w:rsid w:val="00424C06"/>
    <w:rsid w:val="00424C10"/>
    <w:rsid w:val="00424C5F"/>
    <w:rsid w:val="00424C62"/>
    <w:rsid w:val="00424CE6"/>
    <w:rsid w:val="00424D52"/>
    <w:rsid w:val="00424D9A"/>
    <w:rsid w:val="00424D9C"/>
    <w:rsid w:val="00424EFA"/>
    <w:rsid w:val="00424F20"/>
    <w:rsid w:val="00425044"/>
    <w:rsid w:val="0042509B"/>
    <w:rsid w:val="0042516C"/>
    <w:rsid w:val="00425185"/>
    <w:rsid w:val="00425213"/>
    <w:rsid w:val="004252DB"/>
    <w:rsid w:val="0042531E"/>
    <w:rsid w:val="0042539E"/>
    <w:rsid w:val="004253B9"/>
    <w:rsid w:val="00425485"/>
    <w:rsid w:val="004254B0"/>
    <w:rsid w:val="004254FA"/>
    <w:rsid w:val="004254FF"/>
    <w:rsid w:val="0042559F"/>
    <w:rsid w:val="004255FD"/>
    <w:rsid w:val="00425604"/>
    <w:rsid w:val="00425621"/>
    <w:rsid w:val="004256F8"/>
    <w:rsid w:val="0042571C"/>
    <w:rsid w:val="004257A6"/>
    <w:rsid w:val="00425806"/>
    <w:rsid w:val="00425890"/>
    <w:rsid w:val="004259AE"/>
    <w:rsid w:val="004259D8"/>
    <w:rsid w:val="00425A43"/>
    <w:rsid w:val="00425A85"/>
    <w:rsid w:val="00425ACB"/>
    <w:rsid w:val="00425BF6"/>
    <w:rsid w:val="00425C3F"/>
    <w:rsid w:val="00425C95"/>
    <w:rsid w:val="00425E18"/>
    <w:rsid w:val="00425E48"/>
    <w:rsid w:val="00425E65"/>
    <w:rsid w:val="00425EB1"/>
    <w:rsid w:val="00425EBD"/>
    <w:rsid w:val="00425ED0"/>
    <w:rsid w:val="00425F02"/>
    <w:rsid w:val="00425F2F"/>
    <w:rsid w:val="0042602E"/>
    <w:rsid w:val="0042605F"/>
    <w:rsid w:val="004260C6"/>
    <w:rsid w:val="004260CF"/>
    <w:rsid w:val="00426193"/>
    <w:rsid w:val="004261C0"/>
    <w:rsid w:val="0042624B"/>
    <w:rsid w:val="004262D3"/>
    <w:rsid w:val="004262D4"/>
    <w:rsid w:val="004262E0"/>
    <w:rsid w:val="0042633B"/>
    <w:rsid w:val="0042637F"/>
    <w:rsid w:val="004263C5"/>
    <w:rsid w:val="004263E9"/>
    <w:rsid w:val="00426447"/>
    <w:rsid w:val="004266D4"/>
    <w:rsid w:val="0042688B"/>
    <w:rsid w:val="00426942"/>
    <w:rsid w:val="00426953"/>
    <w:rsid w:val="00426A2D"/>
    <w:rsid w:val="00426AB0"/>
    <w:rsid w:val="00426AFA"/>
    <w:rsid w:val="00426B2B"/>
    <w:rsid w:val="00426B5E"/>
    <w:rsid w:val="00426BDC"/>
    <w:rsid w:val="00426CE1"/>
    <w:rsid w:val="00426CEC"/>
    <w:rsid w:val="00426D4A"/>
    <w:rsid w:val="00426D8A"/>
    <w:rsid w:val="00426E05"/>
    <w:rsid w:val="00426E38"/>
    <w:rsid w:val="00426E45"/>
    <w:rsid w:val="00426E52"/>
    <w:rsid w:val="00426E9A"/>
    <w:rsid w:val="00426ECB"/>
    <w:rsid w:val="00427029"/>
    <w:rsid w:val="0042704B"/>
    <w:rsid w:val="0042708C"/>
    <w:rsid w:val="00427099"/>
    <w:rsid w:val="004270E6"/>
    <w:rsid w:val="0042710A"/>
    <w:rsid w:val="0042711A"/>
    <w:rsid w:val="00427197"/>
    <w:rsid w:val="004271D7"/>
    <w:rsid w:val="00427243"/>
    <w:rsid w:val="00427273"/>
    <w:rsid w:val="00427299"/>
    <w:rsid w:val="00427340"/>
    <w:rsid w:val="00427405"/>
    <w:rsid w:val="00427439"/>
    <w:rsid w:val="0042743E"/>
    <w:rsid w:val="0042765B"/>
    <w:rsid w:val="0042766F"/>
    <w:rsid w:val="004276BD"/>
    <w:rsid w:val="004276D2"/>
    <w:rsid w:val="00427714"/>
    <w:rsid w:val="00427775"/>
    <w:rsid w:val="004277C5"/>
    <w:rsid w:val="00427929"/>
    <w:rsid w:val="004279A0"/>
    <w:rsid w:val="00427B07"/>
    <w:rsid w:val="00427B3C"/>
    <w:rsid w:val="00427B6C"/>
    <w:rsid w:val="00427B75"/>
    <w:rsid w:val="00427B8E"/>
    <w:rsid w:val="00427BA8"/>
    <w:rsid w:val="00427BE2"/>
    <w:rsid w:val="00427BFA"/>
    <w:rsid w:val="00427C5C"/>
    <w:rsid w:val="00427C9F"/>
    <w:rsid w:val="00427CD3"/>
    <w:rsid w:val="00427E05"/>
    <w:rsid w:val="00427EA7"/>
    <w:rsid w:val="00427ED9"/>
    <w:rsid w:val="00427EE2"/>
    <w:rsid w:val="00427F42"/>
    <w:rsid w:val="00427F57"/>
    <w:rsid w:val="00427F8C"/>
    <w:rsid w:val="00427F8D"/>
    <w:rsid w:val="00427FF8"/>
    <w:rsid w:val="00430019"/>
    <w:rsid w:val="00430155"/>
    <w:rsid w:val="0043015A"/>
    <w:rsid w:val="00430191"/>
    <w:rsid w:val="004301A4"/>
    <w:rsid w:val="004301B5"/>
    <w:rsid w:val="004301D4"/>
    <w:rsid w:val="004301F8"/>
    <w:rsid w:val="00430236"/>
    <w:rsid w:val="0043025E"/>
    <w:rsid w:val="00430315"/>
    <w:rsid w:val="0043037E"/>
    <w:rsid w:val="0043037F"/>
    <w:rsid w:val="004303E4"/>
    <w:rsid w:val="00430459"/>
    <w:rsid w:val="0043045E"/>
    <w:rsid w:val="004304E8"/>
    <w:rsid w:val="00430514"/>
    <w:rsid w:val="00430542"/>
    <w:rsid w:val="00430549"/>
    <w:rsid w:val="004305AA"/>
    <w:rsid w:val="004305F2"/>
    <w:rsid w:val="00430685"/>
    <w:rsid w:val="00430697"/>
    <w:rsid w:val="004306A2"/>
    <w:rsid w:val="004306F4"/>
    <w:rsid w:val="00430771"/>
    <w:rsid w:val="0043077A"/>
    <w:rsid w:val="004307BB"/>
    <w:rsid w:val="004307E2"/>
    <w:rsid w:val="004307F0"/>
    <w:rsid w:val="0043088E"/>
    <w:rsid w:val="004308F5"/>
    <w:rsid w:val="0043090E"/>
    <w:rsid w:val="00430916"/>
    <w:rsid w:val="0043096E"/>
    <w:rsid w:val="00430989"/>
    <w:rsid w:val="00430B51"/>
    <w:rsid w:val="00430C12"/>
    <w:rsid w:val="00430C63"/>
    <w:rsid w:val="00430C81"/>
    <w:rsid w:val="00430CA1"/>
    <w:rsid w:val="00430CC0"/>
    <w:rsid w:val="00430CC1"/>
    <w:rsid w:val="00430CF7"/>
    <w:rsid w:val="00430D01"/>
    <w:rsid w:val="00430D25"/>
    <w:rsid w:val="00430D3A"/>
    <w:rsid w:val="00430E5F"/>
    <w:rsid w:val="00430F05"/>
    <w:rsid w:val="00430F87"/>
    <w:rsid w:val="00430FA7"/>
    <w:rsid w:val="00431155"/>
    <w:rsid w:val="00431246"/>
    <w:rsid w:val="0043125B"/>
    <w:rsid w:val="00431330"/>
    <w:rsid w:val="0043134F"/>
    <w:rsid w:val="00431394"/>
    <w:rsid w:val="004313E8"/>
    <w:rsid w:val="00431484"/>
    <w:rsid w:val="00431517"/>
    <w:rsid w:val="0043158C"/>
    <w:rsid w:val="004315D6"/>
    <w:rsid w:val="00431657"/>
    <w:rsid w:val="0043167B"/>
    <w:rsid w:val="004316D1"/>
    <w:rsid w:val="004316D8"/>
    <w:rsid w:val="004316E0"/>
    <w:rsid w:val="00431718"/>
    <w:rsid w:val="004317AC"/>
    <w:rsid w:val="00431967"/>
    <w:rsid w:val="004319CC"/>
    <w:rsid w:val="004319DF"/>
    <w:rsid w:val="00431A4C"/>
    <w:rsid w:val="00431A72"/>
    <w:rsid w:val="00431A91"/>
    <w:rsid w:val="00431B1E"/>
    <w:rsid w:val="00431B34"/>
    <w:rsid w:val="00431B4B"/>
    <w:rsid w:val="00431B60"/>
    <w:rsid w:val="00431BCA"/>
    <w:rsid w:val="00431C36"/>
    <w:rsid w:val="00431C5F"/>
    <w:rsid w:val="00431CCB"/>
    <w:rsid w:val="00431D57"/>
    <w:rsid w:val="00431DDC"/>
    <w:rsid w:val="00431E0D"/>
    <w:rsid w:val="00431F5C"/>
    <w:rsid w:val="00431F86"/>
    <w:rsid w:val="00432088"/>
    <w:rsid w:val="004320FF"/>
    <w:rsid w:val="00432108"/>
    <w:rsid w:val="0043212D"/>
    <w:rsid w:val="004322A6"/>
    <w:rsid w:val="004322DF"/>
    <w:rsid w:val="004322EB"/>
    <w:rsid w:val="0043231E"/>
    <w:rsid w:val="0043233A"/>
    <w:rsid w:val="004323B8"/>
    <w:rsid w:val="00432455"/>
    <w:rsid w:val="0043258C"/>
    <w:rsid w:val="00432596"/>
    <w:rsid w:val="004325CC"/>
    <w:rsid w:val="00432849"/>
    <w:rsid w:val="00432854"/>
    <w:rsid w:val="00432871"/>
    <w:rsid w:val="0043288F"/>
    <w:rsid w:val="004329EA"/>
    <w:rsid w:val="00432A1C"/>
    <w:rsid w:val="00432A1D"/>
    <w:rsid w:val="00432ADE"/>
    <w:rsid w:val="00432AEF"/>
    <w:rsid w:val="00432B57"/>
    <w:rsid w:val="00432BD3"/>
    <w:rsid w:val="00432C21"/>
    <w:rsid w:val="00432C8B"/>
    <w:rsid w:val="00432D24"/>
    <w:rsid w:val="00432D89"/>
    <w:rsid w:val="00432E2C"/>
    <w:rsid w:val="00432E5B"/>
    <w:rsid w:val="00432ECC"/>
    <w:rsid w:val="00432EED"/>
    <w:rsid w:val="00432F14"/>
    <w:rsid w:val="00433029"/>
    <w:rsid w:val="00433057"/>
    <w:rsid w:val="0043307B"/>
    <w:rsid w:val="00433207"/>
    <w:rsid w:val="00433239"/>
    <w:rsid w:val="004332A2"/>
    <w:rsid w:val="004332D6"/>
    <w:rsid w:val="00433327"/>
    <w:rsid w:val="004333AF"/>
    <w:rsid w:val="004333B8"/>
    <w:rsid w:val="004334BB"/>
    <w:rsid w:val="0043357D"/>
    <w:rsid w:val="004335A4"/>
    <w:rsid w:val="00433670"/>
    <w:rsid w:val="00433680"/>
    <w:rsid w:val="0043368A"/>
    <w:rsid w:val="00433692"/>
    <w:rsid w:val="004336DC"/>
    <w:rsid w:val="00433724"/>
    <w:rsid w:val="00433751"/>
    <w:rsid w:val="00433759"/>
    <w:rsid w:val="00433761"/>
    <w:rsid w:val="00433788"/>
    <w:rsid w:val="0043387A"/>
    <w:rsid w:val="0043389D"/>
    <w:rsid w:val="0043391F"/>
    <w:rsid w:val="00433985"/>
    <w:rsid w:val="004339E3"/>
    <w:rsid w:val="00433AB6"/>
    <w:rsid w:val="00433B14"/>
    <w:rsid w:val="00433C25"/>
    <w:rsid w:val="00433C61"/>
    <w:rsid w:val="00433CEC"/>
    <w:rsid w:val="00433DCB"/>
    <w:rsid w:val="00433DF5"/>
    <w:rsid w:val="00433F6D"/>
    <w:rsid w:val="00433F90"/>
    <w:rsid w:val="00434002"/>
    <w:rsid w:val="00434062"/>
    <w:rsid w:val="0043409E"/>
    <w:rsid w:val="00434102"/>
    <w:rsid w:val="0043411D"/>
    <w:rsid w:val="0043413F"/>
    <w:rsid w:val="00434156"/>
    <w:rsid w:val="00434169"/>
    <w:rsid w:val="00434199"/>
    <w:rsid w:val="004341D8"/>
    <w:rsid w:val="0043422C"/>
    <w:rsid w:val="004342ED"/>
    <w:rsid w:val="00434382"/>
    <w:rsid w:val="004344B3"/>
    <w:rsid w:val="00434544"/>
    <w:rsid w:val="004345AA"/>
    <w:rsid w:val="004345C3"/>
    <w:rsid w:val="0043466C"/>
    <w:rsid w:val="00434688"/>
    <w:rsid w:val="00434734"/>
    <w:rsid w:val="00434747"/>
    <w:rsid w:val="004347E5"/>
    <w:rsid w:val="00434873"/>
    <w:rsid w:val="004348C0"/>
    <w:rsid w:val="004348FA"/>
    <w:rsid w:val="00434927"/>
    <w:rsid w:val="00434930"/>
    <w:rsid w:val="0043499B"/>
    <w:rsid w:val="004349ED"/>
    <w:rsid w:val="00434A71"/>
    <w:rsid w:val="00434A77"/>
    <w:rsid w:val="00434B8E"/>
    <w:rsid w:val="00434C39"/>
    <w:rsid w:val="00434C4C"/>
    <w:rsid w:val="00434D3F"/>
    <w:rsid w:val="00434D6D"/>
    <w:rsid w:val="00434DB2"/>
    <w:rsid w:val="00434EC9"/>
    <w:rsid w:val="0043500D"/>
    <w:rsid w:val="00435075"/>
    <w:rsid w:val="004351B7"/>
    <w:rsid w:val="004351EB"/>
    <w:rsid w:val="00435287"/>
    <w:rsid w:val="0043529D"/>
    <w:rsid w:val="004352C3"/>
    <w:rsid w:val="0043533B"/>
    <w:rsid w:val="00435346"/>
    <w:rsid w:val="0043537B"/>
    <w:rsid w:val="004353FA"/>
    <w:rsid w:val="004354F6"/>
    <w:rsid w:val="004355FB"/>
    <w:rsid w:val="00435622"/>
    <w:rsid w:val="00435649"/>
    <w:rsid w:val="004357FD"/>
    <w:rsid w:val="00435845"/>
    <w:rsid w:val="00435902"/>
    <w:rsid w:val="00435939"/>
    <w:rsid w:val="004359C5"/>
    <w:rsid w:val="004359F8"/>
    <w:rsid w:val="00435A80"/>
    <w:rsid w:val="00435A86"/>
    <w:rsid w:val="00435A88"/>
    <w:rsid w:val="00435AC6"/>
    <w:rsid w:val="00435ACC"/>
    <w:rsid w:val="00435B1A"/>
    <w:rsid w:val="00435B1B"/>
    <w:rsid w:val="00435BB9"/>
    <w:rsid w:val="00435C06"/>
    <w:rsid w:val="00435C08"/>
    <w:rsid w:val="00435C8C"/>
    <w:rsid w:val="00435CA0"/>
    <w:rsid w:val="00435D05"/>
    <w:rsid w:val="00435D2D"/>
    <w:rsid w:val="00435F6A"/>
    <w:rsid w:val="00435FA7"/>
    <w:rsid w:val="00436000"/>
    <w:rsid w:val="0043614C"/>
    <w:rsid w:val="0043621F"/>
    <w:rsid w:val="00436252"/>
    <w:rsid w:val="004362DC"/>
    <w:rsid w:val="00436394"/>
    <w:rsid w:val="004363E0"/>
    <w:rsid w:val="00436494"/>
    <w:rsid w:val="004366E0"/>
    <w:rsid w:val="004366FC"/>
    <w:rsid w:val="004367E5"/>
    <w:rsid w:val="00436899"/>
    <w:rsid w:val="004368A1"/>
    <w:rsid w:val="00436A35"/>
    <w:rsid w:val="00436A89"/>
    <w:rsid w:val="00436AFF"/>
    <w:rsid w:val="00436B6A"/>
    <w:rsid w:val="00436B88"/>
    <w:rsid w:val="00436BEF"/>
    <w:rsid w:val="00436C47"/>
    <w:rsid w:val="00436CCC"/>
    <w:rsid w:val="00436D15"/>
    <w:rsid w:val="00436D68"/>
    <w:rsid w:val="00436DB8"/>
    <w:rsid w:val="00436DE3"/>
    <w:rsid w:val="00436E16"/>
    <w:rsid w:val="00436E64"/>
    <w:rsid w:val="00436EC2"/>
    <w:rsid w:val="00436F3E"/>
    <w:rsid w:val="00436FB0"/>
    <w:rsid w:val="00436FCC"/>
    <w:rsid w:val="00437002"/>
    <w:rsid w:val="004370C2"/>
    <w:rsid w:val="004370DF"/>
    <w:rsid w:val="00437164"/>
    <w:rsid w:val="0043718B"/>
    <w:rsid w:val="004371D2"/>
    <w:rsid w:val="00437261"/>
    <w:rsid w:val="00437273"/>
    <w:rsid w:val="004372FA"/>
    <w:rsid w:val="0043731E"/>
    <w:rsid w:val="0043733E"/>
    <w:rsid w:val="00437367"/>
    <w:rsid w:val="004373AB"/>
    <w:rsid w:val="004373DA"/>
    <w:rsid w:val="0043741D"/>
    <w:rsid w:val="00437476"/>
    <w:rsid w:val="0043747D"/>
    <w:rsid w:val="00437481"/>
    <w:rsid w:val="004374BB"/>
    <w:rsid w:val="00437528"/>
    <w:rsid w:val="00437564"/>
    <w:rsid w:val="004375D4"/>
    <w:rsid w:val="0043769C"/>
    <w:rsid w:val="004376A4"/>
    <w:rsid w:val="004377BC"/>
    <w:rsid w:val="004377C9"/>
    <w:rsid w:val="00437808"/>
    <w:rsid w:val="004378F8"/>
    <w:rsid w:val="0043796E"/>
    <w:rsid w:val="0043798B"/>
    <w:rsid w:val="00437B18"/>
    <w:rsid w:val="00437BBD"/>
    <w:rsid w:val="00437BE0"/>
    <w:rsid w:val="00437CDA"/>
    <w:rsid w:val="00437D4C"/>
    <w:rsid w:val="00437DBB"/>
    <w:rsid w:val="00437DBF"/>
    <w:rsid w:val="00437E13"/>
    <w:rsid w:val="00437E72"/>
    <w:rsid w:val="00437E8E"/>
    <w:rsid w:val="00437F01"/>
    <w:rsid w:val="004400EE"/>
    <w:rsid w:val="0044015A"/>
    <w:rsid w:val="004402AF"/>
    <w:rsid w:val="00440442"/>
    <w:rsid w:val="0044044D"/>
    <w:rsid w:val="00440574"/>
    <w:rsid w:val="00440588"/>
    <w:rsid w:val="004405AC"/>
    <w:rsid w:val="004405CB"/>
    <w:rsid w:val="004405E8"/>
    <w:rsid w:val="00440672"/>
    <w:rsid w:val="004406CB"/>
    <w:rsid w:val="004406F3"/>
    <w:rsid w:val="00440761"/>
    <w:rsid w:val="00440776"/>
    <w:rsid w:val="004407AE"/>
    <w:rsid w:val="004407C0"/>
    <w:rsid w:val="004407E9"/>
    <w:rsid w:val="00440815"/>
    <w:rsid w:val="004408CC"/>
    <w:rsid w:val="0044091E"/>
    <w:rsid w:val="00440A1E"/>
    <w:rsid w:val="00440A4C"/>
    <w:rsid w:val="00440A56"/>
    <w:rsid w:val="00440A5D"/>
    <w:rsid w:val="00440A89"/>
    <w:rsid w:val="00440AD6"/>
    <w:rsid w:val="00440B54"/>
    <w:rsid w:val="00440BF6"/>
    <w:rsid w:val="00440C1C"/>
    <w:rsid w:val="00440CC5"/>
    <w:rsid w:val="00440D52"/>
    <w:rsid w:val="00440D86"/>
    <w:rsid w:val="00440EBE"/>
    <w:rsid w:val="00440F1B"/>
    <w:rsid w:val="00440FB2"/>
    <w:rsid w:val="00440FBA"/>
    <w:rsid w:val="0044102A"/>
    <w:rsid w:val="0044108D"/>
    <w:rsid w:val="004410C5"/>
    <w:rsid w:val="004410DE"/>
    <w:rsid w:val="004410F0"/>
    <w:rsid w:val="00441118"/>
    <w:rsid w:val="00441157"/>
    <w:rsid w:val="004411D6"/>
    <w:rsid w:val="004411E7"/>
    <w:rsid w:val="00441455"/>
    <w:rsid w:val="004415CA"/>
    <w:rsid w:val="004415FE"/>
    <w:rsid w:val="00441621"/>
    <w:rsid w:val="00441660"/>
    <w:rsid w:val="004416E5"/>
    <w:rsid w:val="00441710"/>
    <w:rsid w:val="00441738"/>
    <w:rsid w:val="00441784"/>
    <w:rsid w:val="00441787"/>
    <w:rsid w:val="004417C6"/>
    <w:rsid w:val="00441890"/>
    <w:rsid w:val="0044189F"/>
    <w:rsid w:val="004418A7"/>
    <w:rsid w:val="004418B0"/>
    <w:rsid w:val="004418BD"/>
    <w:rsid w:val="004418F9"/>
    <w:rsid w:val="004419BC"/>
    <w:rsid w:val="00441A1C"/>
    <w:rsid w:val="00441A74"/>
    <w:rsid w:val="00441B32"/>
    <w:rsid w:val="00441B33"/>
    <w:rsid w:val="00441B58"/>
    <w:rsid w:val="00441B73"/>
    <w:rsid w:val="00441BE7"/>
    <w:rsid w:val="00441C2A"/>
    <w:rsid w:val="00441D01"/>
    <w:rsid w:val="00441D96"/>
    <w:rsid w:val="00441DC0"/>
    <w:rsid w:val="00441DEC"/>
    <w:rsid w:val="00441EA2"/>
    <w:rsid w:val="00441F84"/>
    <w:rsid w:val="00441FFE"/>
    <w:rsid w:val="00442071"/>
    <w:rsid w:val="0044208F"/>
    <w:rsid w:val="00442102"/>
    <w:rsid w:val="004421A0"/>
    <w:rsid w:val="004421B6"/>
    <w:rsid w:val="004421C3"/>
    <w:rsid w:val="0044224A"/>
    <w:rsid w:val="00442268"/>
    <w:rsid w:val="004422B5"/>
    <w:rsid w:val="00442368"/>
    <w:rsid w:val="00442397"/>
    <w:rsid w:val="00442473"/>
    <w:rsid w:val="004424B2"/>
    <w:rsid w:val="00442519"/>
    <w:rsid w:val="00442596"/>
    <w:rsid w:val="004425C9"/>
    <w:rsid w:val="00442690"/>
    <w:rsid w:val="004426EB"/>
    <w:rsid w:val="00442796"/>
    <w:rsid w:val="004427B2"/>
    <w:rsid w:val="004427B6"/>
    <w:rsid w:val="00442800"/>
    <w:rsid w:val="00442840"/>
    <w:rsid w:val="00442886"/>
    <w:rsid w:val="004428A4"/>
    <w:rsid w:val="00442A2E"/>
    <w:rsid w:val="00442B37"/>
    <w:rsid w:val="00442B82"/>
    <w:rsid w:val="00442B87"/>
    <w:rsid w:val="00442B8F"/>
    <w:rsid w:val="00442BBB"/>
    <w:rsid w:val="00442C73"/>
    <w:rsid w:val="00442CA3"/>
    <w:rsid w:val="00442CD0"/>
    <w:rsid w:val="00442CD6"/>
    <w:rsid w:val="00442D0D"/>
    <w:rsid w:val="00442D21"/>
    <w:rsid w:val="00442D42"/>
    <w:rsid w:val="00442D66"/>
    <w:rsid w:val="00442DA7"/>
    <w:rsid w:val="00442E04"/>
    <w:rsid w:val="00442E25"/>
    <w:rsid w:val="00442E2C"/>
    <w:rsid w:val="00442F34"/>
    <w:rsid w:val="00442F56"/>
    <w:rsid w:val="0044307B"/>
    <w:rsid w:val="004430AE"/>
    <w:rsid w:val="004430CB"/>
    <w:rsid w:val="004430F7"/>
    <w:rsid w:val="00443126"/>
    <w:rsid w:val="00443190"/>
    <w:rsid w:val="004431DC"/>
    <w:rsid w:val="00443277"/>
    <w:rsid w:val="00443289"/>
    <w:rsid w:val="004432DA"/>
    <w:rsid w:val="004433A7"/>
    <w:rsid w:val="004435A5"/>
    <w:rsid w:val="004435F8"/>
    <w:rsid w:val="00443633"/>
    <w:rsid w:val="004436E6"/>
    <w:rsid w:val="004436F0"/>
    <w:rsid w:val="004437BE"/>
    <w:rsid w:val="004437F8"/>
    <w:rsid w:val="00443887"/>
    <w:rsid w:val="00443919"/>
    <w:rsid w:val="00443948"/>
    <w:rsid w:val="0044394E"/>
    <w:rsid w:val="00443A05"/>
    <w:rsid w:val="00443A36"/>
    <w:rsid w:val="00443B42"/>
    <w:rsid w:val="00443BB9"/>
    <w:rsid w:val="00443BD2"/>
    <w:rsid w:val="00443C35"/>
    <w:rsid w:val="00443C7D"/>
    <w:rsid w:val="00443C84"/>
    <w:rsid w:val="00443D03"/>
    <w:rsid w:val="00443D17"/>
    <w:rsid w:val="00443D9D"/>
    <w:rsid w:val="00443DF8"/>
    <w:rsid w:val="00443E8A"/>
    <w:rsid w:val="00443F3D"/>
    <w:rsid w:val="00443FAB"/>
    <w:rsid w:val="00444002"/>
    <w:rsid w:val="0044404A"/>
    <w:rsid w:val="0044406D"/>
    <w:rsid w:val="004440DC"/>
    <w:rsid w:val="004441C1"/>
    <w:rsid w:val="004442C9"/>
    <w:rsid w:val="004444CC"/>
    <w:rsid w:val="00444526"/>
    <w:rsid w:val="0044452A"/>
    <w:rsid w:val="0044463F"/>
    <w:rsid w:val="004446AB"/>
    <w:rsid w:val="004446E7"/>
    <w:rsid w:val="0044473C"/>
    <w:rsid w:val="0044473E"/>
    <w:rsid w:val="0044474D"/>
    <w:rsid w:val="00444804"/>
    <w:rsid w:val="0044490E"/>
    <w:rsid w:val="0044492B"/>
    <w:rsid w:val="0044495E"/>
    <w:rsid w:val="004449A9"/>
    <w:rsid w:val="004449BD"/>
    <w:rsid w:val="00444A35"/>
    <w:rsid w:val="00444A5F"/>
    <w:rsid w:val="00444A9C"/>
    <w:rsid w:val="00444AD9"/>
    <w:rsid w:val="00444B73"/>
    <w:rsid w:val="00444B8F"/>
    <w:rsid w:val="00444C21"/>
    <w:rsid w:val="00444C7F"/>
    <w:rsid w:val="00444D6F"/>
    <w:rsid w:val="00444D82"/>
    <w:rsid w:val="00444E26"/>
    <w:rsid w:val="00444E5E"/>
    <w:rsid w:val="00444E6E"/>
    <w:rsid w:val="00444E77"/>
    <w:rsid w:val="00444EBE"/>
    <w:rsid w:val="00444EDF"/>
    <w:rsid w:val="00444F17"/>
    <w:rsid w:val="00444F4F"/>
    <w:rsid w:val="00444F9A"/>
    <w:rsid w:val="00444FD8"/>
    <w:rsid w:val="00445022"/>
    <w:rsid w:val="0044502D"/>
    <w:rsid w:val="0044502E"/>
    <w:rsid w:val="00445096"/>
    <w:rsid w:val="00445188"/>
    <w:rsid w:val="00445199"/>
    <w:rsid w:val="004451DC"/>
    <w:rsid w:val="004451E7"/>
    <w:rsid w:val="00445212"/>
    <w:rsid w:val="00445229"/>
    <w:rsid w:val="00445251"/>
    <w:rsid w:val="0044527D"/>
    <w:rsid w:val="004452B5"/>
    <w:rsid w:val="0044531A"/>
    <w:rsid w:val="00445365"/>
    <w:rsid w:val="00445400"/>
    <w:rsid w:val="00445402"/>
    <w:rsid w:val="00445421"/>
    <w:rsid w:val="004454AB"/>
    <w:rsid w:val="00445571"/>
    <w:rsid w:val="00445575"/>
    <w:rsid w:val="0044566E"/>
    <w:rsid w:val="00445747"/>
    <w:rsid w:val="004458B6"/>
    <w:rsid w:val="00445931"/>
    <w:rsid w:val="00445959"/>
    <w:rsid w:val="00445999"/>
    <w:rsid w:val="00445A2E"/>
    <w:rsid w:val="00445A68"/>
    <w:rsid w:val="00445C25"/>
    <w:rsid w:val="00445C40"/>
    <w:rsid w:val="00445C58"/>
    <w:rsid w:val="00445C66"/>
    <w:rsid w:val="00445C94"/>
    <w:rsid w:val="00445C96"/>
    <w:rsid w:val="00445CBC"/>
    <w:rsid w:val="00445D2D"/>
    <w:rsid w:val="00445DFD"/>
    <w:rsid w:val="00445E6C"/>
    <w:rsid w:val="00445E97"/>
    <w:rsid w:val="00445EAF"/>
    <w:rsid w:val="00445F73"/>
    <w:rsid w:val="00445FF5"/>
    <w:rsid w:val="00446057"/>
    <w:rsid w:val="0044609F"/>
    <w:rsid w:val="004460ED"/>
    <w:rsid w:val="00446166"/>
    <w:rsid w:val="004461E1"/>
    <w:rsid w:val="00446219"/>
    <w:rsid w:val="00446237"/>
    <w:rsid w:val="0044628B"/>
    <w:rsid w:val="00446306"/>
    <w:rsid w:val="004463A4"/>
    <w:rsid w:val="00446455"/>
    <w:rsid w:val="00446571"/>
    <w:rsid w:val="00446589"/>
    <w:rsid w:val="0044661E"/>
    <w:rsid w:val="0044662D"/>
    <w:rsid w:val="0044676E"/>
    <w:rsid w:val="00446812"/>
    <w:rsid w:val="00446827"/>
    <w:rsid w:val="004468D0"/>
    <w:rsid w:val="004468F8"/>
    <w:rsid w:val="004468FC"/>
    <w:rsid w:val="00446955"/>
    <w:rsid w:val="00446987"/>
    <w:rsid w:val="00446A04"/>
    <w:rsid w:val="00446A82"/>
    <w:rsid w:val="00446AE3"/>
    <w:rsid w:val="00446AF2"/>
    <w:rsid w:val="00446BC5"/>
    <w:rsid w:val="00446BDF"/>
    <w:rsid w:val="00446BED"/>
    <w:rsid w:val="00446C33"/>
    <w:rsid w:val="00446CA0"/>
    <w:rsid w:val="00446CF6"/>
    <w:rsid w:val="00446CFE"/>
    <w:rsid w:val="00446D22"/>
    <w:rsid w:val="00446D34"/>
    <w:rsid w:val="00446D83"/>
    <w:rsid w:val="00446D93"/>
    <w:rsid w:val="00446DC6"/>
    <w:rsid w:val="00446DE1"/>
    <w:rsid w:val="00446E2A"/>
    <w:rsid w:val="00446EF9"/>
    <w:rsid w:val="00446F83"/>
    <w:rsid w:val="00446F9E"/>
    <w:rsid w:val="00446FAF"/>
    <w:rsid w:val="0044702D"/>
    <w:rsid w:val="004470FB"/>
    <w:rsid w:val="00447110"/>
    <w:rsid w:val="00447176"/>
    <w:rsid w:val="0044718D"/>
    <w:rsid w:val="004471D2"/>
    <w:rsid w:val="00447346"/>
    <w:rsid w:val="00447351"/>
    <w:rsid w:val="00447357"/>
    <w:rsid w:val="0044737E"/>
    <w:rsid w:val="00447420"/>
    <w:rsid w:val="00447481"/>
    <w:rsid w:val="004474A2"/>
    <w:rsid w:val="00447503"/>
    <w:rsid w:val="0044751D"/>
    <w:rsid w:val="00447539"/>
    <w:rsid w:val="00447549"/>
    <w:rsid w:val="00447657"/>
    <w:rsid w:val="004476C2"/>
    <w:rsid w:val="004476E3"/>
    <w:rsid w:val="004477E2"/>
    <w:rsid w:val="0044789B"/>
    <w:rsid w:val="0044790B"/>
    <w:rsid w:val="00447985"/>
    <w:rsid w:val="00447994"/>
    <w:rsid w:val="00447A03"/>
    <w:rsid w:val="00447A6B"/>
    <w:rsid w:val="00447ABE"/>
    <w:rsid w:val="00447CCC"/>
    <w:rsid w:val="00447DB4"/>
    <w:rsid w:val="00447DB5"/>
    <w:rsid w:val="00447EA6"/>
    <w:rsid w:val="00447F6E"/>
    <w:rsid w:val="00450030"/>
    <w:rsid w:val="0045005A"/>
    <w:rsid w:val="00450084"/>
    <w:rsid w:val="00450085"/>
    <w:rsid w:val="004500C8"/>
    <w:rsid w:val="00450103"/>
    <w:rsid w:val="0045013D"/>
    <w:rsid w:val="0045016D"/>
    <w:rsid w:val="004501AE"/>
    <w:rsid w:val="004501B4"/>
    <w:rsid w:val="004501B5"/>
    <w:rsid w:val="0045022D"/>
    <w:rsid w:val="00450246"/>
    <w:rsid w:val="00450266"/>
    <w:rsid w:val="00450372"/>
    <w:rsid w:val="004503A0"/>
    <w:rsid w:val="004503EC"/>
    <w:rsid w:val="004503FE"/>
    <w:rsid w:val="00450473"/>
    <w:rsid w:val="00450486"/>
    <w:rsid w:val="0045059D"/>
    <w:rsid w:val="00450619"/>
    <w:rsid w:val="0045061B"/>
    <w:rsid w:val="0045071B"/>
    <w:rsid w:val="00450788"/>
    <w:rsid w:val="00450822"/>
    <w:rsid w:val="004508D3"/>
    <w:rsid w:val="004508E7"/>
    <w:rsid w:val="0045093E"/>
    <w:rsid w:val="00450972"/>
    <w:rsid w:val="00450974"/>
    <w:rsid w:val="00450A47"/>
    <w:rsid w:val="00450AEA"/>
    <w:rsid w:val="00450B04"/>
    <w:rsid w:val="00450B6A"/>
    <w:rsid w:val="00450BE2"/>
    <w:rsid w:val="00450C30"/>
    <w:rsid w:val="00450C5F"/>
    <w:rsid w:val="00450D40"/>
    <w:rsid w:val="00450D83"/>
    <w:rsid w:val="00450DD2"/>
    <w:rsid w:val="00450DD8"/>
    <w:rsid w:val="00450DF4"/>
    <w:rsid w:val="00450E53"/>
    <w:rsid w:val="00450E70"/>
    <w:rsid w:val="00451063"/>
    <w:rsid w:val="00451108"/>
    <w:rsid w:val="00451110"/>
    <w:rsid w:val="004511AF"/>
    <w:rsid w:val="0045123E"/>
    <w:rsid w:val="00451241"/>
    <w:rsid w:val="004512F3"/>
    <w:rsid w:val="00451393"/>
    <w:rsid w:val="0045157C"/>
    <w:rsid w:val="0045161A"/>
    <w:rsid w:val="004516BA"/>
    <w:rsid w:val="00451782"/>
    <w:rsid w:val="00451875"/>
    <w:rsid w:val="004518AA"/>
    <w:rsid w:val="00451972"/>
    <w:rsid w:val="004519E5"/>
    <w:rsid w:val="00451A46"/>
    <w:rsid w:val="00451A94"/>
    <w:rsid w:val="00451BB6"/>
    <w:rsid w:val="00451BBA"/>
    <w:rsid w:val="00451C5E"/>
    <w:rsid w:val="00451CA8"/>
    <w:rsid w:val="00451CE2"/>
    <w:rsid w:val="00451EBA"/>
    <w:rsid w:val="00451FDD"/>
    <w:rsid w:val="0045220B"/>
    <w:rsid w:val="00452215"/>
    <w:rsid w:val="0045223B"/>
    <w:rsid w:val="00452268"/>
    <w:rsid w:val="00452297"/>
    <w:rsid w:val="004522B4"/>
    <w:rsid w:val="0045244F"/>
    <w:rsid w:val="0045248E"/>
    <w:rsid w:val="004524BE"/>
    <w:rsid w:val="004524FF"/>
    <w:rsid w:val="00452514"/>
    <w:rsid w:val="00452518"/>
    <w:rsid w:val="00452667"/>
    <w:rsid w:val="0045286E"/>
    <w:rsid w:val="0045289C"/>
    <w:rsid w:val="00452937"/>
    <w:rsid w:val="00452A4A"/>
    <w:rsid w:val="00452A4B"/>
    <w:rsid w:val="00452A90"/>
    <w:rsid w:val="00452AC5"/>
    <w:rsid w:val="00452B2E"/>
    <w:rsid w:val="00452B39"/>
    <w:rsid w:val="00452B7B"/>
    <w:rsid w:val="00452BD1"/>
    <w:rsid w:val="00452C4D"/>
    <w:rsid w:val="00452CE1"/>
    <w:rsid w:val="00452CF1"/>
    <w:rsid w:val="00452D8D"/>
    <w:rsid w:val="00452DEB"/>
    <w:rsid w:val="00452E30"/>
    <w:rsid w:val="00452EDD"/>
    <w:rsid w:val="00452F0F"/>
    <w:rsid w:val="00452F8F"/>
    <w:rsid w:val="00452FDD"/>
    <w:rsid w:val="00452FEB"/>
    <w:rsid w:val="00452FF4"/>
    <w:rsid w:val="00452FF9"/>
    <w:rsid w:val="004530C7"/>
    <w:rsid w:val="004531B3"/>
    <w:rsid w:val="0045321B"/>
    <w:rsid w:val="00453242"/>
    <w:rsid w:val="00453312"/>
    <w:rsid w:val="004534E1"/>
    <w:rsid w:val="004534F0"/>
    <w:rsid w:val="00453527"/>
    <w:rsid w:val="0045359B"/>
    <w:rsid w:val="004535D7"/>
    <w:rsid w:val="004536A8"/>
    <w:rsid w:val="004536C8"/>
    <w:rsid w:val="004536DA"/>
    <w:rsid w:val="00453743"/>
    <w:rsid w:val="004537D3"/>
    <w:rsid w:val="00453809"/>
    <w:rsid w:val="004538AB"/>
    <w:rsid w:val="004538F6"/>
    <w:rsid w:val="00453975"/>
    <w:rsid w:val="004539B9"/>
    <w:rsid w:val="004539C6"/>
    <w:rsid w:val="00453A5A"/>
    <w:rsid w:val="00453A93"/>
    <w:rsid w:val="00453B1E"/>
    <w:rsid w:val="00453B20"/>
    <w:rsid w:val="00453B38"/>
    <w:rsid w:val="00453B59"/>
    <w:rsid w:val="00453BB5"/>
    <w:rsid w:val="00453BD2"/>
    <w:rsid w:val="00453C6D"/>
    <w:rsid w:val="00453D75"/>
    <w:rsid w:val="00453DE4"/>
    <w:rsid w:val="00453FB2"/>
    <w:rsid w:val="00453FE3"/>
    <w:rsid w:val="00454021"/>
    <w:rsid w:val="00454058"/>
    <w:rsid w:val="00454123"/>
    <w:rsid w:val="00454137"/>
    <w:rsid w:val="004541FA"/>
    <w:rsid w:val="0045425D"/>
    <w:rsid w:val="0045433D"/>
    <w:rsid w:val="004543FA"/>
    <w:rsid w:val="00454421"/>
    <w:rsid w:val="0045447A"/>
    <w:rsid w:val="004544D7"/>
    <w:rsid w:val="004544E0"/>
    <w:rsid w:val="00454501"/>
    <w:rsid w:val="00454571"/>
    <w:rsid w:val="004545D1"/>
    <w:rsid w:val="0045460E"/>
    <w:rsid w:val="004548FD"/>
    <w:rsid w:val="00454935"/>
    <w:rsid w:val="0045499C"/>
    <w:rsid w:val="004549C2"/>
    <w:rsid w:val="00454A6A"/>
    <w:rsid w:val="00454AAA"/>
    <w:rsid w:val="00454AE9"/>
    <w:rsid w:val="00454B18"/>
    <w:rsid w:val="00454B98"/>
    <w:rsid w:val="00454BA1"/>
    <w:rsid w:val="00454BD7"/>
    <w:rsid w:val="00454C78"/>
    <w:rsid w:val="00454C9D"/>
    <w:rsid w:val="00454EAB"/>
    <w:rsid w:val="00454EBD"/>
    <w:rsid w:val="00454F5F"/>
    <w:rsid w:val="00454F96"/>
    <w:rsid w:val="00454FA3"/>
    <w:rsid w:val="00455048"/>
    <w:rsid w:val="0045504E"/>
    <w:rsid w:val="004550BE"/>
    <w:rsid w:val="004550C1"/>
    <w:rsid w:val="004550C7"/>
    <w:rsid w:val="004551AB"/>
    <w:rsid w:val="004551C4"/>
    <w:rsid w:val="00455278"/>
    <w:rsid w:val="00455308"/>
    <w:rsid w:val="00455332"/>
    <w:rsid w:val="004554C4"/>
    <w:rsid w:val="004554F1"/>
    <w:rsid w:val="00455571"/>
    <w:rsid w:val="004556EC"/>
    <w:rsid w:val="0045587F"/>
    <w:rsid w:val="004558B0"/>
    <w:rsid w:val="00455938"/>
    <w:rsid w:val="00455969"/>
    <w:rsid w:val="0045596E"/>
    <w:rsid w:val="004559D7"/>
    <w:rsid w:val="004559F8"/>
    <w:rsid w:val="00455A73"/>
    <w:rsid w:val="00455A8F"/>
    <w:rsid w:val="00455ADA"/>
    <w:rsid w:val="00455BB1"/>
    <w:rsid w:val="00455BC4"/>
    <w:rsid w:val="00455D31"/>
    <w:rsid w:val="00455D38"/>
    <w:rsid w:val="00455D7F"/>
    <w:rsid w:val="00455D81"/>
    <w:rsid w:val="00455DCA"/>
    <w:rsid w:val="00455E6E"/>
    <w:rsid w:val="00455E7A"/>
    <w:rsid w:val="00455EAB"/>
    <w:rsid w:val="00455F5D"/>
    <w:rsid w:val="00456019"/>
    <w:rsid w:val="0045606C"/>
    <w:rsid w:val="00456099"/>
    <w:rsid w:val="00456244"/>
    <w:rsid w:val="004562F9"/>
    <w:rsid w:val="004563F0"/>
    <w:rsid w:val="00456486"/>
    <w:rsid w:val="004564F7"/>
    <w:rsid w:val="0045651A"/>
    <w:rsid w:val="0045657F"/>
    <w:rsid w:val="004565DA"/>
    <w:rsid w:val="00456620"/>
    <w:rsid w:val="00456673"/>
    <w:rsid w:val="004566EE"/>
    <w:rsid w:val="0045673D"/>
    <w:rsid w:val="0045678C"/>
    <w:rsid w:val="004567D8"/>
    <w:rsid w:val="00456919"/>
    <w:rsid w:val="00456925"/>
    <w:rsid w:val="004569BB"/>
    <w:rsid w:val="004569C6"/>
    <w:rsid w:val="00456A09"/>
    <w:rsid w:val="00456AB2"/>
    <w:rsid w:val="00456B0B"/>
    <w:rsid w:val="00456B53"/>
    <w:rsid w:val="00456BFE"/>
    <w:rsid w:val="00456CA3"/>
    <w:rsid w:val="00456CDB"/>
    <w:rsid w:val="00456CE1"/>
    <w:rsid w:val="00456DC3"/>
    <w:rsid w:val="00456E40"/>
    <w:rsid w:val="00456F0E"/>
    <w:rsid w:val="00456F84"/>
    <w:rsid w:val="00456F90"/>
    <w:rsid w:val="00457067"/>
    <w:rsid w:val="004570A1"/>
    <w:rsid w:val="004570D1"/>
    <w:rsid w:val="004570F0"/>
    <w:rsid w:val="004572F1"/>
    <w:rsid w:val="0045732E"/>
    <w:rsid w:val="00457490"/>
    <w:rsid w:val="004574FE"/>
    <w:rsid w:val="00457529"/>
    <w:rsid w:val="00457661"/>
    <w:rsid w:val="004576BD"/>
    <w:rsid w:val="00457782"/>
    <w:rsid w:val="0045778D"/>
    <w:rsid w:val="0045791F"/>
    <w:rsid w:val="00457987"/>
    <w:rsid w:val="004579BA"/>
    <w:rsid w:val="00457A1A"/>
    <w:rsid w:val="00457A39"/>
    <w:rsid w:val="00457A40"/>
    <w:rsid w:val="00457AA2"/>
    <w:rsid w:val="00457ACF"/>
    <w:rsid w:val="00457B49"/>
    <w:rsid w:val="00457BD4"/>
    <w:rsid w:val="00457C2B"/>
    <w:rsid w:val="00457C7C"/>
    <w:rsid w:val="00457D25"/>
    <w:rsid w:val="00457DF1"/>
    <w:rsid w:val="00457ED3"/>
    <w:rsid w:val="00457EEB"/>
    <w:rsid w:val="00457F61"/>
    <w:rsid w:val="00457FF9"/>
    <w:rsid w:val="004600A2"/>
    <w:rsid w:val="00460228"/>
    <w:rsid w:val="004602EF"/>
    <w:rsid w:val="004602FE"/>
    <w:rsid w:val="00460312"/>
    <w:rsid w:val="0046033C"/>
    <w:rsid w:val="00460354"/>
    <w:rsid w:val="004603FC"/>
    <w:rsid w:val="0046058F"/>
    <w:rsid w:val="0046063F"/>
    <w:rsid w:val="00460665"/>
    <w:rsid w:val="004606A1"/>
    <w:rsid w:val="0046081E"/>
    <w:rsid w:val="0046089D"/>
    <w:rsid w:val="004608C6"/>
    <w:rsid w:val="0046093A"/>
    <w:rsid w:val="00460956"/>
    <w:rsid w:val="00460962"/>
    <w:rsid w:val="004609AC"/>
    <w:rsid w:val="00460ABD"/>
    <w:rsid w:val="00460AE1"/>
    <w:rsid w:val="00460C85"/>
    <w:rsid w:val="00460D05"/>
    <w:rsid w:val="00460D15"/>
    <w:rsid w:val="00460D35"/>
    <w:rsid w:val="00460E35"/>
    <w:rsid w:val="00460E8E"/>
    <w:rsid w:val="00460F62"/>
    <w:rsid w:val="00460FA1"/>
    <w:rsid w:val="00460FB0"/>
    <w:rsid w:val="0046117B"/>
    <w:rsid w:val="004611BC"/>
    <w:rsid w:val="004611BF"/>
    <w:rsid w:val="004611F1"/>
    <w:rsid w:val="004612E8"/>
    <w:rsid w:val="00461305"/>
    <w:rsid w:val="00461378"/>
    <w:rsid w:val="0046138E"/>
    <w:rsid w:val="0046149B"/>
    <w:rsid w:val="0046149C"/>
    <w:rsid w:val="004614E7"/>
    <w:rsid w:val="004615F7"/>
    <w:rsid w:val="004616D2"/>
    <w:rsid w:val="004617A6"/>
    <w:rsid w:val="00461835"/>
    <w:rsid w:val="0046183C"/>
    <w:rsid w:val="00461850"/>
    <w:rsid w:val="00461856"/>
    <w:rsid w:val="0046187E"/>
    <w:rsid w:val="004618B5"/>
    <w:rsid w:val="00461900"/>
    <w:rsid w:val="0046190C"/>
    <w:rsid w:val="004619E7"/>
    <w:rsid w:val="00461ACB"/>
    <w:rsid w:val="00461B13"/>
    <w:rsid w:val="00461B22"/>
    <w:rsid w:val="00461B7B"/>
    <w:rsid w:val="00461BF0"/>
    <w:rsid w:val="00461C01"/>
    <w:rsid w:val="00461C6A"/>
    <w:rsid w:val="00461C79"/>
    <w:rsid w:val="00461CBD"/>
    <w:rsid w:val="00461CE9"/>
    <w:rsid w:val="00461CED"/>
    <w:rsid w:val="00461D15"/>
    <w:rsid w:val="00461D2B"/>
    <w:rsid w:val="00461D35"/>
    <w:rsid w:val="00461DE9"/>
    <w:rsid w:val="00461E69"/>
    <w:rsid w:val="00461EA4"/>
    <w:rsid w:val="00461F6A"/>
    <w:rsid w:val="00461F74"/>
    <w:rsid w:val="004620C3"/>
    <w:rsid w:val="00462180"/>
    <w:rsid w:val="004621BF"/>
    <w:rsid w:val="004621FC"/>
    <w:rsid w:val="00462241"/>
    <w:rsid w:val="0046224E"/>
    <w:rsid w:val="0046225F"/>
    <w:rsid w:val="004622A5"/>
    <w:rsid w:val="0046230A"/>
    <w:rsid w:val="0046240B"/>
    <w:rsid w:val="004624A0"/>
    <w:rsid w:val="00462520"/>
    <w:rsid w:val="0046253C"/>
    <w:rsid w:val="00462594"/>
    <w:rsid w:val="004625E3"/>
    <w:rsid w:val="0046267B"/>
    <w:rsid w:val="00462686"/>
    <w:rsid w:val="004627A7"/>
    <w:rsid w:val="004627A8"/>
    <w:rsid w:val="004628FD"/>
    <w:rsid w:val="0046291F"/>
    <w:rsid w:val="0046297F"/>
    <w:rsid w:val="0046298E"/>
    <w:rsid w:val="00462A43"/>
    <w:rsid w:val="00462A7B"/>
    <w:rsid w:val="00462BD5"/>
    <w:rsid w:val="00462C36"/>
    <w:rsid w:val="00462C45"/>
    <w:rsid w:val="00462CFF"/>
    <w:rsid w:val="00462D18"/>
    <w:rsid w:val="00462DD0"/>
    <w:rsid w:val="00462E35"/>
    <w:rsid w:val="00462E6B"/>
    <w:rsid w:val="00462E80"/>
    <w:rsid w:val="00462ECA"/>
    <w:rsid w:val="00462ECD"/>
    <w:rsid w:val="00462EE0"/>
    <w:rsid w:val="00462F3B"/>
    <w:rsid w:val="00462F63"/>
    <w:rsid w:val="00462F64"/>
    <w:rsid w:val="00462FAF"/>
    <w:rsid w:val="00463058"/>
    <w:rsid w:val="0046306E"/>
    <w:rsid w:val="00463159"/>
    <w:rsid w:val="004631CD"/>
    <w:rsid w:val="0046335F"/>
    <w:rsid w:val="004633FC"/>
    <w:rsid w:val="004634E2"/>
    <w:rsid w:val="004634EE"/>
    <w:rsid w:val="00463554"/>
    <w:rsid w:val="00463760"/>
    <w:rsid w:val="004637CB"/>
    <w:rsid w:val="004637E0"/>
    <w:rsid w:val="004637F0"/>
    <w:rsid w:val="004638AE"/>
    <w:rsid w:val="004638B0"/>
    <w:rsid w:val="004639D1"/>
    <w:rsid w:val="00463A7F"/>
    <w:rsid w:val="00463ACA"/>
    <w:rsid w:val="00463B17"/>
    <w:rsid w:val="00463B4E"/>
    <w:rsid w:val="00463C4F"/>
    <w:rsid w:val="00463C78"/>
    <w:rsid w:val="00463CBB"/>
    <w:rsid w:val="00463CD0"/>
    <w:rsid w:val="00463D09"/>
    <w:rsid w:val="00463E0A"/>
    <w:rsid w:val="00463E30"/>
    <w:rsid w:val="00463E95"/>
    <w:rsid w:val="00463F0F"/>
    <w:rsid w:val="00463F77"/>
    <w:rsid w:val="00463FBB"/>
    <w:rsid w:val="00464165"/>
    <w:rsid w:val="00464174"/>
    <w:rsid w:val="00464219"/>
    <w:rsid w:val="00464246"/>
    <w:rsid w:val="004642B8"/>
    <w:rsid w:val="00464349"/>
    <w:rsid w:val="00464354"/>
    <w:rsid w:val="004644C4"/>
    <w:rsid w:val="0046456C"/>
    <w:rsid w:val="00464608"/>
    <w:rsid w:val="004646A1"/>
    <w:rsid w:val="00464769"/>
    <w:rsid w:val="004647E4"/>
    <w:rsid w:val="004649CB"/>
    <w:rsid w:val="004649DF"/>
    <w:rsid w:val="00464A5B"/>
    <w:rsid w:val="00464ABD"/>
    <w:rsid w:val="00464B28"/>
    <w:rsid w:val="00464BEC"/>
    <w:rsid w:val="00464D6F"/>
    <w:rsid w:val="00464DEC"/>
    <w:rsid w:val="00464E25"/>
    <w:rsid w:val="00464E5C"/>
    <w:rsid w:val="00464E7C"/>
    <w:rsid w:val="00464E9B"/>
    <w:rsid w:val="00464EFB"/>
    <w:rsid w:val="00464FA3"/>
    <w:rsid w:val="004650A6"/>
    <w:rsid w:val="00465108"/>
    <w:rsid w:val="00465178"/>
    <w:rsid w:val="00465195"/>
    <w:rsid w:val="004651A8"/>
    <w:rsid w:val="0046531E"/>
    <w:rsid w:val="00465342"/>
    <w:rsid w:val="00465374"/>
    <w:rsid w:val="004653E3"/>
    <w:rsid w:val="0046541D"/>
    <w:rsid w:val="00465614"/>
    <w:rsid w:val="0046564F"/>
    <w:rsid w:val="00465704"/>
    <w:rsid w:val="00465713"/>
    <w:rsid w:val="00465736"/>
    <w:rsid w:val="004657CC"/>
    <w:rsid w:val="004657F3"/>
    <w:rsid w:val="00465887"/>
    <w:rsid w:val="00465936"/>
    <w:rsid w:val="004659D0"/>
    <w:rsid w:val="00465B24"/>
    <w:rsid w:val="00465DDF"/>
    <w:rsid w:val="00465EC7"/>
    <w:rsid w:val="00465EEA"/>
    <w:rsid w:val="00465F25"/>
    <w:rsid w:val="00465F2A"/>
    <w:rsid w:val="00465F39"/>
    <w:rsid w:val="00465FC2"/>
    <w:rsid w:val="00465FC7"/>
    <w:rsid w:val="004660C6"/>
    <w:rsid w:val="004660CC"/>
    <w:rsid w:val="00466101"/>
    <w:rsid w:val="00466117"/>
    <w:rsid w:val="00466150"/>
    <w:rsid w:val="004661D2"/>
    <w:rsid w:val="004661E1"/>
    <w:rsid w:val="004661EE"/>
    <w:rsid w:val="004662F3"/>
    <w:rsid w:val="00466509"/>
    <w:rsid w:val="0046657C"/>
    <w:rsid w:val="0046660B"/>
    <w:rsid w:val="0046660F"/>
    <w:rsid w:val="0046685A"/>
    <w:rsid w:val="004669BF"/>
    <w:rsid w:val="00466A0D"/>
    <w:rsid w:val="00466A99"/>
    <w:rsid w:val="00466B79"/>
    <w:rsid w:val="00466B8B"/>
    <w:rsid w:val="00466BDE"/>
    <w:rsid w:val="00466BEF"/>
    <w:rsid w:val="00466C1C"/>
    <w:rsid w:val="00466C54"/>
    <w:rsid w:val="00466CC9"/>
    <w:rsid w:val="00466CF1"/>
    <w:rsid w:val="00466D2D"/>
    <w:rsid w:val="00466D60"/>
    <w:rsid w:val="00466DB8"/>
    <w:rsid w:val="00466DD3"/>
    <w:rsid w:val="00466E5A"/>
    <w:rsid w:val="00466E61"/>
    <w:rsid w:val="00466E75"/>
    <w:rsid w:val="00466EFC"/>
    <w:rsid w:val="00466F6F"/>
    <w:rsid w:val="00467014"/>
    <w:rsid w:val="004670BC"/>
    <w:rsid w:val="00467102"/>
    <w:rsid w:val="004671D8"/>
    <w:rsid w:val="00467329"/>
    <w:rsid w:val="0046733A"/>
    <w:rsid w:val="004673A7"/>
    <w:rsid w:val="00467416"/>
    <w:rsid w:val="0046748F"/>
    <w:rsid w:val="004674D8"/>
    <w:rsid w:val="00467510"/>
    <w:rsid w:val="004675DC"/>
    <w:rsid w:val="00467619"/>
    <w:rsid w:val="004676D8"/>
    <w:rsid w:val="00467730"/>
    <w:rsid w:val="00467778"/>
    <w:rsid w:val="004678F5"/>
    <w:rsid w:val="0046791C"/>
    <w:rsid w:val="00467956"/>
    <w:rsid w:val="004679CE"/>
    <w:rsid w:val="004679F0"/>
    <w:rsid w:val="00467A0C"/>
    <w:rsid w:val="00467B16"/>
    <w:rsid w:val="00467BB5"/>
    <w:rsid w:val="00467C17"/>
    <w:rsid w:val="00467C2B"/>
    <w:rsid w:val="00467DD3"/>
    <w:rsid w:val="00467DE8"/>
    <w:rsid w:val="00467EE0"/>
    <w:rsid w:val="00467FBB"/>
    <w:rsid w:val="00467FC7"/>
    <w:rsid w:val="004700D1"/>
    <w:rsid w:val="00470214"/>
    <w:rsid w:val="004702F2"/>
    <w:rsid w:val="00470436"/>
    <w:rsid w:val="004704C2"/>
    <w:rsid w:val="0047074C"/>
    <w:rsid w:val="00470811"/>
    <w:rsid w:val="0047090D"/>
    <w:rsid w:val="00470917"/>
    <w:rsid w:val="00470919"/>
    <w:rsid w:val="00470929"/>
    <w:rsid w:val="0047094C"/>
    <w:rsid w:val="00470CB0"/>
    <w:rsid w:val="00470D61"/>
    <w:rsid w:val="00470D63"/>
    <w:rsid w:val="00470F24"/>
    <w:rsid w:val="00470F4A"/>
    <w:rsid w:val="00470F80"/>
    <w:rsid w:val="00470F99"/>
    <w:rsid w:val="00470FB5"/>
    <w:rsid w:val="004710B5"/>
    <w:rsid w:val="00471151"/>
    <w:rsid w:val="0047115F"/>
    <w:rsid w:val="0047122A"/>
    <w:rsid w:val="00471262"/>
    <w:rsid w:val="0047131C"/>
    <w:rsid w:val="0047131E"/>
    <w:rsid w:val="00471343"/>
    <w:rsid w:val="00471374"/>
    <w:rsid w:val="00471487"/>
    <w:rsid w:val="0047152B"/>
    <w:rsid w:val="0047155F"/>
    <w:rsid w:val="004715BD"/>
    <w:rsid w:val="0047161C"/>
    <w:rsid w:val="0047163D"/>
    <w:rsid w:val="0047165C"/>
    <w:rsid w:val="00471773"/>
    <w:rsid w:val="0047179E"/>
    <w:rsid w:val="004717B7"/>
    <w:rsid w:val="004717FF"/>
    <w:rsid w:val="00471884"/>
    <w:rsid w:val="0047193A"/>
    <w:rsid w:val="0047196D"/>
    <w:rsid w:val="00471A02"/>
    <w:rsid w:val="00471B68"/>
    <w:rsid w:val="00471CEB"/>
    <w:rsid w:val="00471D6A"/>
    <w:rsid w:val="00471DC3"/>
    <w:rsid w:val="00471F54"/>
    <w:rsid w:val="00471F5A"/>
    <w:rsid w:val="00471FA4"/>
    <w:rsid w:val="00471FEC"/>
    <w:rsid w:val="00472027"/>
    <w:rsid w:val="004720FB"/>
    <w:rsid w:val="00472124"/>
    <w:rsid w:val="00472233"/>
    <w:rsid w:val="00472253"/>
    <w:rsid w:val="00472259"/>
    <w:rsid w:val="00472263"/>
    <w:rsid w:val="00472264"/>
    <w:rsid w:val="00472296"/>
    <w:rsid w:val="0047229B"/>
    <w:rsid w:val="004722BC"/>
    <w:rsid w:val="00472351"/>
    <w:rsid w:val="00472397"/>
    <w:rsid w:val="00472404"/>
    <w:rsid w:val="004724FE"/>
    <w:rsid w:val="00472502"/>
    <w:rsid w:val="0047250B"/>
    <w:rsid w:val="00472537"/>
    <w:rsid w:val="004725CE"/>
    <w:rsid w:val="004725E4"/>
    <w:rsid w:val="0047266D"/>
    <w:rsid w:val="004726B3"/>
    <w:rsid w:val="00472724"/>
    <w:rsid w:val="004727A1"/>
    <w:rsid w:val="00472891"/>
    <w:rsid w:val="004728BD"/>
    <w:rsid w:val="00472916"/>
    <w:rsid w:val="00472969"/>
    <w:rsid w:val="00472994"/>
    <w:rsid w:val="004729E7"/>
    <w:rsid w:val="00472AFD"/>
    <w:rsid w:val="00472B37"/>
    <w:rsid w:val="00472B96"/>
    <w:rsid w:val="00472C1A"/>
    <w:rsid w:val="00472CB5"/>
    <w:rsid w:val="00472CDD"/>
    <w:rsid w:val="00472D80"/>
    <w:rsid w:val="00472D8B"/>
    <w:rsid w:val="00472DBB"/>
    <w:rsid w:val="00472DEC"/>
    <w:rsid w:val="00472EE9"/>
    <w:rsid w:val="00472F36"/>
    <w:rsid w:val="004730A5"/>
    <w:rsid w:val="004730CB"/>
    <w:rsid w:val="0047314E"/>
    <w:rsid w:val="00473182"/>
    <w:rsid w:val="0047319B"/>
    <w:rsid w:val="004731A4"/>
    <w:rsid w:val="004731DF"/>
    <w:rsid w:val="0047323D"/>
    <w:rsid w:val="00473245"/>
    <w:rsid w:val="00473267"/>
    <w:rsid w:val="0047334B"/>
    <w:rsid w:val="00473360"/>
    <w:rsid w:val="004733F8"/>
    <w:rsid w:val="00473444"/>
    <w:rsid w:val="00473469"/>
    <w:rsid w:val="00473555"/>
    <w:rsid w:val="00473571"/>
    <w:rsid w:val="0047366C"/>
    <w:rsid w:val="004736EF"/>
    <w:rsid w:val="00473726"/>
    <w:rsid w:val="00473754"/>
    <w:rsid w:val="00473817"/>
    <w:rsid w:val="00473834"/>
    <w:rsid w:val="0047385C"/>
    <w:rsid w:val="004738A4"/>
    <w:rsid w:val="00473949"/>
    <w:rsid w:val="0047398D"/>
    <w:rsid w:val="00473A4B"/>
    <w:rsid w:val="00473A58"/>
    <w:rsid w:val="00473B03"/>
    <w:rsid w:val="00473B6B"/>
    <w:rsid w:val="00473B92"/>
    <w:rsid w:val="00473BC7"/>
    <w:rsid w:val="00473C52"/>
    <w:rsid w:val="00473C9E"/>
    <w:rsid w:val="00473D2D"/>
    <w:rsid w:val="00473D6D"/>
    <w:rsid w:val="00473D7E"/>
    <w:rsid w:val="00473DC9"/>
    <w:rsid w:val="00473DCE"/>
    <w:rsid w:val="00473F3E"/>
    <w:rsid w:val="00474061"/>
    <w:rsid w:val="00474081"/>
    <w:rsid w:val="004741C1"/>
    <w:rsid w:val="0047423B"/>
    <w:rsid w:val="004742CB"/>
    <w:rsid w:val="004742F6"/>
    <w:rsid w:val="00474386"/>
    <w:rsid w:val="0047439A"/>
    <w:rsid w:val="004743C0"/>
    <w:rsid w:val="00474411"/>
    <w:rsid w:val="00474432"/>
    <w:rsid w:val="00474449"/>
    <w:rsid w:val="004744AE"/>
    <w:rsid w:val="004744BA"/>
    <w:rsid w:val="004744D4"/>
    <w:rsid w:val="004744D8"/>
    <w:rsid w:val="004745A0"/>
    <w:rsid w:val="004745A1"/>
    <w:rsid w:val="004745FE"/>
    <w:rsid w:val="00474641"/>
    <w:rsid w:val="0047465F"/>
    <w:rsid w:val="004746B1"/>
    <w:rsid w:val="004746E8"/>
    <w:rsid w:val="004748C1"/>
    <w:rsid w:val="00474909"/>
    <w:rsid w:val="0047491F"/>
    <w:rsid w:val="00474923"/>
    <w:rsid w:val="00474928"/>
    <w:rsid w:val="004749E0"/>
    <w:rsid w:val="00474A2A"/>
    <w:rsid w:val="00474A87"/>
    <w:rsid w:val="00474AC8"/>
    <w:rsid w:val="00474ACC"/>
    <w:rsid w:val="00474B9F"/>
    <w:rsid w:val="00474BAB"/>
    <w:rsid w:val="00474C8A"/>
    <w:rsid w:val="00474C8C"/>
    <w:rsid w:val="00474D63"/>
    <w:rsid w:val="00474D6C"/>
    <w:rsid w:val="00474D76"/>
    <w:rsid w:val="00474DA4"/>
    <w:rsid w:val="00474DD2"/>
    <w:rsid w:val="00474E08"/>
    <w:rsid w:val="00474E9B"/>
    <w:rsid w:val="00474F8D"/>
    <w:rsid w:val="0047509A"/>
    <w:rsid w:val="004750B7"/>
    <w:rsid w:val="004750BF"/>
    <w:rsid w:val="004750E8"/>
    <w:rsid w:val="00475132"/>
    <w:rsid w:val="00475156"/>
    <w:rsid w:val="0047520A"/>
    <w:rsid w:val="00475217"/>
    <w:rsid w:val="0047526D"/>
    <w:rsid w:val="004752CD"/>
    <w:rsid w:val="00475382"/>
    <w:rsid w:val="004753DB"/>
    <w:rsid w:val="00475599"/>
    <w:rsid w:val="0047562B"/>
    <w:rsid w:val="0047568B"/>
    <w:rsid w:val="004756DC"/>
    <w:rsid w:val="004757D3"/>
    <w:rsid w:val="0047587E"/>
    <w:rsid w:val="004758F8"/>
    <w:rsid w:val="004758FD"/>
    <w:rsid w:val="0047593B"/>
    <w:rsid w:val="0047597B"/>
    <w:rsid w:val="00475A50"/>
    <w:rsid w:val="00475A89"/>
    <w:rsid w:val="00475A8A"/>
    <w:rsid w:val="00475AD0"/>
    <w:rsid w:val="00475AFA"/>
    <w:rsid w:val="00475B66"/>
    <w:rsid w:val="00475BAF"/>
    <w:rsid w:val="00475BDC"/>
    <w:rsid w:val="00475C2A"/>
    <w:rsid w:val="00475C7C"/>
    <w:rsid w:val="00475CB1"/>
    <w:rsid w:val="00475CC7"/>
    <w:rsid w:val="00475D12"/>
    <w:rsid w:val="00475D9F"/>
    <w:rsid w:val="00475DCB"/>
    <w:rsid w:val="00475DED"/>
    <w:rsid w:val="00475EA7"/>
    <w:rsid w:val="00475F0A"/>
    <w:rsid w:val="00476056"/>
    <w:rsid w:val="00476083"/>
    <w:rsid w:val="004760CF"/>
    <w:rsid w:val="004760D1"/>
    <w:rsid w:val="004760D4"/>
    <w:rsid w:val="00476132"/>
    <w:rsid w:val="004761B0"/>
    <w:rsid w:val="004761F6"/>
    <w:rsid w:val="0047620D"/>
    <w:rsid w:val="00476224"/>
    <w:rsid w:val="004762B6"/>
    <w:rsid w:val="004762FF"/>
    <w:rsid w:val="00476327"/>
    <w:rsid w:val="00476352"/>
    <w:rsid w:val="0047651D"/>
    <w:rsid w:val="004765BC"/>
    <w:rsid w:val="004765D3"/>
    <w:rsid w:val="00476662"/>
    <w:rsid w:val="00476690"/>
    <w:rsid w:val="004766C6"/>
    <w:rsid w:val="00476711"/>
    <w:rsid w:val="0047672D"/>
    <w:rsid w:val="0047678F"/>
    <w:rsid w:val="004767B7"/>
    <w:rsid w:val="004768D2"/>
    <w:rsid w:val="004769AE"/>
    <w:rsid w:val="00476A66"/>
    <w:rsid w:val="00476AB3"/>
    <w:rsid w:val="00476AE4"/>
    <w:rsid w:val="00476AEE"/>
    <w:rsid w:val="00476AF7"/>
    <w:rsid w:val="00476B13"/>
    <w:rsid w:val="00476B9A"/>
    <w:rsid w:val="00476C54"/>
    <w:rsid w:val="00476C94"/>
    <w:rsid w:val="00476CAA"/>
    <w:rsid w:val="00476CD4"/>
    <w:rsid w:val="00476E0F"/>
    <w:rsid w:val="00476EA4"/>
    <w:rsid w:val="00476F34"/>
    <w:rsid w:val="00476F36"/>
    <w:rsid w:val="00476FF5"/>
    <w:rsid w:val="0047702C"/>
    <w:rsid w:val="00477037"/>
    <w:rsid w:val="00477042"/>
    <w:rsid w:val="004770AE"/>
    <w:rsid w:val="004771A7"/>
    <w:rsid w:val="0047720A"/>
    <w:rsid w:val="00477229"/>
    <w:rsid w:val="0047731A"/>
    <w:rsid w:val="00477331"/>
    <w:rsid w:val="0047739A"/>
    <w:rsid w:val="004774BD"/>
    <w:rsid w:val="004775DE"/>
    <w:rsid w:val="00477678"/>
    <w:rsid w:val="004776A4"/>
    <w:rsid w:val="00477856"/>
    <w:rsid w:val="0047786B"/>
    <w:rsid w:val="0047796B"/>
    <w:rsid w:val="00477970"/>
    <w:rsid w:val="004779B4"/>
    <w:rsid w:val="004779F8"/>
    <w:rsid w:val="00477A7E"/>
    <w:rsid w:val="00477B34"/>
    <w:rsid w:val="00477B5F"/>
    <w:rsid w:val="00477B6C"/>
    <w:rsid w:val="00477D40"/>
    <w:rsid w:val="00477DFA"/>
    <w:rsid w:val="00477E17"/>
    <w:rsid w:val="00477FCC"/>
    <w:rsid w:val="00477FD6"/>
    <w:rsid w:val="0047FAE1"/>
    <w:rsid w:val="00480028"/>
    <w:rsid w:val="0048006D"/>
    <w:rsid w:val="0048010E"/>
    <w:rsid w:val="0048011C"/>
    <w:rsid w:val="00480142"/>
    <w:rsid w:val="004801D2"/>
    <w:rsid w:val="00480230"/>
    <w:rsid w:val="004802DB"/>
    <w:rsid w:val="0048037C"/>
    <w:rsid w:val="00480385"/>
    <w:rsid w:val="004803F4"/>
    <w:rsid w:val="0048041C"/>
    <w:rsid w:val="004804A5"/>
    <w:rsid w:val="0048055A"/>
    <w:rsid w:val="0048077E"/>
    <w:rsid w:val="0048080B"/>
    <w:rsid w:val="00480929"/>
    <w:rsid w:val="004809D7"/>
    <w:rsid w:val="00480A1D"/>
    <w:rsid w:val="00480AEE"/>
    <w:rsid w:val="00480AEF"/>
    <w:rsid w:val="00480B10"/>
    <w:rsid w:val="00480B31"/>
    <w:rsid w:val="00480B35"/>
    <w:rsid w:val="00480B64"/>
    <w:rsid w:val="00480BC8"/>
    <w:rsid w:val="00480BCB"/>
    <w:rsid w:val="00480BD9"/>
    <w:rsid w:val="00480BF1"/>
    <w:rsid w:val="00480C0C"/>
    <w:rsid w:val="00480C12"/>
    <w:rsid w:val="00480C3B"/>
    <w:rsid w:val="00480CD5"/>
    <w:rsid w:val="00480CF5"/>
    <w:rsid w:val="00480D13"/>
    <w:rsid w:val="00480D8E"/>
    <w:rsid w:val="00480DA2"/>
    <w:rsid w:val="00480DDF"/>
    <w:rsid w:val="00480E50"/>
    <w:rsid w:val="00480F48"/>
    <w:rsid w:val="00480FA1"/>
    <w:rsid w:val="00480FC5"/>
    <w:rsid w:val="0048104C"/>
    <w:rsid w:val="004810D3"/>
    <w:rsid w:val="00481103"/>
    <w:rsid w:val="0048117C"/>
    <w:rsid w:val="004811C5"/>
    <w:rsid w:val="0048125A"/>
    <w:rsid w:val="004812EC"/>
    <w:rsid w:val="00481333"/>
    <w:rsid w:val="00481393"/>
    <w:rsid w:val="0048144E"/>
    <w:rsid w:val="0048145C"/>
    <w:rsid w:val="004814AF"/>
    <w:rsid w:val="004814EA"/>
    <w:rsid w:val="004815AA"/>
    <w:rsid w:val="00481659"/>
    <w:rsid w:val="0048165C"/>
    <w:rsid w:val="00481677"/>
    <w:rsid w:val="0048169A"/>
    <w:rsid w:val="004816DA"/>
    <w:rsid w:val="00481710"/>
    <w:rsid w:val="0048177F"/>
    <w:rsid w:val="00481886"/>
    <w:rsid w:val="004818E6"/>
    <w:rsid w:val="00481959"/>
    <w:rsid w:val="004819BF"/>
    <w:rsid w:val="004819D5"/>
    <w:rsid w:val="004819EA"/>
    <w:rsid w:val="00481A67"/>
    <w:rsid w:val="00481A7F"/>
    <w:rsid w:val="00481AF4"/>
    <w:rsid w:val="00481B1D"/>
    <w:rsid w:val="00481C27"/>
    <w:rsid w:val="00481CDD"/>
    <w:rsid w:val="00481DF4"/>
    <w:rsid w:val="00481DF9"/>
    <w:rsid w:val="0048208B"/>
    <w:rsid w:val="0048215E"/>
    <w:rsid w:val="004821AE"/>
    <w:rsid w:val="004822E2"/>
    <w:rsid w:val="00482322"/>
    <w:rsid w:val="00482395"/>
    <w:rsid w:val="00482480"/>
    <w:rsid w:val="00482511"/>
    <w:rsid w:val="004825AA"/>
    <w:rsid w:val="00482706"/>
    <w:rsid w:val="00482737"/>
    <w:rsid w:val="0048281C"/>
    <w:rsid w:val="00482976"/>
    <w:rsid w:val="004829C7"/>
    <w:rsid w:val="00482A00"/>
    <w:rsid w:val="00482AD5"/>
    <w:rsid w:val="00482AEC"/>
    <w:rsid w:val="00482B53"/>
    <w:rsid w:val="00482B7D"/>
    <w:rsid w:val="00482BB6"/>
    <w:rsid w:val="00482D48"/>
    <w:rsid w:val="00482D6C"/>
    <w:rsid w:val="00482D86"/>
    <w:rsid w:val="00482E2C"/>
    <w:rsid w:val="00482F0C"/>
    <w:rsid w:val="004830E5"/>
    <w:rsid w:val="004831AA"/>
    <w:rsid w:val="00483220"/>
    <w:rsid w:val="004832A3"/>
    <w:rsid w:val="004833A2"/>
    <w:rsid w:val="004833B2"/>
    <w:rsid w:val="004833C9"/>
    <w:rsid w:val="004833F4"/>
    <w:rsid w:val="0048342B"/>
    <w:rsid w:val="00483438"/>
    <w:rsid w:val="00483441"/>
    <w:rsid w:val="004834AE"/>
    <w:rsid w:val="004834F3"/>
    <w:rsid w:val="004835CB"/>
    <w:rsid w:val="0048362F"/>
    <w:rsid w:val="00483663"/>
    <w:rsid w:val="004836FE"/>
    <w:rsid w:val="00483720"/>
    <w:rsid w:val="00483727"/>
    <w:rsid w:val="00483806"/>
    <w:rsid w:val="0048391E"/>
    <w:rsid w:val="004839FB"/>
    <w:rsid w:val="00483A41"/>
    <w:rsid w:val="00483A72"/>
    <w:rsid w:val="00483B0E"/>
    <w:rsid w:val="00483B47"/>
    <w:rsid w:val="00483B69"/>
    <w:rsid w:val="00483B71"/>
    <w:rsid w:val="00483BFE"/>
    <w:rsid w:val="00483CCA"/>
    <w:rsid w:val="00483CCF"/>
    <w:rsid w:val="00483D8F"/>
    <w:rsid w:val="00483DBE"/>
    <w:rsid w:val="00483F41"/>
    <w:rsid w:val="00483FC9"/>
    <w:rsid w:val="00483FF3"/>
    <w:rsid w:val="004840AC"/>
    <w:rsid w:val="00484112"/>
    <w:rsid w:val="004841A5"/>
    <w:rsid w:val="004841B0"/>
    <w:rsid w:val="004841B9"/>
    <w:rsid w:val="004842AB"/>
    <w:rsid w:val="004842B3"/>
    <w:rsid w:val="004842F1"/>
    <w:rsid w:val="00484398"/>
    <w:rsid w:val="004843B4"/>
    <w:rsid w:val="004843B6"/>
    <w:rsid w:val="004843FA"/>
    <w:rsid w:val="00484476"/>
    <w:rsid w:val="00484511"/>
    <w:rsid w:val="0048454A"/>
    <w:rsid w:val="0048455B"/>
    <w:rsid w:val="00484621"/>
    <w:rsid w:val="0048467F"/>
    <w:rsid w:val="004846BD"/>
    <w:rsid w:val="004846CA"/>
    <w:rsid w:val="0048478C"/>
    <w:rsid w:val="004847E1"/>
    <w:rsid w:val="004848BE"/>
    <w:rsid w:val="00484929"/>
    <w:rsid w:val="00484932"/>
    <w:rsid w:val="004849DF"/>
    <w:rsid w:val="00484AC1"/>
    <w:rsid w:val="00484B68"/>
    <w:rsid w:val="00484C90"/>
    <w:rsid w:val="00484CBB"/>
    <w:rsid w:val="00484D4C"/>
    <w:rsid w:val="00484DC8"/>
    <w:rsid w:val="00484DF4"/>
    <w:rsid w:val="00484E03"/>
    <w:rsid w:val="00484E77"/>
    <w:rsid w:val="00484EF1"/>
    <w:rsid w:val="00484F65"/>
    <w:rsid w:val="00484FDA"/>
    <w:rsid w:val="0048502D"/>
    <w:rsid w:val="0048516B"/>
    <w:rsid w:val="00485199"/>
    <w:rsid w:val="004851C1"/>
    <w:rsid w:val="004851D2"/>
    <w:rsid w:val="004852B6"/>
    <w:rsid w:val="004852F6"/>
    <w:rsid w:val="00485316"/>
    <w:rsid w:val="0048537A"/>
    <w:rsid w:val="00485463"/>
    <w:rsid w:val="0048546B"/>
    <w:rsid w:val="004854B2"/>
    <w:rsid w:val="004854B9"/>
    <w:rsid w:val="0048550F"/>
    <w:rsid w:val="004855A0"/>
    <w:rsid w:val="00485675"/>
    <w:rsid w:val="0048571E"/>
    <w:rsid w:val="0048575F"/>
    <w:rsid w:val="00485769"/>
    <w:rsid w:val="00485790"/>
    <w:rsid w:val="004857B2"/>
    <w:rsid w:val="004857D2"/>
    <w:rsid w:val="00485818"/>
    <w:rsid w:val="0048587D"/>
    <w:rsid w:val="004858CB"/>
    <w:rsid w:val="004858D3"/>
    <w:rsid w:val="00485926"/>
    <w:rsid w:val="004859DD"/>
    <w:rsid w:val="00485AE8"/>
    <w:rsid w:val="00485AEF"/>
    <w:rsid w:val="00485C0D"/>
    <w:rsid w:val="00485C7C"/>
    <w:rsid w:val="00485D5E"/>
    <w:rsid w:val="00485D8D"/>
    <w:rsid w:val="00485E68"/>
    <w:rsid w:val="00485F05"/>
    <w:rsid w:val="00485F4F"/>
    <w:rsid w:val="00485FF0"/>
    <w:rsid w:val="00486057"/>
    <w:rsid w:val="00486137"/>
    <w:rsid w:val="004861C8"/>
    <w:rsid w:val="00486242"/>
    <w:rsid w:val="004862E1"/>
    <w:rsid w:val="0048633B"/>
    <w:rsid w:val="0048635F"/>
    <w:rsid w:val="00486425"/>
    <w:rsid w:val="0048645F"/>
    <w:rsid w:val="0048648F"/>
    <w:rsid w:val="004864DB"/>
    <w:rsid w:val="00486541"/>
    <w:rsid w:val="004865AD"/>
    <w:rsid w:val="00486605"/>
    <w:rsid w:val="00486636"/>
    <w:rsid w:val="004866C8"/>
    <w:rsid w:val="004866CA"/>
    <w:rsid w:val="004866D2"/>
    <w:rsid w:val="00486710"/>
    <w:rsid w:val="00486720"/>
    <w:rsid w:val="00486740"/>
    <w:rsid w:val="0048679B"/>
    <w:rsid w:val="004867CA"/>
    <w:rsid w:val="004867FF"/>
    <w:rsid w:val="00486876"/>
    <w:rsid w:val="00486917"/>
    <w:rsid w:val="004869DF"/>
    <w:rsid w:val="00486A62"/>
    <w:rsid w:val="00486B82"/>
    <w:rsid w:val="00486BB5"/>
    <w:rsid w:val="00486C27"/>
    <w:rsid w:val="00486C8B"/>
    <w:rsid w:val="00486CBF"/>
    <w:rsid w:val="00486DE6"/>
    <w:rsid w:val="00486DFB"/>
    <w:rsid w:val="00486E01"/>
    <w:rsid w:val="00486E0B"/>
    <w:rsid w:val="00486EB7"/>
    <w:rsid w:val="00486F37"/>
    <w:rsid w:val="00486F3C"/>
    <w:rsid w:val="00486FA5"/>
    <w:rsid w:val="0048701A"/>
    <w:rsid w:val="0048701F"/>
    <w:rsid w:val="0048704B"/>
    <w:rsid w:val="0048707C"/>
    <w:rsid w:val="004870EB"/>
    <w:rsid w:val="0048716D"/>
    <w:rsid w:val="004871B9"/>
    <w:rsid w:val="00487208"/>
    <w:rsid w:val="0048722A"/>
    <w:rsid w:val="0048728E"/>
    <w:rsid w:val="00487355"/>
    <w:rsid w:val="0048740C"/>
    <w:rsid w:val="004874C7"/>
    <w:rsid w:val="004874D1"/>
    <w:rsid w:val="0048751A"/>
    <w:rsid w:val="0048775E"/>
    <w:rsid w:val="004877F5"/>
    <w:rsid w:val="00487829"/>
    <w:rsid w:val="004879CE"/>
    <w:rsid w:val="00487A0E"/>
    <w:rsid w:val="00487ACE"/>
    <w:rsid w:val="00487AF2"/>
    <w:rsid w:val="00487B80"/>
    <w:rsid w:val="00487BFA"/>
    <w:rsid w:val="00487D04"/>
    <w:rsid w:val="00487D1C"/>
    <w:rsid w:val="00487D7F"/>
    <w:rsid w:val="00487D90"/>
    <w:rsid w:val="00487E3B"/>
    <w:rsid w:val="00487ECC"/>
    <w:rsid w:val="00487EF6"/>
    <w:rsid w:val="00487FE3"/>
    <w:rsid w:val="0049002A"/>
    <w:rsid w:val="0049004F"/>
    <w:rsid w:val="004900B7"/>
    <w:rsid w:val="00490170"/>
    <w:rsid w:val="004901A2"/>
    <w:rsid w:val="004901F7"/>
    <w:rsid w:val="004902CA"/>
    <w:rsid w:val="00490361"/>
    <w:rsid w:val="00490365"/>
    <w:rsid w:val="004903D1"/>
    <w:rsid w:val="0049046B"/>
    <w:rsid w:val="00490516"/>
    <w:rsid w:val="00490550"/>
    <w:rsid w:val="0049064A"/>
    <w:rsid w:val="0049065D"/>
    <w:rsid w:val="00490717"/>
    <w:rsid w:val="00490743"/>
    <w:rsid w:val="004907A7"/>
    <w:rsid w:val="00490833"/>
    <w:rsid w:val="004908BF"/>
    <w:rsid w:val="00490945"/>
    <w:rsid w:val="004909B3"/>
    <w:rsid w:val="00490A7C"/>
    <w:rsid w:val="00490ABD"/>
    <w:rsid w:val="00490ACD"/>
    <w:rsid w:val="00490AD8"/>
    <w:rsid w:val="00490B49"/>
    <w:rsid w:val="00490B50"/>
    <w:rsid w:val="00490C84"/>
    <w:rsid w:val="00490C88"/>
    <w:rsid w:val="00490DC0"/>
    <w:rsid w:val="00490DD7"/>
    <w:rsid w:val="00490E09"/>
    <w:rsid w:val="00490EB6"/>
    <w:rsid w:val="00490F0A"/>
    <w:rsid w:val="00490F52"/>
    <w:rsid w:val="00490F56"/>
    <w:rsid w:val="00490FE4"/>
    <w:rsid w:val="00491101"/>
    <w:rsid w:val="00491155"/>
    <w:rsid w:val="00491226"/>
    <w:rsid w:val="004912AF"/>
    <w:rsid w:val="004913CF"/>
    <w:rsid w:val="004914A6"/>
    <w:rsid w:val="0049152F"/>
    <w:rsid w:val="004915B8"/>
    <w:rsid w:val="004918CD"/>
    <w:rsid w:val="00491958"/>
    <w:rsid w:val="004919B6"/>
    <w:rsid w:val="004919E0"/>
    <w:rsid w:val="00491A44"/>
    <w:rsid w:val="00491AF8"/>
    <w:rsid w:val="00491B8D"/>
    <w:rsid w:val="00491BAF"/>
    <w:rsid w:val="00491C92"/>
    <w:rsid w:val="00491CD1"/>
    <w:rsid w:val="00491D05"/>
    <w:rsid w:val="00491D69"/>
    <w:rsid w:val="00491D78"/>
    <w:rsid w:val="00491D85"/>
    <w:rsid w:val="00491DCE"/>
    <w:rsid w:val="00491DD0"/>
    <w:rsid w:val="00491DE7"/>
    <w:rsid w:val="00491DEF"/>
    <w:rsid w:val="00491DF5"/>
    <w:rsid w:val="00491E10"/>
    <w:rsid w:val="00491ED8"/>
    <w:rsid w:val="00491F7E"/>
    <w:rsid w:val="00491F7F"/>
    <w:rsid w:val="00491F93"/>
    <w:rsid w:val="0049204A"/>
    <w:rsid w:val="00492064"/>
    <w:rsid w:val="004920D7"/>
    <w:rsid w:val="00492122"/>
    <w:rsid w:val="00492167"/>
    <w:rsid w:val="00492200"/>
    <w:rsid w:val="004922A0"/>
    <w:rsid w:val="004922A2"/>
    <w:rsid w:val="004922AF"/>
    <w:rsid w:val="0049239E"/>
    <w:rsid w:val="004923F7"/>
    <w:rsid w:val="004924B0"/>
    <w:rsid w:val="00492560"/>
    <w:rsid w:val="0049257D"/>
    <w:rsid w:val="004925BF"/>
    <w:rsid w:val="004925E0"/>
    <w:rsid w:val="00492664"/>
    <w:rsid w:val="004926CD"/>
    <w:rsid w:val="00492724"/>
    <w:rsid w:val="00492792"/>
    <w:rsid w:val="004927C2"/>
    <w:rsid w:val="00492860"/>
    <w:rsid w:val="00492896"/>
    <w:rsid w:val="004928CB"/>
    <w:rsid w:val="004929C6"/>
    <w:rsid w:val="004929E0"/>
    <w:rsid w:val="004929F9"/>
    <w:rsid w:val="00492A6D"/>
    <w:rsid w:val="00492AC7"/>
    <w:rsid w:val="00492B0D"/>
    <w:rsid w:val="00492B23"/>
    <w:rsid w:val="00492B7F"/>
    <w:rsid w:val="00492B93"/>
    <w:rsid w:val="00492B9A"/>
    <w:rsid w:val="00492BB0"/>
    <w:rsid w:val="00492C65"/>
    <w:rsid w:val="00492C77"/>
    <w:rsid w:val="00492FA3"/>
    <w:rsid w:val="00492FAA"/>
    <w:rsid w:val="00493010"/>
    <w:rsid w:val="004930CD"/>
    <w:rsid w:val="004930E2"/>
    <w:rsid w:val="00493188"/>
    <w:rsid w:val="00493202"/>
    <w:rsid w:val="0049320A"/>
    <w:rsid w:val="004932D4"/>
    <w:rsid w:val="004933C4"/>
    <w:rsid w:val="004933F8"/>
    <w:rsid w:val="0049359A"/>
    <w:rsid w:val="004935FF"/>
    <w:rsid w:val="00493636"/>
    <w:rsid w:val="00493665"/>
    <w:rsid w:val="0049369D"/>
    <w:rsid w:val="004936EF"/>
    <w:rsid w:val="0049373E"/>
    <w:rsid w:val="00493794"/>
    <w:rsid w:val="00493829"/>
    <w:rsid w:val="0049385E"/>
    <w:rsid w:val="004938A8"/>
    <w:rsid w:val="00493A37"/>
    <w:rsid w:val="00493A3C"/>
    <w:rsid w:val="00493A4D"/>
    <w:rsid w:val="00493B5B"/>
    <w:rsid w:val="00493C67"/>
    <w:rsid w:val="00493C80"/>
    <w:rsid w:val="00493DB5"/>
    <w:rsid w:val="00493F9A"/>
    <w:rsid w:val="00493FE4"/>
    <w:rsid w:val="00494032"/>
    <w:rsid w:val="00494083"/>
    <w:rsid w:val="00494193"/>
    <w:rsid w:val="0049419B"/>
    <w:rsid w:val="004941C6"/>
    <w:rsid w:val="00494209"/>
    <w:rsid w:val="004942BF"/>
    <w:rsid w:val="0049430F"/>
    <w:rsid w:val="004943EB"/>
    <w:rsid w:val="004944D1"/>
    <w:rsid w:val="0049457C"/>
    <w:rsid w:val="00494623"/>
    <w:rsid w:val="00494655"/>
    <w:rsid w:val="004947F0"/>
    <w:rsid w:val="00494814"/>
    <w:rsid w:val="00494860"/>
    <w:rsid w:val="00494898"/>
    <w:rsid w:val="004948C8"/>
    <w:rsid w:val="0049495F"/>
    <w:rsid w:val="00494CAA"/>
    <w:rsid w:val="00494DF0"/>
    <w:rsid w:val="00494E03"/>
    <w:rsid w:val="00494E78"/>
    <w:rsid w:val="00494F0E"/>
    <w:rsid w:val="00494FA8"/>
    <w:rsid w:val="00494FB3"/>
    <w:rsid w:val="00495004"/>
    <w:rsid w:val="0049500F"/>
    <w:rsid w:val="00495039"/>
    <w:rsid w:val="0049503A"/>
    <w:rsid w:val="004950B1"/>
    <w:rsid w:val="004950FC"/>
    <w:rsid w:val="0049511E"/>
    <w:rsid w:val="0049519D"/>
    <w:rsid w:val="0049519F"/>
    <w:rsid w:val="004951E9"/>
    <w:rsid w:val="00495287"/>
    <w:rsid w:val="00495369"/>
    <w:rsid w:val="00495377"/>
    <w:rsid w:val="00495406"/>
    <w:rsid w:val="00495414"/>
    <w:rsid w:val="0049556B"/>
    <w:rsid w:val="00495604"/>
    <w:rsid w:val="0049566C"/>
    <w:rsid w:val="004956BB"/>
    <w:rsid w:val="004956D0"/>
    <w:rsid w:val="0049572E"/>
    <w:rsid w:val="0049576E"/>
    <w:rsid w:val="00495795"/>
    <w:rsid w:val="004957BE"/>
    <w:rsid w:val="00495808"/>
    <w:rsid w:val="00495814"/>
    <w:rsid w:val="0049581A"/>
    <w:rsid w:val="00495873"/>
    <w:rsid w:val="0049589D"/>
    <w:rsid w:val="004958AD"/>
    <w:rsid w:val="004958B1"/>
    <w:rsid w:val="004958D9"/>
    <w:rsid w:val="004958E8"/>
    <w:rsid w:val="00495908"/>
    <w:rsid w:val="004959BD"/>
    <w:rsid w:val="00495A04"/>
    <w:rsid w:val="00495A51"/>
    <w:rsid w:val="00495A52"/>
    <w:rsid w:val="00495ACE"/>
    <w:rsid w:val="00495AD2"/>
    <w:rsid w:val="00495B59"/>
    <w:rsid w:val="00495BB5"/>
    <w:rsid w:val="00495C2D"/>
    <w:rsid w:val="00495C9B"/>
    <w:rsid w:val="00495D0E"/>
    <w:rsid w:val="00495D18"/>
    <w:rsid w:val="00495D99"/>
    <w:rsid w:val="00495E0C"/>
    <w:rsid w:val="00495E8D"/>
    <w:rsid w:val="00495F22"/>
    <w:rsid w:val="00495F7B"/>
    <w:rsid w:val="00495FBF"/>
    <w:rsid w:val="004962B0"/>
    <w:rsid w:val="004962E2"/>
    <w:rsid w:val="004964BB"/>
    <w:rsid w:val="004964E7"/>
    <w:rsid w:val="00496528"/>
    <w:rsid w:val="00496553"/>
    <w:rsid w:val="0049656C"/>
    <w:rsid w:val="0049661F"/>
    <w:rsid w:val="00496646"/>
    <w:rsid w:val="00496684"/>
    <w:rsid w:val="004966D3"/>
    <w:rsid w:val="004966E2"/>
    <w:rsid w:val="0049671A"/>
    <w:rsid w:val="004967AE"/>
    <w:rsid w:val="00496882"/>
    <w:rsid w:val="004968AC"/>
    <w:rsid w:val="004968E5"/>
    <w:rsid w:val="00496984"/>
    <w:rsid w:val="0049698F"/>
    <w:rsid w:val="00496AFD"/>
    <w:rsid w:val="00496B47"/>
    <w:rsid w:val="00496B92"/>
    <w:rsid w:val="00496BB7"/>
    <w:rsid w:val="00496C04"/>
    <w:rsid w:val="00496D15"/>
    <w:rsid w:val="00496D9A"/>
    <w:rsid w:val="00496DFE"/>
    <w:rsid w:val="00496E8A"/>
    <w:rsid w:val="00496E9F"/>
    <w:rsid w:val="00496EF2"/>
    <w:rsid w:val="00496EFD"/>
    <w:rsid w:val="00496F36"/>
    <w:rsid w:val="00496F92"/>
    <w:rsid w:val="00496FAE"/>
    <w:rsid w:val="0049704A"/>
    <w:rsid w:val="00497065"/>
    <w:rsid w:val="004970A7"/>
    <w:rsid w:val="00497116"/>
    <w:rsid w:val="0049715C"/>
    <w:rsid w:val="00497178"/>
    <w:rsid w:val="004971E9"/>
    <w:rsid w:val="004971FA"/>
    <w:rsid w:val="00497275"/>
    <w:rsid w:val="00497282"/>
    <w:rsid w:val="004972A0"/>
    <w:rsid w:val="0049734C"/>
    <w:rsid w:val="004973F1"/>
    <w:rsid w:val="00497430"/>
    <w:rsid w:val="00497519"/>
    <w:rsid w:val="00497550"/>
    <w:rsid w:val="00497553"/>
    <w:rsid w:val="00497631"/>
    <w:rsid w:val="004976ED"/>
    <w:rsid w:val="00497715"/>
    <w:rsid w:val="00497749"/>
    <w:rsid w:val="004977D5"/>
    <w:rsid w:val="004978A2"/>
    <w:rsid w:val="00497902"/>
    <w:rsid w:val="00497972"/>
    <w:rsid w:val="00497989"/>
    <w:rsid w:val="004979E0"/>
    <w:rsid w:val="00497A50"/>
    <w:rsid w:val="00497A84"/>
    <w:rsid w:val="00497B16"/>
    <w:rsid w:val="00497B17"/>
    <w:rsid w:val="00497BF9"/>
    <w:rsid w:val="00497C13"/>
    <w:rsid w:val="00497C61"/>
    <w:rsid w:val="00497C7D"/>
    <w:rsid w:val="00497D75"/>
    <w:rsid w:val="00497D7B"/>
    <w:rsid w:val="00497E33"/>
    <w:rsid w:val="00497E64"/>
    <w:rsid w:val="00497F30"/>
    <w:rsid w:val="004A003D"/>
    <w:rsid w:val="004A0059"/>
    <w:rsid w:val="004A00D6"/>
    <w:rsid w:val="004A00F9"/>
    <w:rsid w:val="004A0216"/>
    <w:rsid w:val="004A026A"/>
    <w:rsid w:val="004A02C5"/>
    <w:rsid w:val="004A033B"/>
    <w:rsid w:val="004A038B"/>
    <w:rsid w:val="004A03BB"/>
    <w:rsid w:val="004A03BD"/>
    <w:rsid w:val="004A03D6"/>
    <w:rsid w:val="004A043D"/>
    <w:rsid w:val="004A044F"/>
    <w:rsid w:val="004A0469"/>
    <w:rsid w:val="004A0490"/>
    <w:rsid w:val="004A04BC"/>
    <w:rsid w:val="004A05DE"/>
    <w:rsid w:val="004A061F"/>
    <w:rsid w:val="004A06AA"/>
    <w:rsid w:val="004A0730"/>
    <w:rsid w:val="004A0773"/>
    <w:rsid w:val="004A07C6"/>
    <w:rsid w:val="004A0803"/>
    <w:rsid w:val="004A0A77"/>
    <w:rsid w:val="004A0AC7"/>
    <w:rsid w:val="004A0B8C"/>
    <w:rsid w:val="004A0C8F"/>
    <w:rsid w:val="004A0C9C"/>
    <w:rsid w:val="004A0CD2"/>
    <w:rsid w:val="004A0D04"/>
    <w:rsid w:val="004A0D22"/>
    <w:rsid w:val="004A0D26"/>
    <w:rsid w:val="004A0D58"/>
    <w:rsid w:val="004A0E34"/>
    <w:rsid w:val="004A0E5D"/>
    <w:rsid w:val="004A0E71"/>
    <w:rsid w:val="004A0EDC"/>
    <w:rsid w:val="004A0F2C"/>
    <w:rsid w:val="004A0F48"/>
    <w:rsid w:val="004A0FC8"/>
    <w:rsid w:val="004A1059"/>
    <w:rsid w:val="004A105C"/>
    <w:rsid w:val="004A10FA"/>
    <w:rsid w:val="004A1109"/>
    <w:rsid w:val="004A12F8"/>
    <w:rsid w:val="004A13F0"/>
    <w:rsid w:val="004A1418"/>
    <w:rsid w:val="004A146B"/>
    <w:rsid w:val="004A1474"/>
    <w:rsid w:val="004A149F"/>
    <w:rsid w:val="004A14A8"/>
    <w:rsid w:val="004A14C8"/>
    <w:rsid w:val="004A15D5"/>
    <w:rsid w:val="004A1610"/>
    <w:rsid w:val="004A16CA"/>
    <w:rsid w:val="004A1795"/>
    <w:rsid w:val="004A17BB"/>
    <w:rsid w:val="004A1805"/>
    <w:rsid w:val="004A18B7"/>
    <w:rsid w:val="004A18B9"/>
    <w:rsid w:val="004A18D5"/>
    <w:rsid w:val="004A1949"/>
    <w:rsid w:val="004A19AF"/>
    <w:rsid w:val="004A1A71"/>
    <w:rsid w:val="004A1AA3"/>
    <w:rsid w:val="004A1BC0"/>
    <w:rsid w:val="004A1CA3"/>
    <w:rsid w:val="004A1CBE"/>
    <w:rsid w:val="004A1CD8"/>
    <w:rsid w:val="004A1D89"/>
    <w:rsid w:val="004A1DC7"/>
    <w:rsid w:val="004A1ED2"/>
    <w:rsid w:val="004A1EDE"/>
    <w:rsid w:val="004A1EE1"/>
    <w:rsid w:val="004A1F4E"/>
    <w:rsid w:val="004A1F58"/>
    <w:rsid w:val="004A1F7B"/>
    <w:rsid w:val="004A1F81"/>
    <w:rsid w:val="004A1FA1"/>
    <w:rsid w:val="004A1FE3"/>
    <w:rsid w:val="004A21E3"/>
    <w:rsid w:val="004A21EA"/>
    <w:rsid w:val="004A2220"/>
    <w:rsid w:val="004A222F"/>
    <w:rsid w:val="004A22AA"/>
    <w:rsid w:val="004A2313"/>
    <w:rsid w:val="004A2319"/>
    <w:rsid w:val="004A2367"/>
    <w:rsid w:val="004A23B1"/>
    <w:rsid w:val="004A23EC"/>
    <w:rsid w:val="004A23EF"/>
    <w:rsid w:val="004A2496"/>
    <w:rsid w:val="004A24B0"/>
    <w:rsid w:val="004A2508"/>
    <w:rsid w:val="004A255B"/>
    <w:rsid w:val="004A256F"/>
    <w:rsid w:val="004A25B4"/>
    <w:rsid w:val="004A25EC"/>
    <w:rsid w:val="004A261A"/>
    <w:rsid w:val="004A265C"/>
    <w:rsid w:val="004A2665"/>
    <w:rsid w:val="004A266F"/>
    <w:rsid w:val="004A2779"/>
    <w:rsid w:val="004A27FA"/>
    <w:rsid w:val="004A2814"/>
    <w:rsid w:val="004A28A3"/>
    <w:rsid w:val="004A28D3"/>
    <w:rsid w:val="004A294E"/>
    <w:rsid w:val="004A29C9"/>
    <w:rsid w:val="004A29FA"/>
    <w:rsid w:val="004A2A3C"/>
    <w:rsid w:val="004A2A46"/>
    <w:rsid w:val="004A2A52"/>
    <w:rsid w:val="004A2A69"/>
    <w:rsid w:val="004A2B04"/>
    <w:rsid w:val="004A2B06"/>
    <w:rsid w:val="004A2B09"/>
    <w:rsid w:val="004A2C00"/>
    <w:rsid w:val="004A2C30"/>
    <w:rsid w:val="004A2C68"/>
    <w:rsid w:val="004A2CB2"/>
    <w:rsid w:val="004A2D43"/>
    <w:rsid w:val="004A2D49"/>
    <w:rsid w:val="004A2D6F"/>
    <w:rsid w:val="004A2E99"/>
    <w:rsid w:val="004A2F64"/>
    <w:rsid w:val="004A2FBC"/>
    <w:rsid w:val="004A2FEA"/>
    <w:rsid w:val="004A3047"/>
    <w:rsid w:val="004A3056"/>
    <w:rsid w:val="004A31AE"/>
    <w:rsid w:val="004A3205"/>
    <w:rsid w:val="004A320E"/>
    <w:rsid w:val="004A321F"/>
    <w:rsid w:val="004A3464"/>
    <w:rsid w:val="004A3504"/>
    <w:rsid w:val="004A3517"/>
    <w:rsid w:val="004A354E"/>
    <w:rsid w:val="004A3596"/>
    <w:rsid w:val="004A35DC"/>
    <w:rsid w:val="004A35FF"/>
    <w:rsid w:val="004A363F"/>
    <w:rsid w:val="004A3737"/>
    <w:rsid w:val="004A3759"/>
    <w:rsid w:val="004A3773"/>
    <w:rsid w:val="004A37D3"/>
    <w:rsid w:val="004A38BF"/>
    <w:rsid w:val="004A393B"/>
    <w:rsid w:val="004A3957"/>
    <w:rsid w:val="004A3A29"/>
    <w:rsid w:val="004A3A37"/>
    <w:rsid w:val="004A3AF0"/>
    <w:rsid w:val="004A3B90"/>
    <w:rsid w:val="004A3C1F"/>
    <w:rsid w:val="004A3D3B"/>
    <w:rsid w:val="004A3D76"/>
    <w:rsid w:val="004A3EC4"/>
    <w:rsid w:val="004A3EDE"/>
    <w:rsid w:val="004A3F21"/>
    <w:rsid w:val="004A3F44"/>
    <w:rsid w:val="004A3F61"/>
    <w:rsid w:val="004A3F72"/>
    <w:rsid w:val="004A40AD"/>
    <w:rsid w:val="004A4102"/>
    <w:rsid w:val="004A417F"/>
    <w:rsid w:val="004A41D1"/>
    <w:rsid w:val="004A41FE"/>
    <w:rsid w:val="004A420D"/>
    <w:rsid w:val="004A425A"/>
    <w:rsid w:val="004A4273"/>
    <w:rsid w:val="004A42F6"/>
    <w:rsid w:val="004A4317"/>
    <w:rsid w:val="004A4325"/>
    <w:rsid w:val="004A4362"/>
    <w:rsid w:val="004A44D0"/>
    <w:rsid w:val="004A4575"/>
    <w:rsid w:val="004A459A"/>
    <w:rsid w:val="004A459F"/>
    <w:rsid w:val="004A460F"/>
    <w:rsid w:val="004A4625"/>
    <w:rsid w:val="004A4648"/>
    <w:rsid w:val="004A47DF"/>
    <w:rsid w:val="004A483A"/>
    <w:rsid w:val="004A4892"/>
    <w:rsid w:val="004A48BE"/>
    <w:rsid w:val="004A48E4"/>
    <w:rsid w:val="004A49D1"/>
    <w:rsid w:val="004A4AED"/>
    <w:rsid w:val="004A4C04"/>
    <w:rsid w:val="004A4C42"/>
    <w:rsid w:val="004A4CBA"/>
    <w:rsid w:val="004A4D1F"/>
    <w:rsid w:val="004A4D49"/>
    <w:rsid w:val="004A4D6C"/>
    <w:rsid w:val="004A4DA2"/>
    <w:rsid w:val="004A4E6E"/>
    <w:rsid w:val="004A4E73"/>
    <w:rsid w:val="004A4EA7"/>
    <w:rsid w:val="004A4EB6"/>
    <w:rsid w:val="004A4F67"/>
    <w:rsid w:val="004A5013"/>
    <w:rsid w:val="004A505D"/>
    <w:rsid w:val="004A5069"/>
    <w:rsid w:val="004A5137"/>
    <w:rsid w:val="004A5158"/>
    <w:rsid w:val="004A51AF"/>
    <w:rsid w:val="004A5230"/>
    <w:rsid w:val="004A5293"/>
    <w:rsid w:val="004A52A2"/>
    <w:rsid w:val="004A52C2"/>
    <w:rsid w:val="004A5351"/>
    <w:rsid w:val="004A537D"/>
    <w:rsid w:val="004A53B0"/>
    <w:rsid w:val="004A53B9"/>
    <w:rsid w:val="004A5453"/>
    <w:rsid w:val="004A54C5"/>
    <w:rsid w:val="004A5575"/>
    <w:rsid w:val="004A56F7"/>
    <w:rsid w:val="004A5718"/>
    <w:rsid w:val="004A573C"/>
    <w:rsid w:val="004A5749"/>
    <w:rsid w:val="004A57A4"/>
    <w:rsid w:val="004A58E9"/>
    <w:rsid w:val="004A590F"/>
    <w:rsid w:val="004A596E"/>
    <w:rsid w:val="004A598D"/>
    <w:rsid w:val="004A5AB8"/>
    <w:rsid w:val="004A5B6C"/>
    <w:rsid w:val="004A5BF4"/>
    <w:rsid w:val="004A5C15"/>
    <w:rsid w:val="004A5C4E"/>
    <w:rsid w:val="004A5C50"/>
    <w:rsid w:val="004A5C65"/>
    <w:rsid w:val="004A5C9C"/>
    <w:rsid w:val="004A5D55"/>
    <w:rsid w:val="004A5E95"/>
    <w:rsid w:val="004A5E9A"/>
    <w:rsid w:val="004A5F2A"/>
    <w:rsid w:val="004A5FE6"/>
    <w:rsid w:val="004A60A5"/>
    <w:rsid w:val="004A6120"/>
    <w:rsid w:val="004A618A"/>
    <w:rsid w:val="004A61CA"/>
    <w:rsid w:val="004A6235"/>
    <w:rsid w:val="004A6321"/>
    <w:rsid w:val="004A6369"/>
    <w:rsid w:val="004A63CE"/>
    <w:rsid w:val="004A648B"/>
    <w:rsid w:val="004A6531"/>
    <w:rsid w:val="004A6551"/>
    <w:rsid w:val="004A661D"/>
    <w:rsid w:val="004A6635"/>
    <w:rsid w:val="004A6663"/>
    <w:rsid w:val="004A6683"/>
    <w:rsid w:val="004A66F8"/>
    <w:rsid w:val="004A6713"/>
    <w:rsid w:val="004A677E"/>
    <w:rsid w:val="004A6875"/>
    <w:rsid w:val="004A68C4"/>
    <w:rsid w:val="004A691E"/>
    <w:rsid w:val="004A6979"/>
    <w:rsid w:val="004A69E7"/>
    <w:rsid w:val="004A6A0B"/>
    <w:rsid w:val="004A6A7A"/>
    <w:rsid w:val="004A6A8F"/>
    <w:rsid w:val="004A6B98"/>
    <w:rsid w:val="004A6BCE"/>
    <w:rsid w:val="004A6C09"/>
    <w:rsid w:val="004A6CA7"/>
    <w:rsid w:val="004A6CE5"/>
    <w:rsid w:val="004A6D22"/>
    <w:rsid w:val="004A6DAB"/>
    <w:rsid w:val="004A6DF0"/>
    <w:rsid w:val="004A6E69"/>
    <w:rsid w:val="004A6EA4"/>
    <w:rsid w:val="004A6EDD"/>
    <w:rsid w:val="004A6F28"/>
    <w:rsid w:val="004A6F47"/>
    <w:rsid w:val="004A6FAB"/>
    <w:rsid w:val="004A7184"/>
    <w:rsid w:val="004A7196"/>
    <w:rsid w:val="004A71AE"/>
    <w:rsid w:val="004A71C5"/>
    <w:rsid w:val="004A71EB"/>
    <w:rsid w:val="004A7254"/>
    <w:rsid w:val="004A729F"/>
    <w:rsid w:val="004A72C5"/>
    <w:rsid w:val="004A7308"/>
    <w:rsid w:val="004A734A"/>
    <w:rsid w:val="004A7359"/>
    <w:rsid w:val="004A735C"/>
    <w:rsid w:val="004A73F7"/>
    <w:rsid w:val="004A73FF"/>
    <w:rsid w:val="004A7440"/>
    <w:rsid w:val="004A746D"/>
    <w:rsid w:val="004A748C"/>
    <w:rsid w:val="004A74A3"/>
    <w:rsid w:val="004A750C"/>
    <w:rsid w:val="004A7521"/>
    <w:rsid w:val="004A757C"/>
    <w:rsid w:val="004A75C7"/>
    <w:rsid w:val="004A75E1"/>
    <w:rsid w:val="004A75EB"/>
    <w:rsid w:val="004A7683"/>
    <w:rsid w:val="004A76DD"/>
    <w:rsid w:val="004A779D"/>
    <w:rsid w:val="004A77C6"/>
    <w:rsid w:val="004A77F0"/>
    <w:rsid w:val="004A77FA"/>
    <w:rsid w:val="004A7824"/>
    <w:rsid w:val="004A782E"/>
    <w:rsid w:val="004A788D"/>
    <w:rsid w:val="004A78CC"/>
    <w:rsid w:val="004A79E2"/>
    <w:rsid w:val="004A7A8B"/>
    <w:rsid w:val="004A7AE4"/>
    <w:rsid w:val="004A7B10"/>
    <w:rsid w:val="004A7B5E"/>
    <w:rsid w:val="004A7B97"/>
    <w:rsid w:val="004A7C2D"/>
    <w:rsid w:val="004A7C97"/>
    <w:rsid w:val="004A7D2C"/>
    <w:rsid w:val="004A7D5B"/>
    <w:rsid w:val="004A7D97"/>
    <w:rsid w:val="004A7E37"/>
    <w:rsid w:val="004A7E63"/>
    <w:rsid w:val="004A7ED3"/>
    <w:rsid w:val="004A7FCD"/>
    <w:rsid w:val="004B0012"/>
    <w:rsid w:val="004B00FD"/>
    <w:rsid w:val="004B011E"/>
    <w:rsid w:val="004B01DD"/>
    <w:rsid w:val="004B029D"/>
    <w:rsid w:val="004B02FA"/>
    <w:rsid w:val="004B03AA"/>
    <w:rsid w:val="004B03BE"/>
    <w:rsid w:val="004B03D3"/>
    <w:rsid w:val="004B041F"/>
    <w:rsid w:val="004B0428"/>
    <w:rsid w:val="004B0530"/>
    <w:rsid w:val="004B0573"/>
    <w:rsid w:val="004B07ED"/>
    <w:rsid w:val="004B07F1"/>
    <w:rsid w:val="004B082C"/>
    <w:rsid w:val="004B0836"/>
    <w:rsid w:val="004B09B7"/>
    <w:rsid w:val="004B0AD1"/>
    <w:rsid w:val="004B0AD9"/>
    <w:rsid w:val="004B0B21"/>
    <w:rsid w:val="004B0B7A"/>
    <w:rsid w:val="004B0B81"/>
    <w:rsid w:val="004B0BBB"/>
    <w:rsid w:val="004B0BCA"/>
    <w:rsid w:val="004B0BCE"/>
    <w:rsid w:val="004B0CFC"/>
    <w:rsid w:val="004B0D3E"/>
    <w:rsid w:val="004B0D9C"/>
    <w:rsid w:val="004B0DA9"/>
    <w:rsid w:val="004B0E83"/>
    <w:rsid w:val="004B0EA2"/>
    <w:rsid w:val="004B0F4E"/>
    <w:rsid w:val="004B0F90"/>
    <w:rsid w:val="004B0FB7"/>
    <w:rsid w:val="004B10A9"/>
    <w:rsid w:val="004B1108"/>
    <w:rsid w:val="004B111A"/>
    <w:rsid w:val="004B118A"/>
    <w:rsid w:val="004B11AF"/>
    <w:rsid w:val="004B11E3"/>
    <w:rsid w:val="004B12FA"/>
    <w:rsid w:val="004B1316"/>
    <w:rsid w:val="004B13A2"/>
    <w:rsid w:val="004B13CF"/>
    <w:rsid w:val="004B13ED"/>
    <w:rsid w:val="004B1421"/>
    <w:rsid w:val="004B14D1"/>
    <w:rsid w:val="004B14E2"/>
    <w:rsid w:val="004B1519"/>
    <w:rsid w:val="004B158F"/>
    <w:rsid w:val="004B1733"/>
    <w:rsid w:val="004B1737"/>
    <w:rsid w:val="004B178E"/>
    <w:rsid w:val="004B17E3"/>
    <w:rsid w:val="004B1806"/>
    <w:rsid w:val="004B182C"/>
    <w:rsid w:val="004B182D"/>
    <w:rsid w:val="004B1838"/>
    <w:rsid w:val="004B190A"/>
    <w:rsid w:val="004B19ED"/>
    <w:rsid w:val="004B1A07"/>
    <w:rsid w:val="004B1A73"/>
    <w:rsid w:val="004B1A7E"/>
    <w:rsid w:val="004B1B04"/>
    <w:rsid w:val="004B1B0C"/>
    <w:rsid w:val="004B1BAF"/>
    <w:rsid w:val="004B1DD9"/>
    <w:rsid w:val="004B1E36"/>
    <w:rsid w:val="004B1E6F"/>
    <w:rsid w:val="004B1EE2"/>
    <w:rsid w:val="004B1EFB"/>
    <w:rsid w:val="004B1F42"/>
    <w:rsid w:val="004B1FEA"/>
    <w:rsid w:val="004B2023"/>
    <w:rsid w:val="004B209E"/>
    <w:rsid w:val="004B2136"/>
    <w:rsid w:val="004B2181"/>
    <w:rsid w:val="004B22D8"/>
    <w:rsid w:val="004B22F6"/>
    <w:rsid w:val="004B2330"/>
    <w:rsid w:val="004B235B"/>
    <w:rsid w:val="004B2386"/>
    <w:rsid w:val="004B2396"/>
    <w:rsid w:val="004B24C8"/>
    <w:rsid w:val="004B25AC"/>
    <w:rsid w:val="004B260F"/>
    <w:rsid w:val="004B267F"/>
    <w:rsid w:val="004B268D"/>
    <w:rsid w:val="004B26B1"/>
    <w:rsid w:val="004B2784"/>
    <w:rsid w:val="004B27AE"/>
    <w:rsid w:val="004B2824"/>
    <w:rsid w:val="004B28E4"/>
    <w:rsid w:val="004B29A3"/>
    <w:rsid w:val="004B29B6"/>
    <w:rsid w:val="004B29EE"/>
    <w:rsid w:val="004B2A86"/>
    <w:rsid w:val="004B2AAC"/>
    <w:rsid w:val="004B2B03"/>
    <w:rsid w:val="004B2B27"/>
    <w:rsid w:val="004B2B8C"/>
    <w:rsid w:val="004B2C72"/>
    <w:rsid w:val="004B2CA9"/>
    <w:rsid w:val="004B2D3E"/>
    <w:rsid w:val="004B2E0E"/>
    <w:rsid w:val="004B2E53"/>
    <w:rsid w:val="004B2E9E"/>
    <w:rsid w:val="004B2F29"/>
    <w:rsid w:val="004B2F51"/>
    <w:rsid w:val="004B2F7B"/>
    <w:rsid w:val="004B2F94"/>
    <w:rsid w:val="004B2FAE"/>
    <w:rsid w:val="004B3028"/>
    <w:rsid w:val="004B30CB"/>
    <w:rsid w:val="004B322E"/>
    <w:rsid w:val="004B33B2"/>
    <w:rsid w:val="004B33D0"/>
    <w:rsid w:val="004B340C"/>
    <w:rsid w:val="004B344F"/>
    <w:rsid w:val="004B347F"/>
    <w:rsid w:val="004B348A"/>
    <w:rsid w:val="004B34D2"/>
    <w:rsid w:val="004B34F8"/>
    <w:rsid w:val="004B3505"/>
    <w:rsid w:val="004B3514"/>
    <w:rsid w:val="004B3532"/>
    <w:rsid w:val="004B3576"/>
    <w:rsid w:val="004B359A"/>
    <w:rsid w:val="004B35B7"/>
    <w:rsid w:val="004B365C"/>
    <w:rsid w:val="004B3676"/>
    <w:rsid w:val="004B36AE"/>
    <w:rsid w:val="004B3793"/>
    <w:rsid w:val="004B37D5"/>
    <w:rsid w:val="004B387F"/>
    <w:rsid w:val="004B388E"/>
    <w:rsid w:val="004B398C"/>
    <w:rsid w:val="004B3AEA"/>
    <w:rsid w:val="004B3C36"/>
    <w:rsid w:val="004B3CAD"/>
    <w:rsid w:val="004B3D8A"/>
    <w:rsid w:val="004B3DCE"/>
    <w:rsid w:val="004B3EC5"/>
    <w:rsid w:val="004B3EF2"/>
    <w:rsid w:val="004B3F79"/>
    <w:rsid w:val="004B3FBC"/>
    <w:rsid w:val="004B4010"/>
    <w:rsid w:val="004B4018"/>
    <w:rsid w:val="004B401F"/>
    <w:rsid w:val="004B4069"/>
    <w:rsid w:val="004B4127"/>
    <w:rsid w:val="004B4147"/>
    <w:rsid w:val="004B41BA"/>
    <w:rsid w:val="004B41E7"/>
    <w:rsid w:val="004B41F4"/>
    <w:rsid w:val="004B4267"/>
    <w:rsid w:val="004B42E2"/>
    <w:rsid w:val="004B43C6"/>
    <w:rsid w:val="004B454D"/>
    <w:rsid w:val="004B458E"/>
    <w:rsid w:val="004B45EE"/>
    <w:rsid w:val="004B4681"/>
    <w:rsid w:val="004B4727"/>
    <w:rsid w:val="004B4776"/>
    <w:rsid w:val="004B477E"/>
    <w:rsid w:val="004B4808"/>
    <w:rsid w:val="004B481C"/>
    <w:rsid w:val="004B4857"/>
    <w:rsid w:val="004B48ED"/>
    <w:rsid w:val="004B49F7"/>
    <w:rsid w:val="004B4A31"/>
    <w:rsid w:val="004B4A4D"/>
    <w:rsid w:val="004B4A6F"/>
    <w:rsid w:val="004B4A88"/>
    <w:rsid w:val="004B4A8A"/>
    <w:rsid w:val="004B4AAF"/>
    <w:rsid w:val="004B4B51"/>
    <w:rsid w:val="004B4B7E"/>
    <w:rsid w:val="004B4BA3"/>
    <w:rsid w:val="004B4BBC"/>
    <w:rsid w:val="004B4C19"/>
    <w:rsid w:val="004B4C60"/>
    <w:rsid w:val="004B4CAE"/>
    <w:rsid w:val="004B4D7D"/>
    <w:rsid w:val="004B4D80"/>
    <w:rsid w:val="004B4E27"/>
    <w:rsid w:val="004B4EDF"/>
    <w:rsid w:val="004B4EE4"/>
    <w:rsid w:val="004B4EED"/>
    <w:rsid w:val="004B4F08"/>
    <w:rsid w:val="004B4F99"/>
    <w:rsid w:val="004B50D1"/>
    <w:rsid w:val="004B50DF"/>
    <w:rsid w:val="004B50EA"/>
    <w:rsid w:val="004B5123"/>
    <w:rsid w:val="004B513C"/>
    <w:rsid w:val="004B520B"/>
    <w:rsid w:val="004B52D8"/>
    <w:rsid w:val="004B52E4"/>
    <w:rsid w:val="004B52F6"/>
    <w:rsid w:val="004B53FE"/>
    <w:rsid w:val="004B5463"/>
    <w:rsid w:val="004B5485"/>
    <w:rsid w:val="004B54E0"/>
    <w:rsid w:val="004B5514"/>
    <w:rsid w:val="004B5721"/>
    <w:rsid w:val="004B5886"/>
    <w:rsid w:val="004B59F6"/>
    <w:rsid w:val="004B5AA9"/>
    <w:rsid w:val="004B5AC7"/>
    <w:rsid w:val="004B5B98"/>
    <w:rsid w:val="004B5BE2"/>
    <w:rsid w:val="004B5CD0"/>
    <w:rsid w:val="004B5DB2"/>
    <w:rsid w:val="004B5DFE"/>
    <w:rsid w:val="004B5EF8"/>
    <w:rsid w:val="004B603B"/>
    <w:rsid w:val="004B604C"/>
    <w:rsid w:val="004B60B7"/>
    <w:rsid w:val="004B60CE"/>
    <w:rsid w:val="004B6148"/>
    <w:rsid w:val="004B618D"/>
    <w:rsid w:val="004B619A"/>
    <w:rsid w:val="004B61CB"/>
    <w:rsid w:val="004B62DF"/>
    <w:rsid w:val="004B634F"/>
    <w:rsid w:val="004B63AA"/>
    <w:rsid w:val="004B6444"/>
    <w:rsid w:val="004B653F"/>
    <w:rsid w:val="004B6664"/>
    <w:rsid w:val="004B6781"/>
    <w:rsid w:val="004B678F"/>
    <w:rsid w:val="004B67F8"/>
    <w:rsid w:val="004B696F"/>
    <w:rsid w:val="004B69E9"/>
    <w:rsid w:val="004B69ED"/>
    <w:rsid w:val="004B69FB"/>
    <w:rsid w:val="004B6A77"/>
    <w:rsid w:val="004B6AC9"/>
    <w:rsid w:val="004B6B08"/>
    <w:rsid w:val="004B6B91"/>
    <w:rsid w:val="004B6CDA"/>
    <w:rsid w:val="004B6D06"/>
    <w:rsid w:val="004B6DA7"/>
    <w:rsid w:val="004B6DB4"/>
    <w:rsid w:val="004B6EE9"/>
    <w:rsid w:val="004B705A"/>
    <w:rsid w:val="004B709D"/>
    <w:rsid w:val="004B709E"/>
    <w:rsid w:val="004B7111"/>
    <w:rsid w:val="004B71EE"/>
    <w:rsid w:val="004B7222"/>
    <w:rsid w:val="004B7234"/>
    <w:rsid w:val="004B7317"/>
    <w:rsid w:val="004B7327"/>
    <w:rsid w:val="004B73DE"/>
    <w:rsid w:val="004B744F"/>
    <w:rsid w:val="004B74EF"/>
    <w:rsid w:val="004B7666"/>
    <w:rsid w:val="004B76A0"/>
    <w:rsid w:val="004B76DE"/>
    <w:rsid w:val="004B78D0"/>
    <w:rsid w:val="004B7916"/>
    <w:rsid w:val="004B79A3"/>
    <w:rsid w:val="004B79AD"/>
    <w:rsid w:val="004B7A39"/>
    <w:rsid w:val="004B7A69"/>
    <w:rsid w:val="004B7B5A"/>
    <w:rsid w:val="004B7B61"/>
    <w:rsid w:val="004B7B8B"/>
    <w:rsid w:val="004B7BF6"/>
    <w:rsid w:val="004B7C46"/>
    <w:rsid w:val="004B7C47"/>
    <w:rsid w:val="004B7C7F"/>
    <w:rsid w:val="004B7CE8"/>
    <w:rsid w:val="004B7D40"/>
    <w:rsid w:val="004B7DA7"/>
    <w:rsid w:val="004B7E9A"/>
    <w:rsid w:val="004B7ED0"/>
    <w:rsid w:val="004B7F0A"/>
    <w:rsid w:val="004B7F6C"/>
    <w:rsid w:val="004B7FBA"/>
    <w:rsid w:val="004C0025"/>
    <w:rsid w:val="004C0060"/>
    <w:rsid w:val="004C00FA"/>
    <w:rsid w:val="004C019C"/>
    <w:rsid w:val="004C01ED"/>
    <w:rsid w:val="004C01F1"/>
    <w:rsid w:val="004C020D"/>
    <w:rsid w:val="004C0348"/>
    <w:rsid w:val="004C0371"/>
    <w:rsid w:val="004C03EC"/>
    <w:rsid w:val="004C0433"/>
    <w:rsid w:val="004C04E4"/>
    <w:rsid w:val="004C051E"/>
    <w:rsid w:val="004C05A7"/>
    <w:rsid w:val="004C05DF"/>
    <w:rsid w:val="004C05FA"/>
    <w:rsid w:val="004C070F"/>
    <w:rsid w:val="004C074D"/>
    <w:rsid w:val="004C0767"/>
    <w:rsid w:val="004C078D"/>
    <w:rsid w:val="004C07BE"/>
    <w:rsid w:val="004C0881"/>
    <w:rsid w:val="004C08F4"/>
    <w:rsid w:val="004C0973"/>
    <w:rsid w:val="004C09FD"/>
    <w:rsid w:val="004C0A05"/>
    <w:rsid w:val="004C0AEB"/>
    <w:rsid w:val="004C0B94"/>
    <w:rsid w:val="004C0BBA"/>
    <w:rsid w:val="004C0C21"/>
    <w:rsid w:val="004C0CEA"/>
    <w:rsid w:val="004C0CF6"/>
    <w:rsid w:val="004C0D61"/>
    <w:rsid w:val="004C0DB0"/>
    <w:rsid w:val="004C0E99"/>
    <w:rsid w:val="004C0FAC"/>
    <w:rsid w:val="004C107D"/>
    <w:rsid w:val="004C1080"/>
    <w:rsid w:val="004C10C6"/>
    <w:rsid w:val="004C10E9"/>
    <w:rsid w:val="004C1155"/>
    <w:rsid w:val="004C1192"/>
    <w:rsid w:val="004C1193"/>
    <w:rsid w:val="004C1208"/>
    <w:rsid w:val="004C1239"/>
    <w:rsid w:val="004C1268"/>
    <w:rsid w:val="004C1387"/>
    <w:rsid w:val="004C1400"/>
    <w:rsid w:val="004C1468"/>
    <w:rsid w:val="004C14F2"/>
    <w:rsid w:val="004C152A"/>
    <w:rsid w:val="004C1554"/>
    <w:rsid w:val="004C15E0"/>
    <w:rsid w:val="004C168F"/>
    <w:rsid w:val="004C16F8"/>
    <w:rsid w:val="004C1820"/>
    <w:rsid w:val="004C1822"/>
    <w:rsid w:val="004C18CC"/>
    <w:rsid w:val="004C18DA"/>
    <w:rsid w:val="004C1922"/>
    <w:rsid w:val="004C192C"/>
    <w:rsid w:val="004C192D"/>
    <w:rsid w:val="004C198D"/>
    <w:rsid w:val="004C1A77"/>
    <w:rsid w:val="004C1B3C"/>
    <w:rsid w:val="004C1BA0"/>
    <w:rsid w:val="004C1BF7"/>
    <w:rsid w:val="004C1D19"/>
    <w:rsid w:val="004C1D54"/>
    <w:rsid w:val="004C1DC0"/>
    <w:rsid w:val="004C1DCC"/>
    <w:rsid w:val="004C1EF4"/>
    <w:rsid w:val="004C1F50"/>
    <w:rsid w:val="004C1FC3"/>
    <w:rsid w:val="004C1FF8"/>
    <w:rsid w:val="004C2033"/>
    <w:rsid w:val="004C207F"/>
    <w:rsid w:val="004C2127"/>
    <w:rsid w:val="004C217C"/>
    <w:rsid w:val="004C2195"/>
    <w:rsid w:val="004C21FF"/>
    <w:rsid w:val="004C239E"/>
    <w:rsid w:val="004C23D9"/>
    <w:rsid w:val="004C23DA"/>
    <w:rsid w:val="004C23E2"/>
    <w:rsid w:val="004C2404"/>
    <w:rsid w:val="004C243D"/>
    <w:rsid w:val="004C24D6"/>
    <w:rsid w:val="004C250C"/>
    <w:rsid w:val="004C25DF"/>
    <w:rsid w:val="004C2665"/>
    <w:rsid w:val="004C26FA"/>
    <w:rsid w:val="004C26FF"/>
    <w:rsid w:val="004C27C2"/>
    <w:rsid w:val="004C28E6"/>
    <w:rsid w:val="004C28F9"/>
    <w:rsid w:val="004C2930"/>
    <w:rsid w:val="004C2A1C"/>
    <w:rsid w:val="004C2A82"/>
    <w:rsid w:val="004C2B7B"/>
    <w:rsid w:val="004C2C3D"/>
    <w:rsid w:val="004C2D25"/>
    <w:rsid w:val="004C2D44"/>
    <w:rsid w:val="004C2D63"/>
    <w:rsid w:val="004C2DC9"/>
    <w:rsid w:val="004C2F29"/>
    <w:rsid w:val="004C2F72"/>
    <w:rsid w:val="004C3091"/>
    <w:rsid w:val="004C3123"/>
    <w:rsid w:val="004C3130"/>
    <w:rsid w:val="004C316B"/>
    <w:rsid w:val="004C3177"/>
    <w:rsid w:val="004C31CB"/>
    <w:rsid w:val="004C3227"/>
    <w:rsid w:val="004C322A"/>
    <w:rsid w:val="004C32A9"/>
    <w:rsid w:val="004C33C3"/>
    <w:rsid w:val="004C33F5"/>
    <w:rsid w:val="004C34A9"/>
    <w:rsid w:val="004C36DB"/>
    <w:rsid w:val="004C372E"/>
    <w:rsid w:val="004C375B"/>
    <w:rsid w:val="004C3859"/>
    <w:rsid w:val="004C3948"/>
    <w:rsid w:val="004C395B"/>
    <w:rsid w:val="004C3A30"/>
    <w:rsid w:val="004C3A46"/>
    <w:rsid w:val="004C3A4C"/>
    <w:rsid w:val="004C3A68"/>
    <w:rsid w:val="004C3A82"/>
    <w:rsid w:val="004C3B17"/>
    <w:rsid w:val="004C3B73"/>
    <w:rsid w:val="004C3BE2"/>
    <w:rsid w:val="004C3C02"/>
    <w:rsid w:val="004C3C60"/>
    <w:rsid w:val="004C3C84"/>
    <w:rsid w:val="004C3CA0"/>
    <w:rsid w:val="004C3CA8"/>
    <w:rsid w:val="004C3DAE"/>
    <w:rsid w:val="004C3DD0"/>
    <w:rsid w:val="004C3E6E"/>
    <w:rsid w:val="004C3F29"/>
    <w:rsid w:val="004C3F5F"/>
    <w:rsid w:val="004C3FA9"/>
    <w:rsid w:val="004C3FFC"/>
    <w:rsid w:val="004C405F"/>
    <w:rsid w:val="004C41A2"/>
    <w:rsid w:val="004C41D2"/>
    <w:rsid w:val="004C427C"/>
    <w:rsid w:val="004C4312"/>
    <w:rsid w:val="004C4341"/>
    <w:rsid w:val="004C434C"/>
    <w:rsid w:val="004C436C"/>
    <w:rsid w:val="004C43F7"/>
    <w:rsid w:val="004C44D9"/>
    <w:rsid w:val="004C44E1"/>
    <w:rsid w:val="004C451E"/>
    <w:rsid w:val="004C45DC"/>
    <w:rsid w:val="004C4687"/>
    <w:rsid w:val="004C468D"/>
    <w:rsid w:val="004C46A4"/>
    <w:rsid w:val="004C46EC"/>
    <w:rsid w:val="004C473E"/>
    <w:rsid w:val="004C47E9"/>
    <w:rsid w:val="004C485D"/>
    <w:rsid w:val="004C488F"/>
    <w:rsid w:val="004C4962"/>
    <w:rsid w:val="004C4A1B"/>
    <w:rsid w:val="004C4A67"/>
    <w:rsid w:val="004C4A87"/>
    <w:rsid w:val="004C4A9C"/>
    <w:rsid w:val="004C4D1C"/>
    <w:rsid w:val="004C4D6F"/>
    <w:rsid w:val="004C4DC7"/>
    <w:rsid w:val="004C4E69"/>
    <w:rsid w:val="004C4EC5"/>
    <w:rsid w:val="004C5008"/>
    <w:rsid w:val="004C5054"/>
    <w:rsid w:val="004C50CB"/>
    <w:rsid w:val="004C50FC"/>
    <w:rsid w:val="004C5116"/>
    <w:rsid w:val="004C5193"/>
    <w:rsid w:val="004C51CF"/>
    <w:rsid w:val="004C529A"/>
    <w:rsid w:val="004C52EA"/>
    <w:rsid w:val="004C52F8"/>
    <w:rsid w:val="004C53D0"/>
    <w:rsid w:val="004C53E4"/>
    <w:rsid w:val="004C55F3"/>
    <w:rsid w:val="004C5872"/>
    <w:rsid w:val="004C5887"/>
    <w:rsid w:val="004C58F6"/>
    <w:rsid w:val="004C5922"/>
    <w:rsid w:val="004C5971"/>
    <w:rsid w:val="004C59D2"/>
    <w:rsid w:val="004C5A05"/>
    <w:rsid w:val="004C5A53"/>
    <w:rsid w:val="004C5A89"/>
    <w:rsid w:val="004C5BBD"/>
    <w:rsid w:val="004C5C09"/>
    <w:rsid w:val="004C5C1B"/>
    <w:rsid w:val="004C5C4A"/>
    <w:rsid w:val="004C5C50"/>
    <w:rsid w:val="004C5D31"/>
    <w:rsid w:val="004C5D3F"/>
    <w:rsid w:val="004C5D74"/>
    <w:rsid w:val="004C5D85"/>
    <w:rsid w:val="004C5DC2"/>
    <w:rsid w:val="004C5DF1"/>
    <w:rsid w:val="004C5E38"/>
    <w:rsid w:val="004C5F48"/>
    <w:rsid w:val="004C5F55"/>
    <w:rsid w:val="004C5F6C"/>
    <w:rsid w:val="004C5FCA"/>
    <w:rsid w:val="004C6057"/>
    <w:rsid w:val="004C60DE"/>
    <w:rsid w:val="004C617F"/>
    <w:rsid w:val="004C618D"/>
    <w:rsid w:val="004C61EC"/>
    <w:rsid w:val="004C624E"/>
    <w:rsid w:val="004C6362"/>
    <w:rsid w:val="004C6375"/>
    <w:rsid w:val="004C638E"/>
    <w:rsid w:val="004C63AA"/>
    <w:rsid w:val="004C648C"/>
    <w:rsid w:val="004C661D"/>
    <w:rsid w:val="004C666F"/>
    <w:rsid w:val="004C667D"/>
    <w:rsid w:val="004C6721"/>
    <w:rsid w:val="004C67FD"/>
    <w:rsid w:val="004C69AB"/>
    <w:rsid w:val="004C6A0A"/>
    <w:rsid w:val="004C6A6A"/>
    <w:rsid w:val="004C6B3E"/>
    <w:rsid w:val="004C6B42"/>
    <w:rsid w:val="004C6B47"/>
    <w:rsid w:val="004C6BA5"/>
    <w:rsid w:val="004C6C2C"/>
    <w:rsid w:val="004C6C6D"/>
    <w:rsid w:val="004C6C86"/>
    <w:rsid w:val="004C6C96"/>
    <w:rsid w:val="004C6C9A"/>
    <w:rsid w:val="004C6CC0"/>
    <w:rsid w:val="004C6CC1"/>
    <w:rsid w:val="004C6CE1"/>
    <w:rsid w:val="004C6CFC"/>
    <w:rsid w:val="004C6D61"/>
    <w:rsid w:val="004C6D66"/>
    <w:rsid w:val="004C6D80"/>
    <w:rsid w:val="004C6E46"/>
    <w:rsid w:val="004C6E63"/>
    <w:rsid w:val="004C6E85"/>
    <w:rsid w:val="004C6E8E"/>
    <w:rsid w:val="004C6EF3"/>
    <w:rsid w:val="004C6FC5"/>
    <w:rsid w:val="004C7016"/>
    <w:rsid w:val="004C7062"/>
    <w:rsid w:val="004C70C2"/>
    <w:rsid w:val="004C7146"/>
    <w:rsid w:val="004C71A2"/>
    <w:rsid w:val="004C71F5"/>
    <w:rsid w:val="004C724D"/>
    <w:rsid w:val="004C724F"/>
    <w:rsid w:val="004C7290"/>
    <w:rsid w:val="004C7317"/>
    <w:rsid w:val="004C7338"/>
    <w:rsid w:val="004C7356"/>
    <w:rsid w:val="004C74CC"/>
    <w:rsid w:val="004C7626"/>
    <w:rsid w:val="004C764C"/>
    <w:rsid w:val="004C76B0"/>
    <w:rsid w:val="004C7709"/>
    <w:rsid w:val="004C771A"/>
    <w:rsid w:val="004C783D"/>
    <w:rsid w:val="004C7845"/>
    <w:rsid w:val="004C7894"/>
    <w:rsid w:val="004C78E4"/>
    <w:rsid w:val="004C7914"/>
    <w:rsid w:val="004C79D3"/>
    <w:rsid w:val="004C79D4"/>
    <w:rsid w:val="004C7A22"/>
    <w:rsid w:val="004C7A6D"/>
    <w:rsid w:val="004C7A74"/>
    <w:rsid w:val="004C7AB8"/>
    <w:rsid w:val="004C7B8A"/>
    <w:rsid w:val="004C7C73"/>
    <w:rsid w:val="004C7E48"/>
    <w:rsid w:val="004C7F14"/>
    <w:rsid w:val="004C7F32"/>
    <w:rsid w:val="004C7F48"/>
    <w:rsid w:val="004D002D"/>
    <w:rsid w:val="004D00AA"/>
    <w:rsid w:val="004D00B5"/>
    <w:rsid w:val="004D019F"/>
    <w:rsid w:val="004D01F5"/>
    <w:rsid w:val="004D0208"/>
    <w:rsid w:val="004D02B7"/>
    <w:rsid w:val="004D0300"/>
    <w:rsid w:val="004D0391"/>
    <w:rsid w:val="004D03D1"/>
    <w:rsid w:val="004D0406"/>
    <w:rsid w:val="004D0435"/>
    <w:rsid w:val="004D0448"/>
    <w:rsid w:val="004D0547"/>
    <w:rsid w:val="004D0622"/>
    <w:rsid w:val="004D06BB"/>
    <w:rsid w:val="004D0750"/>
    <w:rsid w:val="004D0775"/>
    <w:rsid w:val="004D094C"/>
    <w:rsid w:val="004D0998"/>
    <w:rsid w:val="004D09EF"/>
    <w:rsid w:val="004D09F4"/>
    <w:rsid w:val="004D0AE3"/>
    <w:rsid w:val="004D0B31"/>
    <w:rsid w:val="004D0BC9"/>
    <w:rsid w:val="004D0BE0"/>
    <w:rsid w:val="004D0C40"/>
    <w:rsid w:val="004D0CA5"/>
    <w:rsid w:val="004D0DC6"/>
    <w:rsid w:val="004D0DE9"/>
    <w:rsid w:val="004D0DFC"/>
    <w:rsid w:val="004D0E17"/>
    <w:rsid w:val="004D0EAD"/>
    <w:rsid w:val="004D0F6B"/>
    <w:rsid w:val="004D0FA5"/>
    <w:rsid w:val="004D1109"/>
    <w:rsid w:val="004D1189"/>
    <w:rsid w:val="004D11CC"/>
    <w:rsid w:val="004D1208"/>
    <w:rsid w:val="004D124E"/>
    <w:rsid w:val="004D1277"/>
    <w:rsid w:val="004D130E"/>
    <w:rsid w:val="004D1338"/>
    <w:rsid w:val="004D133B"/>
    <w:rsid w:val="004D14F2"/>
    <w:rsid w:val="004D1505"/>
    <w:rsid w:val="004D15BF"/>
    <w:rsid w:val="004D15DD"/>
    <w:rsid w:val="004D15FC"/>
    <w:rsid w:val="004D165B"/>
    <w:rsid w:val="004D1667"/>
    <w:rsid w:val="004D16F2"/>
    <w:rsid w:val="004D172A"/>
    <w:rsid w:val="004D1774"/>
    <w:rsid w:val="004D1820"/>
    <w:rsid w:val="004D186A"/>
    <w:rsid w:val="004D186C"/>
    <w:rsid w:val="004D18B8"/>
    <w:rsid w:val="004D1911"/>
    <w:rsid w:val="004D1A77"/>
    <w:rsid w:val="004D1BB3"/>
    <w:rsid w:val="004D1C22"/>
    <w:rsid w:val="004D1F30"/>
    <w:rsid w:val="004D1F4E"/>
    <w:rsid w:val="004D1F5A"/>
    <w:rsid w:val="004D200D"/>
    <w:rsid w:val="004D2051"/>
    <w:rsid w:val="004D2263"/>
    <w:rsid w:val="004D2272"/>
    <w:rsid w:val="004D2449"/>
    <w:rsid w:val="004D249F"/>
    <w:rsid w:val="004D24CA"/>
    <w:rsid w:val="004D24D1"/>
    <w:rsid w:val="004D2709"/>
    <w:rsid w:val="004D27A2"/>
    <w:rsid w:val="004D280E"/>
    <w:rsid w:val="004D2823"/>
    <w:rsid w:val="004D2839"/>
    <w:rsid w:val="004D2882"/>
    <w:rsid w:val="004D290F"/>
    <w:rsid w:val="004D29C0"/>
    <w:rsid w:val="004D29C6"/>
    <w:rsid w:val="004D29E4"/>
    <w:rsid w:val="004D2A09"/>
    <w:rsid w:val="004D2CA6"/>
    <w:rsid w:val="004D2CB6"/>
    <w:rsid w:val="004D2D8A"/>
    <w:rsid w:val="004D2DE7"/>
    <w:rsid w:val="004D2E6B"/>
    <w:rsid w:val="004D2F18"/>
    <w:rsid w:val="004D2F24"/>
    <w:rsid w:val="004D2F3E"/>
    <w:rsid w:val="004D30CE"/>
    <w:rsid w:val="004D311D"/>
    <w:rsid w:val="004D31C6"/>
    <w:rsid w:val="004D3287"/>
    <w:rsid w:val="004D329B"/>
    <w:rsid w:val="004D33AE"/>
    <w:rsid w:val="004D33AF"/>
    <w:rsid w:val="004D3426"/>
    <w:rsid w:val="004D34DE"/>
    <w:rsid w:val="004D35D5"/>
    <w:rsid w:val="004D35E0"/>
    <w:rsid w:val="004D36D3"/>
    <w:rsid w:val="004D37AC"/>
    <w:rsid w:val="004D37D3"/>
    <w:rsid w:val="004D38A6"/>
    <w:rsid w:val="004D38C0"/>
    <w:rsid w:val="004D38D6"/>
    <w:rsid w:val="004D38DF"/>
    <w:rsid w:val="004D396E"/>
    <w:rsid w:val="004D3A49"/>
    <w:rsid w:val="004D3A78"/>
    <w:rsid w:val="004D3A84"/>
    <w:rsid w:val="004D3AEE"/>
    <w:rsid w:val="004D3BC2"/>
    <w:rsid w:val="004D3CBD"/>
    <w:rsid w:val="004D3D17"/>
    <w:rsid w:val="004D3D22"/>
    <w:rsid w:val="004D3DA7"/>
    <w:rsid w:val="004D3DC4"/>
    <w:rsid w:val="004D3DCD"/>
    <w:rsid w:val="004D3DD3"/>
    <w:rsid w:val="004D3E07"/>
    <w:rsid w:val="004D3ECD"/>
    <w:rsid w:val="004D3FD0"/>
    <w:rsid w:val="004D3FEC"/>
    <w:rsid w:val="004D3FF0"/>
    <w:rsid w:val="004D3FF7"/>
    <w:rsid w:val="004D4007"/>
    <w:rsid w:val="004D404E"/>
    <w:rsid w:val="004D405D"/>
    <w:rsid w:val="004D4070"/>
    <w:rsid w:val="004D40B8"/>
    <w:rsid w:val="004D40D3"/>
    <w:rsid w:val="004D40E5"/>
    <w:rsid w:val="004D4117"/>
    <w:rsid w:val="004D414D"/>
    <w:rsid w:val="004D417A"/>
    <w:rsid w:val="004D418E"/>
    <w:rsid w:val="004D41A6"/>
    <w:rsid w:val="004D427A"/>
    <w:rsid w:val="004D4296"/>
    <w:rsid w:val="004D432E"/>
    <w:rsid w:val="004D43A7"/>
    <w:rsid w:val="004D43B4"/>
    <w:rsid w:val="004D443C"/>
    <w:rsid w:val="004D444E"/>
    <w:rsid w:val="004D4492"/>
    <w:rsid w:val="004D4499"/>
    <w:rsid w:val="004D44EB"/>
    <w:rsid w:val="004D4528"/>
    <w:rsid w:val="004D464B"/>
    <w:rsid w:val="004D4666"/>
    <w:rsid w:val="004D477D"/>
    <w:rsid w:val="004D47E7"/>
    <w:rsid w:val="004D4808"/>
    <w:rsid w:val="004D4858"/>
    <w:rsid w:val="004D4862"/>
    <w:rsid w:val="004D48F4"/>
    <w:rsid w:val="004D4944"/>
    <w:rsid w:val="004D4977"/>
    <w:rsid w:val="004D4984"/>
    <w:rsid w:val="004D49A6"/>
    <w:rsid w:val="004D4A00"/>
    <w:rsid w:val="004D4A83"/>
    <w:rsid w:val="004D4AE8"/>
    <w:rsid w:val="004D4B41"/>
    <w:rsid w:val="004D4BD5"/>
    <w:rsid w:val="004D4C6A"/>
    <w:rsid w:val="004D4CCE"/>
    <w:rsid w:val="004D4DC0"/>
    <w:rsid w:val="004D4E0B"/>
    <w:rsid w:val="004D521D"/>
    <w:rsid w:val="004D528E"/>
    <w:rsid w:val="004D52FB"/>
    <w:rsid w:val="004D531C"/>
    <w:rsid w:val="004D536F"/>
    <w:rsid w:val="004D53A2"/>
    <w:rsid w:val="004D53DE"/>
    <w:rsid w:val="004D53DF"/>
    <w:rsid w:val="004D53E6"/>
    <w:rsid w:val="004D543A"/>
    <w:rsid w:val="004D5476"/>
    <w:rsid w:val="004D5493"/>
    <w:rsid w:val="004D54C8"/>
    <w:rsid w:val="004D5544"/>
    <w:rsid w:val="004D56AF"/>
    <w:rsid w:val="004D56C1"/>
    <w:rsid w:val="004D5779"/>
    <w:rsid w:val="004D57BC"/>
    <w:rsid w:val="004D58EA"/>
    <w:rsid w:val="004D593C"/>
    <w:rsid w:val="004D5BE4"/>
    <w:rsid w:val="004D5C1D"/>
    <w:rsid w:val="004D5C36"/>
    <w:rsid w:val="004D5CD2"/>
    <w:rsid w:val="004D5D57"/>
    <w:rsid w:val="004D5D5E"/>
    <w:rsid w:val="004D5D81"/>
    <w:rsid w:val="004D5DF0"/>
    <w:rsid w:val="004D5DF1"/>
    <w:rsid w:val="004D5E48"/>
    <w:rsid w:val="004D5E7A"/>
    <w:rsid w:val="004D5EF8"/>
    <w:rsid w:val="004D5F6E"/>
    <w:rsid w:val="004D6073"/>
    <w:rsid w:val="004D6097"/>
    <w:rsid w:val="004D61A4"/>
    <w:rsid w:val="004D61A6"/>
    <w:rsid w:val="004D6202"/>
    <w:rsid w:val="004D623E"/>
    <w:rsid w:val="004D638A"/>
    <w:rsid w:val="004D639A"/>
    <w:rsid w:val="004D6405"/>
    <w:rsid w:val="004D6464"/>
    <w:rsid w:val="004D64D1"/>
    <w:rsid w:val="004D651F"/>
    <w:rsid w:val="004D6530"/>
    <w:rsid w:val="004D653B"/>
    <w:rsid w:val="004D653E"/>
    <w:rsid w:val="004D6588"/>
    <w:rsid w:val="004D6769"/>
    <w:rsid w:val="004D687C"/>
    <w:rsid w:val="004D698C"/>
    <w:rsid w:val="004D6A2C"/>
    <w:rsid w:val="004D6A4F"/>
    <w:rsid w:val="004D6AE1"/>
    <w:rsid w:val="004D6B0B"/>
    <w:rsid w:val="004D6BCF"/>
    <w:rsid w:val="004D6BE9"/>
    <w:rsid w:val="004D6C69"/>
    <w:rsid w:val="004D6D18"/>
    <w:rsid w:val="004D6E10"/>
    <w:rsid w:val="004D6F0E"/>
    <w:rsid w:val="004D6F6A"/>
    <w:rsid w:val="004D6F97"/>
    <w:rsid w:val="004D6FE0"/>
    <w:rsid w:val="004D701B"/>
    <w:rsid w:val="004D70C0"/>
    <w:rsid w:val="004D71EB"/>
    <w:rsid w:val="004D7211"/>
    <w:rsid w:val="004D725D"/>
    <w:rsid w:val="004D726B"/>
    <w:rsid w:val="004D72E9"/>
    <w:rsid w:val="004D7311"/>
    <w:rsid w:val="004D73D7"/>
    <w:rsid w:val="004D742D"/>
    <w:rsid w:val="004D7452"/>
    <w:rsid w:val="004D747F"/>
    <w:rsid w:val="004D752F"/>
    <w:rsid w:val="004D75EC"/>
    <w:rsid w:val="004D7661"/>
    <w:rsid w:val="004D76C7"/>
    <w:rsid w:val="004D774A"/>
    <w:rsid w:val="004D7772"/>
    <w:rsid w:val="004D7914"/>
    <w:rsid w:val="004D7994"/>
    <w:rsid w:val="004D79A6"/>
    <w:rsid w:val="004D79B2"/>
    <w:rsid w:val="004D7AAD"/>
    <w:rsid w:val="004D7AC0"/>
    <w:rsid w:val="004D7B31"/>
    <w:rsid w:val="004D7B4E"/>
    <w:rsid w:val="004D7BEC"/>
    <w:rsid w:val="004D7C55"/>
    <w:rsid w:val="004D7C6C"/>
    <w:rsid w:val="004D7CC2"/>
    <w:rsid w:val="004D7CE1"/>
    <w:rsid w:val="004D7D2B"/>
    <w:rsid w:val="004D7D79"/>
    <w:rsid w:val="004D7D7B"/>
    <w:rsid w:val="004D7DAC"/>
    <w:rsid w:val="004D7FC4"/>
    <w:rsid w:val="004E0001"/>
    <w:rsid w:val="004E009B"/>
    <w:rsid w:val="004E0124"/>
    <w:rsid w:val="004E022B"/>
    <w:rsid w:val="004E022F"/>
    <w:rsid w:val="004E02AE"/>
    <w:rsid w:val="004E03B6"/>
    <w:rsid w:val="004E03E5"/>
    <w:rsid w:val="004E0490"/>
    <w:rsid w:val="004E04E8"/>
    <w:rsid w:val="004E04F1"/>
    <w:rsid w:val="004E0553"/>
    <w:rsid w:val="004E059D"/>
    <w:rsid w:val="004E05E5"/>
    <w:rsid w:val="004E05F0"/>
    <w:rsid w:val="004E065D"/>
    <w:rsid w:val="004E066E"/>
    <w:rsid w:val="004E06DE"/>
    <w:rsid w:val="004E06E9"/>
    <w:rsid w:val="004E071E"/>
    <w:rsid w:val="004E075C"/>
    <w:rsid w:val="004E0861"/>
    <w:rsid w:val="004E0970"/>
    <w:rsid w:val="004E09B7"/>
    <w:rsid w:val="004E0A33"/>
    <w:rsid w:val="004E0A45"/>
    <w:rsid w:val="004E0AE0"/>
    <w:rsid w:val="004E0B73"/>
    <w:rsid w:val="004E0C9A"/>
    <w:rsid w:val="004E0D43"/>
    <w:rsid w:val="004E0DAF"/>
    <w:rsid w:val="004E0DE6"/>
    <w:rsid w:val="004E0E51"/>
    <w:rsid w:val="004E0EE4"/>
    <w:rsid w:val="004E1037"/>
    <w:rsid w:val="004E10FA"/>
    <w:rsid w:val="004E117C"/>
    <w:rsid w:val="004E11A3"/>
    <w:rsid w:val="004E11FE"/>
    <w:rsid w:val="004E1265"/>
    <w:rsid w:val="004E12CE"/>
    <w:rsid w:val="004E146F"/>
    <w:rsid w:val="004E1526"/>
    <w:rsid w:val="004E154C"/>
    <w:rsid w:val="004E1564"/>
    <w:rsid w:val="004E16A3"/>
    <w:rsid w:val="004E16C0"/>
    <w:rsid w:val="004E183C"/>
    <w:rsid w:val="004E1853"/>
    <w:rsid w:val="004E1858"/>
    <w:rsid w:val="004E187B"/>
    <w:rsid w:val="004E19E1"/>
    <w:rsid w:val="004E1A3A"/>
    <w:rsid w:val="004E1A7D"/>
    <w:rsid w:val="004E1AC4"/>
    <w:rsid w:val="004E1AD0"/>
    <w:rsid w:val="004E1ADF"/>
    <w:rsid w:val="004E1AF9"/>
    <w:rsid w:val="004E1B2B"/>
    <w:rsid w:val="004E1B47"/>
    <w:rsid w:val="004E1B49"/>
    <w:rsid w:val="004E1BED"/>
    <w:rsid w:val="004E1C24"/>
    <w:rsid w:val="004E1C57"/>
    <w:rsid w:val="004E1C6E"/>
    <w:rsid w:val="004E1C9B"/>
    <w:rsid w:val="004E1D1B"/>
    <w:rsid w:val="004E1D5A"/>
    <w:rsid w:val="004E1DCA"/>
    <w:rsid w:val="004E1E33"/>
    <w:rsid w:val="004E1F31"/>
    <w:rsid w:val="004E1FAB"/>
    <w:rsid w:val="004E20A6"/>
    <w:rsid w:val="004E20BA"/>
    <w:rsid w:val="004E21C1"/>
    <w:rsid w:val="004E21F5"/>
    <w:rsid w:val="004E2234"/>
    <w:rsid w:val="004E240A"/>
    <w:rsid w:val="004E2414"/>
    <w:rsid w:val="004E2502"/>
    <w:rsid w:val="004E262C"/>
    <w:rsid w:val="004E26B5"/>
    <w:rsid w:val="004E26C2"/>
    <w:rsid w:val="004E26D8"/>
    <w:rsid w:val="004E2705"/>
    <w:rsid w:val="004E2764"/>
    <w:rsid w:val="004E282D"/>
    <w:rsid w:val="004E2855"/>
    <w:rsid w:val="004E2896"/>
    <w:rsid w:val="004E29D5"/>
    <w:rsid w:val="004E29DC"/>
    <w:rsid w:val="004E2A02"/>
    <w:rsid w:val="004E2B31"/>
    <w:rsid w:val="004E2B95"/>
    <w:rsid w:val="004E2BDC"/>
    <w:rsid w:val="004E2BF7"/>
    <w:rsid w:val="004E2CDD"/>
    <w:rsid w:val="004E2D3B"/>
    <w:rsid w:val="004E2D3D"/>
    <w:rsid w:val="004E2D44"/>
    <w:rsid w:val="004E2D4F"/>
    <w:rsid w:val="004E2E32"/>
    <w:rsid w:val="004E2F85"/>
    <w:rsid w:val="004E2FCD"/>
    <w:rsid w:val="004E3029"/>
    <w:rsid w:val="004E31D4"/>
    <w:rsid w:val="004E321E"/>
    <w:rsid w:val="004E3223"/>
    <w:rsid w:val="004E3237"/>
    <w:rsid w:val="004E32B0"/>
    <w:rsid w:val="004E3399"/>
    <w:rsid w:val="004E33D5"/>
    <w:rsid w:val="004E348A"/>
    <w:rsid w:val="004E34A1"/>
    <w:rsid w:val="004E34A2"/>
    <w:rsid w:val="004E34B8"/>
    <w:rsid w:val="004E352A"/>
    <w:rsid w:val="004E3535"/>
    <w:rsid w:val="004E3542"/>
    <w:rsid w:val="004E360E"/>
    <w:rsid w:val="004E3644"/>
    <w:rsid w:val="004E365C"/>
    <w:rsid w:val="004E3662"/>
    <w:rsid w:val="004E368F"/>
    <w:rsid w:val="004E36F8"/>
    <w:rsid w:val="004E374A"/>
    <w:rsid w:val="004E3758"/>
    <w:rsid w:val="004E3770"/>
    <w:rsid w:val="004E37E0"/>
    <w:rsid w:val="004E38BD"/>
    <w:rsid w:val="004E38CE"/>
    <w:rsid w:val="004E3933"/>
    <w:rsid w:val="004E3AC7"/>
    <w:rsid w:val="004E3B40"/>
    <w:rsid w:val="004E3BCF"/>
    <w:rsid w:val="004E3BF3"/>
    <w:rsid w:val="004E3C23"/>
    <w:rsid w:val="004E3CC6"/>
    <w:rsid w:val="004E3CDF"/>
    <w:rsid w:val="004E3D11"/>
    <w:rsid w:val="004E3D94"/>
    <w:rsid w:val="004E3F32"/>
    <w:rsid w:val="004E3FB1"/>
    <w:rsid w:val="004E401A"/>
    <w:rsid w:val="004E40F3"/>
    <w:rsid w:val="004E412A"/>
    <w:rsid w:val="004E4197"/>
    <w:rsid w:val="004E4220"/>
    <w:rsid w:val="004E4265"/>
    <w:rsid w:val="004E42A1"/>
    <w:rsid w:val="004E42B6"/>
    <w:rsid w:val="004E4352"/>
    <w:rsid w:val="004E4413"/>
    <w:rsid w:val="004E4501"/>
    <w:rsid w:val="004E4515"/>
    <w:rsid w:val="004E45B8"/>
    <w:rsid w:val="004E45C4"/>
    <w:rsid w:val="004E465C"/>
    <w:rsid w:val="004E4689"/>
    <w:rsid w:val="004E46B1"/>
    <w:rsid w:val="004E46BB"/>
    <w:rsid w:val="004E4728"/>
    <w:rsid w:val="004E4750"/>
    <w:rsid w:val="004E476C"/>
    <w:rsid w:val="004E47B3"/>
    <w:rsid w:val="004E4833"/>
    <w:rsid w:val="004E48D5"/>
    <w:rsid w:val="004E4983"/>
    <w:rsid w:val="004E49A3"/>
    <w:rsid w:val="004E4AD4"/>
    <w:rsid w:val="004E4C33"/>
    <w:rsid w:val="004E4C38"/>
    <w:rsid w:val="004E4C83"/>
    <w:rsid w:val="004E4CB3"/>
    <w:rsid w:val="004E4CB9"/>
    <w:rsid w:val="004E4CDD"/>
    <w:rsid w:val="004E4DA3"/>
    <w:rsid w:val="004E4DD5"/>
    <w:rsid w:val="004E4ECD"/>
    <w:rsid w:val="004E4ED9"/>
    <w:rsid w:val="004E4EE4"/>
    <w:rsid w:val="004E5026"/>
    <w:rsid w:val="004E508B"/>
    <w:rsid w:val="004E50A9"/>
    <w:rsid w:val="004E50AD"/>
    <w:rsid w:val="004E511A"/>
    <w:rsid w:val="004E5161"/>
    <w:rsid w:val="004E51BE"/>
    <w:rsid w:val="004E5203"/>
    <w:rsid w:val="004E529F"/>
    <w:rsid w:val="004E534D"/>
    <w:rsid w:val="004E535C"/>
    <w:rsid w:val="004E53D2"/>
    <w:rsid w:val="004E53EF"/>
    <w:rsid w:val="004E54B3"/>
    <w:rsid w:val="004E559D"/>
    <w:rsid w:val="004E55A2"/>
    <w:rsid w:val="004E5629"/>
    <w:rsid w:val="004E577E"/>
    <w:rsid w:val="004E581B"/>
    <w:rsid w:val="004E588F"/>
    <w:rsid w:val="004E5924"/>
    <w:rsid w:val="004E593E"/>
    <w:rsid w:val="004E598B"/>
    <w:rsid w:val="004E5A4F"/>
    <w:rsid w:val="004E5A8E"/>
    <w:rsid w:val="004E5AA2"/>
    <w:rsid w:val="004E5B5D"/>
    <w:rsid w:val="004E5BB7"/>
    <w:rsid w:val="004E5BCD"/>
    <w:rsid w:val="004E5C5B"/>
    <w:rsid w:val="004E5CCE"/>
    <w:rsid w:val="004E5D2B"/>
    <w:rsid w:val="004E5E52"/>
    <w:rsid w:val="004E5EB7"/>
    <w:rsid w:val="004E5EF2"/>
    <w:rsid w:val="004E5EFC"/>
    <w:rsid w:val="004E5FBE"/>
    <w:rsid w:val="004E601D"/>
    <w:rsid w:val="004E6038"/>
    <w:rsid w:val="004E604A"/>
    <w:rsid w:val="004E608A"/>
    <w:rsid w:val="004E6110"/>
    <w:rsid w:val="004E6158"/>
    <w:rsid w:val="004E6195"/>
    <w:rsid w:val="004E6199"/>
    <w:rsid w:val="004E61F7"/>
    <w:rsid w:val="004E6321"/>
    <w:rsid w:val="004E6406"/>
    <w:rsid w:val="004E6428"/>
    <w:rsid w:val="004E6554"/>
    <w:rsid w:val="004E6580"/>
    <w:rsid w:val="004E66CE"/>
    <w:rsid w:val="004E671A"/>
    <w:rsid w:val="004E6839"/>
    <w:rsid w:val="004E68F4"/>
    <w:rsid w:val="004E68F8"/>
    <w:rsid w:val="004E691F"/>
    <w:rsid w:val="004E6988"/>
    <w:rsid w:val="004E6994"/>
    <w:rsid w:val="004E69A5"/>
    <w:rsid w:val="004E69B1"/>
    <w:rsid w:val="004E69B4"/>
    <w:rsid w:val="004E6A52"/>
    <w:rsid w:val="004E6AD9"/>
    <w:rsid w:val="004E6AE3"/>
    <w:rsid w:val="004E6B4F"/>
    <w:rsid w:val="004E6B5F"/>
    <w:rsid w:val="004E6B6F"/>
    <w:rsid w:val="004E6BB7"/>
    <w:rsid w:val="004E6C46"/>
    <w:rsid w:val="004E6D05"/>
    <w:rsid w:val="004E6DB2"/>
    <w:rsid w:val="004E6DBA"/>
    <w:rsid w:val="004E6F6D"/>
    <w:rsid w:val="004E6F89"/>
    <w:rsid w:val="004E6FAD"/>
    <w:rsid w:val="004E6FC0"/>
    <w:rsid w:val="004E707B"/>
    <w:rsid w:val="004E70B5"/>
    <w:rsid w:val="004E715A"/>
    <w:rsid w:val="004E7171"/>
    <w:rsid w:val="004E7188"/>
    <w:rsid w:val="004E72C9"/>
    <w:rsid w:val="004E7309"/>
    <w:rsid w:val="004E731C"/>
    <w:rsid w:val="004E7409"/>
    <w:rsid w:val="004E7494"/>
    <w:rsid w:val="004E74DF"/>
    <w:rsid w:val="004E75C5"/>
    <w:rsid w:val="004E76D8"/>
    <w:rsid w:val="004E775E"/>
    <w:rsid w:val="004E77A5"/>
    <w:rsid w:val="004E7831"/>
    <w:rsid w:val="004E793D"/>
    <w:rsid w:val="004E7986"/>
    <w:rsid w:val="004E7A09"/>
    <w:rsid w:val="004E7A32"/>
    <w:rsid w:val="004E7A53"/>
    <w:rsid w:val="004E7A5E"/>
    <w:rsid w:val="004E7A98"/>
    <w:rsid w:val="004E7ACF"/>
    <w:rsid w:val="004E7B47"/>
    <w:rsid w:val="004E7B74"/>
    <w:rsid w:val="004E7C13"/>
    <w:rsid w:val="004E7CFC"/>
    <w:rsid w:val="004E7D0E"/>
    <w:rsid w:val="004E7E39"/>
    <w:rsid w:val="004E7E5C"/>
    <w:rsid w:val="004E7EDE"/>
    <w:rsid w:val="004E7F13"/>
    <w:rsid w:val="004E7F63"/>
    <w:rsid w:val="004E7FAC"/>
    <w:rsid w:val="004F0020"/>
    <w:rsid w:val="004F008E"/>
    <w:rsid w:val="004F0092"/>
    <w:rsid w:val="004F00B5"/>
    <w:rsid w:val="004F00D2"/>
    <w:rsid w:val="004F0155"/>
    <w:rsid w:val="004F018E"/>
    <w:rsid w:val="004F01F3"/>
    <w:rsid w:val="004F02BD"/>
    <w:rsid w:val="004F042A"/>
    <w:rsid w:val="004F0463"/>
    <w:rsid w:val="004F04AF"/>
    <w:rsid w:val="004F04E4"/>
    <w:rsid w:val="004F0512"/>
    <w:rsid w:val="004F0556"/>
    <w:rsid w:val="004F0651"/>
    <w:rsid w:val="004F0695"/>
    <w:rsid w:val="004F07D0"/>
    <w:rsid w:val="004F07F5"/>
    <w:rsid w:val="004F0AEA"/>
    <w:rsid w:val="004F0B8A"/>
    <w:rsid w:val="004F0BDC"/>
    <w:rsid w:val="004F0BF6"/>
    <w:rsid w:val="004F0C56"/>
    <w:rsid w:val="004F0CEB"/>
    <w:rsid w:val="004F0CF5"/>
    <w:rsid w:val="004F0D9D"/>
    <w:rsid w:val="004F0E44"/>
    <w:rsid w:val="004F0EBD"/>
    <w:rsid w:val="004F0F76"/>
    <w:rsid w:val="004F0F96"/>
    <w:rsid w:val="004F0FEB"/>
    <w:rsid w:val="004F1082"/>
    <w:rsid w:val="004F110E"/>
    <w:rsid w:val="004F1110"/>
    <w:rsid w:val="004F1144"/>
    <w:rsid w:val="004F1224"/>
    <w:rsid w:val="004F123E"/>
    <w:rsid w:val="004F1287"/>
    <w:rsid w:val="004F12FA"/>
    <w:rsid w:val="004F1359"/>
    <w:rsid w:val="004F1390"/>
    <w:rsid w:val="004F1563"/>
    <w:rsid w:val="004F1660"/>
    <w:rsid w:val="004F16B3"/>
    <w:rsid w:val="004F172C"/>
    <w:rsid w:val="004F1739"/>
    <w:rsid w:val="004F1779"/>
    <w:rsid w:val="004F1792"/>
    <w:rsid w:val="004F18B1"/>
    <w:rsid w:val="004F18BA"/>
    <w:rsid w:val="004F19C7"/>
    <w:rsid w:val="004F19CC"/>
    <w:rsid w:val="004F19D6"/>
    <w:rsid w:val="004F1A71"/>
    <w:rsid w:val="004F1B1E"/>
    <w:rsid w:val="004F1B20"/>
    <w:rsid w:val="004F1B4E"/>
    <w:rsid w:val="004F1B8C"/>
    <w:rsid w:val="004F1C06"/>
    <w:rsid w:val="004F1C34"/>
    <w:rsid w:val="004F1CCF"/>
    <w:rsid w:val="004F1CF3"/>
    <w:rsid w:val="004F1D3C"/>
    <w:rsid w:val="004F1D8E"/>
    <w:rsid w:val="004F1EA9"/>
    <w:rsid w:val="004F1F83"/>
    <w:rsid w:val="004F1FB2"/>
    <w:rsid w:val="004F20B1"/>
    <w:rsid w:val="004F20D3"/>
    <w:rsid w:val="004F20FB"/>
    <w:rsid w:val="004F224C"/>
    <w:rsid w:val="004F22C7"/>
    <w:rsid w:val="004F22E6"/>
    <w:rsid w:val="004F2353"/>
    <w:rsid w:val="004F238A"/>
    <w:rsid w:val="004F23AD"/>
    <w:rsid w:val="004F23BC"/>
    <w:rsid w:val="004F23C5"/>
    <w:rsid w:val="004F2441"/>
    <w:rsid w:val="004F2476"/>
    <w:rsid w:val="004F252E"/>
    <w:rsid w:val="004F2570"/>
    <w:rsid w:val="004F2590"/>
    <w:rsid w:val="004F2611"/>
    <w:rsid w:val="004F2621"/>
    <w:rsid w:val="004F27B1"/>
    <w:rsid w:val="004F2803"/>
    <w:rsid w:val="004F2885"/>
    <w:rsid w:val="004F2973"/>
    <w:rsid w:val="004F29AB"/>
    <w:rsid w:val="004F29B0"/>
    <w:rsid w:val="004F29EC"/>
    <w:rsid w:val="004F2A06"/>
    <w:rsid w:val="004F2A39"/>
    <w:rsid w:val="004F2A94"/>
    <w:rsid w:val="004F2B69"/>
    <w:rsid w:val="004F2BA4"/>
    <w:rsid w:val="004F2C3F"/>
    <w:rsid w:val="004F2C40"/>
    <w:rsid w:val="004F2C50"/>
    <w:rsid w:val="004F2C75"/>
    <w:rsid w:val="004F2CE6"/>
    <w:rsid w:val="004F2F39"/>
    <w:rsid w:val="004F3043"/>
    <w:rsid w:val="004F3062"/>
    <w:rsid w:val="004F3073"/>
    <w:rsid w:val="004F3150"/>
    <w:rsid w:val="004F31D8"/>
    <w:rsid w:val="004F3232"/>
    <w:rsid w:val="004F3233"/>
    <w:rsid w:val="004F3241"/>
    <w:rsid w:val="004F32D0"/>
    <w:rsid w:val="004F32FB"/>
    <w:rsid w:val="004F334A"/>
    <w:rsid w:val="004F3437"/>
    <w:rsid w:val="004F34D4"/>
    <w:rsid w:val="004F34DB"/>
    <w:rsid w:val="004F3558"/>
    <w:rsid w:val="004F3570"/>
    <w:rsid w:val="004F357B"/>
    <w:rsid w:val="004F35BC"/>
    <w:rsid w:val="004F35C3"/>
    <w:rsid w:val="004F3646"/>
    <w:rsid w:val="004F365F"/>
    <w:rsid w:val="004F3682"/>
    <w:rsid w:val="004F36C6"/>
    <w:rsid w:val="004F375E"/>
    <w:rsid w:val="004F37E5"/>
    <w:rsid w:val="004F385E"/>
    <w:rsid w:val="004F3886"/>
    <w:rsid w:val="004F38A0"/>
    <w:rsid w:val="004F38C9"/>
    <w:rsid w:val="004F38E8"/>
    <w:rsid w:val="004F390D"/>
    <w:rsid w:val="004F39C2"/>
    <w:rsid w:val="004F39DC"/>
    <w:rsid w:val="004F3A7C"/>
    <w:rsid w:val="004F3ABC"/>
    <w:rsid w:val="004F3B29"/>
    <w:rsid w:val="004F3B5E"/>
    <w:rsid w:val="004F3BBB"/>
    <w:rsid w:val="004F3BC0"/>
    <w:rsid w:val="004F3BEA"/>
    <w:rsid w:val="004F3C99"/>
    <w:rsid w:val="004F3C9E"/>
    <w:rsid w:val="004F3CF4"/>
    <w:rsid w:val="004F3E7D"/>
    <w:rsid w:val="004F3EDB"/>
    <w:rsid w:val="004F4117"/>
    <w:rsid w:val="004F4173"/>
    <w:rsid w:val="004F4189"/>
    <w:rsid w:val="004F422B"/>
    <w:rsid w:val="004F4230"/>
    <w:rsid w:val="004F4251"/>
    <w:rsid w:val="004F42C3"/>
    <w:rsid w:val="004F42D9"/>
    <w:rsid w:val="004F42DF"/>
    <w:rsid w:val="004F4412"/>
    <w:rsid w:val="004F4417"/>
    <w:rsid w:val="004F446A"/>
    <w:rsid w:val="004F4473"/>
    <w:rsid w:val="004F4477"/>
    <w:rsid w:val="004F4536"/>
    <w:rsid w:val="004F457C"/>
    <w:rsid w:val="004F4649"/>
    <w:rsid w:val="004F4687"/>
    <w:rsid w:val="004F46B5"/>
    <w:rsid w:val="004F46CB"/>
    <w:rsid w:val="004F46E7"/>
    <w:rsid w:val="004F46F7"/>
    <w:rsid w:val="004F471B"/>
    <w:rsid w:val="004F479D"/>
    <w:rsid w:val="004F47A0"/>
    <w:rsid w:val="004F47D8"/>
    <w:rsid w:val="004F486C"/>
    <w:rsid w:val="004F491B"/>
    <w:rsid w:val="004F4956"/>
    <w:rsid w:val="004F4A01"/>
    <w:rsid w:val="004F4A0D"/>
    <w:rsid w:val="004F4A93"/>
    <w:rsid w:val="004F4B84"/>
    <w:rsid w:val="004F4BB6"/>
    <w:rsid w:val="004F4C3D"/>
    <w:rsid w:val="004F4C4A"/>
    <w:rsid w:val="004F4C97"/>
    <w:rsid w:val="004F4CB4"/>
    <w:rsid w:val="004F4D24"/>
    <w:rsid w:val="004F4D51"/>
    <w:rsid w:val="004F4D56"/>
    <w:rsid w:val="004F4D94"/>
    <w:rsid w:val="004F4DD6"/>
    <w:rsid w:val="004F4DDC"/>
    <w:rsid w:val="004F4F83"/>
    <w:rsid w:val="004F4FC5"/>
    <w:rsid w:val="004F5052"/>
    <w:rsid w:val="004F50A0"/>
    <w:rsid w:val="004F5120"/>
    <w:rsid w:val="004F523D"/>
    <w:rsid w:val="004F5262"/>
    <w:rsid w:val="004F52AE"/>
    <w:rsid w:val="004F52E0"/>
    <w:rsid w:val="004F52EA"/>
    <w:rsid w:val="004F5349"/>
    <w:rsid w:val="004F5437"/>
    <w:rsid w:val="004F5475"/>
    <w:rsid w:val="004F547E"/>
    <w:rsid w:val="004F54FB"/>
    <w:rsid w:val="004F5511"/>
    <w:rsid w:val="004F55B8"/>
    <w:rsid w:val="004F55C0"/>
    <w:rsid w:val="004F55C3"/>
    <w:rsid w:val="004F55EC"/>
    <w:rsid w:val="004F5603"/>
    <w:rsid w:val="004F565B"/>
    <w:rsid w:val="004F57CD"/>
    <w:rsid w:val="004F5859"/>
    <w:rsid w:val="004F58A3"/>
    <w:rsid w:val="004F598D"/>
    <w:rsid w:val="004F5993"/>
    <w:rsid w:val="004F5A06"/>
    <w:rsid w:val="004F5AAE"/>
    <w:rsid w:val="004F5B01"/>
    <w:rsid w:val="004F5CA6"/>
    <w:rsid w:val="004F5CB9"/>
    <w:rsid w:val="004F5CBF"/>
    <w:rsid w:val="004F5D36"/>
    <w:rsid w:val="004F5D4F"/>
    <w:rsid w:val="004F5DD9"/>
    <w:rsid w:val="004F5DE8"/>
    <w:rsid w:val="004F5E38"/>
    <w:rsid w:val="004F5E9B"/>
    <w:rsid w:val="004F5EFE"/>
    <w:rsid w:val="004F5F78"/>
    <w:rsid w:val="004F5FD7"/>
    <w:rsid w:val="004F6119"/>
    <w:rsid w:val="004F6193"/>
    <w:rsid w:val="004F621C"/>
    <w:rsid w:val="004F62FF"/>
    <w:rsid w:val="004F646B"/>
    <w:rsid w:val="004F6489"/>
    <w:rsid w:val="004F649C"/>
    <w:rsid w:val="004F64FC"/>
    <w:rsid w:val="004F650E"/>
    <w:rsid w:val="004F6591"/>
    <w:rsid w:val="004F65CF"/>
    <w:rsid w:val="004F65E9"/>
    <w:rsid w:val="004F65F6"/>
    <w:rsid w:val="004F66A4"/>
    <w:rsid w:val="004F66D3"/>
    <w:rsid w:val="004F66F0"/>
    <w:rsid w:val="004F66F6"/>
    <w:rsid w:val="004F67F5"/>
    <w:rsid w:val="004F67F6"/>
    <w:rsid w:val="004F685E"/>
    <w:rsid w:val="004F6953"/>
    <w:rsid w:val="004F696B"/>
    <w:rsid w:val="004F69D5"/>
    <w:rsid w:val="004F6A04"/>
    <w:rsid w:val="004F6A88"/>
    <w:rsid w:val="004F6ADF"/>
    <w:rsid w:val="004F6B51"/>
    <w:rsid w:val="004F6BA5"/>
    <w:rsid w:val="004F6BD5"/>
    <w:rsid w:val="004F6BFE"/>
    <w:rsid w:val="004F6D40"/>
    <w:rsid w:val="004F6D98"/>
    <w:rsid w:val="004F6E25"/>
    <w:rsid w:val="004F6E37"/>
    <w:rsid w:val="004F6E7C"/>
    <w:rsid w:val="004F6E7F"/>
    <w:rsid w:val="004F6F4E"/>
    <w:rsid w:val="004F702A"/>
    <w:rsid w:val="004F70D0"/>
    <w:rsid w:val="004F70F2"/>
    <w:rsid w:val="004F714B"/>
    <w:rsid w:val="004F723B"/>
    <w:rsid w:val="004F727C"/>
    <w:rsid w:val="004F74A8"/>
    <w:rsid w:val="004F7537"/>
    <w:rsid w:val="004F7579"/>
    <w:rsid w:val="004F7615"/>
    <w:rsid w:val="004F76E4"/>
    <w:rsid w:val="004F7734"/>
    <w:rsid w:val="004F7832"/>
    <w:rsid w:val="004F785E"/>
    <w:rsid w:val="004F7867"/>
    <w:rsid w:val="004F7914"/>
    <w:rsid w:val="004F7924"/>
    <w:rsid w:val="004F7955"/>
    <w:rsid w:val="004F7A12"/>
    <w:rsid w:val="004F7A55"/>
    <w:rsid w:val="004F7ACD"/>
    <w:rsid w:val="004F7B50"/>
    <w:rsid w:val="004F7C5D"/>
    <w:rsid w:val="004F7CE9"/>
    <w:rsid w:val="004F7D86"/>
    <w:rsid w:val="004F7E01"/>
    <w:rsid w:val="004F7EC8"/>
    <w:rsid w:val="004F7EDB"/>
    <w:rsid w:val="004F7F01"/>
    <w:rsid w:val="004F7F53"/>
    <w:rsid w:val="004F7FBE"/>
    <w:rsid w:val="005000C1"/>
    <w:rsid w:val="0050010C"/>
    <w:rsid w:val="0050012F"/>
    <w:rsid w:val="005001B1"/>
    <w:rsid w:val="00500271"/>
    <w:rsid w:val="005003E1"/>
    <w:rsid w:val="005003E2"/>
    <w:rsid w:val="0050045F"/>
    <w:rsid w:val="0050047B"/>
    <w:rsid w:val="005004D3"/>
    <w:rsid w:val="0050050F"/>
    <w:rsid w:val="00500575"/>
    <w:rsid w:val="005005A8"/>
    <w:rsid w:val="0050060D"/>
    <w:rsid w:val="005006F2"/>
    <w:rsid w:val="00500710"/>
    <w:rsid w:val="00500712"/>
    <w:rsid w:val="00500763"/>
    <w:rsid w:val="00500895"/>
    <w:rsid w:val="00500981"/>
    <w:rsid w:val="00500A15"/>
    <w:rsid w:val="00500A19"/>
    <w:rsid w:val="00500B47"/>
    <w:rsid w:val="00500B8E"/>
    <w:rsid w:val="00500BF3"/>
    <w:rsid w:val="00500C38"/>
    <w:rsid w:val="00500D06"/>
    <w:rsid w:val="00500D32"/>
    <w:rsid w:val="00500D48"/>
    <w:rsid w:val="00500D8A"/>
    <w:rsid w:val="00500DC3"/>
    <w:rsid w:val="00500E2F"/>
    <w:rsid w:val="00500E9D"/>
    <w:rsid w:val="00500EE6"/>
    <w:rsid w:val="00500EF4"/>
    <w:rsid w:val="00500F45"/>
    <w:rsid w:val="00500F76"/>
    <w:rsid w:val="00500FBE"/>
    <w:rsid w:val="005010FE"/>
    <w:rsid w:val="00501123"/>
    <w:rsid w:val="00501170"/>
    <w:rsid w:val="005011D1"/>
    <w:rsid w:val="00501223"/>
    <w:rsid w:val="00501233"/>
    <w:rsid w:val="0050127F"/>
    <w:rsid w:val="00501294"/>
    <w:rsid w:val="005012BA"/>
    <w:rsid w:val="005012DB"/>
    <w:rsid w:val="00501372"/>
    <w:rsid w:val="00501450"/>
    <w:rsid w:val="00501501"/>
    <w:rsid w:val="0050156F"/>
    <w:rsid w:val="005015CE"/>
    <w:rsid w:val="00501681"/>
    <w:rsid w:val="005016E0"/>
    <w:rsid w:val="005016EB"/>
    <w:rsid w:val="005016FF"/>
    <w:rsid w:val="00501702"/>
    <w:rsid w:val="00501846"/>
    <w:rsid w:val="00501920"/>
    <w:rsid w:val="00501AD7"/>
    <w:rsid w:val="00501CAC"/>
    <w:rsid w:val="00501D1F"/>
    <w:rsid w:val="00501D78"/>
    <w:rsid w:val="00501E01"/>
    <w:rsid w:val="00501E7C"/>
    <w:rsid w:val="00501EA8"/>
    <w:rsid w:val="00501F07"/>
    <w:rsid w:val="00501F0A"/>
    <w:rsid w:val="00501F27"/>
    <w:rsid w:val="00501F33"/>
    <w:rsid w:val="00501F7B"/>
    <w:rsid w:val="00501FAD"/>
    <w:rsid w:val="00501FDF"/>
    <w:rsid w:val="00502003"/>
    <w:rsid w:val="00502049"/>
    <w:rsid w:val="0050205C"/>
    <w:rsid w:val="0050205D"/>
    <w:rsid w:val="00502154"/>
    <w:rsid w:val="00502176"/>
    <w:rsid w:val="005022A3"/>
    <w:rsid w:val="005022D6"/>
    <w:rsid w:val="005022EC"/>
    <w:rsid w:val="00502327"/>
    <w:rsid w:val="00502382"/>
    <w:rsid w:val="005023AB"/>
    <w:rsid w:val="005023D8"/>
    <w:rsid w:val="0050249C"/>
    <w:rsid w:val="00502545"/>
    <w:rsid w:val="00502563"/>
    <w:rsid w:val="0050258A"/>
    <w:rsid w:val="0050258E"/>
    <w:rsid w:val="00502617"/>
    <w:rsid w:val="005026A1"/>
    <w:rsid w:val="0050273E"/>
    <w:rsid w:val="005027C3"/>
    <w:rsid w:val="005027E0"/>
    <w:rsid w:val="00502809"/>
    <w:rsid w:val="00502835"/>
    <w:rsid w:val="005028E2"/>
    <w:rsid w:val="00502953"/>
    <w:rsid w:val="00502A6F"/>
    <w:rsid w:val="00502AB6"/>
    <w:rsid w:val="00502AFF"/>
    <w:rsid w:val="00502B33"/>
    <w:rsid w:val="00502B69"/>
    <w:rsid w:val="00502B97"/>
    <w:rsid w:val="00502BA0"/>
    <w:rsid w:val="00502BEE"/>
    <w:rsid w:val="00502CAF"/>
    <w:rsid w:val="00502CBD"/>
    <w:rsid w:val="00502D42"/>
    <w:rsid w:val="00502E45"/>
    <w:rsid w:val="00502E7A"/>
    <w:rsid w:val="00502EC2"/>
    <w:rsid w:val="00502F13"/>
    <w:rsid w:val="00502F43"/>
    <w:rsid w:val="00502FA2"/>
    <w:rsid w:val="00503014"/>
    <w:rsid w:val="0050301A"/>
    <w:rsid w:val="0050303C"/>
    <w:rsid w:val="005030A1"/>
    <w:rsid w:val="0050313E"/>
    <w:rsid w:val="0050320A"/>
    <w:rsid w:val="0050329A"/>
    <w:rsid w:val="005032E4"/>
    <w:rsid w:val="00503320"/>
    <w:rsid w:val="0050346F"/>
    <w:rsid w:val="00503481"/>
    <w:rsid w:val="005034E4"/>
    <w:rsid w:val="005035F1"/>
    <w:rsid w:val="0050364C"/>
    <w:rsid w:val="00503755"/>
    <w:rsid w:val="00503774"/>
    <w:rsid w:val="0050379C"/>
    <w:rsid w:val="005037CE"/>
    <w:rsid w:val="00503834"/>
    <w:rsid w:val="0050383E"/>
    <w:rsid w:val="00503866"/>
    <w:rsid w:val="00503909"/>
    <w:rsid w:val="0050392B"/>
    <w:rsid w:val="00503B20"/>
    <w:rsid w:val="00503BB3"/>
    <w:rsid w:val="00503BEA"/>
    <w:rsid w:val="00503BFE"/>
    <w:rsid w:val="00503C9E"/>
    <w:rsid w:val="00503CDE"/>
    <w:rsid w:val="00503CFE"/>
    <w:rsid w:val="00503D25"/>
    <w:rsid w:val="00503D2A"/>
    <w:rsid w:val="00503D4B"/>
    <w:rsid w:val="00503D56"/>
    <w:rsid w:val="00503E00"/>
    <w:rsid w:val="00503E1F"/>
    <w:rsid w:val="00503E64"/>
    <w:rsid w:val="00503EEE"/>
    <w:rsid w:val="00503F72"/>
    <w:rsid w:val="00503F7E"/>
    <w:rsid w:val="00503F97"/>
    <w:rsid w:val="00503FF1"/>
    <w:rsid w:val="00504031"/>
    <w:rsid w:val="0050406B"/>
    <w:rsid w:val="005042C5"/>
    <w:rsid w:val="00504320"/>
    <w:rsid w:val="00504391"/>
    <w:rsid w:val="005043D1"/>
    <w:rsid w:val="005043EE"/>
    <w:rsid w:val="005043F8"/>
    <w:rsid w:val="00504406"/>
    <w:rsid w:val="005044A8"/>
    <w:rsid w:val="005044B7"/>
    <w:rsid w:val="00504611"/>
    <w:rsid w:val="00504673"/>
    <w:rsid w:val="00504731"/>
    <w:rsid w:val="005047AC"/>
    <w:rsid w:val="005048E9"/>
    <w:rsid w:val="0050499D"/>
    <w:rsid w:val="00504A6E"/>
    <w:rsid w:val="00504A82"/>
    <w:rsid w:val="00504B2C"/>
    <w:rsid w:val="00504B35"/>
    <w:rsid w:val="00504B46"/>
    <w:rsid w:val="00504BC1"/>
    <w:rsid w:val="00504BF5"/>
    <w:rsid w:val="00504C27"/>
    <w:rsid w:val="00504E1D"/>
    <w:rsid w:val="00504EBD"/>
    <w:rsid w:val="00504F54"/>
    <w:rsid w:val="00505045"/>
    <w:rsid w:val="00505094"/>
    <w:rsid w:val="0050518D"/>
    <w:rsid w:val="005051B9"/>
    <w:rsid w:val="005051D9"/>
    <w:rsid w:val="00505203"/>
    <w:rsid w:val="005052CB"/>
    <w:rsid w:val="00505318"/>
    <w:rsid w:val="0050536A"/>
    <w:rsid w:val="005053F5"/>
    <w:rsid w:val="00505429"/>
    <w:rsid w:val="00505606"/>
    <w:rsid w:val="00505612"/>
    <w:rsid w:val="0050567D"/>
    <w:rsid w:val="00505699"/>
    <w:rsid w:val="005056DF"/>
    <w:rsid w:val="0050573D"/>
    <w:rsid w:val="0050574D"/>
    <w:rsid w:val="005057AF"/>
    <w:rsid w:val="005058EF"/>
    <w:rsid w:val="005058F9"/>
    <w:rsid w:val="00505A37"/>
    <w:rsid w:val="00505B0C"/>
    <w:rsid w:val="00505B40"/>
    <w:rsid w:val="00505B80"/>
    <w:rsid w:val="00505BD0"/>
    <w:rsid w:val="00505C94"/>
    <w:rsid w:val="00505D99"/>
    <w:rsid w:val="00505E7F"/>
    <w:rsid w:val="00505E99"/>
    <w:rsid w:val="00505EBB"/>
    <w:rsid w:val="00505EF0"/>
    <w:rsid w:val="00505F1E"/>
    <w:rsid w:val="00505F29"/>
    <w:rsid w:val="00505F79"/>
    <w:rsid w:val="00505FC2"/>
    <w:rsid w:val="00506011"/>
    <w:rsid w:val="0050604C"/>
    <w:rsid w:val="0050610F"/>
    <w:rsid w:val="005061E5"/>
    <w:rsid w:val="00506201"/>
    <w:rsid w:val="00506225"/>
    <w:rsid w:val="005062A9"/>
    <w:rsid w:val="00506312"/>
    <w:rsid w:val="0050632C"/>
    <w:rsid w:val="0050636F"/>
    <w:rsid w:val="005063DB"/>
    <w:rsid w:val="00506411"/>
    <w:rsid w:val="00506465"/>
    <w:rsid w:val="005064AE"/>
    <w:rsid w:val="005064CA"/>
    <w:rsid w:val="00506563"/>
    <w:rsid w:val="005065BE"/>
    <w:rsid w:val="005065CA"/>
    <w:rsid w:val="005067B5"/>
    <w:rsid w:val="005067F3"/>
    <w:rsid w:val="0050682E"/>
    <w:rsid w:val="00506948"/>
    <w:rsid w:val="005069FD"/>
    <w:rsid w:val="00506A11"/>
    <w:rsid w:val="00506A26"/>
    <w:rsid w:val="00506A3E"/>
    <w:rsid w:val="00506AA5"/>
    <w:rsid w:val="00506AD6"/>
    <w:rsid w:val="00506C86"/>
    <w:rsid w:val="00506CF9"/>
    <w:rsid w:val="00506D3D"/>
    <w:rsid w:val="00506D46"/>
    <w:rsid w:val="00506D8A"/>
    <w:rsid w:val="00506DD3"/>
    <w:rsid w:val="00506EFD"/>
    <w:rsid w:val="00506F4C"/>
    <w:rsid w:val="005070B7"/>
    <w:rsid w:val="005070EC"/>
    <w:rsid w:val="0050718D"/>
    <w:rsid w:val="00507203"/>
    <w:rsid w:val="0050721B"/>
    <w:rsid w:val="00507268"/>
    <w:rsid w:val="00507277"/>
    <w:rsid w:val="005072D2"/>
    <w:rsid w:val="005072F1"/>
    <w:rsid w:val="005073B8"/>
    <w:rsid w:val="0050742F"/>
    <w:rsid w:val="005074BD"/>
    <w:rsid w:val="005074D9"/>
    <w:rsid w:val="0050762B"/>
    <w:rsid w:val="00507670"/>
    <w:rsid w:val="00507687"/>
    <w:rsid w:val="0050768C"/>
    <w:rsid w:val="005076FD"/>
    <w:rsid w:val="005077CF"/>
    <w:rsid w:val="005077D4"/>
    <w:rsid w:val="00507870"/>
    <w:rsid w:val="0050790E"/>
    <w:rsid w:val="00507A57"/>
    <w:rsid w:val="00507A94"/>
    <w:rsid w:val="00507AA1"/>
    <w:rsid w:val="00507B24"/>
    <w:rsid w:val="00507B54"/>
    <w:rsid w:val="00507BA7"/>
    <w:rsid w:val="00507BD6"/>
    <w:rsid w:val="00507C52"/>
    <w:rsid w:val="00507CB3"/>
    <w:rsid w:val="00507D47"/>
    <w:rsid w:val="00507D7C"/>
    <w:rsid w:val="00507E31"/>
    <w:rsid w:val="00507EDB"/>
    <w:rsid w:val="00507F37"/>
    <w:rsid w:val="00507F70"/>
    <w:rsid w:val="00507F71"/>
    <w:rsid w:val="00507F86"/>
    <w:rsid w:val="00507F8C"/>
    <w:rsid w:val="00507FC4"/>
    <w:rsid w:val="00510059"/>
    <w:rsid w:val="00510095"/>
    <w:rsid w:val="005100FC"/>
    <w:rsid w:val="0051013C"/>
    <w:rsid w:val="0051036F"/>
    <w:rsid w:val="005103A3"/>
    <w:rsid w:val="005103BC"/>
    <w:rsid w:val="00510514"/>
    <w:rsid w:val="00510597"/>
    <w:rsid w:val="005105E0"/>
    <w:rsid w:val="005106F2"/>
    <w:rsid w:val="0051070D"/>
    <w:rsid w:val="005107A2"/>
    <w:rsid w:val="00510857"/>
    <w:rsid w:val="00510878"/>
    <w:rsid w:val="005108C6"/>
    <w:rsid w:val="00510935"/>
    <w:rsid w:val="005109D0"/>
    <w:rsid w:val="00510A12"/>
    <w:rsid w:val="00510AF9"/>
    <w:rsid w:val="00510B4F"/>
    <w:rsid w:val="00510B8B"/>
    <w:rsid w:val="00510BF5"/>
    <w:rsid w:val="00510C52"/>
    <w:rsid w:val="00510C79"/>
    <w:rsid w:val="00510C86"/>
    <w:rsid w:val="00510CEA"/>
    <w:rsid w:val="00510D1B"/>
    <w:rsid w:val="00510D72"/>
    <w:rsid w:val="00510E31"/>
    <w:rsid w:val="00510FFE"/>
    <w:rsid w:val="00511023"/>
    <w:rsid w:val="0051110D"/>
    <w:rsid w:val="00511126"/>
    <w:rsid w:val="00511233"/>
    <w:rsid w:val="00511295"/>
    <w:rsid w:val="005112A7"/>
    <w:rsid w:val="005112BE"/>
    <w:rsid w:val="005112DA"/>
    <w:rsid w:val="00511456"/>
    <w:rsid w:val="00511560"/>
    <w:rsid w:val="0051163B"/>
    <w:rsid w:val="00511656"/>
    <w:rsid w:val="00511675"/>
    <w:rsid w:val="0051169B"/>
    <w:rsid w:val="005116F7"/>
    <w:rsid w:val="0051173B"/>
    <w:rsid w:val="005117C9"/>
    <w:rsid w:val="005117E2"/>
    <w:rsid w:val="00511806"/>
    <w:rsid w:val="0051195D"/>
    <w:rsid w:val="0051199C"/>
    <w:rsid w:val="005119C5"/>
    <w:rsid w:val="00511A18"/>
    <w:rsid w:val="00511A46"/>
    <w:rsid w:val="00511AFB"/>
    <w:rsid w:val="00511B2F"/>
    <w:rsid w:val="00511BA7"/>
    <w:rsid w:val="00511C09"/>
    <w:rsid w:val="00511C70"/>
    <w:rsid w:val="00511CCD"/>
    <w:rsid w:val="00511D02"/>
    <w:rsid w:val="00511D04"/>
    <w:rsid w:val="00511D3B"/>
    <w:rsid w:val="00511D3C"/>
    <w:rsid w:val="00511E32"/>
    <w:rsid w:val="00511F01"/>
    <w:rsid w:val="00511F7B"/>
    <w:rsid w:val="00511FD1"/>
    <w:rsid w:val="00511FE5"/>
    <w:rsid w:val="00512099"/>
    <w:rsid w:val="00512173"/>
    <w:rsid w:val="0051226F"/>
    <w:rsid w:val="00512270"/>
    <w:rsid w:val="00512289"/>
    <w:rsid w:val="0051229D"/>
    <w:rsid w:val="005122CD"/>
    <w:rsid w:val="00512313"/>
    <w:rsid w:val="0051235F"/>
    <w:rsid w:val="005123A6"/>
    <w:rsid w:val="005123CC"/>
    <w:rsid w:val="0051244E"/>
    <w:rsid w:val="0051246C"/>
    <w:rsid w:val="0051252D"/>
    <w:rsid w:val="00512561"/>
    <w:rsid w:val="00512608"/>
    <w:rsid w:val="00512665"/>
    <w:rsid w:val="005126F4"/>
    <w:rsid w:val="0051277F"/>
    <w:rsid w:val="0051283E"/>
    <w:rsid w:val="0051286C"/>
    <w:rsid w:val="0051293C"/>
    <w:rsid w:val="00512973"/>
    <w:rsid w:val="005129F2"/>
    <w:rsid w:val="00512A0D"/>
    <w:rsid w:val="00512A4C"/>
    <w:rsid w:val="00512A9E"/>
    <w:rsid w:val="00512AA3"/>
    <w:rsid w:val="00512B37"/>
    <w:rsid w:val="00512B87"/>
    <w:rsid w:val="00512C17"/>
    <w:rsid w:val="00512C25"/>
    <w:rsid w:val="00512C3D"/>
    <w:rsid w:val="00512C47"/>
    <w:rsid w:val="00512C81"/>
    <w:rsid w:val="00512C8B"/>
    <w:rsid w:val="00512CB7"/>
    <w:rsid w:val="00512CCF"/>
    <w:rsid w:val="00512D0C"/>
    <w:rsid w:val="00512D1B"/>
    <w:rsid w:val="00512D34"/>
    <w:rsid w:val="00512D79"/>
    <w:rsid w:val="00512E41"/>
    <w:rsid w:val="00512EA6"/>
    <w:rsid w:val="00512FAE"/>
    <w:rsid w:val="00512FB7"/>
    <w:rsid w:val="005130A4"/>
    <w:rsid w:val="005130CC"/>
    <w:rsid w:val="005130F1"/>
    <w:rsid w:val="00513100"/>
    <w:rsid w:val="00513198"/>
    <w:rsid w:val="005132B8"/>
    <w:rsid w:val="005133AC"/>
    <w:rsid w:val="00513481"/>
    <w:rsid w:val="00513487"/>
    <w:rsid w:val="0051351D"/>
    <w:rsid w:val="00513591"/>
    <w:rsid w:val="00513604"/>
    <w:rsid w:val="005136CA"/>
    <w:rsid w:val="0051371D"/>
    <w:rsid w:val="00513779"/>
    <w:rsid w:val="00513788"/>
    <w:rsid w:val="0051379B"/>
    <w:rsid w:val="005137AD"/>
    <w:rsid w:val="00513840"/>
    <w:rsid w:val="00513847"/>
    <w:rsid w:val="00513886"/>
    <w:rsid w:val="005139A9"/>
    <w:rsid w:val="00513A15"/>
    <w:rsid w:val="00513A23"/>
    <w:rsid w:val="00513B27"/>
    <w:rsid w:val="00513B4A"/>
    <w:rsid w:val="00513C19"/>
    <w:rsid w:val="00513C7E"/>
    <w:rsid w:val="00513CD3"/>
    <w:rsid w:val="00513CF9"/>
    <w:rsid w:val="00513D6D"/>
    <w:rsid w:val="00513D87"/>
    <w:rsid w:val="00513E4A"/>
    <w:rsid w:val="00513E72"/>
    <w:rsid w:val="00513F93"/>
    <w:rsid w:val="00513FD5"/>
    <w:rsid w:val="00514022"/>
    <w:rsid w:val="0051407F"/>
    <w:rsid w:val="0051413D"/>
    <w:rsid w:val="0051416F"/>
    <w:rsid w:val="005141FA"/>
    <w:rsid w:val="0051420B"/>
    <w:rsid w:val="00514234"/>
    <w:rsid w:val="00514325"/>
    <w:rsid w:val="0051433E"/>
    <w:rsid w:val="0051446D"/>
    <w:rsid w:val="005144DC"/>
    <w:rsid w:val="00514519"/>
    <w:rsid w:val="00514526"/>
    <w:rsid w:val="005145B1"/>
    <w:rsid w:val="005145D7"/>
    <w:rsid w:val="005145E4"/>
    <w:rsid w:val="0051463A"/>
    <w:rsid w:val="0051469F"/>
    <w:rsid w:val="005146D1"/>
    <w:rsid w:val="005146EF"/>
    <w:rsid w:val="00514714"/>
    <w:rsid w:val="00514733"/>
    <w:rsid w:val="005147B4"/>
    <w:rsid w:val="005147C5"/>
    <w:rsid w:val="0051489E"/>
    <w:rsid w:val="005148D6"/>
    <w:rsid w:val="005148F1"/>
    <w:rsid w:val="00514B74"/>
    <w:rsid w:val="00514B7D"/>
    <w:rsid w:val="00514B91"/>
    <w:rsid w:val="00514C54"/>
    <w:rsid w:val="00514C64"/>
    <w:rsid w:val="00514C72"/>
    <w:rsid w:val="00514C86"/>
    <w:rsid w:val="00514D6A"/>
    <w:rsid w:val="00514E5D"/>
    <w:rsid w:val="00514F3E"/>
    <w:rsid w:val="00514FD2"/>
    <w:rsid w:val="005150FA"/>
    <w:rsid w:val="00515146"/>
    <w:rsid w:val="00515179"/>
    <w:rsid w:val="00515308"/>
    <w:rsid w:val="00515336"/>
    <w:rsid w:val="00515390"/>
    <w:rsid w:val="00515409"/>
    <w:rsid w:val="00515464"/>
    <w:rsid w:val="00515494"/>
    <w:rsid w:val="005154D8"/>
    <w:rsid w:val="0051554D"/>
    <w:rsid w:val="00515553"/>
    <w:rsid w:val="00515567"/>
    <w:rsid w:val="0051558C"/>
    <w:rsid w:val="0051561E"/>
    <w:rsid w:val="0051573E"/>
    <w:rsid w:val="00515867"/>
    <w:rsid w:val="00515893"/>
    <w:rsid w:val="005158D4"/>
    <w:rsid w:val="00515924"/>
    <w:rsid w:val="0051592F"/>
    <w:rsid w:val="00515962"/>
    <w:rsid w:val="00515A1E"/>
    <w:rsid w:val="00515A6B"/>
    <w:rsid w:val="00515A81"/>
    <w:rsid w:val="00515ACF"/>
    <w:rsid w:val="00515ADB"/>
    <w:rsid w:val="00515B46"/>
    <w:rsid w:val="00515B6F"/>
    <w:rsid w:val="00515C9D"/>
    <w:rsid w:val="00515CC1"/>
    <w:rsid w:val="00515D37"/>
    <w:rsid w:val="00515D6A"/>
    <w:rsid w:val="00515D86"/>
    <w:rsid w:val="00515DCE"/>
    <w:rsid w:val="00515F56"/>
    <w:rsid w:val="0051602A"/>
    <w:rsid w:val="005160C7"/>
    <w:rsid w:val="005160DE"/>
    <w:rsid w:val="00516111"/>
    <w:rsid w:val="005161AD"/>
    <w:rsid w:val="0051623E"/>
    <w:rsid w:val="0051624D"/>
    <w:rsid w:val="00516252"/>
    <w:rsid w:val="00516271"/>
    <w:rsid w:val="0051627A"/>
    <w:rsid w:val="005162C3"/>
    <w:rsid w:val="0051634A"/>
    <w:rsid w:val="005163CB"/>
    <w:rsid w:val="005163FB"/>
    <w:rsid w:val="00516465"/>
    <w:rsid w:val="0051648B"/>
    <w:rsid w:val="005166DF"/>
    <w:rsid w:val="0051678E"/>
    <w:rsid w:val="005167A3"/>
    <w:rsid w:val="005168A2"/>
    <w:rsid w:val="005168DC"/>
    <w:rsid w:val="005168F4"/>
    <w:rsid w:val="00516928"/>
    <w:rsid w:val="0051694C"/>
    <w:rsid w:val="0051694E"/>
    <w:rsid w:val="005169E7"/>
    <w:rsid w:val="005169FF"/>
    <w:rsid w:val="00516B20"/>
    <w:rsid w:val="00516B5F"/>
    <w:rsid w:val="00516BC3"/>
    <w:rsid w:val="00516C36"/>
    <w:rsid w:val="00516D49"/>
    <w:rsid w:val="00516DB0"/>
    <w:rsid w:val="00516DD4"/>
    <w:rsid w:val="00516DFE"/>
    <w:rsid w:val="00516E6B"/>
    <w:rsid w:val="00516E7F"/>
    <w:rsid w:val="00516ECA"/>
    <w:rsid w:val="00516F02"/>
    <w:rsid w:val="00516F35"/>
    <w:rsid w:val="00516F42"/>
    <w:rsid w:val="0051700D"/>
    <w:rsid w:val="0051702B"/>
    <w:rsid w:val="005170BE"/>
    <w:rsid w:val="00517103"/>
    <w:rsid w:val="0051711E"/>
    <w:rsid w:val="0051712F"/>
    <w:rsid w:val="0051715E"/>
    <w:rsid w:val="0051718D"/>
    <w:rsid w:val="005171FC"/>
    <w:rsid w:val="00517225"/>
    <w:rsid w:val="005172D5"/>
    <w:rsid w:val="0051732B"/>
    <w:rsid w:val="005174BD"/>
    <w:rsid w:val="005174D8"/>
    <w:rsid w:val="0051750E"/>
    <w:rsid w:val="005175CE"/>
    <w:rsid w:val="00517717"/>
    <w:rsid w:val="0051778E"/>
    <w:rsid w:val="00517816"/>
    <w:rsid w:val="0051783F"/>
    <w:rsid w:val="0051785F"/>
    <w:rsid w:val="00517884"/>
    <w:rsid w:val="005178D6"/>
    <w:rsid w:val="0051794D"/>
    <w:rsid w:val="00517A44"/>
    <w:rsid w:val="00517A4B"/>
    <w:rsid w:val="00517A72"/>
    <w:rsid w:val="00517BA5"/>
    <w:rsid w:val="00517C0D"/>
    <w:rsid w:val="00517C72"/>
    <w:rsid w:val="00517D6F"/>
    <w:rsid w:val="00517E7A"/>
    <w:rsid w:val="00517EB6"/>
    <w:rsid w:val="00517F03"/>
    <w:rsid w:val="00517FC9"/>
    <w:rsid w:val="00520058"/>
    <w:rsid w:val="005200A1"/>
    <w:rsid w:val="0052012C"/>
    <w:rsid w:val="00520166"/>
    <w:rsid w:val="0052018A"/>
    <w:rsid w:val="005201B4"/>
    <w:rsid w:val="00520230"/>
    <w:rsid w:val="00520256"/>
    <w:rsid w:val="00520284"/>
    <w:rsid w:val="00520417"/>
    <w:rsid w:val="00520424"/>
    <w:rsid w:val="005204E0"/>
    <w:rsid w:val="0052052D"/>
    <w:rsid w:val="00520532"/>
    <w:rsid w:val="00520584"/>
    <w:rsid w:val="005206E9"/>
    <w:rsid w:val="00520729"/>
    <w:rsid w:val="00520782"/>
    <w:rsid w:val="005207A9"/>
    <w:rsid w:val="005207C7"/>
    <w:rsid w:val="005207CE"/>
    <w:rsid w:val="0052085E"/>
    <w:rsid w:val="0052087E"/>
    <w:rsid w:val="00520901"/>
    <w:rsid w:val="00520940"/>
    <w:rsid w:val="0052094E"/>
    <w:rsid w:val="0052097A"/>
    <w:rsid w:val="00520981"/>
    <w:rsid w:val="005209E1"/>
    <w:rsid w:val="00520A32"/>
    <w:rsid w:val="00520A84"/>
    <w:rsid w:val="00520A8D"/>
    <w:rsid w:val="00520B1D"/>
    <w:rsid w:val="00520BDD"/>
    <w:rsid w:val="00520D1F"/>
    <w:rsid w:val="00520D7B"/>
    <w:rsid w:val="00520D7E"/>
    <w:rsid w:val="00520DA1"/>
    <w:rsid w:val="00520DDE"/>
    <w:rsid w:val="00520F1B"/>
    <w:rsid w:val="00520FBF"/>
    <w:rsid w:val="00521100"/>
    <w:rsid w:val="00521145"/>
    <w:rsid w:val="00521147"/>
    <w:rsid w:val="0052117D"/>
    <w:rsid w:val="00521270"/>
    <w:rsid w:val="00521311"/>
    <w:rsid w:val="005213FC"/>
    <w:rsid w:val="005214AB"/>
    <w:rsid w:val="005214FC"/>
    <w:rsid w:val="0052156C"/>
    <w:rsid w:val="005215B3"/>
    <w:rsid w:val="005215C5"/>
    <w:rsid w:val="005215D1"/>
    <w:rsid w:val="0052168E"/>
    <w:rsid w:val="005216BC"/>
    <w:rsid w:val="0052174B"/>
    <w:rsid w:val="00521764"/>
    <w:rsid w:val="0052176D"/>
    <w:rsid w:val="0052179E"/>
    <w:rsid w:val="005217B2"/>
    <w:rsid w:val="0052180A"/>
    <w:rsid w:val="00521882"/>
    <w:rsid w:val="00521888"/>
    <w:rsid w:val="00521889"/>
    <w:rsid w:val="005218F9"/>
    <w:rsid w:val="00521910"/>
    <w:rsid w:val="0052198D"/>
    <w:rsid w:val="00521A0C"/>
    <w:rsid w:val="00521B5F"/>
    <w:rsid w:val="00521B6F"/>
    <w:rsid w:val="00521B7B"/>
    <w:rsid w:val="00521C44"/>
    <w:rsid w:val="00521C6C"/>
    <w:rsid w:val="00521C8A"/>
    <w:rsid w:val="0052201F"/>
    <w:rsid w:val="0052214D"/>
    <w:rsid w:val="00522219"/>
    <w:rsid w:val="005222A4"/>
    <w:rsid w:val="0052234A"/>
    <w:rsid w:val="00522466"/>
    <w:rsid w:val="00522508"/>
    <w:rsid w:val="00522582"/>
    <w:rsid w:val="005225AA"/>
    <w:rsid w:val="005225CF"/>
    <w:rsid w:val="00522657"/>
    <w:rsid w:val="005226A6"/>
    <w:rsid w:val="005226F1"/>
    <w:rsid w:val="005226F6"/>
    <w:rsid w:val="005226FE"/>
    <w:rsid w:val="0052273E"/>
    <w:rsid w:val="0052276F"/>
    <w:rsid w:val="00522803"/>
    <w:rsid w:val="005228E9"/>
    <w:rsid w:val="005228EE"/>
    <w:rsid w:val="00522900"/>
    <w:rsid w:val="005229AF"/>
    <w:rsid w:val="005229B6"/>
    <w:rsid w:val="005229B7"/>
    <w:rsid w:val="005229D0"/>
    <w:rsid w:val="00522A0E"/>
    <w:rsid w:val="00522ABB"/>
    <w:rsid w:val="00522B36"/>
    <w:rsid w:val="00522BD6"/>
    <w:rsid w:val="00522C8E"/>
    <w:rsid w:val="00522CD7"/>
    <w:rsid w:val="00522CDC"/>
    <w:rsid w:val="00522CFA"/>
    <w:rsid w:val="00522D1F"/>
    <w:rsid w:val="00522D47"/>
    <w:rsid w:val="00522DEA"/>
    <w:rsid w:val="00522E9A"/>
    <w:rsid w:val="00523001"/>
    <w:rsid w:val="00523055"/>
    <w:rsid w:val="00523112"/>
    <w:rsid w:val="005231AA"/>
    <w:rsid w:val="005231B7"/>
    <w:rsid w:val="0052329B"/>
    <w:rsid w:val="005232BC"/>
    <w:rsid w:val="0052335E"/>
    <w:rsid w:val="00523424"/>
    <w:rsid w:val="0052348D"/>
    <w:rsid w:val="005234D3"/>
    <w:rsid w:val="005234EC"/>
    <w:rsid w:val="00523503"/>
    <w:rsid w:val="00523516"/>
    <w:rsid w:val="0052353F"/>
    <w:rsid w:val="00523578"/>
    <w:rsid w:val="00523603"/>
    <w:rsid w:val="005236E4"/>
    <w:rsid w:val="00523793"/>
    <w:rsid w:val="005237D8"/>
    <w:rsid w:val="00523810"/>
    <w:rsid w:val="0052395B"/>
    <w:rsid w:val="00523AB1"/>
    <w:rsid w:val="00523AEE"/>
    <w:rsid w:val="00523B2B"/>
    <w:rsid w:val="00523B3A"/>
    <w:rsid w:val="00523BA9"/>
    <w:rsid w:val="00523C10"/>
    <w:rsid w:val="00523C50"/>
    <w:rsid w:val="00523C68"/>
    <w:rsid w:val="00523CB6"/>
    <w:rsid w:val="00523ED7"/>
    <w:rsid w:val="00523F22"/>
    <w:rsid w:val="00523FEB"/>
    <w:rsid w:val="005240EE"/>
    <w:rsid w:val="005242A5"/>
    <w:rsid w:val="00524312"/>
    <w:rsid w:val="00524346"/>
    <w:rsid w:val="00524349"/>
    <w:rsid w:val="00524363"/>
    <w:rsid w:val="0052438A"/>
    <w:rsid w:val="005243DD"/>
    <w:rsid w:val="0052449B"/>
    <w:rsid w:val="005244C7"/>
    <w:rsid w:val="005244D0"/>
    <w:rsid w:val="00524551"/>
    <w:rsid w:val="00524586"/>
    <w:rsid w:val="005246BB"/>
    <w:rsid w:val="00524708"/>
    <w:rsid w:val="0052473D"/>
    <w:rsid w:val="00524743"/>
    <w:rsid w:val="0052478D"/>
    <w:rsid w:val="005247BB"/>
    <w:rsid w:val="0052485C"/>
    <w:rsid w:val="00524899"/>
    <w:rsid w:val="00524907"/>
    <w:rsid w:val="0052497C"/>
    <w:rsid w:val="00524991"/>
    <w:rsid w:val="0052499A"/>
    <w:rsid w:val="00524AA5"/>
    <w:rsid w:val="00524B04"/>
    <w:rsid w:val="00524B11"/>
    <w:rsid w:val="00524B32"/>
    <w:rsid w:val="00524DA9"/>
    <w:rsid w:val="00524DC7"/>
    <w:rsid w:val="00524E5F"/>
    <w:rsid w:val="00524F94"/>
    <w:rsid w:val="00524FC2"/>
    <w:rsid w:val="00525055"/>
    <w:rsid w:val="005250EA"/>
    <w:rsid w:val="0052513B"/>
    <w:rsid w:val="005251F2"/>
    <w:rsid w:val="00525275"/>
    <w:rsid w:val="005252BF"/>
    <w:rsid w:val="005252D9"/>
    <w:rsid w:val="00525336"/>
    <w:rsid w:val="00525353"/>
    <w:rsid w:val="005253BC"/>
    <w:rsid w:val="005253C3"/>
    <w:rsid w:val="0052552F"/>
    <w:rsid w:val="00525542"/>
    <w:rsid w:val="005255EE"/>
    <w:rsid w:val="005255FB"/>
    <w:rsid w:val="00525644"/>
    <w:rsid w:val="0052568D"/>
    <w:rsid w:val="005256A1"/>
    <w:rsid w:val="005256A2"/>
    <w:rsid w:val="005256EA"/>
    <w:rsid w:val="00525785"/>
    <w:rsid w:val="005257F9"/>
    <w:rsid w:val="005258ED"/>
    <w:rsid w:val="00525C33"/>
    <w:rsid w:val="00525C57"/>
    <w:rsid w:val="00525CFF"/>
    <w:rsid w:val="00525E9C"/>
    <w:rsid w:val="00525EB8"/>
    <w:rsid w:val="00525ECE"/>
    <w:rsid w:val="00525F44"/>
    <w:rsid w:val="00525F79"/>
    <w:rsid w:val="00525FCD"/>
    <w:rsid w:val="00525FD9"/>
    <w:rsid w:val="00526056"/>
    <w:rsid w:val="0052619A"/>
    <w:rsid w:val="005261A9"/>
    <w:rsid w:val="005261B7"/>
    <w:rsid w:val="00526378"/>
    <w:rsid w:val="005263C6"/>
    <w:rsid w:val="00526490"/>
    <w:rsid w:val="005264A4"/>
    <w:rsid w:val="00526504"/>
    <w:rsid w:val="00526518"/>
    <w:rsid w:val="0052655B"/>
    <w:rsid w:val="005265FE"/>
    <w:rsid w:val="00526674"/>
    <w:rsid w:val="00526682"/>
    <w:rsid w:val="0052671F"/>
    <w:rsid w:val="0052679D"/>
    <w:rsid w:val="0052682E"/>
    <w:rsid w:val="005268D3"/>
    <w:rsid w:val="005269F3"/>
    <w:rsid w:val="00526B37"/>
    <w:rsid w:val="00526B55"/>
    <w:rsid w:val="00526BBF"/>
    <w:rsid w:val="00526BE9"/>
    <w:rsid w:val="00526C1D"/>
    <w:rsid w:val="00526C5A"/>
    <w:rsid w:val="00526CC3"/>
    <w:rsid w:val="00526D97"/>
    <w:rsid w:val="00526E8B"/>
    <w:rsid w:val="00526ECA"/>
    <w:rsid w:val="00526F2C"/>
    <w:rsid w:val="005270FB"/>
    <w:rsid w:val="00527101"/>
    <w:rsid w:val="00527118"/>
    <w:rsid w:val="0052722B"/>
    <w:rsid w:val="0052729F"/>
    <w:rsid w:val="005272CD"/>
    <w:rsid w:val="005272CF"/>
    <w:rsid w:val="0052730B"/>
    <w:rsid w:val="0052731C"/>
    <w:rsid w:val="00527361"/>
    <w:rsid w:val="00527390"/>
    <w:rsid w:val="005273BB"/>
    <w:rsid w:val="005273C1"/>
    <w:rsid w:val="005273CD"/>
    <w:rsid w:val="0052741D"/>
    <w:rsid w:val="00527446"/>
    <w:rsid w:val="00527479"/>
    <w:rsid w:val="005274DF"/>
    <w:rsid w:val="005274EC"/>
    <w:rsid w:val="00527513"/>
    <w:rsid w:val="0052755C"/>
    <w:rsid w:val="005276E2"/>
    <w:rsid w:val="00527813"/>
    <w:rsid w:val="00527867"/>
    <w:rsid w:val="005278B8"/>
    <w:rsid w:val="005278F8"/>
    <w:rsid w:val="0052790D"/>
    <w:rsid w:val="00527972"/>
    <w:rsid w:val="00527A36"/>
    <w:rsid w:val="00527A6D"/>
    <w:rsid w:val="00527AF9"/>
    <w:rsid w:val="00527B35"/>
    <w:rsid w:val="00527BBB"/>
    <w:rsid w:val="00527C24"/>
    <w:rsid w:val="00527C85"/>
    <w:rsid w:val="00527D0E"/>
    <w:rsid w:val="00527DD8"/>
    <w:rsid w:val="00527DDD"/>
    <w:rsid w:val="00527E1E"/>
    <w:rsid w:val="00527E42"/>
    <w:rsid w:val="00527E62"/>
    <w:rsid w:val="00527E87"/>
    <w:rsid w:val="00527F29"/>
    <w:rsid w:val="00527F2C"/>
    <w:rsid w:val="00527FA6"/>
    <w:rsid w:val="00527FF8"/>
    <w:rsid w:val="0053002F"/>
    <w:rsid w:val="00530031"/>
    <w:rsid w:val="00530097"/>
    <w:rsid w:val="00530098"/>
    <w:rsid w:val="00530251"/>
    <w:rsid w:val="0053025B"/>
    <w:rsid w:val="0053026F"/>
    <w:rsid w:val="00530275"/>
    <w:rsid w:val="00530289"/>
    <w:rsid w:val="00530299"/>
    <w:rsid w:val="00530302"/>
    <w:rsid w:val="00530305"/>
    <w:rsid w:val="005303AB"/>
    <w:rsid w:val="0053043C"/>
    <w:rsid w:val="00530509"/>
    <w:rsid w:val="0053052D"/>
    <w:rsid w:val="005305C4"/>
    <w:rsid w:val="005305DC"/>
    <w:rsid w:val="0053060A"/>
    <w:rsid w:val="005306ED"/>
    <w:rsid w:val="005306FE"/>
    <w:rsid w:val="00530898"/>
    <w:rsid w:val="0053090B"/>
    <w:rsid w:val="0053090C"/>
    <w:rsid w:val="00530974"/>
    <w:rsid w:val="005309BC"/>
    <w:rsid w:val="00530A76"/>
    <w:rsid w:val="00530B41"/>
    <w:rsid w:val="00530BAA"/>
    <w:rsid w:val="00530BCB"/>
    <w:rsid w:val="00530C2F"/>
    <w:rsid w:val="00530C3E"/>
    <w:rsid w:val="00530C44"/>
    <w:rsid w:val="00530D10"/>
    <w:rsid w:val="00530E08"/>
    <w:rsid w:val="00530E8B"/>
    <w:rsid w:val="00530ECB"/>
    <w:rsid w:val="00530F52"/>
    <w:rsid w:val="00530FD3"/>
    <w:rsid w:val="0053100E"/>
    <w:rsid w:val="00531054"/>
    <w:rsid w:val="00531062"/>
    <w:rsid w:val="0053109B"/>
    <w:rsid w:val="005310BA"/>
    <w:rsid w:val="005310C0"/>
    <w:rsid w:val="005310CE"/>
    <w:rsid w:val="005310D4"/>
    <w:rsid w:val="0053110E"/>
    <w:rsid w:val="005311AE"/>
    <w:rsid w:val="005311C7"/>
    <w:rsid w:val="0053127F"/>
    <w:rsid w:val="005312D8"/>
    <w:rsid w:val="005312E8"/>
    <w:rsid w:val="00531336"/>
    <w:rsid w:val="00531347"/>
    <w:rsid w:val="00531470"/>
    <w:rsid w:val="005314D0"/>
    <w:rsid w:val="005314F2"/>
    <w:rsid w:val="005315B3"/>
    <w:rsid w:val="005315F6"/>
    <w:rsid w:val="005316B8"/>
    <w:rsid w:val="005316C2"/>
    <w:rsid w:val="005316CE"/>
    <w:rsid w:val="00531767"/>
    <w:rsid w:val="005318C0"/>
    <w:rsid w:val="005318E9"/>
    <w:rsid w:val="00531949"/>
    <w:rsid w:val="00531957"/>
    <w:rsid w:val="00531959"/>
    <w:rsid w:val="0053196B"/>
    <w:rsid w:val="005319F7"/>
    <w:rsid w:val="00531ABF"/>
    <w:rsid w:val="00531B8E"/>
    <w:rsid w:val="00531CD8"/>
    <w:rsid w:val="00531D12"/>
    <w:rsid w:val="00531D76"/>
    <w:rsid w:val="00531DF7"/>
    <w:rsid w:val="00531FB1"/>
    <w:rsid w:val="00531FE4"/>
    <w:rsid w:val="0053202D"/>
    <w:rsid w:val="00532060"/>
    <w:rsid w:val="0053209D"/>
    <w:rsid w:val="005321AC"/>
    <w:rsid w:val="00532299"/>
    <w:rsid w:val="005322E0"/>
    <w:rsid w:val="0053257F"/>
    <w:rsid w:val="005325CD"/>
    <w:rsid w:val="0053260D"/>
    <w:rsid w:val="00532613"/>
    <w:rsid w:val="0053261F"/>
    <w:rsid w:val="005326D1"/>
    <w:rsid w:val="005326DA"/>
    <w:rsid w:val="005327F7"/>
    <w:rsid w:val="00532827"/>
    <w:rsid w:val="0053288E"/>
    <w:rsid w:val="00532991"/>
    <w:rsid w:val="005329B0"/>
    <w:rsid w:val="005329E8"/>
    <w:rsid w:val="00532A41"/>
    <w:rsid w:val="00532A87"/>
    <w:rsid w:val="00532A90"/>
    <w:rsid w:val="00532B36"/>
    <w:rsid w:val="00532B64"/>
    <w:rsid w:val="00532B77"/>
    <w:rsid w:val="00532BA4"/>
    <w:rsid w:val="00532BA7"/>
    <w:rsid w:val="00532BC1"/>
    <w:rsid w:val="00532BD4"/>
    <w:rsid w:val="00532CD7"/>
    <w:rsid w:val="00532D32"/>
    <w:rsid w:val="00532D8C"/>
    <w:rsid w:val="00532DA8"/>
    <w:rsid w:val="00532DAF"/>
    <w:rsid w:val="00532EA9"/>
    <w:rsid w:val="00532F41"/>
    <w:rsid w:val="00532F50"/>
    <w:rsid w:val="00532F67"/>
    <w:rsid w:val="0053300D"/>
    <w:rsid w:val="0053303C"/>
    <w:rsid w:val="00533069"/>
    <w:rsid w:val="00533081"/>
    <w:rsid w:val="005330A0"/>
    <w:rsid w:val="005330CC"/>
    <w:rsid w:val="00533164"/>
    <w:rsid w:val="005331B7"/>
    <w:rsid w:val="00533216"/>
    <w:rsid w:val="00533223"/>
    <w:rsid w:val="005332EA"/>
    <w:rsid w:val="0053338A"/>
    <w:rsid w:val="00533437"/>
    <w:rsid w:val="005335B7"/>
    <w:rsid w:val="0053365D"/>
    <w:rsid w:val="005336D7"/>
    <w:rsid w:val="005336FD"/>
    <w:rsid w:val="005337CA"/>
    <w:rsid w:val="0053382E"/>
    <w:rsid w:val="00533839"/>
    <w:rsid w:val="00533847"/>
    <w:rsid w:val="005338BE"/>
    <w:rsid w:val="005338E0"/>
    <w:rsid w:val="0053391C"/>
    <w:rsid w:val="00533968"/>
    <w:rsid w:val="00533A1B"/>
    <w:rsid w:val="00533A27"/>
    <w:rsid w:val="00533AEC"/>
    <w:rsid w:val="00533B05"/>
    <w:rsid w:val="00533B10"/>
    <w:rsid w:val="00533D3A"/>
    <w:rsid w:val="00533E14"/>
    <w:rsid w:val="00534052"/>
    <w:rsid w:val="00534099"/>
    <w:rsid w:val="00534115"/>
    <w:rsid w:val="00534122"/>
    <w:rsid w:val="00534131"/>
    <w:rsid w:val="005341FA"/>
    <w:rsid w:val="0053427C"/>
    <w:rsid w:val="005342A1"/>
    <w:rsid w:val="005342DC"/>
    <w:rsid w:val="0053435E"/>
    <w:rsid w:val="0053437E"/>
    <w:rsid w:val="005343EF"/>
    <w:rsid w:val="0053442C"/>
    <w:rsid w:val="00534455"/>
    <w:rsid w:val="005344A9"/>
    <w:rsid w:val="0053453E"/>
    <w:rsid w:val="00534554"/>
    <w:rsid w:val="0053456E"/>
    <w:rsid w:val="005345C5"/>
    <w:rsid w:val="005345F2"/>
    <w:rsid w:val="00534606"/>
    <w:rsid w:val="00534844"/>
    <w:rsid w:val="0053486D"/>
    <w:rsid w:val="005348A3"/>
    <w:rsid w:val="005348EA"/>
    <w:rsid w:val="00534908"/>
    <w:rsid w:val="00534993"/>
    <w:rsid w:val="005349C4"/>
    <w:rsid w:val="00534A12"/>
    <w:rsid w:val="00534A6C"/>
    <w:rsid w:val="00534AD3"/>
    <w:rsid w:val="00534B01"/>
    <w:rsid w:val="00534B42"/>
    <w:rsid w:val="00534B6C"/>
    <w:rsid w:val="00534C54"/>
    <w:rsid w:val="00534C9B"/>
    <w:rsid w:val="00534CCE"/>
    <w:rsid w:val="00534D24"/>
    <w:rsid w:val="00534E2B"/>
    <w:rsid w:val="00534EDA"/>
    <w:rsid w:val="00534F5B"/>
    <w:rsid w:val="00534FCD"/>
    <w:rsid w:val="005350C2"/>
    <w:rsid w:val="0053511A"/>
    <w:rsid w:val="00535142"/>
    <w:rsid w:val="00535310"/>
    <w:rsid w:val="00535324"/>
    <w:rsid w:val="00535370"/>
    <w:rsid w:val="00535387"/>
    <w:rsid w:val="005353A7"/>
    <w:rsid w:val="00535579"/>
    <w:rsid w:val="005355C0"/>
    <w:rsid w:val="005355D9"/>
    <w:rsid w:val="0053560D"/>
    <w:rsid w:val="00535628"/>
    <w:rsid w:val="00535659"/>
    <w:rsid w:val="0053568F"/>
    <w:rsid w:val="0053574D"/>
    <w:rsid w:val="00535751"/>
    <w:rsid w:val="00535754"/>
    <w:rsid w:val="0053581C"/>
    <w:rsid w:val="00535931"/>
    <w:rsid w:val="00535A03"/>
    <w:rsid w:val="00535AA9"/>
    <w:rsid w:val="00535AF7"/>
    <w:rsid w:val="00535B23"/>
    <w:rsid w:val="00535B4A"/>
    <w:rsid w:val="00535BD3"/>
    <w:rsid w:val="00535C01"/>
    <w:rsid w:val="00535C65"/>
    <w:rsid w:val="00535D3E"/>
    <w:rsid w:val="00535DB0"/>
    <w:rsid w:val="00535E15"/>
    <w:rsid w:val="00535E76"/>
    <w:rsid w:val="00535E90"/>
    <w:rsid w:val="00535ECF"/>
    <w:rsid w:val="00535ED9"/>
    <w:rsid w:val="00535EE3"/>
    <w:rsid w:val="00535F1D"/>
    <w:rsid w:val="00535F2C"/>
    <w:rsid w:val="00535FF0"/>
    <w:rsid w:val="00535FF5"/>
    <w:rsid w:val="0053602A"/>
    <w:rsid w:val="00536036"/>
    <w:rsid w:val="0053605B"/>
    <w:rsid w:val="005360D5"/>
    <w:rsid w:val="00536128"/>
    <w:rsid w:val="0053619F"/>
    <w:rsid w:val="005361BF"/>
    <w:rsid w:val="005361F8"/>
    <w:rsid w:val="0053624C"/>
    <w:rsid w:val="0053627C"/>
    <w:rsid w:val="00536296"/>
    <w:rsid w:val="005362AE"/>
    <w:rsid w:val="0053634F"/>
    <w:rsid w:val="00536353"/>
    <w:rsid w:val="005364A2"/>
    <w:rsid w:val="00536585"/>
    <w:rsid w:val="00536603"/>
    <w:rsid w:val="005366BB"/>
    <w:rsid w:val="005366E7"/>
    <w:rsid w:val="005366F7"/>
    <w:rsid w:val="005367FB"/>
    <w:rsid w:val="0053687B"/>
    <w:rsid w:val="00536884"/>
    <w:rsid w:val="00536899"/>
    <w:rsid w:val="0053690D"/>
    <w:rsid w:val="00536998"/>
    <w:rsid w:val="00536A3C"/>
    <w:rsid w:val="00536A73"/>
    <w:rsid w:val="00536A82"/>
    <w:rsid w:val="00536AFB"/>
    <w:rsid w:val="00536B60"/>
    <w:rsid w:val="00536B70"/>
    <w:rsid w:val="00536BAE"/>
    <w:rsid w:val="00536BC1"/>
    <w:rsid w:val="00536C6B"/>
    <w:rsid w:val="00536CBF"/>
    <w:rsid w:val="00536D17"/>
    <w:rsid w:val="00536D7A"/>
    <w:rsid w:val="00536DCD"/>
    <w:rsid w:val="00536DEC"/>
    <w:rsid w:val="00536EA7"/>
    <w:rsid w:val="00536EE4"/>
    <w:rsid w:val="00536EEB"/>
    <w:rsid w:val="00536F37"/>
    <w:rsid w:val="00536F47"/>
    <w:rsid w:val="00536F6A"/>
    <w:rsid w:val="00536F80"/>
    <w:rsid w:val="00536FC2"/>
    <w:rsid w:val="00537057"/>
    <w:rsid w:val="0053707E"/>
    <w:rsid w:val="005370A5"/>
    <w:rsid w:val="00537279"/>
    <w:rsid w:val="005372B4"/>
    <w:rsid w:val="0053731A"/>
    <w:rsid w:val="00537376"/>
    <w:rsid w:val="0053738D"/>
    <w:rsid w:val="005374A8"/>
    <w:rsid w:val="005374AE"/>
    <w:rsid w:val="00537500"/>
    <w:rsid w:val="00537512"/>
    <w:rsid w:val="0053765F"/>
    <w:rsid w:val="00537672"/>
    <w:rsid w:val="005377C0"/>
    <w:rsid w:val="005377C1"/>
    <w:rsid w:val="005377D1"/>
    <w:rsid w:val="00537852"/>
    <w:rsid w:val="0053785F"/>
    <w:rsid w:val="005378B3"/>
    <w:rsid w:val="00537948"/>
    <w:rsid w:val="00537A28"/>
    <w:rsid w:val="00537A79"/>
    <w:rsid w:val="00537B5E"/>
    <w:rsid w:val="00537B80"/>
    <w:rsid w:val="00537BCF"/>
    <w:rsid w:val="00537C6A"/>
    <w:rsid w:val="00537CC9"/>
    <w:rsid w:val="00537D65"/>
    <w:rsid w:val="00537EC3"/>
    <w:rsid w:val="00537EE3"/>
    <w:rsid w:val="00537EFE"/>
    <w:rsid w:val="00537F6D"/>
    <w:rsid w:val="0054019E"/>
    <w:rsid w:val="005401F9"/>
    <w:rsid w:val="00540314"/>
    <w:rsid w:val="00540337"/>
    <w:rsid w:val="00540435"/>
    <w:rsid w:val="005404CB"/>
    <w:rsid w:val="005404F3"/>
    <w:rsid w:val="00540575"/>
    <w:rsid w:val="00540576"/>
    <w:rsid w:val="005405C7"/>
    <w:rsid w:val="00540621"/>
    <w:rsid w:val="0054068E"/>
    <w:rsid w:val="005406F9"/>
    <w:rsid w:val="00540707"/>
    <w:rsid w:val="00540781"/>
    <w:rsid w:val="005407C9"/>
    <w:rsid w:val="005407CD"/>
    <w:rsid w:val="005407E4"/>
    <w:rsid w:val="005407EE"/>
    <w:rsid w:val="00540869"/>
    <w:rsid w:val="005408E0"/>
    <w:rsid w:val="0054092F"/>
    <w:rsid w:val="0054093F"/>
    <w:rsid w:val="00540A22"/>
    <w:rsid w:val="00540B21"/>
    <w:rsid w:val="00540B87"/>
    <w:rsid w:val="00540BA9"/>
    <w:rsid w:val="00540CCC"/>
    <w:rsid w:val="00540D1C"/>
    <w:rsid w:val="00540DD9"/>
    <w:rsid w:val="00540E2C"/>
    <w:rsid w:val="00540E52"/>
    <w:rsid w:val="00540F60"/>
    <w:rsid w:val="00540F62"/>
    <w:rsid w:val="00540FB4"/>
    <w:rsid w:val="00540FF3"/>
    <w:rsid w:val="0054100C"/>
    <w:rsid w:val="00541078"/>
    <w:rsid w:val="005410D1"/>
    <w:rsid w:val="00541229"/>
    <w:rsid w:val="00541238"/>
    <w:rsid w:val="0054126A"/>
    <w:rsid w:val="005412F1"/>
    <w:rsid w:val="00541333"/>
    <w:rsid w:val="0054138F"/>
    <w:rsid w:val="00541427"/>
    <w:rsid w:val="00541535"/>
    <w:rsid w:val="00541574"/>
    <w:rsid w:val="00541594"/>
    <w:rsid w:val="005415BD"/>
    <w:rsid w:val="005415E6"/>
    <w:rsid w:val="00541658"/>
    <w:rsid w:val="0054169F"/>
    <w:rsid w:val="00541704"/>
    <w:rsid w:val="00541747"/>
    <w:rsid w:val="00541750"/>
    <w:rsid w:val="005418D7"/>
    <w:rsid w:val="00541932"/>
    <w:rsid w:val="00541983"/>
    <w:rsid w:val="00541AAA"/>
    <w:rsid w:val="00541B10"/>
    <w:rsid w:val="00541B5B"/>
    <w:rsid w:val="00541B95"/>
    <w:rsid w:val="00541BAE"/>
    <w:rsid w:val="00541C52"/>
    <w:rsid w:val="00541CFD"/>
    <w:rsid w:val="00541D53"/>
    <w:rsid w:val="00541DDE"/>
    <w:rsid w:val="00541E0F"/>
    <w:rsid w:val="00541F7F"/>
    <w:rsid w:val="0054206F"/>
    <w:rsid w:val="005420CB"/>
    <w:rsid w:val="005421DB"/>
    <w:rsid w:val="0054230D"/>
    <w:rsid w:val="0054235E"/>
    <w:rsid w:val="005423D8"/>
    <w:rsid w:val="005423DE"/>
    <w:rsid w:val="005423E4"/>
    <w:rsid w:val="005423FA"/>
    <w:rsid w:val="0054243A"/>
    <w:rsid w:val="00542441"/>
    <w:rsid w:val="005424D2"/>
    <w:rsid w:val="005424FF"/>
    <w:rsid w:val="00542605"/>
    <w:rsid w:val="005426AE"/>
    <w:rsid w:val="005427F4"/>
    <w:rsid w:val="00542AA7"/>
    <w:rsid w:val="00542C57"/>
    <w:rsid w:val="00542C71"/>
    <w:rsid w:val="00542E80"/>
    <w:rsid w:val="00542F7C"/>
    <w:rsid w:val="00543055"/>
    <w:rsid w:val="00543062"/>
    <w:rsid w:val="00543092"/>
    <w:rsid w:val="005430D0"/>
    <w:rsid w:val="00543143"/>
    <w:rsid w:val="0054314C"/>
    <w:rsid w:val="005431C1"/>
    <w:rsid w:val="005432C0"/>
    <w:rsid w:val="0054336A"/>
    <w:rsid w:val="005433D9"/>
    <w:rsid w:val="005434CF"/>
    <w:rsid w:val="0054364B"/>
    <w:rsid w:val="00543665"/>
    <w:rsid w:val="0054366B"/>
    <w:rsid w:val="0054368B"/>
    <w:rsid w:val="005436B1"/>
    <w:rsid w:val="00543702"/>
    <w:rsid w:val="00543754"/>
    <w:rsid w:val="00543772"/>
    <w:rsid w:val="005437E3"/>
    <w:rsid w:val="0054380A"/>
    <w:rsid w:val="005438B5"/>
    <w:rsid w:val="005438BC"/>
    <w:rsid w:val="005438C0"/>
    <w:rsid w:val="00543939"/>
    <w:rsid w:val="005439AC"/>
    <w:rsid w:val="00543A14"/>
    <w:rsid w:val="00543A46"/>
    <w:rsid w:val="00543AE3"/>
    <w:rsid w:val="00543B23"/>
    <w:rsid w:val="00543B59"/>
    <w:rsid w:val="00543B6A"/>
    <w:rsid w:val="00543C8E"/>
    <w:rsid w:val="00543CFC"/>
    <w:rsid w:val="00543DA2"/>
    <w:rsid w:val="00543DD6"/>
    <w:rsid w:val="00543DE5"/>
    <w:rsid w:val="00543E03"/>
    <w:rsid w:val="00543E53"/>
    <w:rsid w:val="00543E54"/>
    <w:rsid w:val="00543EF5"/>
    <w:rsid w:val="00543F93"/>
    <w:rsid w:val="00543FA6"/>
    <w:rsid w:val="00543FDF"/>
    <w:rsid w:val="00544016"/>
    <w:rsid w:val="00544034"/>
    <w:rsid w:val="00544040"/>
    <w:rsid w:val="00544092"/>
    <w:rsid w:val="00544097"/>
    <w:rsid w:val="005440B8"/>
    <w:rsid w:val="005440DA"/>
    <w:rsid w:val="005440DC"/>
    <w:rsid w:val="005440F4"/>
    <w:rsid w:val="0054420B"/>
    <w:rsid w:val="00544227"/>
    <w:rsid w:val="00544245"/>
    <w:rsid w:val="00544293"/>
    <w:rsid w:val="0054429D"/>
    <w:rsid w:val="005442F5"/>
    <w:rsid w:val="0054434B"/>
    <w:rsid w:val="0054457D"/>
    <w:rsid w:val="005445D3"/>
    <w:rsid w:val="00544603"/>
    <w:rsid w:val="0054460E"/>
    <w:rsid w:val="00544618"/>
    <w:rsid w:val="00544687"/>
    <w:rsid w:val="00544757"/>
    <w:rsid w:val="00544944"/>
    <w:rsid w:val="0054497B"/>
    <w:rsid w:val="00544A6F"/>
    <w:rsid w:val="00544ADA"/>
    <w:rsid w:val="00544AE8"/>
    <w:rsid w:val="00544B64"/>
    <w:rsid w:val="00544BBD"/>
    <w:rsid w:val="00544BF8"/>
    <w:rsid w:val="00544C07"/>
    <w:rsid w:val="00544C15"/>
    <w:rsid w:val="00544C79"/>
    <w:rsid w:val="00544CD7"/>
    <w:rsid w:val="00544D0A"/>
    <w:rsid w:val="00544D96"/>
    <w:rsid w:val="00544DC0"/>
    <w:rsid w:val="00544DF1"/>
    <w:rsid w:val="00544EDC"/>
    <w:rsid w:val="00544EFD"/>
    <w:rsid w:val="0054503A"/>
    <w:rsid w:val="005450C6"/>
    <w:rsid w:val="0054519A"/>
    <w:rsid w:val="005451F7"/>
    <w:rsid w:val="00545201"/>
    <w:rsid w:val="0054520E"/>
    <w:rsid w:val="0054523D"/>
    <w:rsid w:val="00545274"/>
    <w:rsid w:val="005452B7"/>
    <w:rsid w:val="005452BC"/>
    <w:rsid w:val="005452FE"/>
    <w:rsid w:val="005453F0"/>
    <w:rsid w:val="005454CA"/>
    <w:rsid w:val="00545533"/>
    <w:rsid w:val="005455E6"/>
    <w:rsid w:val="0054564E"/>
    <w:rsid w:val="00545710"/>
    <w:rsid w:val="005457B3"/>
    <w:rsid w:val="005457CF"/>
    <w:rsid w:val="00545800"/>
    <w:rsid w:val="0054587F"/>
    <w:rsid w:val="00545927"/>
    <w:rsid w:val="00545928"/>
    <w:rsid w:val="00545967"/>
    <w:rsid w:val="0054599F"/>
    <w:rsid w:val="005459C2"/>
    <w:rsid w:val="005459DD"/>
    <w:rsid w:val="00545A00"/>
    <w:rsid w:val="00545BC3"/>
    <w:rsid w:val="00545C63"/>
    <w:rsid w:val="00545D33"/>
    <w:rsid w:val="00545DBF"/>
    <w:rsid w:val="00545DF2"/>
    <w:rsid w:val="00545E8F"/>
    <w:rsid w:val="00545F8A"/>
    <w:rsid w:val="00545F96"/>
    <w:rsid w:val="00545FC0"/>
    <w:rsid w:val="00546022"/>
    <w:rsid w:val="005461C6"/>
    <w:rsid w:val="0054621B"/>
    <w:rsid w:val="00546279"/>
    <w:rsid w:val="0054627E"/>
    <w:rsid w:val="00546296"/>
    <w:rsid w:val="005462D3"/>
    <w:rsid w:val="0054635A"/>
    <w:rsid w:val="005463B0"/>
    <w:rsid w:val="005463C6"/>
    <w:rsid w:val="005465DD"/>
    <w:rsid w:val="00546627"/>
    <w:rsid w:val="00546641"/>
    <w:rsid w:val="00546720"/>
    <w:rsid w:val="0054679A"/>
    <w:rsid w:val="0054679E"/>
    <w:rsid w:val="0054683B"/>
    <w:rsid w:val="00546897"/>
    <w:rsid w:val="005468C5"/>
    <w:rsid w:val="005468DF"/>
    <w:rsid w:val="0054691C"/>
    <w:rsid w:val="00546931"/>
    <w:rsid w:val="00546966"/>
    <w:rsid w:val="005469AC"/>
    <w:rsid w:val="00546A49"/>
    <w:rsid w:val="00546AA6"/>
    <w:rsid w:val="00546B55"/>
    <w:rsid w:val="00546B5E"/>
    <w:rsid w:val="00546BB8"/>
    <w:rsid w:val="00546CD3"/>
    <w:rsid w:val="00546D15"/>
    <w:rsid w:val="00546D1C"/>
    <w:rsid w:val="00546D8F"/>
    <w:rsid w:val="00546DF6"/>
    <w:rsid w:val="00546E3A"/>
    <w:rsid w:val="00546E47"/>
    <w:rsid w:val="00546EF3"/>
    <w:rsid w:val="00547013"/>
    <w:rsid w:val="0054707D"/>
    <w:rsid w:val="00547091"/>
    <w:rsid w:val="00547137"/>
    <w:rsid w:val="00547170"/>
    <w:rsid w:val="0054725E"/>
    <w:rsid w:val="005472B5"/>
    <w:rsid w:val="005472C9"/>
    <w:rsid w:val="00547370"/>
    <w:rsid w:val="005473E3"/>
    <w:rsid w:val="00547484"/>
    <w:rsid w:val="005474C3"/>
    <w:rsid w:val="00547571"/>
    <w:rsid w:val="0054757D"/>
    <w:rsid w:val="0054759D"/>
    <w:rsid w:val="005475DA"/>
    <w:rsid w:val="005475E1"/>
    <w:rsid w:val="00547601"/>
    <w:rsid w:val="00547609"/>
    <w:rsid w:val="00547647"/>
    <w:rsid w:val="00547660"/>
    <w:rsid w:val="005476DD"/>
    <w:rsid w:val="005476F9"/>
    <w:rsid w:val="00547723"/>
    <w:rsid w:val="005477AD"/>
    <w:rsid w:val="005477B4"/>
    <w:rsid w:val="005477F7"/>
    <w:rsid w:val="0054781C"/>
    <w:rsid w:val="005478B0"/>
    <w:rsid w:val="00547934"/>
    <w:rsid w:val="0054795F"/>
    <w:rsid w:val="005479A5"/>
    <w:rsid w:val="005479C0"/>
    <w:rsid w:val="005479F9"/>
    <w:rsid w:val="00547A00"/>
    <w:rsid w:val="00547A41"/>
    <w:rsid w:val="00547AF1"/>
    <w:rsid w:val="00547C1C"/>
    <w:rsid w:val="00547C8D"/>
    <w:rsid w:val="00547D97"/>
    <w:rsid w:val="00547DF9"/>
    <w:rsid w:val="00547E5F"/>
    <w:rsid w:val="00547E6F"/>
    <w:rsid w:val="00547E80"/>
    <w:rsid w:val="00547EDE"/>
    <w:rsid w:val="00547EEE"/>
    <w:rsid w:val="00548842"/>
    <w:rsid w:val="00550005"/>
    <w:rsid w:val="00550014"/>
    <w:rsid w:val="00550037"/>
    <w:rsid w:val="0055005D"/>
    <w:rsid w:val="0055024E"/>
    <w:rsid w:val="0055026A"/>
    <w:rsid w:val="005502B1"/>
    <w:rsid w:val="005502C6"/>
    <w:rsid w:val="005502EC"/>
    <w:rsid w:val="00550381"/>
    <w:rsid w:val="005503F5"/>
    <w:rsid w:val="00550451"/>
    <w:rsid w:val="0055047B"/>
    <w:rsid w:val="005504A4"/>
    <w:rsid w:val="005504D7"/>
    <w:rsid w:val="005504EE"/>
    <w:rsid w:val="005505E8"/>
    <w:rsid w:val="00550764"/>
    <w:rsid w:val="00550785"/>
    <w:rsid w:val="0055082E"/>
    <w:rsid w:val="00550830"/>
    <w:rsid w:val="00550933"/>
    <w:rsid w:val="00550941"/>
    <w:rsid w:val="00550973"/>
    <w:rsid w:val="0055099F"/>
    <w:rsid w:val="00550AC5"/>
    <w:rsid w:val="00550ADF"/>
    <w:rsid w:val="00550B0F"/>
    <w:rsid w:val="00550B30"/>
    <w:rsid w:val="00550BA7"/>
    <w:rsid w:val="00550BEA"/>
    <w:rsid w:val="00550BFC"/>
    <w:rsid w:val="00550C28"/>
    <w:rsid w:val="00550C4F"/>
    <w:rsid w:val="00550CC4"/>
    <w:rsid w:val="00550CCB"/>
    <w:rsid w:val="00550D60"/>
    <w:rsid w:val="00550E2F"/>
    <w:rsid w:val="00550E34"/>
    <w:rsid w:val="00550EFA"/>
    <w:rsid w:val="00551010"/>
    <w:rsid w:val="0055101D"/>
    <w:rsid w:val="00551060"/>
    <w:rsid w:val="005510DA"/>
    <w:rsid w:val="00551102"/>
    <w:rsid w:val="00551139"/>
    <w:rsid w:val="005511B7"/>
    <w:rsid w:val="005511E8"/>
    <w:rsid w:val="0055124F"/>
    <w:rsid w:val="0055127F"/>
    <w:rsid w:val="005512BA"/>
    <w:rsid w:val="005512DE"/>
    <w:rsid w:val="005512E3"/>
    <w:rsid w:val="00551445"/>
    <w:rsid w:val="0055146D"/>
    <w:rsid w:val="0055152D"/>
    <w:rsid w:val="00551544"/>
    <w:rsid w:val="00551615"/>
    <w:rsid w:val="0055178B"/>
    <w:rsid w:val="0055180D"/>
    <w:rsid w:val="00551872"/>
    <w:rsid w:val="005518F1"/>
    <w:rsid w:val="00551927"/>
    <w:rsid w:val="0055193A"/>
    <w:rsid w:val="00551944"/>
    <w:rsid w:val="00551947"/>
    <w:rsid w:val="005519F9"/>
    <w:rsid w:val="00551A28"/>
    <w:rsid w:val="00551A6E"/>
    <w:rsid w:val="00551AFB"/>
    <w:rsid w:val="00551B5F"/>
    <w:rsid w:val="00551CA9"/>
    <w:rsid w:val="00551CB7"/>
    <w:rsid w:val="00551DC8"/>
    <w:rsid w:val="00551E3D"/>
    <w:rsid w:val="00551E87"/>
    <w:rsid w:val="00551E9D"/>
    <w:rsid w:val="00551EE0"/>
    <w:rsid w:val="00551F27"/>
    <w:rsid w:val="00551FB9"/>
    <w:rsid w:val="00551FBA"/>
    <w:rsid w:val="00552017"/>
    <w:rsid w:val="0055206A"/>
    <w:rsid w:val="005520EA"/>
    <w:rsid w:val="00552110"/>
    <w:rsid w:val="0055213F"/>
    <w:rsid w:val="00552164"/>
    <w:rsid w:val="005521FE"/>
    <w:rsid w:val="00552265"/>
    <w:rsid w:val="0055231C"/>
    <w:rsid w:val="00552360"/>
    <w:rsid w:val="005523BC"/>
    <w:rsid w:val="0055243C"/>
    <w:rsid w:val="00552445"/>
    <w:rsid w:val="00552487"/>
    <w:rsid w:val="005524AC"/>
    <w:rsid w:val="005524B3"/>
    <w:rsid w:val="005524CC"/>
    <w:rsid w:val="0055250B"/>
    <w:rsid w:val="0055252F"/>
    <w:rsid w:val="0055254A"/>
    <w:rsid w:val="0055254B"/>
    <w:rsid w:val="00552575"/>
    <w:rsid w:val="0055260B"/>
    <w:rsid w:val="00552617"/>
    <w:rsid w:val="00552666"/>
    <w:rsid w:val="00552699"/>
    <w:rsid w:val="005526B3"/>
    <w:rsid w:val="0055270A"/>
    <w:rsid w:val="005527EC"/>
    <w:rsid w:val="0055288E"/>
    <w:rsid w:val="005528A3"/>
    <w:rsid w:val="005528EE"/>
    <w:rsid w:val="0055297D"/>
    <w:rsid w:val="005529BD"/>
    <w:rsid w:val="005529D6"/>
    <w:rsid w:val="00552A2E"/>
    <w:rsid w:val="00552AA3"/>
    <w:rsid w:val="00552AF4"/>
    <w:rsid w:val="00552AFE"/>
    <w:rsid w:val="00552B18"/>
    <w:rsid w:val="00552B1D"/>
    <w:rsid w:val="00552B89"/>
    <w:rsid w:val="00552B96"/>
    <w:rsid w:val="00552C31"/>
    <w:rsid w:val="00552CF5"/>
    <w:rsid w:val="00552D3B"/>
    <w:rsid w:val="00552D71"/>
    <w:rsid w:val="00552E33"/>
    <w:rsid w:val="00552E4A"/>
    <w:rsid w:val="00552F78"/>
    <w:rsid w:val="00552FA6"/>
    <w:rsid w:val="00552FD7"/>
    <w:rsid w:val="0055302F"/>
    <w:rsid w:val="005530D1"/>
    <w:rsid w:val="005530EB"/>
    <w:rsid w:val="00553111"/>
    <w:rsid w:val="0055314F"/>
    <w:rsid w:val="0055319B"/>
    <w:rsid w:val="005531A9"/>
    <w:rsid w:val="005531EA"/>
    <w:rsid w:val="00553224"/>
    <w:rsid w:val="005532A3"/>
    <w:rsid w:val="005532A6"/>
    <w:rsid w:val="0055331B"/>
    <w:rsid w:val="00553386"/>
    <w:rsid w:val="00553416"/>
    <w:rsid w:val="005534C6"/>
    <w:rsid w:val="005534F4"/>
    <w:rsid w:val="0055359F"/>
    <w:rsid w:val="005535B6"/>
    <w:rsid w:val="00553680"/>
    <w:rsid w:val="0055371E"/>
    <w:rsid w:val="0055377B"/>
    <w:rsid w:val="005537B9"/>
    <w:rsid w:val="005538F8"/>
    <w:rsid w:val="00553958"/>
    <w:rsid w:val="00553959"/>
    <w:rsid w:val="005539D2"/>
    <w:rsid w:val="00553AB2"/>
    <w:rsid w:val="00553B23"/>
    <w:rsid w:val="00553B25"/>
    <w:rsid w:val="00553B74"/>
    <w:rsid w:val="00553BA6"/>
    <w:rsid w:val="00553BAE"/>
    <w:rsid w:val="00553BB0"/>
    <w:rsid w:val="00553CD0"/>
    <w:rsid w:val="00553D21"/>
    <w:rsid w:val="00553E2D"/>
    <w:rsid w:val="00553E96"/>
    <w:rsid w:val="00553E9E"/>
    <w:rsid w:val="00553EC3"/>
    <w:rsid w:val="00553F0A"/>
    <w:rsid w:val="00553F24"/>
    <w:rsid w:val="00553F6D"/>
    <w:rsid w:val="005540C1"/>
    <w:rsid w:val="005540DE"/>
    <w:rsid w:val="00554145"/>
    <w:rsid w:val="00554202"/>
    <w:rsid w:val="00554220"/>
    <w:rsid w:val="00554230"/>
    <w:rsid w:val="00554297"/>
    <w:rsid w:val="005542A0"/>
    <w:rsid w:val="005542EF"/>
    <w:rsid w:val="00554349"/>
    <w:rsid w:val="005543CD"/>
    <w:rsid w:val="005543E2"/>
    <w:rsid w:val="00554524"/>
    <w:rsid w:val="00554685"/>
    <w:rsid w:val="00554686"/>
    <w:rsid w:val="005546C2"/>
    <w:rsid w:val="005546C8"/>
    <w:rsid w:val="005546DE"/>
    <w:rsid w:val="00554725"/>
    <w:rsid w:val="00554750"/>
    <w:rsid w:val="0055478B"/>
    <w:rsid w:val="00554879"/>
    <w:rsid w:val="00554908"/>
    <w:rsid w:val="0055496D"/>
    <w:rsid w:val="005549C6"/>
    <w:rsid w:val="00554A73"/>
    <w:rsid w:val="00554ABD"/>
    <w:rsid w:val="00554AF3"/>
    <w:rsid w:val="00554CA4"/>
    <w:rsid w:val="00554CCA"/>
    <w:rsid w:val="00554D64"/>
    <w:rsid w:val="00554DCD"/>
    <w:rsid w:val="00554DED"/>
    <w:rsid w:val="00554E1F"/>
    <w:rsid w:val="00554E58"/>
    <w:rsid w:val="00554E61"/>
    <w:rsid w:val="00554E79"/>
    <w:rsid w:val="00554F03"/>
    <w:rsid w:val="00554F05"/>
    <w:rsid w:val="00554F06"/>
    <w:rsid w:val="00554F11"/>
    <w:rsid w:val="00555033"/>
    <w:rsid w:val="0055503E"/>
    <w:rsid w:val="00555123"/>
    <w:rsid w:val="0055512E"/>
    <w:rsid w:val="0055514C"/>
    <w:rsid w:val="0055519D"/>
    <w:rsid w:val="00555205"/>
    <w:rsid w:val="00555209"/>
    <w:rsid w:val="00555210"/>
    <w:rsid w:val="0055525B"/>
    <w:rsid w:val="0055525F"/>
    <w:rsid w:val="00555275"/>
    <w:rsid w:val="00555326"/>
    <w:rsid w:val="005553BA"/>
    <w:rsid w:val="00555477"/>
    <w:rsid w:val="00555488"/>
    <w:rsid w:val="005554CA"/>
    <w:rsid w:val="005554D1"/>
    <w:rsid w:val="005554D2"/>
    <w:rsid w:val="0055559F"/>
    <w:rsid w:val="00555624"/>
    <w:rsid w:val="00555688"/>
    <w:rsid w:val="005556C2"/>
    <w:rsid w:val="005556F4"/>
    <w:rsid w:val="00555765"/>
    <w:rsid w:val="005557DF"/>
    <w:rsid w:val="00555834"/>
    <w:rsid w:val="00555859"/>
    <w:rsid w:val="00555874"/>
    <w:rsid w:val="005558DB"/>
    <w:rsid w:val="0055596D"/>
    <w:rsid w:val="00555AC7"/>
    <w:rsid w:val="00555B6E"/>
    <w:rsid w:val="00555B79"/>
    <w:rsid w:val="00555B88"/>
    <w:rsid w:val="00555C41"/>
    <w:rsid w:val="00555C4B"/>
    <w:rsid w:val="00555CEC"/>
    <w:rsid w:val="00555CFE"/>
    <w:rsid w:val="00555D84"/>
    <w:rsid w:val="00555DAC"/>
    <w:rsid w:val="00555DE7"/>
    <w:rsid w:val="00555DF5"/>
    <w:rsid w:val="00555E74"/>
    <w:rsid w:val="00555EEC"/>
    <w:rsid w:val="00555F33"/>
    <w:rsid w:val="00555F51"/>
    <w:rsid w:val="00555FAA"/>
    <w:rsid w:val="005560C8"/>
    <w:rsid w:val="005560CD"/>
    <w:rsid w:val="0055623C"/>
    <w:rsid w:val="00556341"/>
    <w:rsid w:val="005563AD"/>
    <w:rsid w:val="005565A3"/>
    <w:rsid w:val="0055661B"/>
    <w:rsid w:val="00556645"/>
    <w:rsid w:val="00556698"/>
    <w:rsid w:val="005566C9"/>
    <w:rsid w:val="005566E8"/>
    <w:rsid w:val="00556772"/>
    <w:rsid w:val="005567BF"/>
    <w:rsid w:val="00556841"/>
    <w:rsid w:val="0055685D"/>
    <w:rsid w:val="00556893"/>
    <w:rsid w:val="005568AD"/>
    <w:rsid w:val="00556902"/>
    <w:rsid w:val="00556928"/>
    <w:rsid w:val="0055694A"/>
    <w:rsid w:val="0055697F"/>
    <w:rsid w:val="00556981"/>
    <w:rsid w:val="00556B02"/>
    <w:rsid w:val="00556B0C"/>
    <w:rsid w:val="00556B3B"/>
    <w:rsid w:val="00556B44"/>
    <w:rsid w:val="00556BD5"/>
    <w:rsid w:val="00556BE7"/>
    <w:rsid w:val="00556C20"/>
    <w:rsid w:val="00556C3B"/>
    <w:rsid w:val="00556C59"/>
    <w:rsid w:val="00556D3B"/>
    <w:rsid w:val="00556DDB"/>
    <w:rsid w:val="00556E56"/>
    <w:rsid w:val="00556EC6"/>
    <w:rsid w:val="00556ED5"/>
    <w:rsid w:val="00556F6D"/>
    <w:rsid w:val="00556FF9"/>
    <w:rsid w:val="0055705C"/>
    <w:rsid w:val="00557129"/>
    <w:rsid w:val="005571B8"/>
    <w:rsid w:val="005571F5"/>
    <w:rsid w:val="005571FA"/>
    <w:rsid w:val="00557205"/>
    <w:rsid w:val="005572A1"/>
    <w:rsid w:val="00557318"/>
    <w:rsid w:val="005573A2"/>
    <w:rsid w:val="005573FC"/>
    <w:rsid w:val="005574CF"/>
    <w:rsid w:val="005575D4"/>
    <w:rsid w:val="00557666"/>
    <w:rsid w:val="00557676"/>
    <w:rsid w:val="005576D0"/>
    <w:rsid w:val="0055772E"/>
    <w:rsid w:val="005577A1"/>
    <w:rsid w:val="005577A7"/>
    <w:rsid w:val="005577D0"/>
    <w:rsid w:val="005577D8"/>
    <w:rsid w:val="00557A2B"/>
    <w:rsid w:val="00557A77"/>
    <w:rsid w:val="00557B62"/>
    <w:rsid w:val="00557B68"/>
    <w:rsid w:val="00557B98"/>
    <w:rsid w:val="00557C3E"/>
    <w:rsid w:val="00557C95"/>
    <w:rsid w:val="00557CF4"/>
    <w:rsid w:val="00557D72"/>
    <w:rsid w:val="00557DE4"/>
    <w:rsid w:val="00557E43"/>
    <w:rsid w:val="00557E69"/>
    <w:rsid w:val="00557EA6"/>
    <w:rsid w:val="00557EEA"/>
    <w:rsid w:val="00557F3D"/>
    <w:rsid w:val="00557F5B"/>
    <w:rsid w:val="00560005"/>
    <w:rsid w:val="005601CF"/>
    <w:rsid w:val="005602C2"/>
    <w:rsid w:val="005602EE"/>
    <w:rsid w:val="00560373"/>
    <w:rsid w:val="005603EB"/>
    <w:rsid w:val="00560438"/>
    <w:rsid w:val="00560465"/>
    <w:rsid w:val="0056046D"/>
    <w:rsid w:val="005604DE"/>
    <w:rsid w:val="0056050C"/>
    <w:rsid w:val="005605DA"/>
    <w:rsid w:val="00560643"/>
    <w:rsid w:val="00560761"/>
    <w:rsid w:val="0056078A"/>
    <w:rsid w:val="00560891"/>
    <w:rsid w:val="005608AB"/>
    <w:rsid w:val="00560946"/>
    <w:rsid w:val="00560A12"/>
    <w:rsid w:val="00560A9E"/>
    <w:rsid w:val="00560AA9"/>
    <w:rsid w:val="00560AD1"/>
    <w:rsid w:val="00560B0F"/>
    <w:rsid w:val="00560B13"/>
    <w:rsid w:val="00560B4F"/>
    <w:rsid w:val="00560C55"/>
    <w:rsid w:val="00560C63"/>
    <w:rsid w:val="00560D33"/>
    <w:rsid w:val="00560D3A"/>
    <w:rsid w:val="00560E3B"/>
    <w:rsid w:val="00560E3D"/>
    <w:rsid w:val="00560E97"/>
    <w:rsid w:val="00560ECD"/>
    <w:rsid w:val="00560EDC"/>
    <w:rsid w:val="00560F92"/>
    <w:rsid w:val="00561027"/>
    <w:rsid w:val="00561070"/>
    <w:rsid w:val="005610A2"/>
    <w:rsid w:val="005611EB"/>
    <w:rsid w:val="005611FC"/>
    <w:rsid w:val="00561329"/>
    <w:rsid w:val="005614CF"/>
    <w:rsid w:val="00561522"/>
    <w:rsid w:val="00561565"/>
    <w:rsid w:val="00561586"/>
    <w:rsid w:val="00561663"/>
    <w:rsid w:val="005616E8"/>
    <w:rsid w:val="005617A1"/>
    <w:rsid w:val="00561837"/>
    <w:rsid w:val="005618F7"/>
    <w:rsid w:val="00561A22"/>
    <w:rsid w:val="00561A39"/>
    <w:rsid w:val="00561AFA"/>
    <w:rsid w:val="00561BBC"/>
    <w:rsid w:val="00561C17"/>
    <w:rsid w:val="00561C76"/>
    <w:rsid w:val="00561D36"/>
    <w:rsid w:val="00561E10"/>
    <w:rsid w:val="00561EF3"/>
    <w:rsid w:val="00561F30"/>
    <w:rsid w:val="00561F40"/>
    <w:rsid w:val="00561FBE"/>
    <w:rsid w:val="00562037"/>
    <w:rsid w:val="0056203C"/>
    <w:rsid w:val="005620E7"/>
    <w:rsid w:val="00562131"/>
    <w:rsid w:val="00562139"/>
    <w:rsid w:val="00562192"/>
    <w:rsid w:val="005622A6"/>
    <w:rsid w:val="005622AE"/>
    <w:rsid w:val="00562314"/>
    <w:rsid w:val="00562319"/>
    <w:rsid w:val="0056232B"/>
    <w:rsid w:val="00562348"/>
    <w:rsid w:val="0056258F"/>
    <w:rsid w:val="005625DF"/>
    <w:rsid w:val="005625F7"/>
    <w:rsid w:val="0056261D"/>
    <w:rsid w:val="0056269B"/>
    <w:rsid w:val="005626B2"/>
    <w:rsid w:val="005626C6"/>
    <w:rsid w:val="00562763"/>
    <w:rsid w:val="00562764"/>
    <w:rsid w:val="00562965"/>
    <w:rsid w:val="005629B2"/>
    <w:rsid w:val="005629B5"/>
    <w:rsid w:val="00562A17"/>
    <w:rsid w:val="00562BC0"/>
    <w:rsid w:val="00562D57"/>
    <w:rsid w:val="00562D59"/>
    <w:rsid w:val="00562D99"/>
    <w:rsid w:val="00562E23"/>
    <w:rsid w:val="00562E37"/>
    <w:rsid w:val="00562F0D"/>
    <w:rsid w:val="00562FF2"/>
    <w:rsid w:val="005631D8"/>
    <w:rsid w:val="00563202"/>
    <w:rsid w:val="005632BB"/>
    <w:rsid w:val="00563387"/>
    <w:rsid w:val="0056339E"/>
    <w:rsid w:val="00563403"/>
    <w:rsid w:val="005634EF"/>
    <w:rsid w:val="0056351E"/>
    <w:rsid w:val="0056354F"/>
    <w:rsid w:val="0056356B"/>
    <w:rsid w:val="0056357F"/>
    <w:rsid w:val="00563597"/>
    <w:rsid w:val="0056362C"/>
    <w:rsid w:val="0056375C"/>
    <w:rsid w:val="005637A4"/>
    <w:rsid w:val="005637E5"/>
    <w:rsid w:val="005637F8"/>
    <w:rsid w:val="00563843"/>
    <w:rsid w:val="00563918"/>
    <w:rsid w:val="00563AA8"/>
    <w:rsid w:val="00563ABD"/>
    <w:rsid w:val="00563AD1"/>
    <w:rsid w:val="00563AFA"/>
    <w:rsid w:val="00563C3F"/>
    <w:rsid w:val="00563C5E"/>
    <w:rsid w:val="00563C9F"/>
    <w:rsid w:val="00563CAF"/>
    <w:rsid w:val="00563D6D"/>
    <w:rsid w:val="00563D78"/>
    <w:rsid w:val="00563DB0"/>
    <w:rsid w:val="00563EE9"/>
    <w:rsid w:val="00563F03"/>
    <w:rsid w:val="00564055"/>
    <w:rsid w:val="00564057"/>
    <w:rsid w:val="005640F6"/>
    <w:rsid w:val="0056411D"/>
    <w:rsid w:val="00564169"/>
    <w:rsid w:val="00564174"/>
    <w:rsid w:val="005641C0"/>
    <w:rsid w:val="005641E8"/>
    <w:rsid w:val="00564236"/>
    <w:rsid w:val="005642B2"/>
    <w:rsid w:val="005642BC"/>
    <w:rsid w:val="00564354"/>
    <w:rsid w:val="00564385"/>
    <w:rsid w:val="005643A3"/>
    <w:rsid w:val="0056440E"/>
    <w:rsid w:val="0056443A"/>
    <w:rsid w:val="00564459"/>
    <w:rsid w:val="00564587"/>
    <w:rsid w:val="00564607"/>
    <w:rsid w:val="00564611"/>
    <w:rsid w:val="00564681"/>
    <w:rsid w:val="0056469F"/>
    <w:rsid w:val="00564740"/>
    <w:rsid w:val="00564771"/>
    <w:rsid w:val="005647D5"/>
    <w:rsid w:val="005647F2"/>
    <w:rsid w:val="00564844"/>
    <w:rsid w:val="0056488F"/>
    <w:rsid w:val="00564996"/>
    <w:rsid w:val="005649AA"/>
    <w:rsid w:val="005649BF"/>
    <w:rsid w:val="00564A22"/>
    <w:rsid w:val="00564A23"/>
    <w:rsid w:val="00564A40"/>
    <w:rsid w:val="00564A84"/>
    <w:rsid w:val="00564BCF"/>
    <w:rsid w:val="00564C91"/>
    <w:rsid w:val="00564C9D"/>
    <w:rsid w:val="00564CDC"/>
    <w:rsid w:val="00564D60"/>
    <w:rsid w:val="00564DB2"/>
    <w:rsid w:val="00564ED2"/>
    <w:rsid w:val="00564F18"/>
    <w:rsid w:val="00564FD2"/>
    <w:rsid w:val="005650C2"/>
    <w:rsid w:val="00565173"/>
    <w:rsid w:val="00565188"/>
    <w:rsid w:val="005651AF"/>
    <w:rsid w:val="005651DB"/>
    <w:rsid w:val="00565279"/>
    <w:rsid w:val="005653E5"/>
    <w:rsid w:val="005653F8"/>
    <w:rsid w:val="00565426"/>
    <w:rsid w:val="0056543B"/>
    <w:rsid w:val="0056545B"/>
    <w:rsid w:val="0056549F"/>
    <w:rsid w:val="00565522"/>
    <w:rsid w:val="005655C0"/>
    <w:rsid w:val="00565795"/>
    <w:rsid w:val="005657C9"/>
    <w:rsid w:val="00565807"/>
    <w:rsid w:val="00565815"/>
    <w:rsid w:val="00565B88"/>
    <w:rsid w:val="00565C17"/>
    <w:rsid w:val="00565CC0"/>
    <w:rsid w:val="00565D01"/>
    <w:rsid w:val="00565D87"/>
    <w:rsid w:val="00565D9C"/>
    <w:rsid w:val="00565E01"/>
    <w:rsid w:val="00565E8C"/>
    <w:rsid w:val="00565F16"/>
    <w:rsid w:val="00565FB8"/>
    <w:rsid w:val="0056602E"/>
    <w:rsid w:val="0056606E"/>
    <w:rsid w:val="00566098"/>
    <w:rsid w:val="0056610E"/>
    <w:rsid w:val="00566179"/>
    <w:rsid w:val="00566183"/>
    <w:rsid w:val="0056619A"/>
    <w:rsid w:val="00566221"/>
    <w:rsid w:val="0056624C"/>
    <w:rsid w:val="0056638C"/>
    <w:rsid w:val="005663A1"/>
    <w:rsid w:val="00566410"/>
    <w:rsid w:val="00566437"/>
    <w:rsid w:val="005664C2"/>
    <w:rsid w:val="005664D2"/>
    <w:rsid w:val="00566510"/>
    <w:rsid w:val="0056659D"/>
    <w:rsid w:val="005665DB"/>
    <w:rsid w:val="00566601"/>
    <w:rsid w:val="00566631"/>
    <w:rsid w:val="00566650"/>
    <w:rsid w:val="00566692"/>
    <w:rsid w:val="005666DD"/>
    <w:rsid w:val="00566801"/>
    <w:rsid w:val="005668D6"/>
    <w:rsid w:val="005668F5"/>
    <w:rsid w:val="00566976"/>
    <w:rsid w:val="00566991"/>
    <w:rsid w:val="00566B33"/>
    <w:rsid w:val="00566BB7"/>
    <w:rsid w:val="00566C17"/>
    <w:rsid w:val="00566CDD"/>
    <w:rsid w:val="00566CFF"/>
    <w:rsid w:val="00566D23"/>
    <w:rsid w:val="00566DC2"/>
    <w:rsid w:val="00566DE8"/>
    <w:rsid w:val="00566E7D"/>
    <w:rsid w:val="00566EFA"/>
    <w:rsid w:val="00566FE0"/>
    <w:rsid w:val="0056705C"/>
    <w:rsid w:val="005670BF"/>
    <w:rsid w:val="005670DF"/>
    <w:rsid w:val="005671AB"/>
    <w:rsid w:val="005671D5"/>
    <w:rsid w:val="00567283"/>
    <w:rsid w:val="005672C2"/>
    <w:rsid w:val="005672F7"/>
    <w:rsid w:val="005673FF"/>
    <w:rsid w:val="00567451"/>
    <w:rsid w:val="005674A3"/>
    <w:rsid w:val="005674D6"/>
    <w:rsid w:val="005674FB"/>
    <w:rsid w:val="005675EE"/>
    <w:rsid w:val="00567606"/>
    <w:rsid w:val="00567619"/>
    <w:rsid w:val="005676C7"/>
    <w:rsid w:val="00567926"/>
    <w:rsid w:val="0056793F"/>
    <w:rsid w:val="0056797D"/>
    <w:rsid w:val="00567A72"/>
    <w:rsid w:val="00567B5A"/>
    <w:rsid w:val="00567B65"/>
    <w:rsid w:val="00567BAE"/>
    <w:rsid w:val="00567CAD"/>
    <w:rsid w:val="00567CDB"/>
    <w:rsid w:val="00567D49"/>
    <w:rsid w:val="00567E82"/>
    <w:rsid w:val="00567E93"/>
    <w:rsid w:val="00567EBE"/>
    <w:rsid w:val="00567F45"/>
    <w:rsid w:val="005700A3"/>
    <w:rsid w:val="005700DA"/>
    <w:rsid w:val="0057013D"/>
    <w:rsid w:val="0057015B"/>
    <w:rsid w:val="0057023C"/>
    <w:rsid w:val="005702BD"/>
    <w:rsid w:val="00570301"/>
    <w:rsid w:val="00570308"/>
    <w:rsid w:val="00570326"/>
    <w:rsid w:val="00570342"/>
    <w:rsid w:val="00570409"/>
    <w:rsid w:val="00570460"/>
    <w:rsid w:val="005704AC"/>
    <w:rsid w:val="005704DC"/>
    <w:rsid w:val="00570529"/>
    <w:rsid w:val="00570591"/>
    <w:rsid w:val="005705A6"/>
    <w:rsid w:val="00570652"/>
    <w:rsid w:val="005706C4"/>
    <w:rsid w:val="005706D0"/>
    <w:rsid w:val="00570823"/>
    <w:rsid w:val="0057082D"/>
    <w:rsid w:val="005708B0"/>
    <w:rsid w:val="00570950"/>
    <w:rsid w:val="00570983"/>
    <w:rsid w:val="00570AA2"/>
    <w:rsid w:val="00570B57"/>
    <w:rsid w:val="00570CE2"/>
    <w:rsid w:val="00570D36"/>
    <w:rsid w:val="00570D81"/>
    <w:rsid w:val="00570E0E"/>
    <w:rsid w:val="00570E3D"/>
    <w:rsid w:val="00570E56"/>
    <w:rsid w:val="00571029"/>
    <w:rsid w:val="0057103F"/>
    <w:rsid w:val="00571052"/>
    <w:rsid w:val="005710EF"/>
    <w:rsid w:val="005710F3"/>
    <w:rsid w:val="00571106"/>
    <w:rsid w:val="00571133"/>
    <w:rsid w:val="005711BF"/>
    <w:rsid w:val="005711F2"/>
    <w:rsid w:val="00571224"/>
    <w:rsid w:val="0057124E"/>
    <w:rsid w:val="005712E7"/>
    <w:rsid w:val="005712F3"/>
    <w:rsid w:val="00571301"/>
    <w:rsid w:val="00571344"/>
    <w:rsid w:val="00571481"/>
    <w:rsid w:val="00571592"/>
    <w:rsid w:val="005715AB"/>
    <w:rsid w:val="005715F6"/>
    <w:rsid w:val="00571609"/>
    <w:rsid w:val="00571656"/>
    <w:rsid w:val="00571671"/>
    <w:rsid w:val="005716A3"/>
    <w:rsid w:val="00571700"/>
    <w:rsid w:val="00571773"/>
    <w:rsid w:val="00571779"/>
    <w:rsid w:val="00571814"/>
    <w:rsid w:val="0057195E"/>
    <w:rsid w:val="005719D4"/>
    <w:rsid w:val="00571A0F"/>
    <w:rsid w:val="00571A77"/>
    <w:rsid w:val="00571B2C"/>
    <w:rsid w:val="00571B89"/>
    <w:rsid w:val="00571BCC"/>
    <w:rsid w:val="00571C4A"/>
    <w:rsid w:val="00571D32"/>
    <w:rsid w:val="00571D62"/>
    <w:rsid w:val="00571D68"/>
    <w:rsid w:val="00571D71"/>
    <w:rsid w:val="00571DEF"/>
    <w:rsid w:val="00571E2C"/>
    <w:rsid w:val="00571E86"/>
    <w:rsid w:val="00571EA9"/>
    <w:rsid w:val="00571F38"/>
    <w:rsid w:val="00571F5B"/>
    <w:rsid w:val="00571FB4"/>
    <w:rsid w:val="00571FE7"/>
    <w:rsid w:val="00571FEB"/>
    <w:rsid w:val="00572015"/>
    <w:rsid w:val="005720BC"/>
    <w:rsid w:val="005721EA"/>
    <w:rsid w:val="00572226"/>
    <w:rsid w:val="00572254"/>
    <w:rsid w:val="00572295"/>
    <w:rsid w:val="005722CF"/>
    <w:rsid w:val="0057231F"/>
    <w:rsid w:val="0057236D"/>
    <w:rsid w:val="005723C1"/>
    <w:rsid w:val="005723C7"/>
    <w:rsid w:val="005723EA"/>
    <w:rsid w:val="005724DA"/>
    <w:rsid w:val="0057253F"/>
    <w:rsid w:val="005725A4"/>
    <w:rsid w:val="005725E9"/>
    <w:rsid w:val="00572805"/>
    <w:rsid w:val="0057285E"/>
    <w:rsid w:val="005728A0"/>
    <w:rsid w:val="005728B3"/>
    <w:rsid w:val="005728D5"/>
    <w:rsid w:val="00572932"/>
    <w:rsid w:val="00572998"/>
    <w:rsid w:val="005729D6"/>
    <w:rsid w:val="00572A91"/>
    <w:rsid w:val="00572B53"/>
    <w:rsid w:val="00572BF8"/>
    <w:rsid w:val="00572CB4"/>
    <w:rsid w:val="00572D62"/>
    <w:rsid w:val="00572E07"/>
    <w:rsid w:val="00572E0E"/>
    <w:rsid w:val="00572E2E"/>
    <w:rsid w:val="00572E3C"/>
    <w:rsid w:val="00572E44"/>
    <w:rsid w:val="00572E6E"/>
    <w:rsid w:val="00572EC0"/>
    <w:rsid w:val="00572F0A"/>
    <w:rsid w:val="00572F3F"/>
    <w:rsid w:val="00572FE1"/>
    <w:rsid w:val="0057305C"/>
    <w:rsid w:val="00573066"/>
    <w:rsid w:val="005730AE"/>
    <w:rsid w:val="005730C5"/>
    <w:rsid w:val="00573135"/>
    <w:rsid w:val="005731EA"/>
    <w:rsid w:val="0057326D"/>
    <w:rsid w:val="0057329C"/>
    <w:rsid w:val="005732A7"/>
    <w:rsid w:val="00573321"/>
    <w:rsid w:val="005733E1"/>
    <w:rsid w:val="00573453"/>
    <w:rsid w:val="005734B7"/>
    <w:rsid w:val="005734E0"/>
    <w:rsid w:val="0057350C"/>
    <w:rsid w:val="0057350F"/>
    <w:rsid w:val="0057351A"/>
    <w:rsid w:val="0057352C"/>
    <w:rsid w:val="00573562"/>
    <w:rsid w:val="005735AD"/>
    <w:rsid w:val="005736A5"/>
    <w:rsid w:val="005736AA"/>
    <w:rsid w:val="0057373D"/>
    <w:rsid w:val="00573795"/>
    <w:rsid w:val="005737B4"/>
    <w:rsid w:val="005738D6"/>
    <w:rsid w:val="0057399C"/>
    <w:rsid w:val="005739EE"/>
    <w:rsid w:val="00573A42"/>
    <w:rsid w:val="00573A64"/>
    <w:rsid w:val="00573B05"/>
    <w:rsid w:val="00573B8C"/>
    <w:rsid w:val="00573C3A"/>
    <w:rsid w:val="00573C7F"/>
    <w:rsid w:val="00573CCB"/>
    <w:rsid w:val="00573D1A"/>
    <w:rsid w:val="00573D45"/>
    <w:rsid w:val="00573D79"/>
    <w:rsid w:val="00573D8A"/>
    <w:rsid w:val="00573DA7"/>
    <w:rsid w:val="00573DBD"/>
    <w:rsid w:val="00573E48"/>
    <w:rsid w:val="00573E74"/>
    <w:rsid w:val="00573E7E"/>
    <w:rsid w:val="00573F31"/>
    <w:rsid w:val="00573F8E"/>
    <w:rsid w:val="00573FEE"/>
    <w:rsid w:val="00574032"/>
    <w:rsid w:val="00574048"/>
    <w:rsid w:val="0057405A"/>
    <w:rsid w:val="0057408D"/>
    <w:rsid w:val="00574109"/>
    <w:rsid w:val="0057419C"/>
    <w:rsid w:val="005741A1"/>
    <w:rsid w:val="005741A2"/>
    <w:rsid w:val="00574232"/>
    <w:rsid w:val="00574245"/>
    <w:rsid w:val="00574249"/>
    <w:rsid w:val="005742A6"/>
    <w:rsid w:val="0057430E"/>
    <w:rsid w:val="005743EA"/>
    <w:rsid w:val="0057445E"/>
    <w:rsid w:val="00574491"/>
    <w:rsid w:val="005744EE"/>
    <w:rsid w:val="0057457F"/>
    <w:rsid w:val="005745E6"/>
    <w:rsid w:val="005747E3"/>
    <w:rsid w:val="005747E9"/>
    <w:rsid w:val="005748AE"/>
    <w:rsid w:val="0057494D"/>
    <w:rsid w:val="005749D0"/>
    <w:rsid w:val="005749F3"/>
    <w:rsid w:val="00574AC1"/>
    <w:rsid w:val="00574AC6"/>
    <w:rsid w:val="00574C19"/>
    <w:rsid w:val="00574C3B"/>
    <w:rsid w:val="00574C45"/>
    <w:rsid w:val="00574C8A"/>
    <w:rsid w:val="00574CA4"/>
    <w:rsid w:val="00574CB7"/>
    <w:rsid w:val="00574D4D"/>
    <w:rsid w:val="00574D50"/>
    <w:rsid w:val="00574D90"/>
    <w:rsid w:val="00574F16"/>
    <w:rsid w:val="00574F8D"/>
    <w:rsid w:val="00574FAB"/>
    <w:rsid w:val="00575062"/>
    <w:rsid w:val="00575063"/>
    <w:rsid w:val="005751D5"/>
    <w:rsid w:val="00575213"/>
    <w:rsid w:val="00575271"/>
    <w:rsid w:val="00575331"/>
    <w:rsid w:val="00575395"/>
    <w:rsid w:val="00575400"/>
    <w:rsid w:val="00575468"/>
    <w:rsid w:val="005754BD"/>
    <w:rsid w:val="005755CF"/>
    <w:rsid w:val="00575611"/>
    <w:rsid w:val="00575693"/>
    <w:rsid w:val="0057570D"/>
    <w:rsid w:val="00575718"/>
    <w:rsid w:val="005757AC"/>
    <w:rsid w:val="0057583A"/>
    <w:rsid w:val="005758BD"/>
    <w:rsid w:val="00575961"/>
    <w:rsid w:val="00575994"/>
    <w:rsid w:val="005759C0"/>
    <w:rsid w:val="005759D5"/>
    <w:rsid w:val="00575A4D"/>
    <w:rsid w:val="00575A51"/>
    <w:rsid w:val="00575A5D"/>
    <w:rsid w:val="00575A8D"/>
    <w:rsid w:val="00575A94"/>
    <w:rsid w:val="00575C67"/>
    <w:rsid w:val="00575C70"/>
    <w:rsid w:val="00575CF3"/>
    <w:rsid w:val="00575D4F"/>
    <w:rsid w:val="00575E15"/>
    <w:rsid w:val="00575E1A"/>
    <w:rsid w:val="00575E95"/>
    <w:rsid w:val="00575E96"/>
    <w:rsid w:val="00575EB2"/>
    <w:rsid w:val="00575F10"/>
    <w:rsid w:val="00575F3F"/>
    <w:rsid w:val="00575FDF"/>
    <w:rsid w:val="00575FE5"/>
    <w:rsid w:val="00576150"/>
    <w:rsid w:val="005762C9"/>
    <w:rsid w:val="005762E0"/>
    <w:rsid w:val="005762EF"/>
    <w:rsid w:val="005763D7"/>
    <w:rsid w:val="005763E3"/>
    <w:rsid w:val="00576468"/>
    <w:rsid w:val="0057647D"/>
    <w:rsid w:val="00576491"/>
    <w:rsid w:val="005764BF"/>
    <w:rsid w:val="0057651F"/>
    <w:rsid w:val="00576540"/>
    <w:rsid w:val="00576574"/>
    <w:rsid w:val="005765B1"/>
    <w:rsid w:val="005765BE"/>
    <w:rsid w:val="0057663E"/>
    <w:rsid w:val="00576644"/>
    <w:rsid w:val="00576668"/>
    <w:rsid w:val="00576698"/>
    <w:rsid w:val="005766DF"/>
    <w:rsid w:val="00576758"/>
    <w:rsid w:val="00576804"/>
    <w:rsid w:val="00576900"/>
    <w:rsid w:val="00576A75"/>
    <w:rsid w:val="00576B4C"/>
    <w:rsid w:val="00576BED"/>
    <w:rsid w:val="00576BF4"/>
    <w:rsid w:val="00576C02"/>
    <w:rsid w:val="00576C53"/>
    <w:rsid w:val="00576CD3"/>
    <w:rsid w:val="00576D13"/>
    <w:rsid w:val="00576DFD"/>
    <w:rsid w:val="00576DFE"/>
    <w:rsid w:val="00576E12"/>
    <w:rsid w:val="00576ED3"/>
    <w:rsid w:val="00576ED9"/>
    <w:rsid w:val="00576F91"/>
    <w:rsid w:val="0057706F"/>
    <w:rsid w:val="00577093"/>
    <w:rsid w:val="0057709C"/>
    <w:rsid w:val="005770F0"/>
    <w:rsid w:val="0057716C"/>
    <w:rsid w:val="00577171"/>
    <w:rsid w:val="00577412"/>
    <w:rsid w:val="00577461"/>
    <w:rsid w:val="005774AF"/>
    <w:rsid w:val="005774F7"/>
    <w:rsid w:val="0057755B"/>
    <w:rsid w:val="00577604"/>
    <w:rsid w:val="00577623"/>
    <w:rsid w:val="0057764D"/>
    <w:rsid w:val="0057765E"/>
    <w:rsid w:val="005776D9"/>
    <w:rsid w:val="00577755"/>
    <w:rsid w:val="00577789"/>
    <w:rsid w:val="005777D3"/>
    <w:rsid w:val="00577826"/>
    <w:rsid w:val="00577862"/>
    <w:rsid w:val="00577874"/>
    <w:rsid w:val="00577887"/>
    <w:rsid w:val="00577909"/>
    <w:rsid w:val="00577992"/>
    <w:rsid w:val="005779B4"/>
    <w:rsid w:val="005779BF"/>
    <w:rsid w:val="00577A7F"/>
    <w:rsid w:val="00577C5A"/>
    <w:rsid w:val="00577C98"/>
    <w:rsid w:val="00577D1A"/>
    <w:rsid w:val="00577D7D"/>
    <w:rsid w:val="00577D96"/>
    <w:rsid w:val="00577DB4"/>
    <w:rsid w:val="00577E15"/>
    <w:rsid w:val="00577E61"/>
    <w:rsid w:val="00577E96"/>
    <w:rsid w:val="00577ED8"/>
    <w:rsid w:val="00577F25"/>
    <w:rsid w:val="00577FAA"/>
    <w:rsid w:val="00578EE7"/>
    <w:rsid w:val="00580082"/>
    <w:rsid w:val="0058008A"/>
    <w:rsid w:val="005800FD"/>
    <w:rsid w:val="005801AD"/>
    <w:rsid w:val="005801C2"/>
    <w:rsid w:val="0058021D"/>
    <w:rsid w:val="00580285"/>
    <w:rsid w:val="00580320"/>
    <w:rsid w:val="005803ED"/>
    <w:rsid w:val="00580430"/>
    <w:rsid w:val="00580438"/>
    <w:rsid w:val="00580465"/>
    <w:rsid w:val="005806B9"/>
    <w:rsid w:val="0058077F"/>
    <w:rsid w:val="00580794"/>
    <w:rsid w:val="005807B6"/>
    <w:rsid w:val="005807D1"/>
    <w:rsid w:val="005807E9"/>
    <w:rsid w:val="005807EE"/>
    <w:rsid w:val="00580803"/>
    <w:rsid w:val="005808DD"/>
    <w:rsid w:val="005809E4"/>
    <w:rsid w:val="00580A06"/>
    <w:rsid w:val="00580A11"/>
    <w:rsid w:val="00580A15"/>
    <w:rsid w:val="00580A4E"/>
    <w:rsid w:val="00580B19"/>
    <w:rsid w:val="00580BAC"/>
    <w:rsid w:val="00580CA0"/>
    <w:rsid w:val="00580CB5"/>
    <w:rsid w:val="00580CEC"/>
    <w:rsid w:val="00580D05"/>
    <w:rsid w:val="00580D3B"/>
    <w:rsid w:val="00580DDF"/>
    <w:rsid w:val="00580E2E"/>
    <w:rsid w:val="00580EE9"/>
    <w:rsid w:val="00580EF1"/>
    <w:rsid w:val="00580F37"/>
    <w:rsid w:val="00581009"/>
    <w:rsid w:val="00581081"/>
    <w:rsid w:val="00581124"/>
    <w:rsid w:val="0058123E"/>
    <w:rsid w:val="005812B1"/>
    <w:rsid w:val="00581375"/>
    <w:rsid w:val="005813B9"/>
    <w:rsid w:val="0058141E"/>
    <w:rsid w:val="0058147B"/>
    <w:rsid w:val="005814C1"/>
    <w:rsid w:val="00581509"/>
    <w:rsid w:val="005815C6"/>
    <w:rsid w:val="0058161B"/>
    <w:rsid w:val="005816B8"/>
    <w:rsid w:val="005816D3"/>
    <w:rsid w:val="005816ED"/>
    <w:rsid w:val="00581761"/>
    <w:rsid w:val="00581938"/>
    <w:rsid w:val="0058195F"/>
    <w:rsid w:val="0058196E"/>
    <w:rsid w:val="00581978"/>
    <w:rsid w:val="00581A32"/>
    <w:rsid w:val="00581A46"/>
    <w:rsid w:val="00581A48"/>
    <w:rsid w:val="00581A73"/>
    <w:rsid w:val="00581A8A"/>
    <w:rsid w:val="00581A92"/>
    <w:rsid w:val="00581AB1"/>
    <w:rsid w:val="00581AC9"/>
    <w:rsid w:val="00581B3A"/>
    <w:rsid w:val="00581B62"/>
    <w:rsid w:val="00581D4D"/>
    <w:rsid w:val="00581D62"/>
    <w:rsid w:val="00581D9D"/>
    <w:rsid w:val="00581DC5"/>
    <w:rsid w:val="00581E37"/>
    <w:rsid w:val="00581F1E"/>
    <w:rsid w:val="00581F61"/>
    <w:rsid w:val="00581FB5"/>
    <w:rsid w:val="00581FCD"/>
    <w:rsid w:val="00582051"/>
    <w:rsid w:val="00582060"/>
    <w:rsid w:val="00582085"/>
    <w:rsid w:val="005820CF"/>
    <w:rsid w:val="005820FD"/>
    <w:rsid w:val="00582122"/>
    <w:rsid w:val="0058218E"/>
    <w:rsid w:val="005821E2"/>
    <w:rsid w:val="005821E4"/>
    <w:rsid w:val="0058224E"/>
    <w:rsid w:val="005822CD"/>
    <w:rsid w:val="00582333"/>
    <w:rsid w:val="005823DE"/>
    <w:rsid w:val="005824BA"/>
    <w:rsid w:val="005824DC"/>
    <w:rsid w:val="00582552"/>
    <w:rsid w:val="0058265C"/>
    <w:rsid w:val="00582696"/>
    <w:rsid w:val="0058282D"/>
    <w:rsid w:val="00582848"/>
    <w:rsid w:val="005828E3"/>
    <w:rsid w:val="0058292D"/>
    <w:rsid w:val="00582997"/>
    <w:rsid w:val="00582A8B"/>
    <w:rsid w:val="00582B04"/>
    <w:rsid w:val="00582B0C"/>
    <w:rsid w:val="00582B15"/>
    <w:rsid w:val="00582BE0"/>
    <w:rsid w:val="00582BFB"/>
    <w:rsid w:val="00582C08"/>
    <w:rsid w:val="00582C1C"/>
    <w:rsid w:val="00582C27"/>
    <w:rsid w:val="00582CE9"/>
    <w:rsid w:val="00582D0F"/>
    <w:rsid w:val="00582D2A"/>
    <w:rsid w:val="00582D34"/>
    <w:rsid w:val="00582D6A"/>
    <w:rsid w:val="00582DD7"/>
    <w:rsid w:val="00582E06"/>
    <w:rsid w:val="00582E2B"/>
    <w:rsid w:val="00582E2E"/>
    <w:rsid w:val="00582E49"/>
    <w:rsid w:val="00582E58"/>
    <w:rsid w:val="00582F51"/>
    <w:rsid w:val="00582FB0"/>
    <w:rsid w:val="00582FCD"/>
    <w:rsid w:val="005830AA"/>
    <w:rsid w:val="005830D0"/>
    <w:rsid w:val="00583110"/>
    <w:rsid w:val="0058327B"/>
    <w:rsid w:val="005832AE"/>
    <w:rsid w:val="005832CA"/>
    <w:rsid w:val="0058332A"/>
    <w:rsid w:val="00583375"/>
    <w:rsid w:val="005833A6"/>
    <w:rsid w:val="0058342D"/>
    <w:rsid w:val="00583436"/>
    <w:rsid w:val="00583466"/>
    <w:rsid w:val="005834F0"/>
    <w:rsid w:val="00583518"/>
    <w:rsid w:val="0058353A"/>
    <w:rsid w:val="005836E4"/>
    <w:rsid w:val="0058379E"/>
    <w:rsid w:val="00583868"/>
    <w:rsid w:val="005839A8"/>
    <w:rsid w:val="005839BC"/>
    <w:rsid w:val="005839FA"/>
    <w:rsid w:val="00583BA9"/>
    <w:rsid w:val="00583BF5"/>
    <w:rsid w:val="00583D19"/>
    <w:rsid w:val="00583DC2"/>
    <w:rsid w:val="00583E2A"/>
    <w:rsid w:val="00583ECB"/>
    <w:rsid w:val="00583EF0"/>
    <w:rsid w:val="00583F1E"/>
    <w:rsid w:val="00583F7A"/>
    <w:rsid w:val="00583F95"/>
    <w:rsid w:val="00583FE6"/>
    <w:rsid w:val="00584025"/>
    <w:rsid w:val="00584084"/>
    <w:rsid w:val="0058408F"/>
    <w:rsid w:val="005840E4"/>
    <w:rsid w:val="00584188"/>
    <w:rsid w:val="00584189"/>
    <w:rsid w:val="005842B4"/>
    <w:rsid w:val="005842E0"/>
    <w:rsid w:val="00584382"/>
    <w:rsid w:val="0058439E"/>
    <w:rsid w:val="005844A8"/>
    <w:rsid w:val="005844F7"/>
    <w:rsid w:val="00584521"/>
    <w:rsid w:val="005846E0"/>
    <w:rsid w:val="005847C4"/>
    <w:rsid w:val="005848E8"/>
    <w:rsid w:val="00584970"/>
    <w:rsid w:val="00584AE5"/>
    <w:rsid w:val="00584B5D"/>
    <w:rsid w:val="00584B93"/>
    <w:rsid w:val="00584BEF"/>
    <w:rsid w:val="00584BF8"/>
    <w:rsid w:val="00584C4B"/>
    <w:rsid w:val="00584C70"/>
    <w:rsid w:val="00584C7E"/>
    <w:rsid w:val="00584C88"/>
    <w:rsid w:val="00584CE5"/>
    <w:rsid w:val="00584D1D"/>
    <w:rsid w:val="00584D41"/>
    <w:rsid w:val="00584D45"/>
    <w:rsid w:val="00584D85"/>
    <w:rsid w:val="00584D9A"/>
    <w:rsid w:val="00584DFB"/>
    <w:rsid w:val="00584E95"/>
    <w:rsid w:val="00584EFD"/>
    <w:rsid w:val="00585112"/>
    <w:rsid w:val="005851D7"/>
    <w:rsid w:val="0058523B"/>
    <w:rsid w:val="00585242"/>
    <w:rsid w:val="0058525F"/>
    <w:rsid w:val="00585346"/>
    <w:rsid w:val="00585378"/>
    <w:rsid w:val="00585395"/>
    <w:rsid w:val="005854D5"/>
    <w:rsid w:val="005855B7"/>
    <w:rsid w:val="00585606"/>
    <w:rsid w:val="005856CE"/>
    <w:rsid w:val="00585740"/>
    <w:rsid w:val="0058576B"/>
    <w:rsid w:val="005857AB"/>
    <w:rsid w:val="005857AD"/>
    <w:rsid w:val="005857B3"/>
    <w:rsid w:val="0058583D"/>
    <w:rsid w:val="00585953"/>
    <w:rsid w:val="00585962"/>
    <w:rsid w:val="00585A94"/>
    <w:rsid w:val="00585A95"/>
    <w:rsid w:val="00585B64"/>
    <w:rsid w:val="00585B7A"/>
    <w:rsid w:val="00585B84"/>
    <w:rsid w:val="00585B8D"/>
    <w:rsid w:val="00585BBB"/>
    <w:rsid w:val="00585C08"/>
    <w:rsid w:val="00585E06"/>
    <w:rsid w:val="00585E08"/>
    <w:rsid w:val="00585E0B"/>
    <w:rsid w:val="00585EEF"/>
    <w:rsid w:val="00585EF1"/>
    <w:rsid w:val="00585F39"/>
    <w:rsid w:val="00585FA3"/>
    <w:rsid w:val="0058602E"/>
    <w:rsid w:val="0058609F"/>
    <w:rsid w:val="005861AF"/>
    <w:rsid w:val="005861C8"/>
    <w:rsid w:val="00586219"/>
    <w:rsid w:val="005862E8"/>
    <w:rsid w:val="00586379"/>
    <w:rsid w:val="005863AA"/>
    <w:rsid w:val="005863BB"/>
    <w:rsid w:val="005863F5"/>
    <w:rsid w:val="005864E0"/>
    <w:rsid w:val="00586519"/>
    <w:rsid w:val="005866D4"/>
    <w:rsid w:val="0058670A"/>
    <w:rsid w:val="0058672F"/>
    <w:rsid w:val="005867F2"/>
    <w:rsid w:val="00586823"/>
    <w:rsid w:val="005868C0"/>
    <w:rsid w:val="005868D2"/>
    <w:rsid w:val="00586919"/>
    <w:rsid w:val="00586952"/>
    <w:rsid w:val="00586974"/>
    <w:rsid w:val="005869E4"/>
    <w:rsid w:val="005869F2"/>
    <w:rsid w:val="00586A66"/>
    <w:rsid w:val="00586A93"/>
    <w:rsid w:val="00586B15"/>
    <w:rsid w:val="00586BC1"/>
    <w:rsid w:val="00586C03"/>
    <w:rsid w:val="00586C6A"/>
    <w:rsid w:val="00586D03"/>
    <w:rsid w:val="00586DDA"/>
    <w:rsid w:val="00586E23"/>
    <w:rsid w:val="00586F7F"/>
    <w:rsid w:val="005871BE"/>
    <w:rsid w:val="00587213"/>
    <w:rsid w:val="0058722B"/>
    <w:rsid w:val="0058725D"/>
    <w:rsid w:val="00587278"/>
    <w:rsid w:val="0058729B"/>
    <w:rsid w:val="00587335"/>
    <w:rsid w:val="00587348"/>
    <w:rsid w:val="005873A8"/>
    <w:rsid w:val="005873BF"/>
    <w:rsid w:val="00587426"/>
    <w:rsid w:val="00587496"/>
    <w:rsid w:val="005874B5"/>
    <w:rsid w:val="00587523"/>
    <w:rsid w:val="005876C4"/>
    <w:rsid w:val="005877A2"/>
    <w:rsid w:val="00587885"/>
    <w:rsid w:val="00587911"/>
    <w:rsid w:val="00587A13"/>
    <w:rsid w:val="00587A73"/>
    <w:rsid w:val="00587A78"/>
    <w:rsid w:val="00587AE1"/>
    <w:rsid w:val="00587BC9"/>
    <w:rsid w:val="00587BF3"/>
    <w:rsid w:val="00587CDD"/>
    <w:rsid w:val="00587D53"/>
    <w:rsid w:val="00587E4D"/>
    <w:rsid w:val="00587F29"/>
    <w:rsid w:val="00590124"/>
    <w:rsid w:val="0059012B"/>
    <w:rsid w:val="0059016E"/>
    <w:rsid w:val="0059018E"/>
    <w:rsid w:val="005901CB"/>
    <w:rsid w:val="005901DF"/>
    <w:rsid w:val="005901EA"/>
    <w:rsid w:val="0059021A"/>
    <w:rsid w:val="005902E3"/>
    <w:rsid w:val="00590310"/>
    <w:rsid w:val="00590342"/>
    <w:rsid w:val="00590385"/>
    <w:rsid w:val="00590421"/>
    <w:rsid w:val="00590441"/>
    <w:rsid w:val="00590477"/>
    <w:rsid w:val="005904D8"/>
    <w:rsid w:val="00590522"/>
    <w:rsid w:val="0059055F"/>
    <w:rsid w:val="005905C4"/>
    <w:rsid w:val="005905F6"/>
    <w:rsid w:val="00590635"/>
    <w:rsid w:val="00590637"/>
    <w:rsid w:val="00590687"/>
    <w:rsid w:val="00590696"/>
    <w:rsid w:val="005906A5"/>
    <w:rsid w:val="005906A6"/>
    <w:rsid w:val="00590734"/>
    <w:rsid w:val="005907DE"/>
    <w:rsid w:val="005907E1"/>
    <w:rsid w:val="00590859"/>
    <w:rsid w:val="00590872"/>
    <w:rsid w:val="00590874"/>
    <w:rsid w:val="00590884"/>
    <w:rsid w:val="00590A21"/>
    <w:rsid w:val="00590A53"/>
    <w:rsid w:val="00590AFF"/>
    <w:rsid w:val="00590B5F"/>
    <w:rsid w:val="00590B84"/>
    <w:rsid w:val="00590BCD"/>
    <w:rsid w:val="00590C34"/>
    <w:rsid w:val="00590C4C"/>
    <w:rsid w:val="00590C7C"/>
    <w:rsid w:val="00590CB8"/>
    <w:rsid w:val="00590CC8"/>
    <w:rsid w:val="00590CE1"/>
    <w:rsid w:val="00590CFC"/>
    <w:rsid w:val="00590D46"/>
    <w:rsid w:val="00590D60"/>
    <w:rsid w:val="00590DD4"/>
    <w:rsid w:val="00590E45"/>
    <w:rsid w:val="00590E4F"/>
    <w:rsid w:val="00590E76"/>
    <w:rsid w:val="00590F51"/>
    <w:rsid w:val="00590F61"/>
    <w:rsid w:val="00590F9C"/>
    <w:rsid w:val="00590FF3"/>
    <w:rsid w:val="00591027"/>
    <w:rsid w:val="005910AA"/>
    <w:rsid w:val="005911BD"/>
    <w:rsid w:val="00591288"/>
    <w:rsid w:val="005912B8"/>
    <w:rsid w:val="0059133C"/>
    <w:rsid w:val="0059138A"/>
    <w:rsid w:val="005913B4"/>
    <w:rsid w:val="005913FA"/>
    <w:rsid w:val="0059153D"/>
    <w:rsid w:val="00591563"/>
    <w:rsid w:val="00591631"/>
    <w:rsid w:val="0059164D"/>
    <w:rsid w:val="005916E8"/>
    <w:rsid w:val="0059172A"/>
    <w:rsid w:val="005917EE"/>
    <w:rsid w:val="0059183C"/>
    <w:rsid w:val="00591846"/>
    <w:rsid w:val="0059188A"/>
    <w:rsid w:val="00591893"/>
    <w:rsid w:val="005919FD"/>
    <w:rsid w:val="00591B14"/>
    <w:rsid w:val="00591B22"/>
    <w:rsid w:val="00591B9E"/>
    <w:rsid w:val="00591BD8"/>
    <w:rsid w:val="00591BFD"/>
    <w:rsid w:val="00591C75"/>
    <w:rsid w:val="00591C95"/>
    <w:rsid w:val="00591CAE"/>
    <w:rsid w:val="00591D3E"/>
    <w:rsid w:val="00591D78"/>
    <w:rsid w:val="00591DD1"/>
    <w:rsid w:val="00591DD6"/>
    <w:rsid w:val="00591E6C"/>
    <w:rsid w:val="00591FB4"/>
    <w:rsid w:val="00591FDB"/>
    <w:rsid w:val="00592226"/>
    <w:rsid w:val="005923CB"/>
    <w:rsid w:val="005923D4"/>
    <w:rsid w:val="005923FD"/>
    <w:rsid w:val="00592465"/>
    <w:rsid w:val="005924D8"/>
    <w:rsid w:val="00592582"/>
    <w:rsid w:val="0059258C"/>
    <w:rsid w:val="00592612"/>
    <w:rsid w:val="0059267C"/>
    <w:rsid w:val="00592689"/>
    <w:rsid w:val="0059269F"/>
    <w:rsid w:val="0059272E"/>
    <w:rsid w:val="005927AC"/>
    <w:rsid w:val="005927BE"/>
    <w:rsid w:val="005927E9"/>
    <w:rsid w:val="0059284B"/>
    <w:rsid w:val="00592859"/>
    <w:rsid w:val="0059288A"/>
    <w:rsid w:val="00592895"/>
    <w:rsid w:val="005929AE"/>
    <w:rsid w:val="00592A7A"/>
    <w:rsid w:val="00592ABE"/>
    <w:rsid w:val="00592B43"/>
    <w:rsid w:val="00592BE1"/>
    <w:rsid w:val="00592CC4"/>
    <w:rsid w:val="00592CE2"/>
    <w:rsid w:val="00592D08"/>
    <w:rsid w:val="00592D47"/>
    <w:rsid w:val="00592D53"/>
    <w:rsid w:val="00592E19"/>
    <w:rsid w:val="00592E6E"/>
    <w:rsid w:val="00592E96"/>
    <w:rsid w:val="00592F2A"/>
    <w:rsid w:val="00592F5E"/>
    <w:rsid w:val="00592F8D"/>
    <w:rsid w:val="00592FE2"/>
    <w:rsid w:val="0059306A"/>
    <w:rsid w:val="00593125"/>
    <w:rsid w:val="0059314A"/>
    <w:rsid w:val="0059327C"/>
    <w:rsid w:val="005933E9"/>
    <w:rsid w:val="00593480"/>
    <w:rsid w:val="005934A1"/>
    <w:rsid w:val="00593533"/>
    <w:rsid w:val="0059355C"/>
    <w:rsid w:val="00593618"/>
    <w:rsid w:val="00593666"/>
    <w:rsid w:val="0059379B"/>
    <w:rsid w:val="005937AC"/>
    <w:rsid w:val="00593A25"/>
    <w:rsid w:val="00593A47"/>
    <w:rsid w:val="00593A70"/>
    <w:rsid w:val="00593A71"/>
    <w:rsid w:val="00593A8A"/>
    <w:rsid w:val="00593AB1"/>
    <w:rsid w:val="00593AC7"/>
    <w:rsid w:val="00593AEA"/>
    <w:rsid w:val="00593B27"/>
    <w:rsid w:val="00593B3E"/>
    <w:rsid w:val="00593B64"/>
    <w:rsid w:val="00593BA4"/>
    <w:rsid w:val="00593BE8"/>
    <w:rsid w:val="00593C13"/>
    <w:rsid w:val="00593C1A"/>
    <w:rsid w:val="00593D58"/>
    <w:rsid w:val="00593D70"/>
    <w:rsid w:val="00593E2F"/>
    <w:rsid w:val="00593E4D"/>
    <w:rsid w:val="00593E75"/>
    <w:rsid w:val="00593E7E"/>
    <w:rsid w:val="00593EAF"/>
    <w:rsid w:val="00593F4B"/>
    <w:rsid w:val="00593F56"/>
    <w:rsid w:val="00593F84"/>
    <w:rsid w:val="00593FC1"/>
    <w:rsid w:val="005940DB"/>
    <w:rsid w:val="00594130"/>
    <w:rsid w:val="00594198"/>
    <w:rsid w:val="00594209"/>
    <w:rsid w:val="0059424C"/>
    <w:rsid w:val="005942C7"/>
    <w:rsid w:val="005944AD"/>
    <w:rsid w:val="005945A4"/>
    <w:rsid w:val="00594738"/>
    <w:rsid w:val="005947D5"/>
    <w:rsid w:val="0059483B"/>
    <w:rsid w:val="00594943"/>
    <w:rsid w:val="005949D4"/>
    <w:rsid w:val="00594A52"/>
    <w:rsid w:val="00594B4C"/>
    <w:rsid w:val="00594C72"/>
    <w:rsid w:val="00594CBF"/>
    <w:rsid w:val="00594CC8"/>
    <w:rsid w:val="00594D5C"/>
    <w:rsid w:val="00594E0B"/>
    <w:rsid w:val="00594E6F"/>
    <w:rsid w:val="00594F19"/>
    <w:rsid w:val="00594F8C"/>
    <w:rsid w:val="00594FEB"/>
    <w:rsid w:val="0059500D"/>
    <w:rsid w:val="00595052"/>
    <w:rsid w:val="005950AB"/>
    <w:rsid w:val="0059513D"/>
    <w:rsid w:val="005951F5"/>
    <w:rsid w:val="00595333"/>
    <w:rsid w:val="005953F6"/>
    <w:rsid w:val="00595414"/>
    <w:rsid w:val="005954FF"/>
    <w:rsid w:val="00595735"/>
    <w:rsid w:val="0059573D"/>
    <w:rsid w:val="00595894"/>
    <w:rsid w:val="0059589D"/>
    <w:rsid w:val="005958B0"/>
    <w:rsid w:val="005958D2"/>
    <w:rsid w:val="00595A4D"/>
    <w:rsid w:val="00595ADA"/>
    <w:rsid w:val="00595B4D"/>
    <w:rsid w:val="00595B71"/>
    <w:rsid w:val="00595B7A"/>
    <w:rsid w:val="00595C08"/>
    <w:rsid w:val="00595C36"/>
    <w:rsid w:val="00595C50"/>
    <w:rsid w:val="00595CA6"/>
    <w:rsid w:val="00595DF8"/>
    <w:rsid w:val="00595E9C"/>
    <w:rsid w:val="00595EDA"/>
    <w:rsid w:val="00595F0B"/>
    <w:rsid w:val="00595F77"/>
    <w:rsid w:val="00595F7F"/>
    <w:rsid w:val="00595FA2"/>
    <w:rsid w:val="00595FC4"/>
    <w:rsid w:val="00596048"/>
    <w:rsid w:val="00596137"/>
    <w:rsid w:val="00596144"/>
    <w:rsid w:val="005961A6"/>
    <w:rsid w:val="005961AA"/>
    <w:rsid w:val="005961CF"/>
    <w:rsid w:val="00596366"/>
    <w:rsid w:val="00596427"/>
    <w:rsid w:val="005964AD"/>
    <w:rsid w:val="005964CF"/>
    <w:rsid w:val="0059656A"/>
    <w:rsid w:val="005965B8"/>
    <w:rsid w:val="0059662B"/>
    <w:rsid w:val="0059664C"/>
    <w:rsid w:val="00596772"/>
    <w:rsid w:val="0059678C"/>
    <w:rsid w:val="005967B9"/>
    <w:rsid w:val="005968AE"/>
    <w:rsid w:val="00596AB4"/>
    <w:rsid w:val="00596AE5"/>
    <w:rsid w:val="00596BA6"/>
    <w:rsid w:val="00596BA8"/>
    <w:rsid w:val="00596BD5"/>
    <w:rsid w:val="00596C6C"/>
    <w:rsid w:val="00596CBB"/>
    <w:rsid w:val="00596D77"/>
    <w:rsid w:val="00596EBA"/>
    <w:rsid w:val="00596EBE"/>
    <w:rsid w:val="00596F14"/>
    <w:rsid w:val="00596F57"/>
    <w:rsid w:val="00596F72"/>
    <w:rsid w:val="00596FD6"/>
    <w:rsid w:val="00597009"/>
    <w:rsid w:val="005970A3"/>
    <w:rsid w:val="005970AF"/>
    <w:rsid w:val="005970DC"/>
    <w:rsid w:val="00597148"/>
    <w:rsid w:val="0059715E"/>
    <w:rsid w:val="00597196"/>
    <w:rsid w:val="005971B7"/>
    <w:rsid w:val="005971D1"/>
    <w:rsid w:val="0059723B"/>
    <w:rsid w:val="00597248"/>
    <w:rsid w:val="00597269"/>
    <w:rsid w:val="0059728A"/>
    <w:rsid w:val="0059733B"/>
    <w:rsid w:val="005973D1"/>
    <w:rsid w:val="00597506"/>
    <w:rsid w:val="00597534"/>
    <w:rsid w:val="00597586"/>
    <w:rsid w:val="00597672"/>
    <w:rsid w:val="005976E3"/>
    <w:rsid w:val="00597721"/>
    <w:rsid w:val="005977BB"/>
    <w:rsid w:val="005978B3"/>
    <w:rsid w:val="0059796E"/>
    <w:rsid w:val="00597A98"/>
    <w:rsid w:val="00597AFD"/>
    <w:rsid w:val="00597B12"/>
    <w:rsid w:val="00597CC3"/>
    <w:rsid w:val="00597CCE"/>
    <w:rsid w:val="00597DE2"/>
    <w:rsid w:val="00597DEF"/>
    <w:rsid w:val="00597FF9"/>
    <w:rsid w:val="005A0026"/>
    <w:rsid w:val="005A00AE"/>
    <w:rsid w:val="005A015E"/>
    <w:rsid w:val="005A017C"/>
    <w:rsid w:val="005A01D4"/>
    <w:rsid w:val="005A01EB"/>
    <w:rsid w:val="005A020B"/>
    <w:rsid w:val="005A0230"/>
    <w:rsid w:val="005A023B"/>
    <w:rsid w:val="005A026A"/>
    <w:rsid w:val="005A0347"/>
    <w:rsid w:val="005A035A"/>
    <w:rsid w:val="005A0396"/>
    <w:rsid w:val="005A03A1"/>
    <w:rsid w:val="005A03AA"/>
    <w:rsid w:val="005A0408"/>
    <w:rsid w:val="005A0484"/>
    <w:rsid w:val="005A055F"/>
    <w:rsid w:val="005A05DA"/>
    <w:rsid w:val="005A063A"/>
    <w:rsid w:val="005A0679"/>
    <w:rsid w:val="005A068D"/>
    <w:rsid w:val="005A069F"/>
    <w:rsid w:val="005A06FF"/>
    <w:rsid w:val="005A070C"/>
    <w:rsid w:val="005A0776"/>
    <w:rsid w:val="005A0A00"/>
    <w:rsid w:val="005A0A84"/>
    <w:rsid w:val="005A0AAE"/>
    <w:rsid w:val="005A0AC8"/>
    <w:rsid w:val="005A0B47"/>
    <w:rsid w:val="005A0B4B"/>
    <w:rsid w:val="005A0BE7"/>
    <w:rsid w:val="005A0C0A"/>
    <w:rsid w:val="005A0C4E"/>
    <w:rsid w:val="005A0C8B"/>
    <w:rsid w:val="005A0D0C"/>
    <w:rsid w:val="005A0D24"/>
    <w:rsid w:val="005A0D4C"/>
    <w:rsid w:val="005A0DE1"/>
    <w:rsid w:val="005A0E58"/>
    <w:rsid w:val="005A0E6A"/>
    <w:rsid w:val="005A0EEB"/>
    <w:rsid w:val="005A0FF6"/>
    <w:rsid w:val="005A1005"/>
    <w:rsid w:val="005A103A"/>
    <w:rsid w:val="005A105F"/>
    <w:rsid w:val="005A1067"/>
    <w:rsid w:val="005A108D"/>
    <w:rsid w:val="005A1185"/>
    <w:rsid w:val="005A11AF"/>
    <w:rsid w:val="005A11FF"/>
    <w:rsid w:val="005A1263"/>
    <w:rsid w:val="005A1264"/>
    <w:rsid w:val="005A12ED"/>
    <w:rsid w:val="005A1301"/>
    <w:rsid w:val="005A1340"/>
    <w:rsid w:val="005A14AB"/>
    <w:rsid w:val="005A14DD"/>
    <w:rsid w:val="005A150D"/>
    <w:rsid w:val="005A1611"/>
    <w:rsid w:val="005A161E"/>
    <w:rsid w:val="005A1682"/>
    <w:rsid w:val="005A168F"/>
    <w:rsid w:val="005A16E7"/>
    <w:rsid w:val="005A17A6"/>
    <w:rsid w:val="005A17CA"/>
    <w:rsid w:val="005A1848"/>
    <w:rsid w:val="005A18BE"/>
    <w:rsid w:val="005A18E8"/>
    <w:rsid w:val="005A19FC"/>
    <w:rsid w:val="005A1A70"/>
    <w:rsid w:val="005A1B20"/>
    <w:rsid w:val="005A1BE3"/>
    <w:rsid w:val="005A1C18"/>
    <w:rsid w:val="005A1CEC"/>
    <w:rsid w:val="005A1D37"/>
    <w:rsid w:val="005A1D38"/>
    <w:rsid w:val="005A1D3C"/>
    <w:rsid w:val="005A1D7C"/>
    <w:rsid w:val="005A1ED8"/>
    <w:rsid w:val="005A1EDA"/>
    <w:rsid w:val="005A1F46"/>
    <w:rsid w:val="005A1FD8"/>
    <w:rsid w:val="005A208A"/>
    <w:rsid w:val="005A20CF"/>
    <w:rsid w:val="005A20E6"/>
    <w:rsid w:val="005A2126"/>
    <w:rsid w:val="005A21E7"/>
    <w:rsid w:val="005A2212"/>
    <w:rsid w:val="005A223F"/>
    <w:rsid w:val="005A224D"/>
    <w:rsid w:val="005A226B"/>
    <w:rsid w:val="005A22AA"/>
    <w:rsid w:val="005A22DA"/>
    <w:rsid w:val="005A2320"/>
    <w:rsid w:val="005A23B5"/>
    <w:rsid w:val="005A23DC"/>
    <w:rsid w:val="005A24B8"/>
    <w:rsid w:val="005A2516"/>
    <w:rsid w:val="005A2579"/>
    <w:rsid w:val="005A264F"/>
    <w:rsid w:val="005A2713"/>
    <w:rsid w:val="005A2725"/>
    <w:rsid w:val="005A2767"/>
    <w:rsid w:val="005A2884"/>
    <w:rsid w:val="005A2977"/>
    <w:rsid w:val="005A29EE"/>
    <w:rsid w:val="005A2A02"/>
    <w:rsid w:val="005A2B45"/>
    <w:rsid w:val="005A2BBF"/>
    <w:rsid w:val="005A2C06"/>
    <w:rsid w:val="005A2C43"/>
    <w:rsid w:val="005A2C6A"/>
    <w:rsid w:val="005A2CB6"/>
    <w:rsid w:val="005A2CC1"/>
    <w:rsid w:val="005A2D0D"/>
    <w:rsid w:val="005A2D2B"/>
    <w:rsid w:val="005A2D53"/>
    <w:rsid w:val="005A2E08"/>
    <w:rsid w:val="005A2E1A"/>
    <w:rsid w:val="005A2E72"/>
    <w:rsid w:val="005A2E99"/>
    <w:rsid w:val="005A2F54"/>
    <w:rsid w:val="005A2F5E"/>
    <w:rsid w:val="005A2FC5"/>
    <w:rsid w:val="005A301A"/>
    <w:rsid w:val="005A302B"/>
    <w:rsid w:val="005A307B"/>
    <w:rsid w:val="005A3081"/>
    <w:rsid w:val="005A3121"/>
    <w:rsid w:val="005A3151"/>
    <w:rsid w:val="005A319D"/>
    <w:rsid w:val="005A31F4"/>
    <w:rsid w:val="005A3216"/>
    <w:rsid w:val="005A3284"/>
    <w:rsid w:val="005A32D7"/>
    <w:rsid w:val="005A3320"/>
    <w:rsid w:val="005A339C"/>
    <w:rsid w:val="005A33A7"/>
    <w:rsid w:val="005A33C5"/>
    <w:rsid w:val="005A348F"/>
    <w:rsid w:val="005A355D"/>
    <w:rsid w:val="005A36B5"/>
    <w:rsid w:val="005A37A9"/>
    <w:rsid w:val="005A3865"/>
    <w:rsid w:val="005A38B9"/>
    <w:rsid w:val="005A394E"/>
    <w:rsid w:val="005A3ADF"/>
    <w:rsid w:val="005A3AF3"/>
    <w:rsid w:val="005A3BB9"/>
    <w:rsid w:val="005A3C39"/>
    <w:rsid w:val="005A3E3C"/>
    <w:rsid w:val="005A3E8A"/>
    <w:rsid w:val="005A3FF2"/>
    <w:rsid w:val="005A4126"/>
    <w:rsid w:val="005A4155"/>
    <w:rsid w:val="005A41BA"/>
    <w:rsid w:val="005A41EC"/>
    <w:rsid w:val="005A41F3"/>
    <w:rsid w:val="005A421E"/>
    <w:rsid w:val="005A4276"/>
    <w:rsid w:val="005A4299"/>
    <w:rsid w:val="005A4377"/>
    <w:rsid w:val="005A43B9"/>
    <w:rsid w:val="005A44FF"/>
    <w:rsid w:val="005A4629"/>
    <w:rsid w:val="005A4670"/>
    <w:rsid w:val="005A46A2"/>
    <w:rsid w:val="005A47EC"/>
    <w:rsid w:val="005A487E"/>
    <w:rsid w:val="005A491C"/>
    <w:rsid w:val="005A4984"/>
    <w:rsid w:val="005A4A3B"/>
    <w:rsid w:val="005A4AB6"/>
    <w:rsid w:val="005A4ADE"/>
    <w:rsid w:val="005A4B11"/>
    <w:rsid w:val="005A4B54"/>
    <w:rsid w:val="005A4B81"/>
    <w:rsid w:val="005A4C24"/>
    <w:rsid w:val="005A4C37"/>
    <w:rsid w:val="005A4D5E"/>
    <w:rsid w:val="005A4D65"/>
    <w:rsid w:val="005A4DB2"/>
    <w:rsid w:val="005A4EA4"/>
    <w:rsid w:val="005A4EAE"/>
    <w:rsid w:val="005A4FB0"/>
    <w:rsid w:val="005A4FDC"/>
    <w:rsid w:val="005A4FE6"/>
    <w:rsid w:val="005A5074"/>
    <w:rsid w:val="005A50B7"/>
    <w:rsid w:val="005A50C9"/>
    <w:rsid w:val="005A50EA"/>
    <w:rsid w:val="005A50F7"/>
    <w:rsid w:val="005A50F9"/>
    <w:rsid w:val="005A5137"/>
    <w:rsid w:val="005A516C"/>
    <w:rsid w:val="005A51E1"/>
    <w:rsid w:val="005A5259"/>
    <w:rsid w:val="005A52C0"/>
    <w:rsid w:val="005A5322"/>
    <w:rsid w:val="005A5382"/>
    <w:rsid w:val="005A538C"/>
    <w:rsid w:val="005A542E"/>
    <w:rsid w:val="005A549A"/>
    <w:rsid w:val="005A54DC"/>
    <w:rsid w:val="005A552F"/>
    <w:rsid w:val="005A55E1"/>
    <w:rsid w:val="005A5669"/>
    <w:rsid w:val="005A5715"/>
    <w:rsid w:val="005A57E5"/>
    <w:rsid w:val="005A57F0"/>
    <w:rsid w:val="005A57F6"/>
    <w:rsid w:val="005A5803"/>
    <w:rsid w:val="005A5832"/>
    <w:rsid w:val="005A5836"/>
    <w:rsid w:val="005A5840"/>
    <w:rsid w:val="005A586E"/>
    <w:rsid w:val="005A58EF"/>
    <w:rsid w:val="005A593C"/>
    <w:rsid w:val="005A5A7C"/>
    <w:rsid w:val="005A5A82"/>
    <w:rsid w:val="005A5AE0"/>
    <w:rsid w:val="005A5B12"/>
    <w:rsid w:val="005A5B25"/>
    <w:rsid w:val="005A5B3A"/>
    <w:rsid w:val="005A5C7F"/>
    <w:rsid w:val="005A5D46"/>
    <w:rsid w:val="005A5D4A"/>
    <w:rsid w:val="005A5D77"/>
    <w:rsid w:val="005A5DDC"/>
    <w:rsid w:val="005A5DFC"/>
    <w:rsid w:val="005A5E1B"/>
    <w:rsid w:val="005A5E35"/>
    <w:rsid w:val="005A5E4B"/>
    <w:rsid w:val="005A5ED4"/>
    <w:rsid w:val="005A5F79"/>
    <w:rsid w:val="005A5FCC"/>
    <w:rsid w:val="005A6034"/>
    <w:rsid w:val="005A6056"/>
    <w:rsid w:val="005A60E5"/>
    <w:rsid w:val="005A6129"/>
    <w:rsid w:val="005A6150"/>
    <w:rsid w:val="005A616B"/>
    <w:rsid w:val="005A6171"/>
    <w:rsid w:val="005A61F3"/>
    <w:rsid w:val="005A6208"/>
    <w:rsid w:val="005A6219"/>
    <w:rsid w:val="005A622C"/>
    <w:rsid w:val="005A62C6"/>
    <w:rsid w:val="005A6403"/>
    <w:rsid w:val="005A6438"/>
    <w:rsid w:val="005A6461"/>
    <w:rsid w:val="005A656F"/>
    <w:rsid w:val="005A65FD"/>
    <w:rsid w:val="005A664A"/>
    <w:rsid w:val="005A673A"/>
    <w:rsid w:val="005A6809"/>
    <w:rsid w:val="005A6872"/>
    <w:rsid w:val="005A689A"/>
    <w:rsid w:val="005A691E"/>
    <w:rsid w:val="005A69D2"/>
    <w:rsid w:val="005A6A11"/>
    <w:rsid w:val="005A6A4D"/>
    <w:rsid w:val="005A6B6F"/>
    <w:rsid w:val="005A6BE9"/>
    <w:rsid w:val="005A6DD7"/>
    <w:rsid w:val="005A6DF9"/>
    <w:rsid w:val="005A6E2F"/>
    <w:rsid w:val="005A6E4C"/>
    <w:rsid w:val="005A6F4B"/>
    <w:rsid w:val="005A6FC1"/>
    <w:rsid w:val="005A6FEF"/>
    <w:rsid w:val="005A6FF1"/>
    <w:rsid w:val="005A7016"/>
    <w:rsid w:val="005A7072"/>
    <w:rsid w:val="005A70A7"/>
    <w:rsid w:val="005A71CC"/>
    <w:rsid w:val="005A7295"/>
    <w:rsid w:val="005A73C9"/>
    <w:rsid w:val="005A74D2"/>
    <w:rsid w:val="005A75C9"/>
    <w:rsid w:val="005A761D"/>
    <w:rsid w:val="005A761F"/>
    <w:rsid w:val="005A7725"/>
    <w:rsid w:val="005A77B4"/>
    <w:rsid w:val="005A77B8"/>
    <w:rsid w:val="005A77C8"/>
    <w:rsid w:val="005A77F5"/>
    <w:rsid w:val="005A7886"/>
    <w:rsid w:val="005A78A5"/>
    <w:rsid w:val="005A78DA"/>
    <w:rsid w:val="005A79A2"/>
    <w:rsid w:val="005A7A74"/>
    <w:rsid w:val="005A7B84"/>
    <w:rsid w:val="005A7BBF"/>
    <w:rsid w:val="005A7BEE"/>
    <w:rsid w:val="005A7CD7"/>
    <w:rsid w:val="005A7CE4"/>
    <w:rsid w:val="005A7E70"/>
    <w:rsid w:val="005A7F4F"/>
    <w:rsid w:val="005A7F9E"/>
    <w:rsid w:val="005A7FF1"/>
    <w:rsid w:val="005A7FFC"/>
    <w:rsid w:val="005B0065"/>
    <w:rsid w:val="005B0096"/>
    <w:rsid w:val="005B00C4"/>
    <w:rsid w:val="005B00FF"/>
    <w:rsid w:val="005B01B7"/>
    <w:rsid w:val="005B0295"/>
    <w:rsid w:val="005B03F7"/>
    <w:rsid w:val="005B0410"/>
    <w:rsid w:val="005B0427"/>
    <w:rsid w:val="005B045C"/>
    <w:rsid w:val="005B04F9"/>
    <w:rsid w:val="005B0735"/>
    <w:rsid w:val="005B074E"/>
    <w:rsid w:val="005B07C3"/>
    <w:rsid w:val="005B07F7"/>
    <w:rsid w:val="005B081A"/>
    <w:rsid w:val="005B0872"/>
    <w:rsid w:val="005B0950"/>
    <w:rsid w:val="005B096E"/>
    <w:rsid w:val="005B0A42"/>
    <w:rsid w:val="005B0A77"/>
    <w:rsid w:val="005B0AB6"/>
    <w:rsid w:val="005B0AD2"/>
    <w:rsid w:val="005B0AD8"/>
    <w:rsid w:val="005B0B27"/>
    <w:rsid w:val="005B0B33"/>
    <w:rsid w:val="005B0C5C"/>
    <w:rsid w:val="005B0E6A"/>
    <w:rsid w:val="005B0F32"/>
    <w:rsid w:val="005B1011"/>
    <w:rsid w:val="005B1019"/>
    <w:rsid w:val="005B106E"/>
    <w:rsid w:val="005B107F"/>
    <w:rsid w:val="005B10AF"/>
    <w:rsid w:val="005B1192"/>
    <w:rsid w:val="005B1209"/>
    <w:rsid w:val="005B1218"/>
    <w:rsid w:val="005B121A"/>
    <w:rsid w:val="005B12BF"/>
    <w:rsid w:val="005B1331"/>
    <w:rsid w:val="005B1361"/>
    <w:rsid w:val="005B14B2"/>
    <w:rsid w:val="005B14E7"/>
    <w:rsid w:val="005B1559"/>
    <w:rsid w:val="005B1670"/>
    <w:rsid w:val="005B1681"/>
    <w:rsid w:val="005B172E"/>
    <w:rsid w:val="005B1795"/>
    <w:rsid w:val="005B17EC"/>
    <w:rsid w:val="005B182B"/>
    <w:rsid w:val="005B195C"/>
    <w:rsid w:val="005B1A4A"/>
    <w:rsid w:val="005B1A9E"/>
    <w:rsid w:val="005B1B23"/>
    <w:rsid w:val="005B1B5F"/>
    <w:rsid w:val="005B1B85"/>
    <w:rsid w:val="005B1BEC"/>
    <w:rsid w:val="005B1CA1"/>
    <w:rsid w:val="005B1CAB"/>
    <w:rsid w:val="005B1CBB"/>
    <w:rsid w:val="005B1D1A"/>
    <w:rsid w:val="005B1D27"/>
    <w:rsid w:val="005B1DEF"/>
    <w:rsid w:val="005B1E33"/>
    <w:rsid w:val="005B1E49"/>
    <w:rsid w:val="005B1E72"/>
    <w:rsid w:val="005B1E87"/>
    <w:rsid w:val="005B1E90"/>
    <w:rsid w:val="005B1EAC"/>
    <w:rsid w:val="005B1EE7"/>
    <w:rsid w:val="005B1F8C"/>
    <w:rsid w:val="005B2016"/>
    <w:rsid w:val="005B2056"/>
    <w:rsid w:val="005B205E"/>
    <w:rsid w:val="005B20E0"/>
    <w:rsid w:val="005B21EC"/>
    <w:rsid w:val="005B2246"/>
    <w:rsid w:val="005B22EA"/>
    <w:rsid w:val="005B23CD"/>
    <w:rsid w:val="005B23CE"/>
    <w:rsid w:val="005B2428"/>
    <w:rsid w:val="005B24CD"/>
    <w:rsid w:val="005B25B2"/>
    <w:rsid w:val="005B2636"/>
    <w:rsid w:val="005B265F"/>
    <w:rsid w:val="005B2735"/>
    <w:rsid w:val="005B27E3"/>
    <w:rsid w:val="005B2854"/>
    <w:rsid w:val="005B28FE"/>
    <w:rsid w:val="005B28FF"/>
    <w:rsid w:val="005B29E4"/>
    <w:rsid w:val="005B2A3F"/>
    <w:rsid w:val="005B2A54"/>
    <w:rsid w:val="005B2A5F"/>
    <w:rsid w:val="005B2BE9"/>
    <w:rsid w:val="005B2BEE"/>
    <w:rsid w:val="005B2CE2"/>
    <w:rsid w:val="005B2D09"/>
    <w:rsid w:val="005B2E01"/>
    <w:rsid w:val="005B2E56"/>
    <w:rsid w:val="005B2EFC"/>
    <w:rsid w:val="005B2F14"/>
    <w:rsid w:val="005B2F24"/>
    <w:rsid w:val="005B2F32"/>
    <w:rsid w:val="005B2F55"/>
    <w:rsid w:val="005B2F90"/>
    <w:rsid w:val="005B30EC"/>
    <w:rsid w:val="005B318F"/>
    <w:rsid w:val="005B31DE"/>
    <w:rsid w:val="005B3322"/>
    <w:rsid w:val="005B33EE"/>
    <w:rsid w:val="005B3412"/>
    <w:rsid w:val="005B3572"/>
    <w:rsid w:val="005B3604"/>
    <w:rsid w:val="005B3612"/>
    <w:rsid w:val="005B3614"/>
    <w:rsid w:val="005B3632"/>
    <w:rsid w:val="005B3654"/>
    <w:rsid w:val="005B36BD"/>
    <w:rsid w:val="005B36C3"/>
    <w:rsid w:val="005B3731"/>
    <w:rsid w:val="005B3807"/>
    <w:rsid w:val="005B3891"/>
    <w:rsid w:val="005B38B2"/>
    <w:rsid w:val="005B38D3"/>
    <w:rsid w:val="005B38D9"/>
    <w:rsid w:val="005B394E"/>
    <w:rsid w:val="005B3B80"/>
    <w:rsid w:val="005B3B9C"/>
    <w:rsid w:val="005B3C29"/>
    <w:rsid w:val="005B3C69"/>
    <w:rsid w:val="005B3CDA"/>
    <w:rsid w:val="005B3D5A"/>
    <w:rsid w:val="005B3D9F"/>
    <w:rsid w:val="005B3E59"/>
    <w:rsid w:val="005B3F18"/>
    <w:rsid w:val="005B3F4E"/>
    <w:rsid w:val="005B3F9E"/>
    <w:rsid w:val="005B3FDB"/>
    <w:rsid w:val="005B4059"/>
    <w:rsid w:val="005B4062"/>
    <w:rsid w:val="005B40A2"/>
    <w:rsid w:val="005B418B"/>
    <w:rsid w:val="005B41CA"/>
    <w:rsid w:val="005B4210"/>
    <w:rsid w:val="005B43ED"/>
    <w:rsid w:val="005B444A"/>
    <w:rsid w:val="005B4467"/>
    <w:rsid w:val="005B448F"/>
    <w:rsid w:val="005B44DA"/>
    <w:rsid w:val="005B44EC"/>
    <w:rsid w:val="005B44F5"/>
    <w:rsid w:val="005B452C"/>
    <w:rsid w:val="005B4633"/>
    <w:rsid w:val="005B4731"/>
    <w:rsid w:val="005B477A"/>
    <w:rsid w:val="005B481C"/>
    <w:rsid w:val="005B4851"/>
    <w:rsid w:val="005B4867"/>
    <w:rsid w:val="005B48D2"/>
    <w:rsid w:val="005B4901"/>
    <w:rsid w:val="005B494A"/>
    <w:rsid w:val="005B4A13"/>
    <w:rsid w:val="005B4BBB"/>
    <w:rsid w:val="005B4BF8"/>
    <w:rsid w:val="005B4BFE"/>
    <w:rsid w:val="005B4CDA"/>
    <w:rsid w:val="005B4D07"/>
    <w:rsid w:val="005B4D0E"/>
    <w:rsid w:val="005B4D16"/>
    <w:rsid w:val="005B4D6D"/>
    <w:rsid w:val="005B4E07"/>
    <w:rsid w:val="005B4E66"/>
    <w:rsid w:val="005B4FC4"/>
    <w:rsid w:val="005B5024"/>
    <w:rsid w:val="005B50E8"/>
    <w:rsid w:val="005B50F2"/>
    <w:rsid w:val="005B5113"/>
    <w:rsid w:val="005B5137"/>
    <w:rsid w:val="005B519F"/>
    <w:rsid w:val="005B52BA"/>
    <w:rsid w:val="005B52F9"/>
    <w:rsid w:val="005B530C"/>
    <w:rsid w:val="005B5326"/>
    <w:rsid w:val="005B532D"/>
    <w:rsid w:val="005B538F"/>
    <w:rsid w:val="005B545C"/>
    <w:rsid w:val="005B54EB"/>
    <w:rsid w:val="005B555A"/>
    <w:rsid w:val="005B55B9"/>
    <w:rsid w:val="005B55F4"/>
    <w:rsid w:val="005B5628"/>
    <w:rsid w:val="005B5696"/>
    <w:rsid w:val="005B573B"/>
    <w:rsid w:val="005B5746"/>
    <w:rsid w:val="005B57C4"/>
    <w:rsid w:val="005B57D2"/>
    <w:rsid w:val="005B57E7"/>
    <w:rsid w:val="005B58F5"/>
    <w:rsid w:val="005B5901"/>
    <w:rsid w:val="005B5955"/>
    <w:rsid w:val="005B596B"/>
    <w:rsid w:val="005B599D"/>
    <w:rsid w:val="005B59C9"/>
    <w:rsid w:val="005B59E1"/>
    <w:rsid w:val="005B59F0"/>
    <w:rsid w:val="005B5B17"/>
    <w:rsid w:val="005B5B40"/>
    <w:rsid w:val="005B5B67"/>
    <w:rsid w:val="005B5BA0"/>
    <w:rsid w:val="005B5D64"/>
    <w:rsid w:val="005B5DFC"/>
    <w:rsid w:val="005B5E14"/>
    <w:rsid w:val="005B5E4B"/>
    <w:rsid w:val="005B5E56"/>
    <w:rsid w:val="005B5E70"/>
    <w:rsid w:val="005B5F0E"/>
    <w:rsid w:val="005B5F12"/>
    <w:rsid w:val="005B5F49"/>
    <w:rsid w:val="005B5FA9"/>
    <w:rsid w:val="005B6016"/>
    <w:rsid w:val="005B607C"/>
    <w:rsid w:val="005B6102"/>
    <w:rsid w:val="005B619D"/>
    <w:rsid w:val="005B624E"/>
    <w:rsid w:val="005B625D"/>
    <w:rsid w:val="005B628F"/>
    <w:rsid w:val="005B62B4"/>
    <w:rsid w:val="005B62E1"/>
    <w:rsid w:val="005B6335"/>
    <w:rsid w:val="005B63CF"/>
    <w:rsid w:val="005B64C2"/>
    <w:rsid w:val="005B653D"/>
    <w:rsid w:val="005B658E"/>
    <w:rsid w:val="005B65D7"/>
    <w:rsid w:val="005B6651"/>
    <w:rsid w:val="005B6666"/>
    <w:rsid w:val="005B6716"/>
    <w:rsid w:val="005B6733"/>
    <w:rsid w:val="005B673D"/>
    <w:rsid w:val="005B674A"/>
    <w:rsid w:val="005B678B"/>
    <w:rsid w:val="005B6812"/>
    <w:rsid w:val="005B683D"/>
    <w:rsid w:val="005B6862"/>
    <w:rsid w:val="005B6884"/>
    <w:rsid w:val="005B68BA"/>
    <w:rsid w:val="005B68D6"/>
    <w:rsid w:val="005B699C"/>
    <w:rsid w:val="005B69A1"/>
    <w:rsid w:val="005B69D7"/>
    <w:rsid w:val="005B6A03"/>
    <w:rsid w:val="005B6A2C"/>
    <w:rsid w:val="005B6A44"/>
    <w:rsid w:val="005B6A66"/>
    <w:rsid w:val="005B6AF1"/>
    <w:rsid w:val="005B6BB9"/>
    <w:rsid w:val="005B6BD0"/>
    <w:rsid w:val="005B6C99"/>
    <w:rsid w:val="005B6D6B"/>
    <w:rsid w:val="005B6DF8"/>
    <w:rsid w:val="005B6E0F"/>
    <w:rsid w:val="005B6E23"/>
    <w:rsid w:val="005B6E3E"/>
    <w:rsid w:val="005B6E7C"/>
    <w:rsid w:val="005B6FC3"/>
    <w:rsid w:val="005B6FE3"/>
    <w:rsid w:val="005B702C"/>
    <w:rsid w:val="005B710D"/>
    <w:rsid w:val="005B7125"/>
    <w:rsid w:val="005B7145"/>
    <w:rsid w:val="005B71D7"/>
    <w:rsid w:val="005B7280"/>
    <w:rsid w:val="005B7298"/>
    <w:rsid w:val="005B72F2"/>
    <w:rsid w:val="005B7347"/>
    <w:rsid w:val="005B73A9"/>
    <w:rsid w:val="005B7460"/>
    <w:rsid w:val="005B75CE"/>
    <w:rsid w:val="005B767E"/>
    <w:rsid w:val="005B76E1"/>
    <w:rsid w:val="005B77A1"/>
    <w:rsid w:val="005B77CA"/>
    <w:rsid w:val="005B77F1"/>
    <w:rsid w:val="005B782D"/>
    <w:rsid w:val="005B7833"/>
    <w:rsid w:val="005B7843"/>
    <w:rsid w:val="005B7927"/>
    <w:rsid w:val="005B7A0D"/>
    <w:rsid w:val="005B7A38"/>
    <w:rsid w:val="005B7BEC"/>
    <w:rsid w:val="005B7BED"/>
    <w:rsid w:val="005B7BF7"/>
    <w:rsid w:val="005B7CE8"/>
    <w:rsid w:val="005B7E43"/>
    <w:rsid w:val="005B7E88"/>
    <w:rsid w:val="005B7EBF"/>
    <w:rsid w:val="005B7EE6"/>
    <w:rsid w:val="005B7F34"/>
    <w:rsid w:val="005C0008"/>
    <w:rsid w:val="005C0052"/>
    <w:rsid w:val="005C00AB"/>
    <w:rsid w:val="005C00C2"/>
    <w:rsid w:val="005C010B"/>
    <w:rsid w:val="005C0196"/>
    <w:rsid w:val="005C02C2"/>
    <w:rsid w:val="005C02E7"/>
    <w:rsid w:val="005C037F"/>
    <w:rsid w:val="005C042B"/>
    <w:rsid w:val="005C04E8"/>
    <w:rsid w:val="005C05CF"/>
    <w:rsid w:val="005C05DA"/>
    <w:rsid w:val="005C05FB"/>
    <w:rsid w:val="005C0616"/>
    <w:rsid w:val="005C0646"/>
    <w:rsid w:val="005C06BE"/>
    <w:rsid w:val="005C0707"/>
    <w:rsid w:val="005C0836"/>
    <w:rsid w:val="005C0903"/>
    <w:rsid w:val="005C0997"/>
    <w:rsid w:val="005C09A5"/>
    <w:rsid w:val="005C09E8"/>
    <w:rsid w:val="005C0A42"/>
    <w:rsid w:val="005C0B15"/>
    <w:rsid w:val="005C0C1D"/>
    <w:rsid w:val="005C0D26"/>
    <w:rsid w:val="005C0E58"/>
    <w:rsid w:val="005C0FC0"/>
    <w:rsid w:val="005C101B"/>
    <w:rsid w:val="005C1024"/>
    <w:rsid w:val="005C1039"/>
    <w:rsid w:val="005C10C2"/>
    <w:rsid w:val="005C10E8"/>
    <w:rsid w:val="005C11F5"/>
    <w:rsid w:val="005C12C6"/>
    <w:rsid w:val="005C1381"/>
    <w:rsid w:val="005C14F7"/>
    <w:rsid w:val="005C1513"/>
    <w:rsid w:val="005C151A"/>
    <w:rsid w:val="005C1570"/>
    <w:rsid w:val="005C15E8"/>
    <w:rsid w:val="005C15EC"/>
    <w:rsid w:val="005C168D"/>
    <w:rsid w:val="005C16B2"/>
    <w:rsid w:val="005C16C0"/>
    <w:rsid w:val="005C1712"/>
    <w:rsid w:val="005C173A"/>
    <w:rsid w:val="005C17C4"/>
    <w:rsid w:val="005C181C"/>
    <w:rsid w:val="005C184F"/>
    <w:rsid w:val="005C188A"/>
    <w:rsid w:val="005C18B1"/>
    <w:rsid w:val="005C18BF"/>
    <w:rsid w:val="005C1901"/>
    <w:rsid w:val="005C19DE"/>
    <w:rsid w:val="005C19FF"/>
    <w:rsid w:val="005C1AE2"/>
    <w:rsid w:val="005C1B23"/>
    <w:rsid w:val="005C1BF2"/>
    <w:rsid w:val="005C1CDD"/>
    <w:rsid w:val="005C1D2E"/>
    <w:rsid w:val="005C1D43"/>
    <w:rsid w:val="005C1D5F"/>
    <w:rsid w:val="005C1D7D"/>
    <w:rsid w:val="005C1DB3"/>
    <w:rsid w:val="005C1E4A"/>
    <w:rsid w:val="005C1E56"/>
    <w:rsid w:val="005C1E6C"/>
    <w:rsid w:val="005C1E9B"/>
    <w:rsid w:val="005C1FE5"/>
    <w:rsid w:val="005C2097"/>
    <w:rsid w:val="005C209D"/>
    <w:rsid w:val="005C2115"/>
    <w:rsid w:val="005C2145"/>
    <w:rsid w:val="005C2158"/>
    <w:rsid w:val="005C22A1"/>
    <w:rsid w:val="005C22B3"/>
    <w:rsid w:val="005C22E6"/>
    <w:rsid w:val="005C2320"/>
    <w:rsid w:val="005C2358"/>
    <w:rsid w:val="005C236B"/>
    <w:rsid w:val="005C2405"/>
    <w:rsid w:val="005C2428"/>
    <w:rsid w:val="005C253A"/>
    <w:rsid w:val="005C2542"/>
    <w:rsid w:val="005C2549"/>
    <w:rsid w:val="005C2579"/>
    <w:rsid w:val="005C2648"/>
    <w:rsid w:val="005C2686"/>
    <w:rsid w:val="005C26BD"/>
    <w:rsid w:val="005C2707"/>
    <w:rsid w:val="005C2743"/>
    <w:rsid w:val="005C27D5"/>
    <w:rsid w:val="005C27EB"/>
    <w:rsid w:val="005C281E"/>
    <w:rsid w:val="005C283A"/>
    <w:rsid w:val="005C2866"/>
    <w:rsid w:val="005C28F7"/>
    <w:rsid w:val="005C2913"/>
    <w:rsid w:val="005C29B2"/>
    <w:rsid w:val="005C29CA"/>
    <w:rsid w:val="005C2A23"/>
    <w:rsid w:val="005C2A69"/>
    <w:rsid w:val="005C2AA4"/>
    <w:rsid w:val="005C2AF1"/>
    <w:rsid w:val="005C2B89"/>
    <w:rsid w:val="005C2BB1"/>
    <w:rsid w:val="005C2C17"/>
    <w:rsid w:val="005C2C23"/>
    <w:rsid w:val="005C2D08"/>
    <w:rsid w:val="005C2DB6"/>
    <w:rsid w:val="005C2DE9"/>
    <w:rsid w:val="005C2E19"/>
    <w:rsid w:val="005C2E3D"/>
    <w:rsid w:val="005C2F43"/>
    <w:rsid w:val="005C303D"/>
    <w:rsid w:val="005C3144"/>
    <w:rsid w:val="005C3229"/>
    <w:rsid w:val="005C3231"/>
    <w:rsid w:val="005C3292"/>
    <w:rsid w:val="005C32F0"/>
    <w:rsid w:val="005C3355"/>
    <w:rsid w:val="005C33D6"/>
    <w:rsid w:val="005C33E6"/>
    <w:rsid w:val="005C33F8"/>
    <w:rsid w:val="005C3477"/>
    <w:rsid w:val="005C34F8"/>
    <w:rsid w:val="005C353F"/>
    <w:rsid w:val="005C354A"/>
    <w:rsid w:val="005C35A8"/>
    <w:rsid w:val="005C35DF"/>
    <w:rsid w:val="005C3607"/>
    <w:rsid w:val="005C36AA"/>
    <w:rsid w:val="005C3712"/>
    <w:rsid w:val="005C376F"/>
    <w:rsid w:val="005C3805"/>
    <w:rsid w:val="005C3816"/>
    <w:rsid w:val="005C3832"/>
    <w:rsid w:val="005C386C"/>
    <w:rsid w:val="005C387B"/>
    <w:rsid w:val="005C38B7"/>
    <w:rsid w:val="005C3965"/>
    <w:rsid w:val="005C399E"/>
    <w:rsid w:val="005C3A28"/>
    <w:rsid w:val="005C3A8A"/>
    <w:rsid w:val="005C3B3D"/>
    <w:rsid w:val="005C3C4C"/>
    <w:rsid w:val="005C3CB8"/>
    <w:rsid w:val="005C3D91"/>
    <w:rsid w:val="005C3DC7"/>
    <w:rsid w:val="005C3E11"/>
    <w:rsid w:val="005C3E73"/>
    <w:rsid w:val="005C3E7B"/>
    <w:rsid w:val="005C3EC1"/>
    <w:rsid w:val="005C3ED4"/>
    <w:rsid w:val="005C3ED7"/>
    <w:rsid w:val="005C3F64"/>
    <w:rsid w:val="005C4162"/>
    <w:rsid w:val="005C4193"/>
    <w:rsid w:val="005C4201"/>
    <w:rsid w:val="005C42AB"/>
    <w:rsid w:val="005C42EA"/>
    <w:rsid w:val="005C4313"/>
    <w:rsid w:val="005C433A"/>
    <w:rsid w:val="005C4374"/>
    <w:rsid w:val="005C43A2"/>
    <w:rsid w:val="005C43A8"/>
    <w:rsid w:val="005C43C2"/>
    <w:rsid w:val="005C43D1"/>
    <w:rsid w:val="005C4497"/>
    <w:rsid w:val="005C4526"/>
    <w:rsid w:val="005C4680"/>
    <w:rsid w:val="005C471D"/>
    <w:rsid w:val="005C478C"/>
    <w:rsid w:val="005C48A6"/>
    <w:rsid w:val="005C48C8"/>
    <w:rsid w:val="005C48E1"/>
    <w:rsid w:val="005C49AE"/>
    <w:rsid w:val="005C4A1F"/>
    <w:rsid w:val="005C4B22"/>
    <w:rsid w:val="005C4B2C"/>
    <w:rsid w:val="005C4C26"/>
    <w:rsid w:val="005C4D0B"/>
    <w:rsid w:val="005C4D5F"/>
    <w:rsid w:val="005C504A"/>
    <w:rsid w:val="005C5134"/>
    <w:rsid w:val="005C51F5"/>
    <w:rsid w:val="005C51FB"/>
    <w:rsid w:val="005C52A4"/>
    <w:rsid w:val="005C530C"/>
    <w:rsid w:val="005C5333"/>
    <w:rsid w:val="005C53D8"/>
    <w:rsid w:val="005C5490"/>
    <w:rsid w:val="005C54DB"/>
    <w:rsid w:val="005C5531"/>
    <w:rsid w:val="005C5586"/>
    <w:rsid w:val="005C55F5"/>
    <w:rsid w:val="005C5639"/>
    <w:rsid w:val="005C5667"/>
    <w:rsid w:val="005C56AE"/>
    <w:rsid w:val="005C5784"/>
    <w:rsid w:val="005C5786"/>
    <w:rsid w:val="005C5A5A"/>
    <w:rsid w:val="005C5B18"/>
    <w:rsid w:val="005C5B1F"/>
    <w:rsid w:val="005C5B69"/>
    <w:rsid w:val="005C5B8D"/>
    <w:rsid w:val="005C5C35"/>
    <w:rsid w:val="005C5C7C"/>
    <w:rsid w:val="005C5C91"/>
    <w:rsid w:val="005C5D91"/>
    <w:rsid w:val="005C5DB3"/>
    <w:rsid w:val="005C5E4E"/>
    <w:rsid w:val="005C5E86"/>
    <w:rsid w:val="005C5F0F"/>
    <w:rsid w:val="005C5F6F"/>
    <w:rsid w:val="005C5FAE"/>
    <w:rsid w:val="005C6034"/>
    <w:rsid w:val="005C6040"/>
    <w:rsid w:val="005C60F0"/>
    <w:rsid w:val="005C6103"/>
    <w:rsid w:val="005C6121"/>
    <w:rsid w:val="005C6173"/>
    <w:rsid w:val="005C6195"/>
    <w:rsid w:val="005C6254"/>
    <w:rsid w:val="005C6255"/>
    <w:rsid w:val="005C6273"/>
    <w:rsid w:val="005C62B1"/>
    <w:rsid w:val="005C63E1"/>
    <w:rsid w:val="005C6438"/>
    <w:rsid w:val="005C64EC"/>
    <w:rsid w:val="005C6522"/>
    <w:rsid w:val="005C6534"/>
    <w:rsid w:val="005C6595"/>
    <w:rsid w:val="005C65A7"/>
    <w:rsid w:val="005C6616"/>
    <w:rsid w:val="005C6673"/>
    <w:rsid w:val="005C671C"/>
    <w:rsid w:val="005C676D"/>
    <w:rsid w:val="005C67A9"/>
    <w:rsid w:val="005C67AE"/>
    <w:rsid w:val="005C67D8"/>
    <w:rsid w:val="005C67E5"/>
    <w:rsid w:val="005C6839"/>
    <w:rsid w:val="005C684E"/>
    <w:rsid w:val="005C688C"/>
    <w:rsid w:val="005C6891"/>
    <w:rsid w:val="005C6903"/>
    <w:rsid w:val="005C69D3"/>
    <w:rsid w:val="005C69DB"/>
    <w:rsid w:val="005C69FC"/>
    <w:rsid w:val="005C6A12"/>
    <w:rsid w:val="005C6AD6"/>
    <w:rsid w:val="005C6AF9"/>
    <w:rsid w:val="005C6B74"/>
    <w:rsid w:val="005C6C3C"/>
    <w:rsid w:val="005C6DC8"/>
    <w:rsid w:val="005C6E1B"/>
    <w:rsid w:val="005C6FAE"/>
    <w:rsid w:val="005C6FE1"/>
    <w:rsid w:val="005C7031"/>
    <w:rsid w:val="005C707F"/>
    <w:rsid w:val="005C7100"/>
    <w:rsid w:val="005C7146"/>
    <w:rsid w:val="005C7175"/>
    <w:rsid w:val="005C735D"/>
    <w:rsid w:val="005C7463"/>
    <w:rsid w:val="005C74C1"/>
    <w:rsid w:val="005C7565"/>
    <w:rsid w:val="005C761D"/>
    <w:rsid w:val="005C7655"/>
    <w:rsid w:val="005C76CA"/>
    <w:rsid w:val="005C76D0"/>
    <w:rsid w:val="005C78BE"/>
    <w:rsid w:val="005C7910"/>
    <w:rsid w:val="005C799B"/>
    <w:rsid w:val="005C79DC"/>
    <w:rsid w:val="005C7A4F"/>
    <w:rsid w:val="005C7B20"/>
    <w:rsid w:val="005C7B3E"/>
    <w:rsid w:val="005C7B64"/>
    <w:rsid w:val="005C7BE1"/>
    <w:rsid w:val="005C7C08"/>
    <w:rsid w:val="005C7C49"/>
    <w:rsid w:val="005C7CF3"/>
    <w:rsid w:val="005C7D43"/>
    <w:rsid w:val="005C7E04"/>
    <w:rsid w:val="005C7E11"/>
    <w:rsid w:val="005C7E65"/>
    <w:rsid w:val="005C7EFB"/>
    <w:rsid w:val="005C7F66"/>
    <w:rsid w:val="005C7FAA"/>
    <w:rsid w:val="005C7FE4"/>
    <w:rsid w:val="005D006B"/>
    <w:rsid w:val="005D00B5"/>
    <w:rsid w:val="005D00F2"/>
    <w:rsid w:val="005D0100"/>
    <w:rsid w:val="005D0113"/>
    <w:rsid w:val="005D0137"/>
    <w:rsid w:val="005D0241"/>
    <w:rsid w:val="005D0249"/>
    <w:rsid w:val="005D0351"/>
    <w:rsid w:val="005D0492"/>
    <w:rsid w:val="005D050D"/>
    <w:rsid w:val="005D0545"/>
    <w:rsid w:val="005D05B4"/>
    <w:rsid w:val="005D0668"/>
    <w:rsid w:val="005D06CA"/>
    <w:rsid w:val="005D06F6"/>
    <w:rsid w:val="005D07EE"/>
    <w:rsid w:val="005D093A"/>
    <w:rsid w:val="005D0946"/>
    <w:rsid w:val="005D099E"/>
    <w:rsid w:val="005D09F1"/>
    <w:rsid w:val="005D0AFC"/>
    <w:rsid w:val="005D0B49"/>
    <w:rsid w:val="005D0BBC"/>
    <w:rsid w:val="005D0C72"/>
    <w:rsid w:val="005D0CB2"/>
    <w:rsid w:val="005D0D01"/>
    <w:rsid w:val="005D0D48"/>
    <w:rsid w:val="005D0DFA"/>
    <w:rsid w:val="005D0E49"/>
    <w:rsid w:val="005D0EBC"/>
    <w:rsid w:val="005D0F80"/>
    <w:rsid w:val="005D0FDB"/>
    <w:rsid w:val="005D1049"/>
    <w:rsid w:val="005D1163"/>
    <w:rsid w:val="005D1166"/>
    <w:rsid w:val="005D12C3"/>
    <w:rsid w:val="005D13F6"/>
    <w:rsid w:val="005D158E"/>
    <w:rsid w:val="005D15B8"/>
    <w:rsid w:val="005D15D4"/>
    <w:rsid w:val="005D15E3"/>
    <w:rsid w:val="005D1608"/>
    <w:rsid w:val="005D1622"/>
    <w:rsid w:val="005D1626"/>
    <w:rsid w:val="005D1656"/>
    <w:rsid w:val="005D17B5"/>
    <w:rsid w:val="005D17E4"/>
    <w:rsid w:val="005D1807"/>
    <w:rsid w:val="005D183F"/>
    <w:rsid w:val="005D18BE"/>
    <w:rsid w:val="005D18DD"/>
    <w:rsid w:val="005D19A1"/>
    <w:rsid w:val="005D1A59"/>
    <w:rsid w:val="005D1A97"/>
    <w:rsid w:val="005D1B50"/>
    <w:rsid w:val="005D1BAB"/>
    <w:rsid w:val="005D1BC3"/>
    <w:rsid w:val="005D1C3E"/>
    <w:rsid w:val="005D1C67"/>
    <w:rsid w:val="005D1CA7"/>
    <w:rsid w:val="005D1DCA"/>
    <w:rsid w:val="005D1DE4"/>
    <w:rsid w:val="005D1E62"/>
    <w:rsid w:val="005D1F6F"/>
    <w:rsid w:val="005D1F85"/>
    <w:rsid w:val="005D200A"/>
    <w:rsid w:val="005D201F"/>
    <w:rsid w:val="005D209D"/>
    <w:rsid w:val="005D2125"/>
    <w:rsid w:val="005D218A"/>
    <w:rsid w:val="005D21BB"/>
    <w:rsid w:val="005D22A9"/>
    <w:rsid w:val="005D22BB"/>
    <w:rsid w:val="005D238A"/>
    <w:rsid w:val="005D23A5"/>
    <w:rsid w:val="005D23CE"/>
    <w:rsid w:val="005D2412"/>
    <w:rsid w:val="005D24B8"/>
    <w:rsid w:val="005D24BB"/>
    <w:rsid w:val="005D2532"/>
    <w:rsid w:val="005D25CD"/>
    <w:rsid w:val="005D2642"/>
    <w:rsid w:val="005D2709"/>
    <w:rsid w:val="005D27D0"/>
    <w:rsid w:val="005D2819"/>
    <w:rsid w:val="005D2870"/>
    <w:rsid w:val="005D28C2"/>
    <w:rsid w:val="005D28F7"/>
    <w:rsid w:val="005D295A"/>
    <w:rsid w:val="005D2A17"/>
    <w:rsid w:val="005D2A2C"/>
    <w:rsid w:val="005D2A52"/>
    <w:rsid w:val="005D2AA3"/>
    <w:rsid w:val="005D2AB3"/>
    <w:rsid w:val="005D2AB7"/>
    <w:rsid w:val="005D2C53"/>
    <w:rsid w:val="005D2C7F"/>
    <w:rsid w:val="005D2C82"/>
    <w:rsid w:val="005D2D1F"/>
    <w:rsid w:val="005D2D50"/>
    <w:rsid w:val="005D2DD5"/>
    <w:rsid w:val="005D2E7E"/>
    <w:rsid w:val="005D2F28"/>
    <w:rsid w:val="005D2F85"/>
    <w:rsid w:val="005D2FE7"/>
    <w:rsid w:val="005D3023"/>
    <w:rsid w:val="005D307E"/>
    <w:rsid w:val="005D3191"/>
    <w:rsid w:val="005D321D"/>
    <w:rsid w:val="005D322B"/>
    <w:rsid w:val="005D3273"/>
    <w:rsid w:val="005D3274"/>
    <w:rsid w:val="005D3340"/>
    <w:rsid w:val="005D34D8"/>
    <w:rsid w:val="005D353E"/>
    <w:rsid w:val="005D3590"/>
    <w:rsid w:val="005D3595"/>
    <w:rsid w:val="005D35B8"/>
    <w:rsid w:val="005D363D"/>
    <w:rsid w:val="005D364A"/>
    <w:rsid w:val="005D368A"/>
    <w:rsid w:val="005D3782"/>
    <w:rsid w:val="005D378B"/>
    <w:rsid w:val="005D378C"/>
    <w:rsid w:val="005D37F4"/>
    <w:rsid w:val="005D382C"/>
    <w:rsid w:val="005D385D"/>
    <w:rsid w:val="005D3884"/>
    <w:rsid w:val="005D3954"/>
    <w:rsid w:val="005D39CC"/>
    <w:rsid w:val="005D39F9"/>
    <w:rsid w:val="005D3AB9"/>
    <w:rsid w:val="005D3BBC"/>
    <w:rsid w:val="005D3C31"/>
    <w:rsid w:val="005D3C4B"/>
    <w:rsid w:val="005D3CF5"/>
    <w:rsid w:val="005D3DA5"/>
    <w:rsid w:val="005D3E62"/>
    <w:rsid w:val="005D3EAB"/>
    <w:rsid w:val="005D3F24"/>
    <w:rsid w:val="005D3FC0"/>
    <w:rsid w:val="005D3FE6"/>
    <w:rsid w:val="005D4088"/>
    <w:rsid w:val="005D4124"/>
    <w:rsid w:val="005D4289"/>
    <w:rsid w:val="005D433D"/>
    <w:rsid w:val="005D43C8"/>
    <w:rsid w:val="005D444C"/>
    <w:rsid w:val="005D445A"/>
    <w:rsid w:val="005D44CD"/>
    <w:rsid w:val="005D4517"/>
    <w:rsid w:val="005D4537"/>
    <w:rsid w:val="005D45AF"/>
    <w:rsid w:val="005D4658"/>
    <w:rsid w:val="005D4662"/>
    <w:rsid w:val="005D4666"/>
    <w:rsid w:val="005D46A4"/>
    <w:rsid w:val="005D46C0"/>
    <w:rsid w:val="005D46C7"/>
    <w:rsid w:val="005D4758"/>
    <w:rsid w:val="005D4760"/>
    <w:rsid w:val="005D47E0"/>
    <w:rsid w:val="005D4834"/>
    <w:rsid w:val="005D4978"/>
    <w:rsid w:val="005D49D4"/>
    <w:rsid w:val="005D4A30"/>
    <w:rsid w:val="005D4A34"/>
    <w:rsid w:val="005D4A6B"/>
    <w:rsid w:val="005D4A7B"/>
    <w:rsid w:val="005D4B3A"/>
    <w:rsid w:val="005D4B5B"/>
    <w:rsid w:val="005D4BBC"/>
    <w:rsid w:val="005D4CDF"/>
    <w:rsid w:val="005D4D25"/>
    <w:rsid w:val="005D4DBE"/>
    <w:rsid w:val="005D4F0C"/>
    <w:rsid w:val="005D4F92"/>
    <w:rsid w:val="005D4FBC"/>
    <w:rsid w:val="005D4FF9"/>
    <w:rsid w:val="005D5029"/>
    <w:rsid w:val="005D5051"/>
    <w:rsid w:val="005D50D2"/>
    <w:rsid w:val="005D510F"/>
    <w:rsid w:val="005D51B5"/>
    <w:rsid w:val="005D5260"/>
    <w:rsid w:val="005D52F8"/>
    <w:rsid w:val="005D5319"/>
    <w:rsid w:val="005D54DC"/>
    <w:rsid w:val="005D54F0"/>
    <w:rsid w:val="005D5520"/>
    <w:rsid w:val="005D554E"/>
    <w:rsid w:val="005D5570"/>
    <w:rsid w:val="005D557A"/>
    <w:rsid w:val="005D55A8"/>
    <w:rsid w:val="005D55C7"/>
    <w:rsid w:val="005D561D"/>
    <w:rsid w:val="005D5657"/>
    <w:rsid w:val="005D5674"/>
    <w:rsid w:val="005D5738"/>
    <w:rsid w:val="005D573D"/>
    <w:rsid w:val="005D5789"/>
    <w:rsid w:val="005D57DC"/>
    <w:rsid w:val="005D5860"/>
    <w:rsid w:val="005D586A"/>
    <w:rsid w:val="005D5905"/>
    <w:rsid w:val="005D59E3"/>
    <w:rsid w:val="005D5B62"/>
    <w:rsid w:val="005D5BB2"/>
    <w:rsid w:val="005D5BD7"/>
    <w:rsid w:val="005D5C29"/>
    <w:rsid w:val="005D5C7F"/>
    <w:rsid w:val="005D5C89"/>
    <w:rsid w:val="005D5CA7"/>
    <w:rsid w:val="005D5D8F"/>
    <w:rsid w:val="005D5DD7"/>
    <w:rsid w:val="005D5EBD"/>
    <w:rsid w:val="005D5F20"/>
    <w:rsid w:val="005D5F8F"/>
    <w:rsid w:val="005D6214"/>
    <w:rsid w:val="005D6263"/>
    <w:rsid w:val="005D62F6"/>
    <w:rsid w:val="005D6342"/>
    <w:rsid w:val="005D6377"/>
    <w:rsid w:val="005D63B2"/>
    <w:rsid w:val="005D63B8"/>
    <w:rsid w:val="005D63D0"/>
    <w:rsid w:val="005D6408"/>
    <w:rsid w:val="005D64E3"/>
    <w:rsid w:val="005D6552"/>
    <w:rsid w:val="005D6560"/>
    <w:rsid w:val="005D6668"/>
    <w:rsid w:val="005D66B3"/>
    <w:rsid w:val="005D6714"/>
    <w:rsid w:val="005D672C"/>
    <w:rsid w:val="005D67B1"/>
    <w:rsid w:val="005D67E7"/>
    <w:rsid w:val="005D6824"/>
    <w:rsid w:val="005D69EA"/>
    <w:rsid w:val="005D6AC7"/>
    <w:rsid w:val="005D6B39"/>
    <w:rsid w:val="005D6B80"/>
    <w:rsid w:val="005D6B9D"/>
    <w:rsid w:val="005D6D4D"/>
    <w:rsid w:val="005D6E4C"/>
    <w:rsid w:val="005D6F26"/>
    <w:rsid w:val="005D707F"/>
    <w:rsid w:val="005D71C6"/>
    <w:rsid w:val="005D722D"/>
    <w:rsid w:val="005D7230"/>
    <w:rsid w:val="005D72F3"/>
    <w:rsid w:val="005D732C"/>
    <w:rsid w:val="005D73D3"/>
    <w:rsid w:val="005D7419"/>
    <w:rsid w:val="005D74C8"/>
    <w:rsid w:val="005D751B"/>
    <w:rsid w:val="005D7542"/>
    <w:rsid w:val="005D767C"/>
    <w:rsid w:val="005D76C6"/>
    <w:rsid w:val="005D7745"/>
    <w:rsid w:val="005D778A"/>
    <w:rsid w:val="005D7838"/>
    <w:rsid w:val="005D78F1"/>
    <w:rsid w:val="005D790D"/>
    <w:rsid w:val="005D7941"/>
    <w:rsid w:val="005D7945"/>
    <w:rsid w:val="005D7999"/>
    <w:rsid w:val="005D7A65"/>
    <w:rsid w:val="005D7B06"/>
    <w:rsid w:val="005D7B71"/>
    <w:rsid w:val="005D7B85"/>
    <w:rsid w:val="005D7B9E"/>
    <w:rsid w:val="005D7C2C"/>
    <w:rsid w:val="005D7DC6"/>
    <w:rsid w:val="005D7E08"/>
    <w:rsid w:val="005D7E6E"/>
    <w:rsid w:val="005D7EC4"/>
    <w:rsid w:val="005D7ED7"/>
    <w:rsid w:val="005D7F18"/>
    <w:rsid w:val="005E001F"/>
    <w:rsid w:val="005E006F"/>
    <w:rsid w:val="005E007C"/>
    <w:rsid w:val="005E013A"/>
    <w:rsid w:val="005E0169"/>
    <w:rsid w:val="005E016D"/>
    <w:rsid w:val="005E017D"/>
    <w:rsid w:val="005E018D"/>
    <w:rsid w:val="005E02B0"/>
    <w:rsid w:val="005E034B"/>
    <w:rsid w:val="005E034F"/>
    <w:rsid w:val="005E0387"/>
    <w:rsid w:val="005E0454"/>
    <w:rsid w:val="005E0456"/>
    <w:rsid w:val="005E04F2"/>
    <w:rsid w:val="005E056B"/>
    <w:rsid w:val="005E05B4"/>
    <w:rsid w:val="005E0656"/>
    <w:rsid w:val="005E065B"/>
    <w:rsid w:val="005E06D6"/>
    <w:rsid w:val="005E0702"/>
    <w:rsid w:val="005E0863"/>
    <w:rsid w:val="005E0916"/>
    <w:rsid w:val="005E09E0"/>
    <w:rsid w:val="005E0A9F"/>
    <w:rsid w:val="005E0BCC"/>
    <w:rsid w:val="005E0C4A"/>
    <w:rsid w:val="005E0C90"/>
    <w:rsid w:val="005E0D8D"/>
    <w:rsid w:val="005E0D8E"/>
    <w:rsid w:val="005E0DA5"/>
    <w:rsid w:val="005E0DA7"/>
    <w:rsid w:val="005E0DE5"/>
    <w:rsid w:val="005E0E68"/>
    <w:rsid w:val="005E0F6B"/>
    <w:rsid w:val="005E106C"/>
    <w:rsid w:val="005E10FF"/>
    <w:rsid w:val="005E1145"/>
    <w:rsid w:val="005E1167"/>
    <w:rsid w:val="005E11C2"/>
    <w:rsid w:val="005E1247"/>
    <w:rsid w:val="005E1265"/>
    <w:rsid w:val="005E131A"/>
    <w:rsid w:val="005E13A4"/>
    <w:rsid w:val="005E13CA"/>
    <w:rsid w:val="005E13ED"/>
    <w:rsid w:val="005E141C"/>
    <w:rsid w:val="005E1455"/>
    <w:rsid w:val="005E153E"/>
    <w:rsid w:val="005E15DD"/>
    <w:rsid w:val="005E1661"/>
    <w:rsid w:val="005E169E"/>
    <w:rsid w:val="005E16AD"/>
    <w:rsid w:val="005E16DB"/>
    <w:rsid w:val="005E17C7"/>
    <w:rsid w:val="005E1884"/>
    <w:rsid w:val="005E1975"/>
    <w:rsid w:val="005E1A16"/>
    <w:rsid w:val="005E1A3C"/>
    <w:rsid w:val="005E1A9C"/>
    <w:rsid w:val="005E1AFD"/>
    <w:rsid w:val="005E1BF6"/>
    <w:rsid w:val="005E1C80"/>
    <w:rsid w:val="005E1D02"/>
    <w:rsid w:val="005E1D7E"/>
    <w:rsid w:val="005E1D8F"/>
    <w:rsid w:val="005E1DF2"/>
    <w:rsid w:val="005E1E24"/>
    <w:rsid w:val="005E1EAC"/>
    <w:rsid w:val="005E1EF7"/>
    <w:rsid w:val="005E1F3C"/>
    <w:rsid w:val="005E1F7C"/>
    <w:rsid w:val="005E1FE4"/>
    <w:rsid w:val="005E1FF1"/>
    <w:rsid w:val="005E2047"/>
    <w:rsid w:val="005E2101"/>
    <w:rsid w:val="005E2201"/>
    <w:rsid w:val="005E2232"/>
    <w:rsid w:val="005E22FF"/>
    <w:rsid w:val="005E239D"/>
    <w:rsid w:val="005E23B8"/>
    <w:rsid w:val="005E24E2"/>
    <w:rsid w:val="005E25DC"/>
    <w:rsid w:val="005E25E1"/>
    <w:rsid w:val="005E2602"/>
    <w:rsid w:val="005E2634"/>
    <w:rsid w:val="005E2640"/>
    <w:rsid w:val="005E26B0"/>
    <w:rsid w:val="005E26DA"/>
    <w:rsid w:val="005E276E"/>
    <w:rsid w:val="005E2802"/>
    <w:rsid w:val="005E2853"/>
    <w:rsid w:val="005E2892"/>
    <w:rsid w:val="005E28CE"/>
    <w:rsid w:val="005E28FD"/>
    <w:rsid w:val="005E2911"/>
    <w:rsid w:val="005E2929"/>
    <w:rsid w:val="005E2A86"/>
    <w:rsid w:val="005E2AB9"/>
    <w:rsid w:val="005E2ADC"/>
    <w:rsid w:val="005E2C0F"/>
    <w:rsid w:val="005E2C57"/>
    <w:rsid w:val="005E2C62"/>
    <w:rsid w:val="005E2C90"/>
    <w:rsid w:val="005E2CAE"/>
    <w:rsid w:val="005E2D04"/>
    <w:rsid w:val="005E2D4A"/>
    <w:rsid w:val="005E2D5B"/>
    <w:rsid w:val="005E2D84"/>
    <w:rsid w:val="005E2E0D"/>
    <w:rsid w:val="005E2E4A"/>
    <w:rsid w:val="005E2E68"/>
    <w:rsid w:val="005E2EAF"/>
    <w:rsid w:val="005E2F26"/>
    <w:rsid w:val="005E2F2F"/>
    <w:rsid w:val="005E2F62"/>
    <w:rsid w:val="005E2F7B"/>
    <w:rsid w:val="005E312A"/>
    <w:rsid w:val="005E312E"/>
    <w:rsid w:val="005E3200"/>
    <w:rsid w:val="005E3224"/>
    <w:rsid w:val="005E328B"/>
    <w:rsid w:val="005E3417"/>
    <w:rsid w:val="005E3447"/>
    <w:rsid w:val="005E350A"/>
    <w:rsid w:val="005E355A"/>
    <w:rsid w:val="005E3610"/>
    <w:rsid w:val="005E36BA"/>
    <w:rsid w:val="005E36BC"/>
    <w:rsid w:val="005E36D6"/>
    <w:rsid w:val="005E3728"/>
    <w:rsid w:val="005E3736"/>
    <w:rsid w:val="005E373E"/>
    <w:rsid w:val="005E37A6"/>
    <w:rsid w:val="005E37C0"/>
    <w:rsid w:val="005E382E"/>
    <w:rsid w:val="005E3925"/>
    <w:rsid w:val="005E3A2E"/>
    <w:rsid w:val="005E3A3C"/>
    <w:rsid w:val="005E3BF5"/>
    <w:rsid w:val="005E3C3D"/>
    <w:rsid w:val="005E3C87"/>
    <w:rsid w:val="005E3CC7"/>
    <w:rsid w:val="005E3CD5"/>
    <w:rsid w:val="005E3DAF"/>
    <w:rsid w:val="005E3DBD"/>
    <w:rsid w:val="005E3DE1"/>
    <w:rsid w:val="005E3E0E"/>
    <w:rsid w:val="005E3E40"/>
    <w:rsid w:val="005E3EBE"/>
    <w:rsid w:val="005E3EC4"/>
    <w:rsid w:val="005E3F24"/>
    <w:rsid w:val="005E3F2E"/>
    <w:rsid w:val="005E3FDF"/>
    <w:rsid w:val="005E4016"/>
    <w:rsid w:val="005E4034"/>
    <w:rsid w:val="005E4036"/>
    <w:rsid w:val="005E4055"/>
    <w:rsid w:val="005E4151"/>
    <w:rsid w:val="005E4170"/>
    <w:rsid w:val="005E4188"/>
    <w:rsid w:val="005E427D"/>
    <w:rsid w:val="005E4280"/>
    <w:rsid w:val="005E42BB"/>
    <w:rsid w:val="005E4341"/>
    <w:rsid w:val="005E4359"/>
    <w:rsid w:val="005E43E5"/>
    <w:rsid w:val="005E440D"/>
    <w:rsid w:val="005E445D"/>
    <w:rsid w:val="005E4494"/>
    <w:rsid w:val="005E451D"/>
    <w:rsid w:val="005E47F9"/>
    <w:rsid w:val="005E47FC"/>
    <w:rsid w:val="005E4809"/>
    <w:rsid w:val="005E48A8"/>
    <w:rsid w:val="005E48BF"/>
    <w:rsid w:val="005E48D3"/>
    <w:rsid w:val="005E497A"/>
    <w:rsid w:val="005E4A23"/>
    <w:rsid w:val="005E4A36"/>
    <w:rsid w:val="005E4A5F"/>
    <w:rsid w:val="005E4A90"/>
    <w:rsid w:val="005E4AB4"/>
    <w:rsid w:val="005E4CA8"/>
    <w:rsid w:val="005E4D33"/>
    <w:rsid w:val="005E4EC8"/>
    <w:rsid w:val="005E4ED1"/>
    <w:rsid w:val="005E4EEE"/>
    <w:rsid w:val="005E4EFA"/>
    <w:rsid w:val="005E4F34"/>
    <w:rsid w:val="005E4FC2"/>
    <w:rsid w:val="005E502A"/>
    <w:rsid w:val="005E50C8"/>
    <w:rsid w:val="005E511F"/>
    <w:rsid w:val="005E5160"/>
    <w:rsid w:val="005E517F"/>
    <w:rsid w:val="005E51BA"/>
    <w:rsid w:val="005E51C2"/>
    <w:rsid w:val="005E5210"/>
    <w:rsid w:val="005E5266"/>
    <w:rsid w:val="005E52A3"/>
    <w:rsid w:val="005E52C8"/>
    <w:rsid w:val="005E5315"/>
    <w:rsid w:val="005E5345"/>
    <w:rsid w:val="005E5456"/>
    <w:rsid w:val="005E5491"/>
    <w:rsid w:val="005E5603"/>
    <w:rsid w:val="005E560D"/>
    <w:rsid w:val="005E5624"/>
    <w:rsid w:val="005E5845"/>
    <w:rsid w:val="005E5888"/>
    <w:rsid w:val="005E58EB"/>
    <w:rsid w:val="005E58F3"/>
    <w:rsid w:val="005E59A7"/>
    <w:rsid w:val="005E5A3D"/>
    <w:rsid w:val="005E5B78"/>
    <w:rsid w:val="005E5BC8"/>
    <w:rsid w:val="005E5C50"/>
    <w:rsid w:val="005E5CAE"/>
    <w:rsid w:val="005E5DD2"/>
    <w:rsid w:val="005E5EB5"/>
    <w:rsid w:val="005E5EC6"/>
    <w:rsid w:val="005E5F27"/>
    <w:rsid w:val="005E5F6A"/>
    <w:rsid w:val="005E6098"/>
    <w:rsid w:val="005E6249"/>
    <w:rsid w:val="005E625D"/>
    <w:rsid w:val="005E62BB"/>
    <w:rsid w:val="005E62DE"/>
    <w:rsid w:val="005E6307"/>
    <w:rsid w:val="005E63AB"/>
    <w:rsid w:val="005E65E6"/>
    <w:rsid w:val="005E66A3"/>
    <w:rsid w:val="005E66A5"/>
    <w:rsid w:val="005E6707"/>
    <w:rsid w:val="005E6788"/>
    <w:rsid w:val="005E680E"/>
    <w:rsid w:val="005E689F"/>
    <w:rsid w:val="005E68F4"/>
    <w:rsid w:val="005E6970"/>
    <w:rsid w:val="005E6984"/>
    <w:rsid w:val="005E69CD"/>
    <w:rsid w:val="005E6B47"/>
    <w:rsid w:val="005E6B90"/>
    <w:rsid w:val="005E6BCA"/>
    <w:rsid w:val="005E6CEB"/>
    <w:rsid w:val="005E6D2B"/>
    <w:rsid w:val="005E6D9B"/>
    <w:rsid w:val="005E6E32"/>
    <w:rsid w:val="005E6E59"/>
    <w:rsid w:val="005E6ECD"/>
    <w:rsid w:val="005E6EFC"/>
    <w:rsid w:val="005E6F1B"/>
    <w:rsid w:val="005E6FD2"/>
    <w:rsid w:val="005E704E"/>
    <w:rsid w:val="005E7078"/>
    <w:rsid w:val="005E7087"/>
    <w:rsid w:val="005E71BF"/>
    <w:rsid w:val="005E71F0"/>
    <w:rsid w:val="005E7227"/>
    <w:rsid w:val="005E746F"/>
    <w:rsid w:val="005E74EE"/>
    <w:rsid w:val="005E7541"/>
    <w:rsid w:val="005E76A2"/>
    <w:rsid w:val="005E76B2"/>
    <w:rsid w:val="005E76E5"/>
    <w:rsid w:val="005E7856"/>
    <w:rsid w:val="005E78AA"/>
    <w:rsid w:val="005E78BE"/>
    <w:rsid w:val="005E791C"/>
    <w:rsid w:val="005E7995"/>
    <w:rsid w:val="005E79B4"/>
    <w:rsid w:val="005E7BE3"/>
    <w:rsid w:val="005E7BE8"/>
    <w:rsid w:val="005E7C64"/>
    <w:rsid w:val="005E7C6D"/>
    <w:rsid w:val="005E7CA4"/>
    <w:rsid w:val="005E7DAA"/>
    <w:rsid w:val="005E7DAE"/>
    <w:rsid w:val="005E7E08"/>
    <w:rsid w:val="005E7F61"/>
    <w:rsid w:val="005E7F9E"/>
    <w:rsid w:val="005F0054"/>
    <w:rsid w:val="005F0285"/>
    <w:rsid w:val="005F0312"/>
    <w:rsid w:val="005F03C8"/>
    <w:rsid w:val="005F0403"/>
    <w:rsid w:val="005F0470"/>
    <w:rsid w:val="005F048B"/>
    <w:rsid w:val="005F0529"/>
    <w:rsid w:val="005F0555"/>
    <w:rsid w:val="005F068D"/>
    <w:rsid w:val="005F06A0"/>
    <w:rsid w:val="005F0761"/>
    <w:rsid w:val="005F0772"/>
    <w:rsid w:val="005F07AF"/>
    <w:rsid w:val="005F0915"/>
    <w:rsid w:val="005F0929"/>
    <w:rsid w:val="005F09B9"/>
    <w:rsid w:val="005F0A84"/>
    <w:rsid w:val="005F0A9D"/>
    <w:rsid w:val="005F0B0A"/>
    <w:rsid w:val="005F0B34"/>
    <w:rsid w:val="005F0B36"/>
    <w:rsid w:val="005F0B46"/>
    <w:rsid w:val="005F0BD0"/>
    <w:rsid w:val="005F0C3E"/>
    <w:rsid w:val="005F0D17"/>
    <w:rsid w:val="005F0D65"/>
    <w:rsid w:val="005F0D7E"/>
    <w:rsid w:val="005F0EB7"/>
    <w:rsid w:val="005F0EB9"/>
    <w:rsid w:val="005F0F08"/>
    <w:rsid w:val="005F0F19"/>
    <w:rsid w:val="005F0F46"/>
    <w:rsid w:val="005F1073"/>
    <w:rsid w:val="005F10DE"/>
    <w:rsid w:val="005F1105"/>
    <w:rsid w:val="005F1183"/>
    <w:rsid w:val="005F1214"/>
    <w:rsid w:val="005F1228"/>
    <w:rsid w:val="005F126E"/>
    <w:rsid w:val="005F12A2"/>
    <w:rsid w:val="005F130E"/>
    <w:rsid w:val="005F1375"/>
    <w:rsid w:val="005F144E"/>
    <w:rsid w:val="005F14C3"/>
    <w:rsid w:val="005F14D3"/>
    <w:rsid w:val="005F150B"/>
    <w:rsid w:val="005F1512"/>
    <w:rsid w:val="005F1568"/>
    <w:rsid w:val="005F158C"/>
    <w:rsid w:val="005F159C"/>
    <w:rsid w:val="005F15E8"/>
    <w:rsid w:val="005F163D"/>
    <w:rsid w:val="005F1692"/>
    <w:rsid w:val="005F16E2"/>
    <w:rsid w:val="005F1793"/>
    <w:rsid w:val="005F179D"/>
    <w:rsid w:val="005F17BC"/>
    <w:rsid w:val="005F17C3"/>
    <w:rsid w:val="005F1843"/>
    <w:rsid w:val="005F19B0"/>
    <w:rsid w:val="005F19D2"/>
    <w:rsid w:val="005F1A21"/>
    <w:rsid w:val="005F1B02"/>
    <w:rsid w:val="005F1B2E"/>
    <w:rsid w:val="005F1B3C"/>
    <w:rsid w:val="005F1BEC"/>
    <w:rsid w:val="005F1C53"/>
    <w:rsid w:val="005F1CAE"/>
    <w:rsid w:val="005F1D6F"/>
    <w:rsid w:val="005F1DA1"/>
    <w:rsid w:val="005F1E61"/>
    <w:rsid w:val="005F1ED1"/>
    <w:rsid w:val="005F1EF7"/>
    <w:rsid w:val="005F1F0B"/>
    <w:rsid w:val="005F1F30"/>
    <w:rsid w:val="005F1FB5"/>
    <w:rsid w:val="005F2066"/>
    <w:rsid w:val="005F21AD"/>
    <w:rsid w:val="005F21DE"/>
    <w:rsid w:val="005F2232"/>
    <w:rsid w:val="005F22D2"/>
    <w:rsid w:val="005F23A0"/>
    <w:rsid w:val="005F23A6"/>
    <w:rsid w:val="005F23B4"/>
    <w:rsid w:val="005F23D9"/>
    <w:rsid w:val="005F23E3"/>
    <w:rsid w:val="005F23E9"/>
    <w:rsid w:val="005F2428"/>
    <w:rsid w:val="005F24C8"/>
    <w:rsid w:val="005F24D6"/>
    <w:rsid w:val="005F2559"/>
    <w:rsid w:val="005F257F"/>
    <w:rsid w:val="005F25B1"/>
    <w:rsid w:val="005F2641"/>
    <w:rsid w:val="005F2698"/>
    <w:rsid w:val="005F26FC"/>
    <w:rsid w:val="005F2727"/>
    <w:rsid w:val="005F276C"/>
    <w:rsid w:val="005F282C"/>
    <w:rsid w:val="005F28C8"/>
    <w:rsid w:val="005F2906"/>
    <w:rsid w:val="005F2929"/>
    <w:rsid w:val="005F2B4C"/>
    <w:rsid w:val="005F2B54"/>
    <w:rsid w:val="005F2B63"/>
    <w:rsid w:val="005F2B67"/>
    <w:rsid w:val="005F2BD3"/>
    <w:rsid w:val="005F2BE1"/>
    <w:rsid w:val="005F2C46"/>
    <w:rsid w:val="005F2C69"/>
    <w:rsid w:val="005F2D96"/>
    <w:rsid w:val="005F2DD4"/>
    <w:rsid w:val="005F2DE0"/>
    <w:rsid w:val="005F2DEA"/>
    <w:rsid w:val="005F2E2E"/>
    <w:rsid w:val="005F2E4C"/>
    <w:rsid w:val="005F2E74"/>
    <w:rsid w:val="005F2E83"/>
    <w:rsid w:val="005F2EAD"/>
    <w:rsid w:val="005F2F0D"/>
    <w:rsid w:val="005F3124"/>
    <w:rsid w:val="005F3130"/>
    <w:rsid w:val="005F314B"/>
    <w:rsid w:val="005F31A8"/>
    <w:rsid w:val="005F3216"/>
    <w:rsid w:val="005F32AC"/>
    <w:rsid w:val="005F333D"/>
    <w:rsid w:val="005F3430"/>
    <w:rsid w:val="005F3452"/>
    <w:rsid w:val="005F34B0"/>
    <w:rsid w:val="005F34DC"/>
    <w:rsid w:val="005F352C"/>
    <w:rsid w:val="005F359A"/>
    <w:rsid w:val="005F359F"/>
    <w:rsid w:val="005F35D4"/>
    <w:rsid w:val="005F35F9"/>
    <w:rsid w:val="005F3629"/>
    <w:rsid w:val="005F36D4"/>
    <w:rsid w:val="005F36E9"/>
    <w:rsid w:val="005F374E"/>
    <w:rsid w:val="005F37B0"/>
    <w:rsid w:val="005F3833"/>
    <w:rsid w:val="005F38AC"/>
    <w:rsid w:val="005F391B"/>
    <w:rsid w:val="005F39B4"/>
    <w:rsid w:val="005F39DF"/>
    <w:rsid w:val="005F39FD"/>
    <w:rsid w:val="005F3A0E"/>
    <w:rsid w:val="005F3A25"/>
    <w:rsid w:val="005F3A48"/>
    <w:rsid w:val="005F3A69"/>
    <w:rsid w:val="005F3B2C"/>
    <w:rsid w:val="005F3B97"/>
    <w:rsid w:val="005F3BDC"/>
    <w:rsid w:val="005F3C3E"/>
    <w:rsid w:val="005F3C75"/>
    <w:rsid w:val="005F3D24"/>
    <w:rsid w:val="005F3D39"/>
    <w:rsid w:val="005F3D46"/>
    <w:rsid w:val="005F3E09"/>
    <w:rsid w:val="005F3E0F"/>
    <w:rsid w:val="005F3E3F"/>
    <w:rsid w:val="005F3E98"/>
    <w:rsid w:val="005F3F55"/>
    <w:rsid w:val="005F3FB7"/>
    <w:rsid w:val="005F404F"/>
    <w:rsid w:val="005F4077"/>
    <w:rsid w:val="005F4079"/>
    <w:rsid w:val="005F40B1"/>
    <w:rsid w:val="005F40E3"/>
    <w:rsid w:val="005F4139"/>
    <w:rsid w:val="005F413B"/>
    <w:rsid w:val="005F41AF"/>
    <w:rsid w:val="005F420D"/>
    <w:rsid w:val="005F428B"/>
    <w:rsid w:val="005F435A"/>
    <w:rsid w:val="005F4388"/>
    <w:rsid w:val="005F4429"/>
    <w:rsid w:val="005F4438"/>
    <w:rsid w:val="005F45C7"/>
    <w:rsid w:val="005F461B"/>
    <w:rsid w:val="005F46B3"/>
    <w:rsid w:val="005F4712"/>
    <w:rsid w:val="005F4721"/>
    <w:rsid w:val="005F47AE"/>
    <w:rsid w:val="005F481C"/>
    <w:rsid w:val="005F4857"/>
    <w:rsid w:val="005F4894"/>
    <w:rsid w:val="005F4909"/>
    <w:rsid w:val="005F4923"/>
    <w:rsid w:val="005F4929"/>
    <w:rsid w:val="005F4937"/>
    <w:rsid w:val="005F4977"/>
    <w:rsid w:val="005F497B"/>
    <w:rsid w:val="005F4990"/>
    <w:rsid w:val="005F49A7"/>
    <w:rsid w:val="005F49EA"/>
    <w:rsid w:val="005F4A48"/>
    <w:rsid w:val="005F4AEE"/>
    <w:rsid w:val="005F4B70"/>
    <w:rsid w:val="005F4C3A"/>
    <w:rsid w:val="005F4C4E"/>
    <w:rsid w:val="005F4CAD"/>
    <w:rsid w:val="005F4CF0"/>
    <w:rsid w:val="005F4D61"/>
    <w:rsid w:val="005F4DDD"/>
    <w:rsid w:val="005F4DE0"/>
    <w:rsid w:val="005F4DFE"/>
    <w:rsid w:val="005F4E4A"/>
    <w:rsid w:val="005F4E5A"/>
    <w:rsid w:val="005F4EC4"/>
    <w:rsid w:val="005F4EF4"/>
    <w:rsid w:val="005F4F6D"/>
    <w:rsid w:val="005F4FAE"/>
    <w:rsid w:val="005F4FD4"/>
    <w:rsid w:val="005F501D"/>
    <w:rsid w:val="005F50C9"/>
    <w:rsid w:val="005F514A"/>
    <w:rsid w:val="005F519D"/>
    <w:rsid w:val="005F51AB"/>
    <w:rsid w:val="005F51BF"/>
    <w:rsid w:val="005F530E"/>
    <w:rsid w:val="005F5336"/>
    <w:rsid w:val="005F5465"/>
    <w:rsid w:val="005F54AE"/>
    <w:rsid w:val="005F550B"/>
    <w:rsid w:val="005F55CB"/>
    <w:rsid w:val="005F5611"/>
    <w:rsid w:val="005F561B"/>
    <w:rsid w:val="005F565B"/>
    <w:rsid w:val="005F5670"/>
    <w:rsid w:val="005F56A1"/>
    <w:rsid w:val="005F56CA"/>
    <w:rsid w:val="005F57E0"/>
    <w:rsid w:val="005F5806"/>
    <w:rsid w:val="005F5829"/>
    <w:rsid w:val="005F5858"/>
    <w:rsid w:val="005F5899"/>
    <w:rsid w:val="005F5AA6"/>
    <w:rsid w:val="005F5AAE"/>
    <w:rsid w:val="005F5B1C"/>
    <w:rsid w:val="005F5B32"/>
    <w:rsid w:val="005F5B99"/>
    <w:rsid w:val="005F5CE3"/>
    <w:rsid w:val="005F5D38"/>
    <w:rsid w:val="005F5D7F"/>
    <w:rsid w:val="005F5E40"/>
    <w:rsid w:val="005F5E98"/>
    <w:rsid w:val="005F5E9F"/>
    <w:rsid w:val="005F5EE8"/>
    <w:rsid w:val="005F605C"/>
    <w:rsid w:val="005F60DA"/>
    <w:rsid w:val="005F6131"/>
    <w:rsid w:val="005F6236"/>
    <w:rsid w:val="005F6289"/>
    <w:rsid w:val="005F6302"/>
    <w:rsid w:val="005F6308"/>
    <w:rsid w:val="005F6371"/>
    <w:rsid w:val="005F6408"/>
    <w:rsid w:val="005F6421"/>
    <w:rsid w:val="005F66A5"/>
    <w:rsid w:val="005F66CA"/>
    <w:rsid w:val="005F6799"/>
    <w:rsid w:val="005F6891"/>
    <w:rsid w:val="005F69BE"/>
    <w:rsid w:val="005F6A19"/>
    <w:rsid w:val="005F6A8C"/>
    <w:rsid w:val="005F6A92"/>
    <w:rsid w:val="005F6AE2"/>
    <w:rsid w:val="005F6B05"/>
    <w:rsid w:val="005F6B6F"/>
    <w:rsid w:val="005F6C3C"/>
    <w:rsid w:val="005F6CA9"/>
    <w:rsid w:val="005F6DD2"/>
    <w:rsid w:val="005F6E2B"/>
    <w:rsid w:val="005F6E33"/>
    <w:rsid w:val="005F6E36"/>
    <w:rsid w:val="005F6E45"/>
    <w:rsid w:val="005F6EB5"/>
    <w:rsid w:val="005F6EBE"/>
    <w:rsid w:val="005F6EF9"/>
    <w:rsid w:val="005F6F0D"/>
    <w:rsid w:val="005F6F1E"/>
    <w:rsid w:val="005F6F79"/>
    <w:rsid w:val="005F7014"/>
    <w:rsid w:val="005F7052"/>
    <w:rsid w:val="005F7073"/>
    <w:rsid w:val="005F7109"/>
    <w:rsid w:val="005F710C"/>
    <w:rsid w:val="005F7116"/>
    <w:rsid w:val="005F713D"/>
    <w:rsid w:val="005F71F0"/>
    <w:rsid w:val="005F7256"/>
    <w:rsid w:val="005F730E"/>
    <w:rsid w:val="005F7321"/>
    <w:rsid w:val="005F7510"/>
    <w:rsid w:val="005F7520"/>
    <w:rsid w:val="005F7541"/>
    <w:rsid w:val="005F7614"/>
    <w:rsid w:val="005F776B"/>
    <w:rsid w:val="005F7775"/>
    <w:rsid w:val="005F77A1"/>
    <w:rsid w:val="005F78CA"/>
    <w:rsid w:val="005F78EE"/>
    <w:rsid w:val="005F7935"/>
    <w:rsid w:val="005F7967"/>
    <w:rsid w:val="005F7A38"/>
    <w:rsid w:val="005F7A3A"/>
    <w:rsid w:val="005F7CA5"/>
    <w:rsid w:val="005F7D6D"/>
    <w:rsid w:val="005F7D82"/>
    <w:rsid w:val="005F7EC3"/>
    <w:rsid w:val="005F7F28"/>
    <w:rsid w:val="005F7F45"/>
    <w:rsid w:val="006000BD"/>
    <w:rsid w:val="006000CB"/>
    <w:rsid w:val="006000E6"/>
    <w:rsid w:val="00600163"/>
    <w:rsid w:val="0060019C"/>
    <w:rsid w:val="0060023F"/>
    <w:rsid w:val="00600359"/>
    <w:rsid w:val="00600369"/>
    <w:rsid w:val="0060039F"/>
    <w:rsid w:val="006003D8"/>
    <w:rsid w:val="0060041C"/>
    <w:rsid w:val="0060048C"/>
    <w:rsid w:val="006004AA"/>
    <w:rsid w:val="006004C1"/>
    <w:rsid w:val="006004E6"/>
    <w:rsid w:val="006004F9"/>
    <w:rsid w:val="00600557"/>
    <w:rsid w:val="006005A9"/>
    <w:rsid w:val="006005E3"/>
    <w:rsid w:val="00600728"/>
    <w:rsid w:val="00600737"/>
    <w:rsid w:val="0060081E"/>
    <w:rsid w:val="00600828"/>
    <w:rsid w:val="0060089A"/>
    <w:rsid w:val="006008B3"/>
    <w:rsid w:val="0060092D"/>
    <w:rsid w:val="0060094F"/>
    <w:rsid w:val="006009F6"/>
    <w:rsid w:val="00600A45"/>
    <w:rsid w:val="00600AE8"/>
    <w:rsid w:val="00600AF5"/>
    <w:rsid w:val="00600B26"/>
    <w:rsid w:val="00600BF1"/>
    <w:rsid w:val="00600CA2"/>
    <w:rsid w:val="00600CE6"/>
    <w:rsid w:val="00600DC7"/>
    <w:rsid w:val="00600E68"/>
    <w:rsid w:val="00600E90"/>
    <w:rsid w:val="00600EC1"/>
    <w:rsid w:val="00600F05"/>
    <w:rsid w:val="00600FB8"/>
    <w:rsid w:val="00600FD1"/>
    <w:rsid w:val="00601057"/>
    <w:rsid w:val="006011D6"/>
    <w:rsid w:val="006011FD"/>
    <w:rsid w:val="0060135C"/>
    <w:rsid w:val="0060136A"/>
    <w:rsid w:val="00601373"/>
    <w:rsid w:val="0060140A"/>
    <w:rsid w:val="0060143A"/>
    <w:rsid w:val="0060148E"/>
    <w:rsid w:val="006014C6"/>
    <w:rsid w:val="00601505"/>
    <w:rsid w:val="006015B5"/>
    <w:rsid w:val="00601617"/>
    <w:rsid w:val="0060168F"/>
    <w:rsid w:val="0060173A"/>
    <w:rsid w:val="00601775"/>
    <w:rsid w:val="0060177F"/>
    <w:rsid w:val="00601791"/>
    <w:rsid w:val="006017C4"/>
    <w:rsid w:val="0060180A"/>
    <w:rsid w:val="00601849"/>
    <w:rsid w:val="00601894"/>
    <w:rsid w:val="0060193E"/>
    <w:rsid w:val="00601A7B"/>
    <w:rsid w:val="00601AE7"/>
    <w:rsid w:val="00601B88"/>
    <w:rsid w:val="00601C2D"/>
    <w:rsid w:val="00601C68"/>
    <w:rsid w:val="00601D9F"/>
    <w:rsid w:val="00601E52"/>
    <w:rsid w:val="00601EC6"/>
    <w:rsid w:val="00601FC3"/>
    <w:rsid w:val="00602019"/>
    <w:rsid w:val="0060205A"/>
    <w:rsid w:val="0060211A"/>
    <w:rsid w:val="0060216C"/>
    <w:rsid w:val="00602275"/>
    <w:rsid w:val="0060227C"/>
    <w:rsid w:val="006022C7"/>
    <w:rsid w:val="006023B7"/>
    <w:rsid w:val="006023E6"/>
    <w:rsid w:val="006023EF"/>
    <w:rsid w:val="006023FF"/>
    <w:rsid w:val="006024A9"/>
    <w:rsid w:val="0060261E"/>
    <w:rsid w:val="00602742"/>
    <w:rsid w:val="0060275C"/>
    <w:rsid w:val="0060276D"/>
    <w:rsid w:val="0060279A"/>
    <w:rsid w:val="0060285E"/>
    <w:rsid w:val="00602897"/>
    <w:rsid w:val="006028BF"/>
    <w:rsid w:val="00602936"/>
    <w:rsid w:val="00602979"/>
    <w:rsid w:val="006029C1"/>
    <w:rsid w:val="006029DB"/>
    <w:rsid w:val="00602AA4"/>
    <w:rsid w:val="00602B85"/>
    <w:rsid w:val="00602BD2"/>
    <w:rsid w:val="00602C67"/>
    <w:rsid w:val="00602CDC"/>
    <w:rsid w:val="00602D9C"/>
    <w:rsid w:val="00602DDD"/>
    <w:rsid w:val="00602DE6"/>
    <w:rsid w:val="00602F02"/>
    <w:rsid w:val="00602F2A"/>
    <w:rsid w:val="00602F55"/>
    <w:rsid w:val="00602F5D"/>
    <w:rsid w:val="00602FE2"/>
    <w:rsid w:val="006030DC"/>
    <w:rsid w:val="00603127"/>
    <w:rsid w:val="006031BB"/>
    <w:rsid w:val="006031D0"/>
    <w:rsid w:val="006031EA"/>
    <w:rsid w:val="006032C5"/>
    <w:rsid w:val="0060330D"/>
    <w:rsid w:val="00603337"/>
    <w:rsid w:val="00603390"/>
    <w:rsid w:val="00603417"/>
    <w:rsid w:val="006034C4"/>
    <w:rsid w:val="00603538"/>
    <w:rsid w:val="00603563"/>
    <w:rsid w:val="0060359E"/>
    <w:rsid w:val="006036A1"/>
    <w:rsid w:val="00603706"/>
    <w:rsid w:val="00603739"/>
    <w:rsid w:val="0060376C"/>
    <w:rsid w:val="00603844"/>
    <w:rsid w:val="006038B8"/>
    <w:rsid w:val="006038CA"/>
    <w:rsid w:val="0060398A"/>
    <w:rsid w:val="006039F6"/>
    <w:rsid w:val="00603A0A"/>
    <w:rsid w:val="00603A4C"/>
    <w:rsid w:val="00603B59"/>
    <w:rsid w:val="00603C88"/>
    <w:rsid w:val="00603C8C"/>
    <w:rsid w:val="00603D1B"/>
    <w:rsid w:val="00603D1E"/>
    <w:rsid w:val="00603DDB"/>
    <w:rsid w:val="00603DF7"/>
    <w:rsid w:val="00603E32"/>
    <w:rsid w:val="00603E3F"/>
    <w:rsid w:val="00603E7B"/>
    <w:rsid w:val="00603F2C"/>
    <w:rsid w:val="00603F6C"/>
    <w:rsid w:val="0060409B"/>
    <w:rsid w:val="00604108"/>
    <w:rsid w:val="006041BF"/>
    <w:rsid w:val="0060420E"/>
    <w:rsid w:val="00604226"/>
    <w:rsid w:val="00604308"/>
    <w:rsid w:val="00604331"/>
    <w:rsid w:val="00604351"/>
    <w:rsid w:val="00604367"/>
    <w:rsid w:val="0060438C"/>
    <w:rsid w:val="006043A8"/>
    <w:rsid w:val="006044C0"/>
    <w:rsid w:val="00604519"/>
    <w:rsid w:val="0060468C"/>
    <w:rsid w:val="006046FF"/>
    <w:rsid w:val="00604740"/>
    <w:rsid w:val="0060482A"/>
    <w:rsid w:val="0060493E"/>
    <w:rsid w:val="0060498A"/>
    <w:rsid w:val="0060498E"/>
    <w:rsid w:val="006049DD"/>
    <w:rsid w:val="00604A77"/>
    <w:rsid w:val="00604AA3"/>
    <w:rsid w:val="00604AA9"/>
    <w:rsid w:val="00604B76"/>
    <w:rsid w:val="00604BEF"/>
    <w:rsid w:val="00604CA0"/>
    <w:rsid w:val="00604CA1"/>
    <w:rsid w:val="00604CBE"/>
    <w:rsid w:val="00604DE0"/>
    <w:rsid w:val="00604DED"/>
    <w:rsid w:val="00604F50"/>
    <w:rsid w:val="00604F68"/>
    <w:rsid w:val="00604F79"/>
    <w:rsid w:val="0060500E"/>
    <w:rsid w:val="006050B9"/>
    <w:rsid w:val="006050C1"/>
    <w:rsid w:val="006051CF"/>
    <w:rsid w:val="00605205"/>
    <w:rsid w:val="0060528A"/>
    <w:rsid w:val="00605313"/>
    <w:rsid w:val="00605391"/>
    <w:rsid w:val="006053CB"/>
    <w:rsid w:val="006054B6"/>
    <w:rsid w:val="00605508"/>
    <w:rsid w:val="006056EA"/>
    <w:rsid w:val="00605758"/>
    <w:rsid w:val="0060576E"/>
    <w:rsid w:val="00605772"/>
    <w:rsid w:val="0060578B"/>
    <w:rsid w:val="00605819"/>
    <w:rsid w:val="0060586A"/>
    <w:rsid w:val="0060589C"/>
    <w:rsid w:val="00605905"/>
    <w:rsid w:val="00605C1A"/>
    <w:rsid w:val="00605C34"/>
    <w:rsid w:val="00605C51"/>
    <w:rsid w:val="00605D2F"/>
    <w:rsid w:val="00605D88"/>
    <w:rsid w:val="00605DA2"/>
    <w:rsid w:val="00605DB2"/>
    <w:rsid w:val="00605DC7"/>
    <w:rsid w:val="00605EA7"/>
    <w:rsid w:val="00605ECF"/>
    <w:rsid w:val="00605F75"/>
    <w:rsid w:val="00605FBA"/>
    <w:rsid w:val="00606027"/>
    <w:rsid w:val="006060CA"/>
    <w:rsid w:val="006061B8"/>
    <w:rsid w:val="006062F4"/>
    <w:rsid w:val="006062F5"/>
    <w:rsid w:val="0060630C"/>
    <w:rsid w:val="006063A0"/>
    <w:rsid w:val="006063DD"/>
    <w:rsid w:val="0060641B"/>
    <w:rsid w:val="006064AF"/>
    <w:rsid w:val="006065C0"/>
    <w:rsid w:val="00606704"/>
    <w:rsid w:val="00606709"/>
    <w:rsid w:val="00606790"/>
    <w:rsid w:val="0060681F"/>
    <w:rsid w:val="006068A9"/>
    <w:rsid w:val="0060696F"/>
    <w:rsid w:val="00606A07"/>
    <w:rsid w:val="00606AE7"/>
    <w:rsid w:val="00606B65"/>
    <w:rsid w:val="00606C1E"/>
    <w:rsid w:val="00606C96"/>
    <w:rsid w:val="00606CB1"/>
    <w:rsid w:val="00606CD9"/>
    <w:rsid w:val="00606CE4"/>
    <w:rsid w:val="00606D0C"/>
    <w:rsid w:val="00606D22"/>
    <w:rsid w:val="00606D97"/>
    <w:rsid w:val="00606E0B"/>
    <w:rsid w:val="00606E1C"/>
    <w:rsid w:val="00606EBA"/>
    <w:rsid w:val="00606F14"/>
    <w:rsid w:val="00606F52"/>
    <w:rsid w:val="00606F6F"/>
    <w:rsid w:val="0060705E"/>
    <w:rsid w:val="00607083"/>
    <w:rsid w:val="006071B7"/>
    <w:rsid w:val="006071DA"/>
    <w:rsid w:val="0060721D"/>
    <w:rsid w:val="00607252"/>
    <w:rsid w:val="00607278"/>
    <w:rsid w:val="006072FD"/>
    <w:rsid w:val="00607352"/>
    <w:rsid w:val="006073A3"/>
    <w:rsid w:val="00607403"/>
    <w:rsid w:val="0060740C"/>
    <w:rsid w:val="00607499"/>
    <w:rsid w:val="0060749A"/>
    <w:rsid w:val="006074D4"/>
    <w:rsid w:val="006074E8"/>
    <w:rsid w:val="0060764D"/>
    <w:rsid w:val="00607721"/>
    <w:rsid w:val="0060774E"/>
    <w:rsid w:val="006077A3"/>
    <w:rsid w:val="0060781B"/>
    <w:rsid w:val="0060783A"/>
    <w:rsid w:val="006078B3"/>
    <w:rsid w:val="00607921"/>
    <w:rsid w:val="0060799E"/>
    <w:rsid w:val="006079C5"/>
    <w:rsid w:val="006079DC"/>
    <w:rsid w:val="00607A0F"/>
    <w:rsid w:val="00607B3F"/>
    <w:rsid w:val="00607B75"/>
    <w:rsid w:val="00607BF8"/>
    <w:rsid w:val="00607CF4"/>
    <w:rsid w:val="00607D06"/>
    <w:rsid w:val="00607D76"/>
    <w:rsid w:val="00607F06"/>
    <w:rsid w:val="00607F24"/>
    <w:rsid w:val="00607F4F"/>
    <w:rsid w:val="00607F8D"/>
    <w:rsid w:val="00607FC4"/>
    <w:rsid w:val="00610040"/>
    <w:rsid w:val="0061007C"/>
    <w:rsid w:val="00610083"/>
    <w:rsid w:val="0061017D"/>
    <w:rsid w:val="006101A3"/>
    <w:rsid w:val="006101AA"/>
    <w:rsid w:val="006101B6"/>
    <w:rsid w:val="006101DA"/>
    <w:rsid w:val="00610231"/>
    <w:rsid w:val="00610260"/>
    <w:rsid w:val="00610292"/>
    <w:rsid w:val="006102A7"/>
    <w:rsid w:val="006102BC"/>
    <w:rsid w:val="0061034E"/>
    <w:rsid w:val="00610378"/>
    <w:rsid w:val="006103D7"/>
    <w:rsid w:val="00610456"/>
    <w:rsid w:val="00610476"/>
    <w:rsid w:val="00610530"/>
    <w:rsid w:val="00610624"/>
    <w:rsid w:val="006106A2"/>
    <w:rsid w:val="00610771"/>
    <w:rsid w:val="00610772"/>
    <w:rsid w:val="006107AD"/>
    <w:rsid w:val="006107D3"/>
    <w:rsid w:val="0061085E"/>
    <w:rsid w:val="00610896"/>
    <w:rsid w:val="006108AE"/>
    <w:rsid w:val="006108C6"/>
    <w:rsid w:val="0061093F"/>
    <w:rsid w:val="00610944"/>
    <w:rsid w:val="00610957"/>
    <w:rsid w:val="0061097A"/>
    <w:rsid w:val="0061097F"/>
    <w:rsid w:val="00610A0B"/>
    <w:rsid w:val="00610A34"/>
    <w:rsid w:val="00610BA9"/>
    <w:rsid w:val="00610BB1"/>
    <w:rsid w:val="00610C7D"/>
    <w:rsid w:val="00610CFA"/>
    <w:rsid w:val="00610E09"/>
    <w:rsid w:val="00610E5F"/>
    <w:rsid w:val="00610E9A"/>
    <w:rsid w:val="00610EBC"/>
    <w:rsid w:val="00610F25"/>
    <w:rsid w:val="00610F54"/>
    <w:rsid w:val="00610FBE"/>
    <w:rsid w:val="00610FF7"/>
    <w:rsid w:val="00611021"/>
    <w:rsid w:val="0061105E"/>
    <w:rsid w:val="0061109B"/>
    <w:rsid w:val="006110FE"/>
    <w:rsid w:val="00611229"/>
    <w:rsid w:val="00611265"/>
    <w:rsid w:val="00611438"/>
    <w:rsid w:val="00611515"/>
    <w:rsid w:val="00611665"/>
    <w:rsid w:val="006116C0"/>
    <w:rsid w:val="006116CF"/>
    <w:rsid w:val="0061179B"/>
    <w:rsid w:val="006117B8"/>
    <w:rsid w:val="006117C7"/>
    <w:rsid w:val="00611867"/>
    <w:rsid w:val="0061194E"/>
    <w:rsid w:val="0061195C"/>
    <w:rsid w:val="00611988"/>
    <w:rsid w:val="00611AA2"/>
    <w:rsid w:val="00611AE4"/>
    <w:rsid w:val="00611AF3"/>
    <w:rsid w:val="00611B54"/>
    <w:rsid w:val="00611BC0"/>
    <w:rsid w:val="00611D6B"/>
    <w:rsid w:val="00611D76"/>
    <w:rsid w:val="00611D85"/>
    <w:rsid w:val="00611D86"/>
    <w:rsid w:val="00611DB8"/>
    <w:rsid w:val="00611DFA"/>
    <w:rsid w:val="00611EBD"/>
    <w:rsid w:val="00611ED0"/>
    <w:rsid w:val="00611EF3"/>
    <w:rsid w:val="00611F2B"/>
    <w:rsid w:val="00612041"/>
    <w:rsid w:val="0061206B"/>
    <w:rsid w:val="006120A3"/>
    <w:rsid w:val="006120E6"/>
    <w:rsid w:val="00612159"/>
    <w:rsid w:val="0061216A"/>
    <w:rsid w:val="0061218D"/>
    <w:rsid w:val="006121BB"/>
    <w:rsid w:val="006121C7"/>
    <w:rsid w:val="00612212"/>
    <w:rsid w:val="0061225E"/>
    <w:rsid w:val="006122E9"/>
    <w:rsid w:val="00612361"/>
    <w:rsid w:val="0061236C"/>
    <w:rsid w:val="006123D2"/>
    <w:rsid w:val="006123F1"/>
    <w:rsid w:val="0061246C"/>
    <w:rsid w:val="0061250D"/>
    <w:rsid w:val="00612522"/>
    <w:rsid w:val="00612523"/>
    <w:rsid w:val="00612554"/>
    <w:rsid w:val="0061258B"/>
    <w:rsid w:val="006125F9"/>
    <w:rsid w:val="00612618"/>
    <w:rsid w:val="0061264B"/>
    <w:rsid w:val="00612653"/>
    <w:rsid w:val="006126B1"/>
    <w:rsid w:val="0061270A"/>
    <w:rsid w:val="006127D1"/>
    <w:rsid w:val="00612820"/>
    <w:rsid w:val="006128F2"/>
    <w:rsid w:val="00612A12"/>
    <w:rsid w:val="00612A2C"/>
    <w:rsid w:val="00612A5C"/>
    <w:rsid w:val="00612B24"/>
    <w:rsid w:val="00612B51"/>
    <w:rsid w:val="00612B8A"/>
    <w:rsid w:val="00612C8E"/>
    <w:rsid w:val="00612CEB"/>
    <w:rsid w:val="00612D0B"/>
    <w:rsid w:val="00612E51"/>
    <w:rsid w:val="00612EA7"/>
    <w:rsid w:val="00612EE0"/>
    <w:rsid w:val="00612EEE"/>
    <w:rsid w:val="00612F4D"/>
    <w:rsid w:val="00613029"/>
    <w:rsid w:val="006130E5"/>
    <w:rsid w:val="00613170"/>
    <w:rsid w:val="0061318B"/>
    <w:rsid w:val="0061318F"/>
    <w:rsid w:val="0061326A"/>
    <w:rsid w:val="006132EF"/>
    <w:rsid w:val="0061337A"/>
    <w:rsid w:val="006133EC"/>
    <w:rsid w:val="0061340F"/>
    <w:rsid w:val="0061341D"/>
    <w:rsid w:val="00613438"/>
    <w:rsid w:val="00613488"/>
    <w:rsid w:val="006134A1"/>
    <w:rsid w:val="006134A6"/>
    <w:rsid w:val="006134F3"/>
    <w:rsid w:val="00613572"/>
    <w:rsid w:val="00613580"/>
    <w:rsid w:val="00613696"/>
    <w:rsid w:val="006136B2"/>
    <w:rsid w:val="006136BE"/>
    <w:rsid w:val="00613740"/>
    <w:rsid w:val="0061378D"/>
    <w:rsid w:val="00613836"/>
    <w:rsid w:val="00613882"/>
    <w:rsid w:val="00613895"/>
    <w:rsid w:val="00613912"/>
    <w:rsid w:val="00613928"/>
    <w:rsid w:val="00613967"/>
    <w:rsid w:val="00613973"/>
    <w:rsid w:val="006139AD"/>
    <w:rsid w:val="006139B3"/>
    <w:rsid w:val="006139B6"/>
    <w:rsid w:val="00613A13"/>
    <w:rsid w:val="00613AB8"/>
    <w:rsid w:val="00613AD5"/>
    <w:rsid w:val="00613B6B"/>
    <w:rsid w:val="00613B85"/>
    <w:rsid w:val="00613BE5"/>
    <w:rsid w:val="00613C17"/>
    <w:rsid w:val="00613C23"/>
    <w:rsid w:val="00613D36"/>
    <w:rsid w:val="00613E10"/>
    <w:rsid w:val="00613E2E"/>
    <w:rsid w:val="00613E5F"/>
    <w:rsid w:val="00613ED2"/>
    <w:rsid w:val="00613EFC"/>
    <w:rsid w:val="00613F48"/>
    <w:rsid w:val="00613FCB"/>
    <w:rsid w:val="00614039"/>
    <w:rsid w:val="00614237"/>
    <w:rsid w:val="00614272"/>
    <w:rsid w:val="00614340"/>
    <w:rsid w:val="0061446B"/>
    <w:rsid w:val="0061463E"/>
    <w:rsid w:val="0061464C"/>
    <w:rsid w:val="00614656"/>
    <w:rsid w:val="00614699"/>
    <w:rsid w:val="006146C4"/>
    <w:rsid w:val="0061478D"/>
    <w:rsid w:val="006147CA"/>
    <w:rsid w:val="006147DF"/>
    <w:rsid w:val="006147E0"/>
    <w:rsid w:val="006147E1"/>
    <w:rsid w:val="006148ED"/>
    <w:rsid w:val="006149C6"/>
    <w:rsid w:val="00614A3D"/>
    <w:rsid w:val="00614A44"/>
    <w:rsid w:val="00614A7D"/>
    <w:rsid w:val="00614A9D"/>
    <w:rsid w:val="00614ACC"/>
    <w:rsid w:val="00614B69"/>
    <w:rsid w:val="00614C37"/>
    <w:rsid w:val="00614C96"/>
    <w:rsid w:val="00614CEF"/>
    <w:rsid w:val="00614D44"/>
    <w:rsid w:val="00614DC1"/>
    <w:rsid w:val="00614DD6"/>
    <w:rsid w:val="00614E14"/>
    <w:rsid w:val="00614EF8"/>
    <w:rsid w:val="00614EFF"/>
    <w:rsid w:val="00614FDF"/>
    <w:rsid w:val="00614FE3"/>
    <w:rsid w:val="00615003"/>
    <w:rsid w:val="0061500A"/>
    <w:rsid w:val="006150A1"/>
    <w:rsid w:val="00615119"/>
    <w:rsid w:val="006151EE"/>
    <w:rsid w:val="006152A9"/>
    <w:rsid w:val="006153B0"/>
    <w:rsid w:val="006153F6"/>
    <w:rsid w:val="0061540F"/>
    <w:rsid w:val="00615422"/>
    <w:rsid w:val="0061543F"/>
    <w:rsid w:val="00615582"/>
    <w:rsid w:val="00615642"/>
    <w:rsid w:val="00615674"/>
    <w:rsid w:val="00615678"/>
    <w:rsid w:val="006156CF"/>
    <w:rsid w:val="006156E7"/>
    <w:rsid w:val="0061570B"/>
    <w:rsid w:val="0061573D"/>
    <w:rsid w:val="0061573E"/>
    <w:rsid w:val="00615774"/>
    <w:rsid w:val="006157AA"/>
    <w:rsid w:val="0061585D"/>
    <w:rsid w:val="00615861"/>
    <w:rsid w:val="006158A9"/>
    <w:rsid w:val="006158B9"/>
    <w:rsid w:val="006158C8"/>
    <w:rsid w:val="0061595D"/>
    <w:rsid w:val="00615A08"/>
    <w:rsid w:val="00615A3D"/>
    <w:rsid w:val="00615A40"/>
    <w:rsid w:val="00615A99"/>
    <w:rsid w:val="00615B11"/>
    <w:rsid w:val="00615C33"/>
    <w:rsid w:val="00615C66"/>
    <w:rsid w:val="00615C6B"/>
    <w:rsid w:val="00615D72"/>
    <w:rsid w:val="00615DDB"/>
    <w:rsid w:val="00615E08"/>
    <w:rsid w:val="00615E17"/>
    <w:rsid w:val="00615E82"/>
    <w:rsid w:val="00615E8C"/>
    <w:rsid w:val="00615E9F"/>
    <w:rsid w:val="00615EBC"/>
    <w:rsid w:val="00615EE3"/>
    <w:rsid w:val="00615F56"/>
    <w:rsid w:val="00615F84"/>
    <w:rsid w:val="00615FB7"/>
    <w:rsid w:val="00615FDA"/>
    <w:rsid w:val="00616035"/>
    <w:rsid w:val="00616057"/>
    <w:rsid w:val="0061615E"/>
    <w:rsid w:val="00616162"/>
    <w:rsid w:val="0061622A"/>
    <w:rsid w:val="006162CE"/>
    <w:rsid w:val="006162E8"/>
    <w:rsid w:val="00616335"/>
    <w:rsid w:val="00616363"/>
    <w:rsid w:val="006163A5"/>
    <w:rsid w:val="0061642B"/>
    <w:rsid w:val="00616435"/>
    <w:rsid w:val="00616438"/>
    <w:rsid w:val="00616497"/>
    <w:rsid w:val="00616563"/>
    <w:rsid w:val="006165A0"/>
    <w:rsid w:val="00616622"/>
    <w:rsid w:val="0061662B"/>
    <w:rsid w:val="00616655"/>
    <w:rsid w:val="00616697"/>
    <w:rsid w:val="006166AB"/>
    <w:rsid w:val="006166AF"/>
    <w:rsid w:val="00616744"/>
    <w:rsid w:val="006167D0"/>
    <w:rsid w:val="006167FD"/>
    <w:rsid w:val="0061685E"/>
    <w:rsid w:val="00616883"/>
    <w:rsid w:val="006168D3"/>
    <w:rsid w:val="0061696E"/>
    <w:rsid w:val="0061698F"/>
    <w:rsid w:val="006169B0"/>
    <w:rsid w:val="006169D8"/>
    <w:rsid w:val="00616A8C"/>
    <w:rsid w:val="00616B2F"/>
    <w:rsid w:val="00616C75"/>
    <w:rsid w:val="00616CC5"/>
    <w:rsid w:val="00616CFA"/>
    <w:rsid w:val="00616DF1"/>
    <w:rsid w:val="00616E06"/>
    <w:rsid w:val="00616E26"/>
    <w:rsid w:val="00616EA4"/>
    <w:rsid w:val="00616EA7"/>
    <w:rsid w:val="00616F34"/>
    <w:rsid w:val="00616F4C"/>
    <w:rsid w:val="0061709F"/>
    <w:rsid w:val="00617148"/>
    <w:rsid w:val="006171CB"/>
    <w:rsid w:val="006171D0"/>
    <w:rsid w:val="006171E0"/>
    <w:rsid w:val="00617251"/>
    <w:rsid w:val="0061727D"/>
    <w:rsid w:val="00617337"/>
    <w:rsid w:val="00617413"/>
    <w:rsid w:val="00617432"/>
    <w:rsid w:val="00617587"/>
    <w:rsid w:val="006175AF"/>
    <w:rsid w:val="00617649"/>
    <w:rsid w:val="006176AE"/>
    <w:rsid w:val="0061774B"/>
    <w:rsid w:val="006177B2"/>
    <w:rsid w:val="006177ED"/>
    <w:rsid w:val="00617A05"/>
    <w:rsid w:val="00617AAC"/>
    <w:rsid w:val="00617B71"/>
    <w:rsid w:val="00617B80"/>
    <w:rsid w:val="00617C0D"/>
    <w:rsid w:val="00617C10"/>
    <w:rsid w:val="00617C35"/>
    <w:rsid w:val="00617C3B"/>
    <w:rsid w:val="00617C45"/>
    <w:rsid w:val="00617CCB"/>
    <w:rsid w:val="00617D3C"/>
    <w:rsid w:val="00617D69"/>
    <w:rsid w:val="00617DD4"/>
    <w:rsid w:val="00617E05"/>
    <w:rsid w:val="00617E09"/>
    <w:rsid w:val="00617E3F"/>
    <w:rsid w:val="00617E97"/>
    <w:rsid w:val="00617EF6"/>
    <w:rsid w:val="00617F18"/>
    <w:rsid w:val="00617FEC"/>
    <w:rsid w:val="0062000D"/>
    <w:rsid w:val="00620019"/>
    <w:rsid w:val="0062006B"/>
    <w:rsid w:val="00620084"/>
    <w:rsid w:val="0062012D"/>
    <w:rsid w:val="00620138"/>
    <w:rsid w:val="00620177"/>
    <w:rsid w:val="006201FA"/>
    <w:rsid w:val="006201FC"/>
    <w:rsid w:val="006202F0"/>
    <w:rsid w:val="00620346"/>
    <w:rsid w:val="00620414"/>
    <w:rsid w:val="00620511"/>
    <w:rsid w:val="00620559"/>
    <w:rsid w:val="00620583"/>
    <w:rsid w:val="0062059C"/>
    <w:rsid w:val="006205CF"/>
    <w:rsid w:val="00620657"/>
    <w:rsid w:val="00620682"/>
    <w:rsid w:val="006206F9"/>
    <w:rsid w:val="00620724"/>
    <w:rsid w:val="0062073B"/>
    <w:rsid w:val="00620755"/>
    <w:rsid w:val="0062075B"/>
    <w:rsid w:val="00620867"/>
    <w:rsid w:val="0062097B"/>
    <w:rsid w:val="00620A95"/>
    <w:rsid w:val="00620B57"/>
    <w:rsid w:val="00620B6C"/>
    <w:rsid w:val="00620D0D"/>
    <w:rsid w:val="00620D97"/>
    <w:rsid w:val="00620DA7"/>
    <w:rsid w:val="00620DBB"/>
    <w:rsid w:val="00620DD9"/>
    <w:rsid w:val="00620EE3"/>
    <w:rsid w:val="00620FAA"/>
    <w:rsid w:val="00621087"/>
    <w:rsid w:val="00621135"/>
    <w:rsid w:val="00621186"/>
    <w:rsid w:val="00621197"/>
    <w:rsid w:val="006211A0"/>
    <w:rsid w:val="00621295"/>
    <w:rsid w:val="006212B1"/>
    <w:rsid w:val="00621450"/>
    <w:rsid w:val="006214EF"/>
    <w:rsid w:val="006215A9"/>
    <w:rsid w:val="006215DC"/>
    <w:rsid w:val="00621665"/>
    <w:rsid w:val="00621705"/>
    <w:rsid w:val="006217AA"/>
    <w:rsid w:val="006217D0"/>
    <w:rsid w:val="006218AE"/>
    <w:rsid w:val="006218F8"/>
    <w:rsid w:val="00621912"/>
    <w:rsid w:val="00621959"/>
    <w:rsid w:val="00621987"/>
    <w:rsid w:val="00621A12"/>
    <w:rsid w:val="00621A1B"/>
    <w:rsid w:val="00621A6F"/>
    <w:rsid w:val="00621AC7"/>
    <w:rsid w:val="00621C01"/>
    <w:rsid w:val="00621C51"/>
    <w:rsid w:val="00621C70"/>
    <w:rsid w:val="00621D6F"/>
    <w:rsid w:val="00621D8A"/>
    <w:rsid w:val="00621DA9"/>
    <w:rsid w:val="00622039"/>
    <w:rsid w:val="006221AA"/>
    <w:rsid w:val="00622237"/>
    <w:rsid w:val="00622249"/>
    <w:rsid w:val="00622296"/>
    <w:rsid w:val="006222A7"/>
    <w:rsid w:val="006222D4"/>
    <w:rsid w:val="0062230E"/>
    <w:rsid w:val="00622377"/>
    <w:rsid w:val="00622382"/>
    <w:rsid w:val="006223EC"/>
    <w:rsid w:val="00622449"/>
    <w:rsid w:val="0062247D"/>
    <w:rsid w:val="00622482"/>
    <w:rsid w:val="006224D9"/>
    <w:rsid w:val="00622535"/>
    <w:rsid w:val="00622590"/>
    <w:rsid w:val="00622608"/>
    <w:rsid w:val="0062260C"/>
    <w:rsid w:val="00622645"/>
    <w:rsid w:val="006227C3"/>
    <w:rsid w:val="006227C8"/>
    <w:rsid w:val="0062283F"/>
    <w:rsid w:val="00622937"/>
    <w:rsid w:val="006229BF"/>
    <w:rsid w:val="00622A67"/>
    <w:rsid w:val="00622AC0"/>
    <w:rsid w:val="00622AF2"/>
    <w:rsid w:val="00622AF8"/>
    <w:rsid w:val="00622B21"/>
    <w:rsid w:val="00622B53"/>
    <w:rsid w:val="00622B66"/>
    <w:rsid w:val="00622BA7"/>
    <w:rsid w:val="00622C04"/>
    <w:rsid w:val="00622C1F"/>
    <w:rsid w:val="00622C3D"/>
    <w:rsid w:val="00622C5C"/>
    <w:rsid w:val="00622C78"/>
    <w:rsid w:val="00622CE2"/>
    <w:rsid w:val="00622D73"/>
    <w:rsid w:val="00622D91"/>
    <w:rsid w:val="00622EE9"/>
    <w:rsid w:val="00622F7F"/>
    <w:rsid w:val="00622FE9"/>
    <w:rsid w:val="00623019"/>
    <w:rsid w:val="00623097"/>
    <w:rsid w:val="0062310E"/>
    <w:rsid w:val="006231C2"/>
    <w:rsid w:val="006231DA"/>
    <w:rsid w:val="00623284"/>
    <w:rsid w:val="00623304"/>
    <w:rsid w:val="00623335"/>
    <w:rsid w:val="00623470"/>
    <w:rsid w:val="00623573"/>
    <w:rsid w:val="00623581"/>
    <w:rsid w:val="0062358B"/>
    <w:rsid w:val="006235EF"/>
    <w:rsid w:val="00623640"/>
    <w:rsid w:val="006236F0"/>
    <w:rsid w:val="00623801"/>
    <w:rsid w:val="00623808"/>
    <w:rsid w:val="006238C2"/>
    <w:rsid w:val="00623914"/>
    <w:rsid w:val="00623951"/>
    <w:rsid w:val="00623AD2"/>
    <w:rsid w:val="00623C0F"/>
    <w:rsid w:val="00623C9D"/>
    <w:rsid w:val="00623CD4"/>
    <w:rsid w:val="00623D40"/>
    <w:rsid w:val="00623DB2"/>
    <w:rsid w:val="00623E25"/>
    <w:rsid w:val="00623E70"/>
    <w:rsid w:val="00623EEC"/>
    <w:rsid w:val="00623F13"/>
    <w:rsid w:val="00623F3B"/>
    <w:rsid w:val="0062417E"/>
    <w:rsid w:val="006241E0"/>
    <w:rsid w:val="00624218"/>
    <w:rsid w:val="0062422D"/>
    <w:rsid w:val="006242B0"/>
    <w:rsid w:val="00624315"/>
    <w:rsid w:val="00624350"/>
    <w:rsid w:val="006244EB"/>
    <w:rsid w:val="00624540"/>
    <w:rsid w:val="00624544"/>
    <w:rsid w:val="006245E7"/>
    <w:rsid w:val="00624692"/>
    <w:rsid w:val="006246AC"/>
    <w:rsid w:val="006246FE"/>
    <w:rsid w:val="00624769"/>
    <w:rsid w:val="00624791"/>
    <w:rsid w:val="006247AD"/>
    <w:rsid w:val="00624823"/>
    <w:rsid w:val="00624868"/>
    <w:rsid w:val="0062498A"/>
    <w:rsid w:val="006249AB"/>
    <w:rsid w:val="006249AD"/>
    <w:rsid w:val="006249CD"/>
    <w:rsid w:val="00624A3B"/>
    <w:rsid w:val="00624A4A"/>
    <w:rsid w:val="00624A56"/>
    <w:rsid w:val="00624B8C"/>
    <w:rsid w:val="00624D20"/>
    <w:rsid w:val="00624D3E"/>
    <w:rsid w:val="00624D76"/>
    <w:rsid w:val="00624E1A"/>
    <w:rsid w:val="00624E1E"/>
    <w:rsid w:val="00624EB3"/>
    <w:rsid w:val="00624EDD"/>
    <w:rsid w:val="00624F27"/>
    <w:rsid w:val="00624FF0"/>
    <w:rsid w:val="00625074"/>
    <w:rsid w:val="00625099"/>
    <w:rsid w:val="00625140"/>
    <w:rsid w:val="0062514F"/>
    <w:rsid w:val="006251AB"/>
    <w:rsid w:val="006251B1"/>
    <w:rsid w:val="006251C0"/>
    <w:rsid w:val="006251EF"/>
    <w:rsid w:val="00625209"/>
    <w:rsid w:val="0062531E"/>
    <w:rsid w:val="0062539B"/>
    <w:rsid w:val="006253C8"/>
    <w:rsid w:val="00625443"/>
    <w:rsid w:val="006255B6"/>
    <w:rsid w:val="00625761"/>
    <w:rsid w:val="006257CF"/>
    <w:rsid w:val="006257FD"/>
    <w:rsid w:val="00625867"/>
    <w:rsid w:val="00625907"/>
    <w:rsid w:val="0062592A"/>
    <w:rsid w:val="00625976"/>
    <w:rsid w:val="00625989"/>
    <w:rsid w:val="006259CA"/>
    <w:rsid w:val="00625A2A"/>
    <w:rsid w:val="00625A80"/>
    <w:rsid w:val="00625A88"/>
    <w:rsid w:val="00625A89"/>
    <w:rsid w:val="00625AB2"/>
    <w:rsid w:val="00625AF5"/>
    <w:rsid w:val="00625B07"/>
    <w:rsid w:val="00625B3A"/>
    <w:rsid w:val="00625B4C"/>
    <w:rsid w:val="00625BD4"/>
    <w:rsid w:val="00625CA1"/>
    <w:rsid w:val="00625CED"/>
    <w:rsid w:val="00625CFE"/>
    <w:rsid w:val="00625E8D"/>
    <w:rsid w:val="00625ED7"/>
    <w:rsid w:val="00625F04"/>
    <w:rsid w:val="00625F96"/>
    <w:rsid w:val="0062602F"/>
    <w:rsid w:val="00626077"/>
    <w:rsid w:val="006260C7"/>
    <w:rsid w:val="0062612E"/>
    <w:rsid w:val="0062613D"/>
    <w:rsid w:val="006261AF"/>
    <w:rsid w:val="006261D3"/>
    <w:rsid w:val="006261E4"/>
    <w:rsid w:val="006261EF"/>
    <w:rsid w:val="006263AB"/>
    <w:rsid w:val="006263E9"/>
    <w:rsid w:val="0062645C"/>
    <w:rsid w:val="0062647C"/>
    <w:rsid w:val="006264C6"/>
    <w:rsid w:val="00626599"/>
    <w:rsid w:val="006265E2"/>
    <w:rsid w:val="00626606"/>
    <w:rsid w:val="00626622"/>
    <w:rsid w:val="006266CA"/>
    <w:rsid w:val="006267BA"/>
    <w:rsid w:val="00626858"/>
    <w:rsid w:val="006268BF"/>
    <w:rsid w:val="00626962"/>
    <w:rsid w:val="0062698D"/>
    <w:rsid w:val="006269E2"/>
    <w:rsid w:val="00626A0F"/>
    <w:rsid w:val="00626A12"/>
    <w:rsid w:val="00626A21"/>
    <w:rsid w:val="00626B6F"/>
    <w:rsid w:val="00626BFD"/>
    <w:rsid w:val="00626C3E"/>
    <w:rsid w:val="00626C83"/>
    <w:rsid w:val="00626CC5"/>
    <w:rsid w:val="00626CC7"/>
    <w:rsid w:val="00626DBB"/>
    <w:rsid w:val="00626E33"/>
    <w:rsid w:val="00626E50"/>
    <w:rsid w:val="00626F3B"/>
    <w:rsid w:val="00626F85"/>
    <w:rsid w:val="0062702F"/>
    <w:rsid w:val="00627122"/>
    <w:rsid w:val="00627138"/>
    <w:rsid w:val="006271CC"/>
    <w:rsid w:val="00627253"/>
    <w:rsid w:val="0062734B"/>
    <w:rsid w:val="0062735D"/>
    <w:rsid w:val="006273F4"/>
    <w:rsid w:val="0062757B"/>
    <w:rsid w:val="006275ED"/>
    <w:rsid w:val="0062765A"/>
    <w:rsid w:val="006276BD"/>
    <w:rsid w:val="00627704"/>
    <w:rsid w:val="00627708"/>
    <w:rsid w:val="00627718"/>
    <w:rsid w:val="00627816"/>
    <w:rsid w:val="006278B2"/>
    <w:rsid w:val="00627AF6"/>
    <w:rsid w:val="00627C2B"/>
    <w:rsid w:val="00627C62"/>
    <w:rsid w:val="00627C95"/>
    <w:rsid w:val="00627DF9"/>
    <w:rsid w:val="00627EBB"/>
    <w:rsid w:val="00627F27"/>
    <w:rsid w:val="0063001C"/>
    <w:rsid w:val="00630120"/>
    <w:rsid w:val="00630132"/>
    <w:rsid w:val="00630199"/>
    <w:rsid w:val="0063021A"/>
    <w:rsid w:val="0063021B"/>
    <w:rsid w:val="006303BB"/>
    <w:rsid w:val="006303FB"/>
    <w:rsid w:val="00630441"/>
    <w:rsid w:val="00630472"/>
    <w:rsid w:val="006304D9"/>
    <w:rsid w:val="0063060F"/>
    <w:rsid w:val="00630618"/>
    <w:rsid w:val="00630631"/>
    <w:rsid w:val="006307D8"/>
    <w:rsid w:val="006308E8"/>
    <w:rsid w:val="006309CE"/>
    <w:rsid w:val="006309DA"/>
    <w:rsid w:val="00630A34"/>
    <w:rsid w:val="00630AA1"/>
    <w:rsid w:val="00630BBD"/>
    <w:rsid w:val="00630C1E"/>
    <w:rsid w:val="00630CF6"/>
    <w:rsid w:val="00630D69"/>
    <w:rsid w:val="00630DFF"/>
    <w:rsid w:val="00630E01"/>
    <w:rsid w:val="00630E30"/>
    <w:rsid w:val="00630E44"/>
    <w:rsid w:val="00630F01"/>
    <w:rsid w:val="00630F9B"/>
    <w:rsid w:val="00631019"/>
    <w:rsid w:val="00631093"/>
    <w:rsid w:val="00631122"/>
    <w:rsid w:val="00631159"/>
    <w:rsid w:val="006311ED"/>
    <w:rsid w:val="00631271"/>
    <w:rsid w:val="006312FD"/>
    <w:rsid w:val="006313C1"/>
    <w:rsid w:val="006313C4"/>
    <w:rsid w:val="006313D3"/>
    <w:rsid w:val="006313DA"/>
    <w:rsid w:val="006313EB"/>
    <w:rsid w:val="00631498"/>
    <w:rsid w:val="0063155D"/>
    <w:rsid w:val="0063159A"/>
    <w:rsid w:val="006316B8"/>
    <w:rsid w:val="006316CA"/>
    <w:rsid w:val="006316F0"/>
    <w:rsid w:val="00631779"/>
    <w:rsid w:val="00631863"/>
    <w:rsid w:val="00631871"/>
    <w:rsid w:val="006318BB"/>
    <w:rsid w:val="006318E4"/>
    <w:rsid w:val="006318ED"/>
    <w:rsid w:val="006318FC"/>
    <w:rsid w:val="00631902"/>
    <w:rsid w:val="00631A29"/>
    <w:rsid w:val="00631A96"/>
    <w:rsid w:val="00631A9F"/>
    <w:rsid w:val="00631ACF"/>
    <w:rsid w:val="00631AFC"/>
    <w:rsid w:val="00631B1F"/>
    <w:rsid w:val="00631BD1"/>
    <w:rsid w:val="00631BE5"/>
    <w:rsid w:val="00631C1D"/>
    <w:rsid w:val="00631CC5"/>
    <w:rsid w:val="00631CE2"/>
    <w:rsid w:val="00631D41"/>
    <w:rsid w:val="00631D9C"/>
    <w:rsid w:val="00631DA0"/>
    <w:rsid w:val="00631DF7"/>
    <w:rsid w:val="00631EB9"/>
    <w:rsid w:val="00631F22"/>
    <w:rsid w:val="00631FBF"/>
    <w:rsid w:val="006320A4"/>
    <w:rsid w:val="0063211F"/>
    <w:rsid w:val="006321D7"/>
    <w:rsid w:val="006322C5"/>
    <w:rsid w:val="006322C7"/>
    <w:rsid w:val="006322DF"/>
    <w:rsid w:val="0063235C"/>
    <w:rsid w:val="006323DB"/>
    <w:rsid w:val="00632459"/>
    <w:rsid w:val="0063246F"/>
    <w:rsid w:val="0063248C"/>
    <w:rsid w:val="006324A8"/>
    <w:rsid w:val="00632554"/>
    <w:rsid w:val="00632625"/>
    <w:rsid w:val="006326B1"/>
    <w:rsid w:val="006327EC"/>
    <w:rsid w:val="0063283B"/>
    <w:rsid w:val="006328BD"/>
    <w:rsid w:val="006328ED"/>
    <w:rsid w:val="00632929"/>
    <w:rsid w:val="0063297E"/>
    <w:rsid w:val="0063299C"/>
    <w:rsid w:val="006329EF"/>
    <w:rsid w:val="00632A4E"/>
    <w:rsid w:val="00632A60"/>
    <w:rsid w:val="00632A78"/>
    <w:rsid w:val="00632ABC"/>
    <w:rsid w:val="00632B22"/>
    <w:rsid w:val="00632BC7"/>
    <w:rsid w:val="00632C0C"/>
    <w:rsid w:val="00632C11"/>
    <w:rsid w:val="00632C2D"/>
    <w:rsid w:val="00632C3F"/>
    <w:rsid w:val="00632C5A"/>
    <w:rsid w:val="00632CAC"/>
    <w:rsid w:val="00632D68"/>
    <w:rsid w:val="00632E4C"/>
    <w:rsid w:val="00632E59"/>
    <w:rsid w:val="00632EA4"/>
    <w:rsid w:val="00632F21"/>
    <w:rsid w:val="00632F5E"/>
    <w:rsid w:val="0063301A"/>
    <w:rsid w:val="0063306E"/>
    <w:rsid w:val="00633160"/>
    <w:rsid w:val="006332D9"/>
    <w:rsid w:val="006332DC"/>
    <w:rsid w:val="00633364"/>
    <w:rsid w:val="0063337A"/>
    <w:rsid w:val="006333AA"/>
    <w:rsid w:val="006333D2"/>
    <w:rsid w:val="00633448"/>
    <w:rsid w:val="0063345D"/>
    <w:rsid w:val="00633516"/>
    <w:rsid w:val="006335C8"/>
    <w:rsid w:val="00633644"/>
    <w:rsid w:val="006336B9"/>
    <w:rsid w:val="006336E2"/>
    <w:rsid w:val="00633756"/>
    <w:rsid w:val="006337B8"/>
    <w:rsid w:val="006337F4"/>
    <w:rsid w:val="00633854"/>
    <w:rsid w:val="0063394C"/>
    <w:rsid w:val="0063395B"/>
    <w:rsid w:val="00633992"/>
    <w:rsid w:val="006339CB"/>
    <w:rsid w:val="006339F6"/>
    <w:rsid w:val="00633A01"/>
    <w:rsid w:val="00633B1B"/>
    <w:rsid w:val="00633C22"/>
    <w:rsid w:val="00633C50"/>
    <w:rsid w:val="00633C98"/>
    <w:rsid w:val="00633DCE"/>
    <w:rsid w:val="00633E35"/>
    <w:rsid w:val="00633F2B"/>
    <w:rsid w:val="00633F52"/>
    <w:rsid w:val="00633FA3"/>
    <w:rsid w:val="00633FBF"/>
    <w:rsid w:val="00633FD5"/>
    <w:rsid w:val="0063407D"/>
    <w:rsid w:val="00634113"/>
    <w:rsid w:val="0063413A"/>
    <w:rsid w:val="00634187"/>
    <w:rsid w:val="006341A4"/>
    <w:rsid w:val="006341A7"/>
    <w:rsid w:val="006341E0"/>
    <w:rsid w:val="006341F8"/>
    <w:rsid w:val="00634242"/>
    <w:rsid w:val="0063425C"/>
    <w:rsid w:val="006342B4"/>
    <w:rsid w:val="0063430C"/>
    <w:rsid w:val="0063432A"/>
    <w:rsid w:val="00634447"/>
    <w:rsid w:val="00634560"/>
    <w:rsid w:val="0063459D"/>
    <w:rsid w:val="006345A9"/>
    <w:rsid w:val="006346EF"/>
    <w:rsid w:val="006347DD"/>
    <w:rsid w:val="006348A9"/>
    <w:rsid w:val="00634961"/>
    <w:rsid w:val="00634A04"/>
    <w:rsid w:val="00634AEB"/>
    <w:rsid w:val="00634B46"/>
    <w:rsid w:val="00634B63"/>
    <w:rsid w:val="00634B67"/>
    <w:rsid w:val="00634D85"/>
    <w:rsid w:val="00634DE3"/>
    <w:rsid w:val="00634DED"/>
    <w:rsid w:val="00634E17"/>
    <w:rsid w:val="00634E7F"/>
    <w:rsid w:val="00634E9D"/>
    <w:rsid w:val="00634ECA"/>
    <w:rsid w:val="00634F60"/>
    <w:rsid w:val="00634FA8"/>
    <w:rsid w:val="006350A6"/>
    <w:rsid w:val="006350FF"/>
    <w:rsid w:val="006351FC"/>
    <w:rsid w:val="006352B7"/>
    <w:rsid w:val="006353B3"/>
    <w:rsid w:val="00635490"/>
    <w:rsid w:val="006354B6"/>
    <w:rsid w:val="00635565"/>
    <w:rsid w:val="00635577"/>
    <w:rsid w:val="00635578"/>
    <w:rsid w:val="00635596"/>
    <w:rsid w:val="006356DF"/>
    <w:rsid w:val="0063583E"/>
    <w:rsid w:val="006358A4"/>
    <w:rsid w:val="00635906"/>
    <w:rsid w:val="00635972"/>
    <w:rsid w:val="006359CA"/>
    <w:rsid w:val="006359E7"/>
    <w:rsid w:val="006359FA"/>
    <w:rsid w:val="00635A16"/>
    <w:rsid w:val="00635ADC"/>
    <w:rsid w:val="00635AF0"/>
    <w:rsid w:val="00635BCE"/>
    <w:rsid w:val="00635D0E"/>
    <w:rsid w:val="00635D0F"/>
    <w:rsid w:val="00635D63"/>
    <w:rsid w:val="00635D95"/>
    <w:rsid w:val="00635D9A"/>
    <w:rsid w:val="00635E09"/>
    <w:rsid w:val="00635F28"/>
    <w:rsid w:val="00635F62"/>
    <w:rsid w:val="00635F67"/>
    <w:rsid w:val="00635FC7"/>
    <w:rsid w:val="0063603B"/>
    <w:rsid w:val="0063609D"/>
    <w:rsid w:val="006360FD"/>
    <w:rsid w:val="006360FE"/>
    <w:rsid w:val="006361F5"/>
    <w:rsid w:val="00636206"/>
    <w:rsid w:val="0063629B"/>
    <w:rsid w:val="006362C3"/>
    <w:rsid w:val="006362E0"/>
    <w:rsid w:val="0063631F"/>
    <w:rsid w:val="00636366"/>
    <w:rsid w:val="00636410"/>
    <w:rsid w:val="0063641F"/>
    <w:rsid w:val="0063647C"/>
    <w:rsid w:val="006364E8"/>
    <w:rsid w:val="00636532"/>
    <w:rsid w:val="00636723"/>
    <w:rsid w:val="00636772"/>
    <w:rsid w:val="0063677E"/>
    <w:rsid w:val="006367A2"/>
    <w:rsid w:val="006367BB"/>
    <w:rsid w:val="00636852"/>
    <w:rsid w:val="00636866"/>
    <w:rsid w:val="006368F6"/>
    <w:rsid w:val="0063693B"/>
    <w:rsid w:val="0063699F"/>
    <w:rsid w:val="006369A2"/>
    <w:rsid w:val="006369B9"/>
    <w:rsid w:val="00636A06"/>
    <w:rsid w:val="00636B3A"/>
    <w:rsid w:val="00636B73"/>
    <w:rsid w:val="00636B80"/>
    <w:rsid w:val="00636BAD"/>
    <w:rsid w:val="00636BCE"/>
    <w:rsid w:val="00636C07"/>
    <w:rsid w:val="00636CB9"/>
    <w:rsid w:val="00636CEE"/>
    <w:rsid w:val="00636E25"/>
    <w:rsid w:val="00636E41"/>
    <w:rsid w:val="00636FD5"/>
    <w:rsid w:val="00637015"/>
    <w:rsid w:val="006370B8"/>
    <w:rsid w:val="006370DF"/>
    <w:rsid w:val="0063712B"/>
    <w:rsid w:val="0063717B"/>
    <w:rsid w:val="006371BA"/>
    <w:rsid w:val="006371C7"/>
    <w:rsid w:val="0063722E"/>
    <w:rsid w:val="00637270"/>
    <w:rsid w:val="0063728A"/>
    <w:rsid w:val="00637375"/>
    <w:rsid w:val="0063747A"/>
    <w:rsid w:val="006374C8"/>
    <w:rsid w:val="00637512"/>
    <w:rsid w:val="00637554"/>
    <w:rsid w:val="0063756F"/>
    <w:rsid w:val="0063768F"/>
    <w:rsid w:val="0063776E"/>
    <w:rsid w:val="006377D4"/>
    <w:rsid w:val="0063789E"/>
    <w:rsid w:val="006378EE"/>
    <w:rsid w:val="00637982"/>
    <w:rsid w:val="006379AF"/>
    <w:rsid w:val="006379D2"/>
    <w:rsid w:val="00637A44"/>
    <w:rsid w:val="00637A6B"/>
    <w:rsid w:val="00637C08"/>
    <w:rsid w:val="00637D12"/>
    <w:rsid w:val="00637DA4"/>
    <w:rsid w:val="00637DD0"/>
    <w:rsid w:val="00637DF9"/>
    <w:rsid w:val="00637EBA"/>
    <w:rsid w:val="00637EC5"/>
    <w:rsid w:val="00637F76"/>
    <w:rsid w:val="00637FE2"/>
    <w:rsid w:val="00640047"/>
    <w:rsid w:val="00640110"/>
    <w:rsid w:val="00640149"/>
    <w:rsid w:val="00640154"/>
    <w:rsid w:val="0064028A"/>
    <w:rsid w:val="00640320"/>
    <w:rsid w:val="006403FA"/>
    <w:rsid w:val="0064042E"/>
    <w:rsid w:val="00640463"/>
    <w:rsid w:val="0064049A"/>
    <w:rsid w:val="0064049D"/>
    <w:rsid w:val="006405C2"/>
    <w:rsid w:val="006405D8"/>
    <w:rsid w:val="00640618"/>
    <w:rsid w:val="0064064D"/>
    <w:rsid w:val="00640672"/>
    <w:rsid w:val="0064067D"/>
    <w:rsid w:val="00640683"/>
    <w:rsid w:val="0064069B"/>
    <w:rsid w:val="006406BC"/>
    <w:rsid w:val="006406F6"/>
    <w:rsid w:val="006407CE"/>
    <w:rsid w:val="006407E5"/>
    <w:rsid w:val="006407F0"/>
    <w:rsid w:val="00640804"/>
    <w:rsid w:val="00640874"/>
    <w:rsid w:val="006409A0"/>
    <w:rsid w:val="00640B7C"/>
    <w:rsid w:val="00640C48"/>
    <w:rsid w:val="00640C5D"/>
    <w:rsid w:val="00640C71"/>
    <w:rsid w:val="00640D98"/>
    <w:rsid w:val="00640DAF"/>
    <w:rsid w:val="00640E7C"/>
    <w:rsid w:val="00640ED4"/>
    <w:rsid w:val="00640EEB"/>
    <w:rsid w:val="00640EF8"/>
    <w:rsid w:val="00640F08"/>
    <w:rsid w:val="00640F29"/>
    <w:rsid w:val="0064103F"/>
    <w:rsid w:val="00641044"/>
    <w:rsid w:val="0064107B"/>
    <w:rsid w:val="006410DC"/>
    <w:rsid w:val="00641101"/>
    <w:rsid w:val="00641148"/>
    <w:rsid w:val="0064115F"/>
    <w:rsid w:val="00641167"/>
    <w:rsid w:val="006411BB"/>
    <w:rsid w:val="0064122F"/>
    <w:rsid w:val="006412D1"/>
    <w:rsid w:val="006412E0"/>
    <w:rsid w:val="00641343"/>
    <w:rsid w:val="0064136A"/>
    <w:rsid w:val="00641383"/>
    <w:rsid w:val="00641594"/>
    <w:rsid w:val="00641671"/>
    <w:rsid w:val="00641709"/>
    <w:rsid w:val="006417CD"/>
    <w:rsid w:val="006417FD"/>
    <w:rsid w:val="0064190B"/>
    <w:rsid w:val="0064197A"/>
    <w:rsid w:val="006419A0"/>
    <w:rsid w:val="00641A4E"/>
    <w:rsid w:val="00641A54"/>
    <w:rsid w:val="00641A59"/>
    <w:rsid w:val="00641A67"/>
    <w:rsid w:val="00641A7B"/>
    <w:rsid w:val="00641B14"/>
    <w:rsid w:val="00641B87"/>
    <w:rsid w:val="00641BD3"/>
    <w:rsid w:val="00641C2E"/>
    <w:rsid w:val="00641CDF"/>
    <w:rsid w:val="00641CFF"/>
    <w:rsid w:val="00641D6A"/>
    <w:rsid w:val="00641D8F"/>
    <w:rsid w:val="00641DB9"/>
    <w:rsid w:val="00641DE7"/>
    <w:rsid w:val="00641DF1"/>
    <w:rsid w:val="00641E9D"/>
    <w:rsid w:val="00641F80"/>
    <w:rsid w:val="00641F83"/>
    <w:rsid w:val="00641FCC"/>
    <w:rsid w:val="0064201A"/>
    <w:rsid w:val="00642060"/>
    <w:rsid w:val="00642193"/>
    <w:rsid w:val="006421A0"/>
    <w:rsid w:val="00642217"/>
    <w:rsid w:val="00642237"/>
    <w:rsid w:val="00642340"/>
    <w:rsid w:val="006423C7"/>
    <w:rsid w:val="006423CD"/>
    <w:rsid w:val="00642405"/>
    <w:rsid w:val="00642461"/>
    <w:rsid w:val="00642478"/>
    <w:rsid w:val="00642576"/>
    <w:rsid w:val="006425A7"/>
    <w:rsid w:val="00642627"/>
    <w:rsid w:val="006426E7"/>
    <w:rsid w:val="00642713"/>
    <w:rsid w:val="00642714"/>
    <w:rsid w:val="00642792"/>
    <w:rsid w:val="0064294D"/>
    <w:rsid w:val="00642A2C"/>
    <w:rsid w:val="00642A99"/>
    <w:rsid w:val="00642AF3"/>
    <w:rsid w:val="00642B4D"/>
    <w:rsid w:val="00642B6F"/>
    <w:rsid w:val="00642B88"/>
    <w:rsid w:val="00642BF2"/>
    <w:rsid w:val="00642BF3"/>
    <w:rsid w:val="00642C11"/>
    <w:rsid w:val="00642CC4"/>
    <w:rsid w:val="00642D01"/>
    <w:rsid w:val="00642D46"/>
    <w:rsid w:val="00642D6F"/>
    <w:rsid w:val="00642D87"/>
    <w:rsid w:val="00642E5C"/>
    <w:rsid w:val="00642E8C"/>
    <w:rsid w:val="00642EE8"/>
    <w:rsid w:val="00642F0E"/>
    <w:rsid w:val="00642F85"/>
    <w:rsid w:val="00642F88"/>
    <w:rsid w:val="00642FF7"/>
    <w:rsid w:val="00643014"/>
    <w:rsid w:val="006430C6"/>
    <w:rsid w:val="006430CB"/>
    <w:rsid w:val="006430F6"/>
    <w:rsid w:val="0064318C"/>
    <w:rsid w:val="006431E5"/>
    <w:rsid w:val="006432DA"/>
    <w:rsid w:val="006432E6"/>
    <w:rsid w:val="006432F0"/>
    <w:rsid w:val="0064332A"/>
    <w:rsid w:val="0064333D"/>
    <w:rsid w:val="0064334A"/>
    <w:rsid w:val="006434B5"/>
    <w:rsid w:val="006434E5"/>
    <w:rsid w:val="00643584"/>
    <w:rsid w:val="006436CB"/>
    <w:rsid w:val="006437FA"/>
    <w:rsid w:val="0064387F"/>
    <w:rsid w:val="00643891"/>
    <w:rsid w:val="006438D9"/>
    <w:rsid w:val="0064391A"/>
    <w:rsid w:val="006439FD"/>
    <w:rsid w:val="00643B10"/>
    <w:rsid w:val="00643BDE"/>
    <w:rsid w:val="00643CA4"/>
    <w:rsid w:val="00643D26"/>
    <w:rsid w:val="00643DE4"/>
    <w:rsid w:val="00643E94"/>
    <w:rsid w:val="00643EDD"/>
    <w:rsid w:val="00643F1A"/>
    <w:rsid w:val="00643F21"/>
    <w:rsid w:val="00643F5C"/>
    <w:rsid w:val="00643FE3"/>
    <w:rsid w:val="00643FF9"/>
    <w:rsid w:val="00644003"/>
    <w:rsid w:val="00644043"/>
    <w:rsid w:val="006440DB"/>
    <w:rsid w:val="0064413A"/>
    <w:rsid w:val="0064424E"/>
    <w:rsid w:val="00644257"/>
    <w:rsid w:val="00644286"/>
    <w:rsid w:val="006442BD"/>
    <w:rsid w:val="006442F9"/>
    <w:rsid w:val="00644312"/>
    <w:rsid w:val="00644313"/>
    <w:rsid w:val="0064437B"/>
    <w:rsid w:val="006444CE"/>
    <w:rsid w:val="006444E6"/>
    <w:rsid w:val="00644578"/>
    <w:rsid w:val="006445B9"/>
    <w:rsid w:val="00644696"/>
    <w:rsid w:val="006446D9"/>
    <w:rsid w:val="00644731"/>
    <w:rsid w:val="00644758"/>
    <w:rsid w:val="006447C4"/>
    <w:rsid w:val="006447DC"/>
    <w:rsid w:val="00644807"/>
    <w:rsid w:val="00644867"/>
    <w:rsid w:val="006448FD"/>
    <w:rsid w:val="00644905"/>
    <w:rsid w:val="00644935"/>
    <w:rsid w:val="00644961"/>
    <w:rsid w:val="0064496E"/>
    <w:rsid w:val="00644A87"/>
    <w:rsid w:val="00644AB4"/>
    <w:rsid w:val="00644ACC"/>
    <w:rsid w:val="00644AE5"/>
    <w:rsid w:val="00644AEE"/>
    <w:rsid w:val="00644B45"/>
    <w:rsid w:val="00644B8D"/>
    <w:rsid w:val="00644C00"/>
    <w:rsid w:val="00644CB6"/>
    <w:rsid w:val="00644CCE"/>
    <w:rsid w:val="00644CE8"/>
    <w:rsid w:val="00644CF9"/>
    <w:rsid w:val="00644D98"/>
    <w:rsid w:val="00644DA0"/>
    <w:rsid w:val="00644EB3"/>
    <w:rsid w:val="00644EC9"/>
    <w:rsid w:val="00644FE3"/>
    <w:rsid w:val="00645032"/>
    <w:rsid w:val="006450F8"/>
    <w:rsid w:val="00645166"/>
    <w:rsid w:val="0064516E"/>
    <w:rsid w:val="00645171"/>
    <w:rsid w:val="0064518C"/>
    <w:rsid w:val="00645198"/>
    <w:rsid w:val="00645272"/>
    <w:rsid w:val="00645354"/>
    <w:rsid w:val="00645361"/>
    <w:rsid w:val="00645362"/>
    <w:rsid w:val="00645395"/>
    <w:rsid w:val="006453A3"/>
    <w:rsid w:val="006453BC"/>
    <w:rsid w:val="006455CA"/>
    <w:rsid w:val="006455D9"/>
    <w:rsid w:val="006455DB"/>
    <w:rsid w:val="00645635"/>
    <w:rsid w:val="0064567D"/>
    <w:rsid w:val="006456F5"/>
    <w:rsid w:val="00645700"/>
    <w:rsid w:val="00645894"/>
    <w:rsid w:val="00645AB0"/>
    <w:rsid w:val="00645B90"/>
    <w:rsid w:val="00645CFE"/>
    <w:rsid w:val="00645D2F"/>
    <w:rsid w:val="00645D55"/>
    <w:rsid w:val="00645E24"/>
    <w:rsid w:val="00645EA6"/>
    <w:rsid w:val="00645ED7"/>
    <w:rsid w:val="00645F0D"/>
    <w:rsid w:val="00645FA0"/>
    <w:rsid w:val="00645FE8"/>
    <w:rsid w:val="0064602C"/>
    <w:rsid w:val="0064616F"/>
    <w:rsid w:val="0064620E"/>
    <w:rsid w:val="00646222"/>
    <w:rsid w:val="00646249"/>
    <w:rsid w:val="00646328"/>
    <w:rsid w:val="00646371"/>
    <w:rsid w:val="0064643E"/>
    <w:rsid w:val="0064650E"/>
    <w:rsid w:val="006465D3"/>
    <w:rsid w:val="0064662C"/>
    <w:rsid w:val="0064665B"/>
    <w:rsid w:val="0064679A"/>
    <w:rsid w:val="0064679D"/>
    <w:rsid w:val="006467B3"/>
    <w:rsid w:val="006467D0"/>
    <w:rsid w:val="00646808"/>
    <w:rsid w:val="00646982"/>
    <w:rsid w:val="006469E2"/>
    <w:rsid w:val="006469EC"/>
    <w:rsid w:val="00646A26"/>
    <w:rsid w:val="00646A7E"/>
    <w:rsid w:val="00646C92"/>
    <w:rsid w:val="00646CBD"/>
    <w:rsid w:val="00646D18"/>
    <w:rsid w:val="00646D2D"/>
    <w:rsid w:val="00646D42"/>
    <w:rsid w:val="00646DD8"/>
    <w:rsid w:val="00646DF2"/>
    <w:rsid w:val="00646EF8"/>
    <w:rsid w:val="00647099"/>
    <w:rsid w:val="006470E3"/>
    <w:rsid w:val="0064722D"/>
    <w:rsid w:val="00647368"/>
    <w:rsid w:val="00647444"/>
    <w:rsid w:val="006474CB"/>
    <w:rsid w:val="006475A4"/>
    <w:rsid w:val="006476F7"/>
    <w:rsid w:val="0064775E"/>
    <w:rsid w:val="006477AE"/>
    <w:rsid w:val="006477B6"/>
    <w:rsid w:val="0064788F"/>
    <w:rsid w:val="006478F3"/>
    <w:rsid w:val="006479BE"/>
    <w:rsid w:val="006479DC"/>
    <w:rsid w:val="00647A78"/>
    <w:rsid w:val="00647ADB"/>
    <w:rsid w:val="00647B0E"/>
    <w:rsid w:val="00647B1F"/>
    <w:rsid w:val="00647BBB"/>
    <w:rsid w:val="00647C4F"/>
    <w:rsid w:val="00647E6E"/>
    <w:rsid w:val="00647EAD"/>
    <w:rsid w:val="00647F90"/>
    <w:rsid w:val="00647F95"/>
    <w:rsid w:val="0065000C"/>
    <w:rsid w:val="0065002E"/>
    <w:rsid w:val="00650061"/>
    <w:rsid w:val="00650156"/>
    <w:rsid w:val="006501F0"/>
    <w:rsid w:val="00650239"/>
    <w:rsid w:val="0065024A"/>
    <w:rsid w:val="006502FE"/>
    <w:rsid w:val="00650303"/>
    <w:rsid w:val="006503B5"/>
    <w:rsid w:val="00650512"/>
    <w:rsid w:val="00650521"/>
    <w:rsid w:val="0065055C"/>
    <w:rsid w:val="006506B3"/>
    <w:rsid w:val="00650817"/>
    <w:rsid w:val="0065081D"/>
    <w:rsid w:val="0065089D"/>
    <w:rsid w:val="006508C5"/>
    <w:rsid w:val="00650921"/>
    <w:rsid w:val="00650960"/>
    <w:rsid w:val="00650977"/>
    <w:rsid w:val="00650985"/>
    <w:rsid w:val="006509B4"/>
    <w:rsid w:val="00650A56"/>
    <w:rsid w:val="00650A66"/>
    <w:rsid w:val="00650AA5"/>
    <w:rsid w:val="00650AEE"/>
    <w:rsid w:val="00650AF8"/>
    <w:rsid w:val="00650B4A"/>
    <w:rsid w:val="00650C68"/>
    <w:rsid w:val="00650CBF"/>
    <w:rsid w:val="00650D0A"/>
    <w:rsid w:val="00650E16"/>
    <w:rsid w:val="00650F07"/>
    <w:rsid w:val="00650F1D"/>
    <w:rsid w:val="00650F7C"/>
    <w:rsid w:val="00650F8B"/>
    <w:rsid w:val="00651030"/>
    <w:rsid w:val="00651064"/>
    <w:rsid w:val="00651072"/>
    <w:rsid w:val="0065107F"/>
    <w:rsid w:val="006510CD"/>
    <w:rsid w:val="006510D9"/>
    <w:rsid w:val="0065116E"/>
    <w:rsid w:val="006511CB"/>
    <w:rsid w:val="00651266"/>
    <w:rsid w:val="006512F7"/>
    <w:rsid w:val="006513F5"/>
    <w:rsid w:val="00651555"/>
    <w:rsid w:val="006516BD"/>
    <w:rsid w:val="006516CE"/>
    <w:rsid w:val="0065172F"/>
    <w:rsid w:val="0065176F"/>
    <w:rsid w:val="006517CA"/>
    <w:rsid w:val="006517F2"/>
    <w:rsid w:val="00651874"/>
    <w:rsid w:val="00651ABE"/>
    <w:rsid w:val="00651BF9"/>
    <w:rsid w:val="00651C07"/>
    <w:rsid w:val="00651C80"/>
    <w:rsid w:val="00651D6F"/>
    <w:rsid w:val="00651DA8"/>
    <w:rsid w:val="00651E3F"/>
    <w:rsid w:val="00651EC3"/>
    <w:rsid w:val="00651F70"/>
    <w:rsid w:val="00651F81"/>
    <w:rsid w:val="00651F90"/>
    <w:rsid w:val="00651FE3"/>
    <w:rsid w:val="0065202B"/>
    <w:rsid w:val="00652061"/>
    <w:rsid w:val="00652161"/>
    <w:rsid w:val="00652256"/>
    <w:rsid w:val="00652262"/>
    <w:rsid w:val="006522B4"/>
    <w:rsid w:val="00652306"/>
    <w:rsid w:val="0065234A"/>
    <w:rsid w:val="006523F5"/>
    <w:rsid w:val="00652574"/>
    <w:rsid w:val="00652593"/>
    <w:rsid w:val="006525B5"/>
    <w:rsid w:val="006525E8"/>
    <w:rsid w:val="006525EB"/>
    <w:rsid w:val="006526FD"/>
    <w:rsid w:val="006527B1"/>
    <w:rsid w:val="006527DF"/>
    <w:rsid w:val="006528D5"/>
    <w:rsid w:val="006528F1"/>
    <w:rsid w:val="00652926"/>
    <w:rsid w:val="00652973"/>
    <w:rsid w:val="006529C6"/>
    <w:rsid w:val="006529E8"/>
    <w:rsid w:val="00652A33"/>
    <w:rsid w:val="00652A3E"/>
    <w:rsid w:val="00652A7A"/>
    <w:rsid w:val="00652A92"/>
    <w:rsid w:val="00652B2A"/>
    <w:rsid w:val="00652BB8"/>
    <w:rsid w:val="00652BC3"/>
    <w:rsid w:val="00652BFB"/>
    <w:rsid w:val="00652D3A"/>
    <w:rsid w:val="00652D69"/>
    <w:rsid w:val="00652D96"/>
    <w:rsid w:val="00652E10"/>
    <w:rsid w:val="00652EAC"/>
    <w:rsid w:val="00652EB8"/>
    <w:rsid w:val="00652F3D"/>
    <w:rsid w:val="00652FAB"/>
    <w:rsid w:val="00652FD0"/>
    <w:rsid w:val="006530B6"/>
    <w:rsid w:val="00653118"/>
    <w:rsid w:val="00653132"/>
    <w:rsid w:val="006531E4"/>
    <w:rsid w:val="006531EA"/>
    <w:rsid w:val="00653284"/>
    <w:rsid w:val="0065330F"/>
    <w:rsid w:val="00653406"/>
    <w:rsid w:val="0065345A"/>
    <w:rsid w:val="006534D5"/>
    <w:rsid w:val="006534E6"/>
    <w:rsid w:val="00653567"/>
    <w:rsid w:val="00653607"/>
    <w:rsid w:val="0065361B"/>
    <w:rsid w:val="0065362C"/>
    <w:rsid w:val="0065368F"/>
    <w:rsid w:val="006537B8"/>
    <w:rsid w:val="00653812"/>
    <w:rsid w:val="0065381F"/>
    <w:rsid w:val="006538ED"/>
    <w:rsid w:val="00653901"/>
    <w:rsid w:val="00653925"/>
    <w:rsid w:val="00653935"/>
    <w:rsid w:val="00653A12"/>
    <w:rsid w:val="00653A30"/>
    <w:rsid w:val="00653A73"/>
    <w:rsid w:val="00653A75"/>
    <w:rsid w:val="00653AA7"/>
    <w:rsid w:val="00653C6F"/>
    <w:rsid w:val="00653CE7"/>
    <w:rsid w:val="00653D59"/>
    <w:rsid w:val="00653DD2"/>
    <w:rsid w:val="00653E61"/>
    <w:rsid w:val="00653F83"/>
    <w:rsid w:val="00653FDC"/>
    <w:rsid w:val="00654020"/>
    <w:rsid w:val="00654025"/>
    <w:rsid w:val="00654069"/>
    <w:rsid w:val="0065412D"/>
    <w:rsid w:val="00654147"/>
    <w:rsid w:val="006541A5"/>
    <w:rsid w:val="006541B2"/>
    <w:rsid w:val="006541ED"/>
    <w:rsid w:val="00654224"/>
    <w:rsid w:val="00654311"/>
    <w:rsid w:val="0065431E"/>
    <w:rsid w:val="0065434A"/>
    <w:rsid w:val="00654464"/>
    <w:rsid w:val="00654483"/>
    <w:rsid w:val="00654505"/>
    <w:rsid w:val="006545F3"/>
    <w:rsid w:val="006546C0"/>
    <w:rsid w:val="006547B9"/>
    <w:rsid w:val="006548AD"/>
    <w:rsid w:val="006548AE"/>
    <w:rsid w:val="006548E7"/>
    <w:rsid w:val="006548EB"/>
    <w:rsid w:val="00654946"/>
    <w:rsid w:val="00654A92"/>
    <w:rsid w:val="00654B3E"/>
    <w:rsid w:val="00654C1D"/>
    <w:rsid w:val="00654C2B"/>
    <w:rsid w:val="00654C77"/>
    <w:rsid w:val="00654D08"/>
    <w:rsid w:val="00654D0A"/>
    <w:rsid w:val="00654D2F"/>
    <w:rsid w:val="00654D83"/>
    <w:rsid w:val="00654E76"/>
    <w:rsid w:val="0065502B"/>
    <w:rsid w:val="00655072"/>
    <w:rsid w:val="006550A0"/>
    <w:rsid w:val="0065519F"/>
    <w:rsid w:val="006551C2"/>
    <w:rsid w:val="00655311"/>
    <w:rsid w:val="0065535B"/>
    <w:rsid w:val="006553EC"/>
    <w:rsid w:val="00655419"/>
    <w:rsid w:val="006554E5"/>
    <w:rsid w:val="00655506"/>
    <w:rsid w:val="006555C7"/>
    <w:rsid w:val="006555EF"/>
    <w:rsid w:val="0065560D"/>
    <w:rsid w:val="0065561A"/>
    <w:rsid w:val="0065580B"/>
    <w:rsid w:val="0065592C"/>
    <w:rsid w:val="006559F9"/>
    <w:rsid w:val="00655A2B"/>
    <w:rsid w:val="00655B0F"/>
    <w:rsid w:val="00655B47"/>
    <w:rsid w:val="00655B52"/>
    <w:rsid w:val="00655B67"/>
    <w:rsid w:val="00655BF2"/>
    <w:rsid w:val="00655D9C"/>
    <w:rsid w:val="00655DFF"/>
    <w:rsid w:val="00655ED2"/>
    <w:rsid w:val="00655FC8"/>
    <w:rsid w:val="00655FD5"/>
    <w:rsid w:val="0065601D"/>
    <w:rsid w:val="00656077"/>
    <w:rsid w:val="00656141"/>
    <w:rsid w:val="00656221"/>
    <w:rsid w:val="00656289"/>
    <w:rsid w:val="006562BA"/>
    <w:rsid w:val="006562DD"/>
    <w:rsid w:val="00656332"/>
    <w:rsid w:val="0065635B"/>
    <w:rsid w:val="00656431"/>
    <w:rsid w:val="0065647B"/>
    <w:rsid w:val="0065647F"/>
    <w:rsid w:val="00656540"/>
    <w:rsid w:val="0065661C"/>
    <w:rsid w:val="006566AE"/>
    <w:rsid w:val="00656765"/>
    <w:rsid w:val="006567DB"/>
    <w:rsid w:val="006567EC"/>
    <w:rsid w:val="00656872"/>
    <w:rsid w:val="00656A16"/>
    <w:rsid w:val="00656A76"/>
    <w:rsid w:val="00656A9D"/>
    <w:rsid w:val="00656B40"/>
    <w:rsid w:val="00656B77"/>
    <w:rsid w:val="00656C72"/>
    <w:rsid w:val="00656D6F"/>
    <w:rsid w:val="00656E2E"/>
    <w:rsid w:val="00656E6E"/>
    <w:rsid w:val="00656EF6"/>
    <w:rsid w:val="00656EF9"/>
    <w:rsid w:val="00656F1D"/>
    <w:rsid w:val="00656F54"/>
    <w:rsid w:val="00656FD0"/>
    <w:rsid w:val="0065704C"/>
    <w:rsid w:val="006570D4"/>
    <w:rsid w:val="006570EE"/>
    <w:rsid w:val="00657120"/>
    <w:rsid w:val="0065714A"/>
    <w:rsid w:val="0065717D"/>
    <w:rsid w:val="006571EA"/>
    <w:rsid w:val="006572E9"/>
    <w:rsid w:val="00657353"/>
    <w:rsid w:val="00657391"/>
    <w:rsid w:val="00657393"/>
    <w:rsid w:val="00657409"/>
    <w:rsid w:val="00657503"/>
    <w:rsid w:val="00657548"/>
    <w:rsid w:val="00657565"/>
    <w:rsid w:val="0065756C"/>
    <w:rsid w:val="00657618"/>
    <w:rsid w:val="0065764B"/>
    <w:rsid w:val="00657669"/>
    <w:rsid w:val="00657747"/>
    <w:rsid w:val="0065778C"/>
    <w:rsid w:val="006577A2"/>
    <w:rsid w:val="006577C5"/>
    <w:rsid w:val="006577E8"/>
    <w:rsid w:val="00657811"/>
    <w:rsid w:val="0065784F"/>
    <w:rsid w:val="006578E0"/>
    <w:rsid w:val="006579D6"/>
    <w:rsid w:val="00657A00"/>
    <w:rsid w:val="00657A72"/>
    <w:rsid w:val="00657A78"/>
    <w:rsid w:val="00657AE9"/>
    <w:rsid w:val="00657C7E"/>
    <w:rsid w:val="00657C7F"/>
    <w:rsid w:val="00657D67"/>
    <w:rsid w:val="00657E84"/>
    <w:rsid w:val="00657FE2"/>
    <w:rsid w:val="00660068"/>
    <w:rsid w:val="00660081"/>
    <w:rsid w:val="006600F4"/>
    <w:rsid w:val="00660234"/>
    <w:rsid w:val="0066028C"/>
    <w:rsid w:val="00660294"/>
    <w:rsid w:val="006602C0"/>
    <w:rsid w:val="006602E2"/>
    <w:rsid w:val="00660330"/>
    <w:rsid w:val="00660363"/>
    <w:rsid w:val="0066048F"/>
    <w:rsid w:val="0066049C"/>
    <w:rsid w:val="006604AF"/>
    <w:rsid w:val="00660504"/>
    <w:rsid w:val="0066051A"/>
    <w:rsid w:val="0066053F"/>
    <w:rsid w:val="0066057B"/>
    <w:rsid w:val="00660594"/>
    <w:rsid w:val="006605A4"/>
    <w:rsid w:val="006605C3"/>
    <w:rsid w:val="006605EE"/>
    <w:rsid w:val="006605F0"/>
    <w:rsid w:val="0066062A"/>
    <w:rsid w:val="00660706"/>
    <w:rsid w:val="006608C1"/>
    <w:rsid w:val="006608CA"/>
    <w:rsid w:val="006608E6"/>
    <w:rsid w:val="0066091F"/>
    <w:rsid w:val="00660938"/>
    <w:rsid w:val="00660978"/>
    <w:rsid w:val="00660B23"/>
    <w:rsid w:val="00660B34"/>
    <w:rsid w:val="00660BDA"/>
    <w:rsid w:val="00660CD6"/>
    <w:rsid w:val="00660D2D"/>
    <w:rsid w:val="00660D5A"/>
    <w:rsid w:val="00660DC5"/>
    <w:rsid w:val="00660E20"/>
    <w:rsid w:val="00660EA9"/>
    <w:rsid w:val="00660EE7"/>
    <w:rsid w:val="00660F0A"/>
    <w:rsid w:val="00660FAC"/>
    <w:rsid w:val="006610E3"/>
    <w:rsid w:val="00661174"/>
    <w:rsid w:val="006611C1"/>
    <w:rsid w:val="0066128F"/>
    <w:rsid w:val="00661290"/>
    <w:rsid w:val="006612A7"/>
    <w:rsid w:val="006612C5"/>
    <w:rsid w:val="00661309"/>
    <w:rsid w:val="006613CB"/>
    <w:rsid w:val="006613D0"/>
    <w:rsid w:val="006613EE"/>
    <w:rsid w:val="00661464"/>
    <w:rsid w:val="00661498"/>
    <w:rsid w:val="00661626"/>
    <w:rsid w:val="00661660"/>
    <w:rsid w:val="006616CF"/>
    <w:rsid w:val="0066175D"/>
    <w:rsid w:val="006617EE"/>
    <w:rsid w:val="00661851"/>
    <w:rsid w:val="0066186C"/>
    <w:rsid w:val="006618FF"/>
    <w:rsid w:val="00661915"/>
    <w:rsid w:val="00661973"/>
    <w:rsid w:val="00661975"/>
    <w:rsid w:val="006619D1"/>
    <w:rsid w:val="00661A38"/>
    <w:rsid w:val="00661ADA"/>
    <w:rsid w:val="00661B67"/>
    <w:rsid w:val="00661B9A"/>
    <w:rsid w:val="00661BAD"/>
    <w:rsid w:val="00661BCA"/>
    <w:rsid w:val="00661C90"/>
    <w:rsid w:val="00661E07"/>
    <w:rsid w:val="00661E09"/>
    <w:rsid w:val="00661E2F"/>
    <w:rsid w:val="00661E46"/>
    <w:rsid w:val="00661F51"/>
    <w:rsid w:val="00661F6B"/>
    <w:rsid w:val="00661FAB"/>
    <w:rsid w:val="00662043"/>
    <w:rsid w:val="006620D0"/>
    <w:rsid w:val="006620FF"/>
    <w:rsid w:val="00662133"/>
    <w:rsid w:val="006621A1"/>
    <w:rsid w:val="006621E6"/>
    <w:rsid w:val="00662201"/>
    <w:rsid w:val="00662236"/>
    <w:rsid w:val="00662241"/>
    <w:rsid w:val="0066231E"/>
    <w:rsid w:val="00662352"/>
    <w:rsid w:val="006623A3"/>
    <w:rsid w:val="006623CA"/>
    <w:rsid w:val="006623F4"/>
    <w:rsid w:val="0066240E"/>
    <w:rsid w:val="0066247D"/>
    <w:rsid w:val="0066249D"/>
    <w:rsid w:val="0066252E"/>
    <w:rsid w:val="0066254D"/>
    <w:rsid w:val="006625CF"/>
    <w:rsid w:val="006625FA"/>
    <w:rsid w:val="006626E3"/>
    <w:rsid w:val="00662779"/>
    <w:rsid w:val="006627AE"/>
    <w:rsid w:val="006627C3"/>
    <w:rsid w:val="006628B0"/>
    <w:rsid w:val="006629D0"/>
    <w:rsid w:val="00662A3F"/>
    <w:rsid w:val="00662A7F"/>
    <w:rsid w:val="00662B7A"/>
    <w:rsid w:val="00662BAE"/>
    <w:rsid w:val="00662C1B"/>
    <w:rsid w:val="00662C5E"/>
    <w:rsid w:val="00662C6E"/>
    <w:rsid w:val="00662D0A"/>
    <w:rsid w:val="00662DE8"/>
    <w:rsid w:val="00662E3D"/>
    <w:rsid w:val="00662EF6"/>
    <w:rsid w:val="00662F9E"/>
    <w:rsid w:val="00662FBC"/>
    <w:rsid w:val="0066303E"/>
    <w:rsid w:val="00663093"/>
    <w:rsid w:val="006630D6"/>
    <w:rsid w:val="006630EB"/>
    <w:rsid w:val="006630F4"/>
    <w:rsid w:val="0066310B"/>
    <w:rsid w:val="00663142"/>
    <w:rsid w:val="00663173"/>
    <w:rsid w:val="0066318B"/>
    <w:rsid w:val="0066319A"/>
    <w:rsid w:val="00663200"/>
    <w:rsid w:val="0066320C"/>
    <w:rsid w:val="00663358"/>
    <w:rsid w:val="006633A9"/>
    <w:rsid w:val="006633FD"/>
    <w:rsid w:val="0066344F"/>
    <w:rsid w:val="00663495"/>
    <w:rsid w:val="006634F5"/>
    <w:rsid w:val="00663599"/>
    <w:rsid w:val="006635BE"/>
    <w:rsid w:val="006635E7"/>
    <w:rsid w:val="00663641"/>
    <w:rsid w:val="00663685"/>
    <w:rsid w:val="006636ED"/>
    <w:rsid w:val="0066371C"/>
    <w:rsid w:val="00663750"/>
    <w:rsid w:val="00663783"/>
    <w:rsid w:val="006637B2"/>
    <w:rsid w:val="006637D3"/>
    <w:rsid w:val="00663806"/>
    <w:rsid w:val="0066397E"/>
    <w:rsid w:val="0066398B"/>
    <w:rsid w:val="006639AE"/>
    <w:rsid w:val="00663A2D"/>
    <w:rsid w:val="00663A83"/>
    <w:rsid w:val="00663B60"/>
    <w:rsid w:val="00663BFA"/>
    <w:rsid w:val="00663C20"/>
    <w:rsid w:val="00663C95"/>
    <w:rsid w:val="00663CF9"/>
    <w:rsid w:val="00663D9B"/>
    <w:rsid w:val="00663E2A"/>
    <w:rsid w:val="00663EA6"/>
    <w:rsid w:val="00663EDA"/>
    <w:rsid w:val="00663F08"/>
    <w:rsid w:val="00663F13"/>
    <w:rsid w:val="00663F19"/>
    <w:rsid w:val="00663F3B"/>
    <w:rsid w:val="00663F59"/>
    <w:rsid w:val="00663FCE"/>
    <w:rsid w:val="0066403F"/>
    <w:rsid w:val="00664049"/>
    <w:rsid w:val="006640DB"/>
    <w:rsid w:val="0066414D"/>
    <w:rsid w:val="006642A6"/>
    <w:rsid w:val="006642B1"/>
    <w:rsid w:val="00664312"/>
    <w:rsid w:val="0066437A"/>
    <w:rsid w:val="006643CA"/>
    <w:rsid w:val="00664458"/>
    <w:rsid w:val="00664479"/>
    <w:rsid w:val="0066447C"/>
    <w:rsid w:val="006644B1"/>
    <w:rsid w:val="006644B7"/>
    <w:rsid w:val="0066454E"/>
    <w:rsid w:val="00664718"/>
    <w:rsid w:val="0066472B"/>
    <w:rsid w:val="00664882"/>
    <w:rsid w:val="00664888"/>
    <w:rsid w:val="006648F5"/>
    <w:rsid w:val="006648F7"/>
    <w:rsid w:val="0066498D"/>
    <w:rsid w:val="00664A29"/>
    <w:rsid w:val="00664A73"/>
    <w:rsid w:val="00664BBF"/>
    <w:rsid w:val="00664C28"/>
    <w:rsid w:val="00664D29"/>
    <w:rsid w:val="00664D3C"/>
    <w:rsid w:val="00664D7B"/>
    <w:rsid w:val="00664DA2"/>
    <w:rsid w:val="00664DAB"/>
    <w:rsid w:val="00664DAE"/>
    <w:rsid w:val="00664E13"/>
    <w:rsid w:val="00664EE2"/>
    <w:rsid w:val="00664EFC"/>
    <w:rsid w:val="00664F07"/>
    <w:rsid w:val="0066500C"/>
    <w:rsid w:val="006650BA"/>
    <w:rsid w:val="00665280"/>
    <w:rsid w:val="006652A4"/>
    <w:rsid w:val="006652A8"/>
    <w:rsid w:val="00665444"/>
    <w:rsid w:val="00665459"/>
    <w:rsid w:val="006654CD"/>
    <w:rsid w:val="0066550D"/>
    <w:rsid w:val="00665578"/>
    <w:rsid w:val="00665590"/>
    <w:rsid w:val="00665596"/>
    <w:rsid w:val="006655D5"/>
    <w:rsid w:val="006655E7"/>
    <w:rsid w:val="00665656"/>
    <w:rsid w:val="006656A7"/>
    <w:rsid w:val="006656E0"/>
    <w:rsid w:val="00665700"/>
    <w:rsid w:val="0066575D"/>
    <w:rsid w:val="00665839"/>
    <w:rsid w:val="00665863"/>
    <w:rsid w:val="006658E7"/>
    <w:rsid w:val="0066598F"/>
    <w:rsid w:val="00665A22"/>
    <w:rsid w:val="00665A2B"/>
    <w:rsid w:val="00665A37"/>
    <w:rsid w:val="00665A3F"/>
    <w:rsid w:val="00665A40"/>
    <w:rsid w:val="00665A68"/>
    <w:rsid w:val="00665A99"/>
    <w:rsid w:val="00665A9F"/>
    <w:rsid w:val="00665B87"/>
    <w:rsid w:val="00665BDA"/>
    <w:rsid w:val="00665BE1"/>
    <w:rsid w:val="00665C68"/>
    <w:rsid w:val="00665C8A"/>
    <w:rsid w:val="00665CAC"/>
    <w:rsid w:val="00665DDE"/>
    <w:rsid w:val="00665EF3"/>
    <w:rsid w:val="00665F5F"/>
    <w:rsid w:val="00665F6A"/>
    <w:rsid w:val="00665FE2"/>
    <w:rsid w:val="00666048"/>
    <w:rsid w:val="006660AC"/>
    <w:rsid w:val="0066615B"/>
    <w:rsid w:val="0066624B"/>
    <w:rsid w:val="006662D1"/>
    <w:rsid w:val="00666368"/>
    <w:rsid w:val="0066638A"/>
    <w:rsid w:val="0066638E"/>
    <w:rsid w:val="006664C6"/>
    <w:rsid w:val="006664D0"/>
    <w:rsid w:val="0066653A"/>
    <w:rsid w:val="006665F7"/>
    <w:rsid w:val="00666666"/>
    <w:rsid w:val="0066672E"/>
    <w:rsid w:val="00666864"/>
    <w:rsid w:val="006668B5"/>
    <w:rsid w:val="00666A67"/>
    <w:rsid w:val="00666A94"/>
    <w:rsid w:val="00666C08"/>
    <w:rsid w:val="00666C80"/>
    <w:rsid w:val="00666C9F"/>
    <w:rsid w:val="00666CCF"/>
    <w:rsid w:val="00666D48"/>
    <w:rsid w:val="00666E6F"/>
    <w:rsid w:val="00666ECA"/>
    <w:rsid w:val="00666FA9"/>
    <w:rsid w:val="00667047"/>
    <w:rsid w:val="00667094"/>
    <w:rsid w:val="0066712E"/>
    <w:rsid w:val="00667164"/>
    <w:rsid w:val="00667186"/>
    <w:rsid w:val="00667228"/>
    <w:rsid w:val="00667275"/>
    <w:rsid w:val="006672D9"/>
    <w:rsid w:val="006672F6"/>
    <w:rsid w:val="00667307"/>
    <w:rsid w:val="0066738E"/>
    <w:rsid w:val="006673E7"/>
    <w:rsid w:val="006673F3"/>
    <w:rsid w:val="00667439"/>
    <w:rsid w:val="0066746A"/>
    <w:rsid w:val="006674CD"/>
    <w:rsid w:val="0066755D"/>
    <w:rsid w:val="0066759F"/>
    <w:rsid w:val="006676CE"/>
    <w:rsid w:val="006676E1"/>
    <w:rsid w:val="006676F3"/>
    <w:rsid w:val="006678F1"/>
    <w:rsid w:val="006678F8"/>
    <w:rsid w:val="00667941"/>
    <w:rsid w:val="00667980"/>
    <w:rsid w:val="00667984"/>
    <w:rsid w:val="00667A13"/>
    <w:rsid w:val="00667A27"/>
    <w:rsid w:val="00667A4A"/>
    <w:rsid w:val="00667A5B"/>
    <w:rsid w:val="00667A65"/>
    <w:rsid w:val="00667BC7"/>
    <w:rsid w:val="00667BD3"/>
    <w:rsid w:val="00667CE2"/>
    <w:rsid w:val="00667D50"/>
    <w:rsid w:val="00667D6F"/>
    <w:rsid w:val="00667DD0"/>
    <w:rsid w:val="00667DE3"/>
    <w:rsid w:val="00667E28"/>
    <w:rsid w:val="006701CF"/>
    <w:rsid w:val="006701D7"/>
    <w:rsid w:val="006702BD"/>
    <w:rsid w:val="00670338"/>
    <w:rsid w:val="0067037F"/>
    <w:rsid w:val="006703A9"/>
    <w:rsid w:val="00670427"/>
    <w:rsid w:val="006704D0"/>
    <w:rsid w:val="0067050C"/>
    <w:rsid w:val="006705F1"/>
    <w:rsid w:val="006705FD"/>
    <w:rsid w:val="0067061B"/>
    <w:rsid w:val="0067064A"/>
    <w:rsid w:val="00670696"/>
    <w:rsid w:val="006706D5"/>
    <w:rsid w:val="006707AE"/>
    <w:rsid w:val="006707AF"/>
    <w:rsid w:val="00670856"/>
    <w:rsid w:val="00670885"/>
    <w:rsid w:val="006708B5"/>
    <w:rsid w:val="00670920"/>
    <w:rsid w:val="0067092A"/>
    <w:rsid w:val="0067099E"/>
    <w:rsid w:val="00670A20"/>
    <w:rsid w:val="00670AAE"/>
    <w:rsid w:val="00670B0C"/>
    <w:rsid w:val="00670BE7"/>
    <w:rsid w:val="00670BEC"/>
    <w:rsid w:val="00670BED"/>
    <w:rsid w:val="00670C04"/>
    <w:rsid w:val="00670C05"/>
    <w:rsid w:val="00670CA7"/>
    <w:rsid w:val="00670CB4"/>
    <w:rsid w:val="00670D25"/>
    <w:rsid w:val="00670D64"/>
    <w:rsid w:val="00670DA6"/>
    <w:rsid w:val="00670F18"/>
    <w:rsid w:val="00670F72"/>
    <w:rsid w:val="00670FB6"/>
    <w:rsid w:val="00670FEB"/>
    <w:rsid w:val="0067102C"/>
    <w:rsid w:val="00671085"/>
    <w:rsid w:val="006710E4"/>
    <w:rsid w:val="006710E8"/>
    <w:rsid w:val="006710E9"/>
    <w:rsid w:val="006710FD"/>
    <w:rsid w:val="006710FF"/>
    <w:rsid w:val="0067110A"/>
    <w:rsid w:val="0067115F"/>
    <w:rsid w:val="006711D0"/>
    <w:rsid w:val="006711D1"/>
    <w:rsid w:val="006712D2"/>
    <w:rsid w:val="00671329"/>
    <w:rsid w:val="00671358"/>
    <w:rsid w:val="00671396"/>
    <w:rsid w:val="006713AD"/>
    <w:rsid w:val="00671460"/>
    <w:rsid w:val="0067150A"/>
    <w:rsid w:val="00671525"/>
    <w:rsid w:val="00671546"/>
    <w:rsid w:val="0067166E"/>
    <w:rsid w:val="00671724"/>
    <w:rsid w:val="006717A3"/>
    <w:rsid w:val="00671851"/>
    <w:rsid w:val="00671904"/>
    <w:rsid w:val="00671988"/>
    <w:rsid w:val="00671A1A"/>
    <w:rsid w:val="00671A94"/>
    <w:rsid w:val="00671AB2"/>
    <w:rsid w:val="00671B01"/>
    <w:rsid w:val="00671B13"/>
    <w:rsid w:val="00671B51"/>
    <w:rsid w:val="00671B6C"/>
    <w:rsid w:val="00671BDE"/>
    <w:rsid w:val="00671C59"/>
    <w:rsid w:val="00671C69"/>
    <w:rsid w:val="00671CEF"/>
    <w:rsid w:val="00671D15"/>
    <w:rsid w:val="00671E13"/>
    <w:rsid w:val="00671E82"/>
    <w:rsid w:val="00671EB2"/>
    <w:rsid w:val="0067201A"/>
    <w:rsid w:val="0067202D"/>
    <w:rsid w:val="00672037"/>
    <w:rsid w:val="00672044"/>
    <w:rsid w:val="0067205A"/>
    <w:rsid w:val="006720C2"/>
    <w:rsid w:val="0067213E"/>
    <w:rsid w:val="006721B3"/>
    <w:rsid w:val="00672214"/>
    <w:rsid w:val="0067237F"/>
    <w:rsid w:val="00672404"/>
    <w:rsid w:val="00672434"/>
    <w:rsid w:val="00672504"/>
    <w:rsid w:val="00672515"/>
    <w:rsid w:val="00672592"/>
    <w:rsid w:val="0067265B"/>
    <w:rsid w:val="006726FE"/>
    <w:rsid w:val="00672773"/>
    <w:rsid w:val="0067278F"/>
    <w:rsid w:val="006727B0"/>
    <w:rsid w:val="006727FA"/>
    <w:rsid w:val="00672805"/>
    <w:rsid w:val="00672830"/>
    <w:rsid w:val="00672926"/>
    <w:rsid w:val="00672956"/>
    <w:rsid w:val="00672971"/>
    <w:rsid w:val="006729C2"/>
    <w:rsid w:val="006729DE"/>
    <w:rsid w:val="00672A4B"/>
    <w:rsid w:val="00672ACB"/>
    <w:rsid w:val="00672B6D"/>
    <w:rsid w:val="00672BC0"/>
    <w:rsid w:val="00672BFE"/>
    <w:rsid w:val="00672C10"/>
    <w:rsid w:val="00672C45"/>
    <w:rsid w:val="00672C51"/>
    <w:rsid w:val="00672C89"/>
    <w:rsid w:val="00672D23"/>
    <w:rsid w:val="00672E28"/>
    <w:rsid w:val="00672EA8"/>
    <w:rsid w:val="00672F0E"/>
    <w:rsid w:val="00672F22"/>
    <w:rsid w:val="00672F2A"/>
    <w:rsid w:val="00672F3E"/>
    <w:rsid w:val="00673046"/>
    <w:rsid w:val="0067312F"/>
    <w:rsid w:val="00673131"/>
    <w:rsid w:val="00673173"/>
    <w:rsid w:val="00673194"/>
    <w:rsid w:val="00673283"/>
    <w:rsid w:val="00673291"/>
    <w:rsid w:val="00673292"/>
    <w:rsid w:val="00673346"/>
    <w:rsid w:val="00673379"/>
    <w:rsid w:val="006733DA"/>
    <w:rsid w:val="00673442"/>
    <w:rsid w:val="00673477"/>
    <w:rsid w:val="006734A0"/>
    <w:rsid w:val="006734DD"/>
    <w:rsid w:val="00673529"/>
    <w:rsid w:val="00673547"/>
    <w:rsid w:val="006735B6"/>
    <w:rsid w:val="006735BB"/>
    <w:rsid w:val="006735D2"/>
    <w:rsid w:val="00673707"/>
    <w:rsid w:val="0067371D"/>
    <w:rsid w:val="0067376F"/>
    <w:rsid w:val="00673790"/>
    <w:rsid w:val="006737CA"/>
    <w:rsid w:val="006737CC"/>
    <w:rsid w:val="00673882"/>
    <w:rsid w:val="006738A5"/>
    <w:rsid w:val="006739FD"/>
    <w:rsid w:val="00673AAE"/>
    <w:rsid w:val="00673B0A"/>
    <w:rsid w:val="00673B54"/>
    <w:rsid w:val="00673B5B"/>
    <w:rsid w:val="00673BDD"/>
    <w:rsid w:val="00673BEC"/>
    <w:rsid w:val="00673C90"/>
    <w:rsid w:val="00673D0D"/>
    <w:rsid w:val="00673D3F"/>
    <w:rsid w:val="00673D7F"/>
    <w:rsid w:val="00673E36"/>
    <w:rsid w:val="00673E5F"/>
    <w:rsid w:val="00673F06"/>
    <w:rsid w:val="00673F21"/>
    <w:rsid w:val="00673F71"/>
    <w:rsid w:val="00674007"/>
    <w:rsid w:val="006740D0"/>
    <w:rsid w:val="0067411D"/>
    <w:rsid w:val="00674138"/>
    <w:rsid w:val="00674142"/>
    <w:rsid w:val="00674192"/>
    <w:rsid w:val="0067419C"/>
    <w:rsid w:val="0067429A"/>
    <w:rsid w:val="006742C1"/>
    <w:rsid w:val="006742E8"/>
    <w:rsid w:val="00674390"/>
    <w:rsid w:val="006743AA"/>
    <w:rsid w:val="006743ED"/>
    <w:rsid w:val="00674466"/>
    <w:rsid w:val="0067454C"/>
    <w:rsid w:val="00674717"/>
    <w:rsid w:val="0067473A"/>
    <w:rsid w:val="006747EA"/>
    <w:rsid w:val="0067483F"/>
    <w:rsid w:val="00674872"/>
    <w:rsid w:val="00674967"/>
    <w:rsid w:val="0067499C"/>
    <w:rsid w:val="006749A5"/>
    <w:rsid w:val="006749DB"/>
    <w:rsid w:val="00674A63"/>
    <w:rsid w:val="00674AA9"/>
    <w:rsid w:val="00674C08"/>
    <w:rsid w:val="00674CB1"/>
    <w:rsid w:val="00674CBA"/>
    <w:rsid w:val="00674DA3"/>
    <w:rsid w:val="00674E20"/>
    <w:rsid w:val="00674E94"/>
    <w:rsid w:val="00674F12"/>
    <w:rsid w:val="00674F66"/>
    <w:rsid w:val="00674FA4"/>
    <w:rsid w:val="00674FEC"/>
    <w:rsid w:val="00675029"/>
    <w:rsid w:val="00675041"/>
    <w:rsid w:val="00675066"/>
    <w:rsid w:val="00675090"/>
    <w:rsid w:val="00675183"/>
    <w:rsid w:val="0067518A"/>
    <w:rsid w:val="006752E3"/>
    <w:rsid w:val="00675359"/>
    <w:rsid w:val="00675439"/>
    <w:rsid w:val="00675476"/>
    <w:rsid w:val="006754BC"/>
    <w:rsid w:val="0067550D"/>
    <w:rsid w:val="006755A7"/>
    <w:rsid w:val="006755AE"/>
    <w:rsid w:val="006755DB"/>
    <w:rsid w:val="006755EE"/>
    <w:rsid w:val="00675662"/>
    <w:rsid w:val="006756D9"/>
    <w:rsid w:val="00675704"/>
    <w:rsid w:val="00675818"/>
    <w:rsid w:val="00675922"/>
    <w:rsid w:val="00675A62"/>
    <w:rsid w:val="00675AB6"/>
    <w:rsid w:val="00675AE7"/>
    <w:rsid w:val="00675C44"/>
    <w:rsid w:val="00675E29"/>
    <w:rsid w:val="00675F0C"/>
    <w:rsid w:val="00675F43"/>
    <w:rsid w:val="00675F47"/>
    <w:rsid w:val="00675FA6"/>
    <w:rsid w:val="0067606F"/>
    <w:rsid w:val="006761D4"/>
    <w:rsid w:val="00676225"/>
    <w:rsid w:val="006762A9"/>
    <w:rsid w:val="006762BA"/>
    <w:rsid w:val="00676466"/>
    <w:rsid w:val="0067647C"/>
    <w:rsid w:val="006764E5"/>
    <w:rsid w:val="00676513"/>
    <w:rsid w:val="006766A0"/>
    <w:rsid w:val="00676758"/>
    <w:rsid w:val="00676797"/>
    <w:rsid w:val="006767CA"/>
    <w:rsid w:val="00676831"/>
    <w:rsid w:val="006768A2"/>
    <w:rsid w:val="00676A60"/>
    <w:rsid w:val="00676B28"/>
    <w:rsid w:val="00676B2A"/>
    <w:rsid w:val="00676BFF"/>
    <w:rsid w:val="00676C3B"/>
    <w:rsid w:val="00676C42"/>
    <w:rsid w:val="00676CBC"/>
    <w:rsid w:val="00676CF2"/>
    <w:rsid w:val="00676DBE"/>
    <w:rsid w:val="00676F56"/>
    <w:rsid w:val="00676F65"/>
    <w:rsid w:val="00676FB7"/>
    <w:rsid w:val="00677020"/>
    <w:rsid w:val="00677036"/>
    <w:rsid w:val="00677134"/>
    <w:rsid w:val="00677164"/>
    <w:rsid w:val="00677173"/>
    <w:rsid w:val="00677236"/>
    <w:rsid w:val="00677238"/>
    <w:rsid w:val="00677263"/>
    <w:rsid w:val="006772F6"/>
    <w:rsid w:val="0067730B"/>
    <w:rsid w:val="00677371"/>
    <w:rsid w:val="006773B3"/>
    <w:rsid w:val="00677416"/>
    <w:rsid w:val="0067744F"/>
    <w:rsid w:val="0067745B"/>
    <w:rsid w:val="0067748B"/>
    <w:rsid w:val="00677555"/>
    <w:rsid w:val="006775AC"/>
    <w:rsid w:val="006775C3"/>
    <w:rsid w:val="0067761C"/>
    <w:rsid w:val="0067763B"/>
    <w:rsid w:val="00677700"/>
    <w:rsid w:val="0067773F"/>
    <w:rsid w:val="006777F5"/>
    <w:rsid w:val="006778F8"/>
    <w:rsid w:val="00677992"/>
    <w:rsid w:val="00677AF5"/>
    <w:rsid w:val="00677B30"/>
    <w:rsid w:val="00677B68"/>
    <w:rsid w:val="00677BAC"/>
    <w:rsid w:val="00677BBF"/>
    <w:rsid w:val="00677BDD"/>
    <w:rsid w:val="00677BEB"/>
    <w:rsid w:val="00677C68"/>
    <w:rsid w:val="00677CB3"/>
    <w:rsid w:val="00677DCB"/>
    <w:rsid w:val="00677E3C"/>
    <w:rsid w:val="00677E9C"/>
    <w:rsid w:val="00677ED3"/>
    <w:rsid w:val="00677F06"/>
    <w:rsid w:val="00680070"/>
    <w:rsid w:val="0068008C"/>
    <w:rsid w:val="006800A7"/>
    <w:rsid w:val="006800BB"/>
    <w:rsid w:val="006800D6"/>
    <w:rsid w:val="00680126"/>
    <w:rsid w:val="00680154"/>
    <w:rsid w:val="0068021B"/>
    <w:rsid w:val="0068023F"/>
    <w:rsid w:val="0068041A"/>
    <w:rsid w:val="00680490"/>
    <w:rsid w:val="006804B0"/>
    <w:rsid w:val="0068050F"/>
    <w:rsid w:val="006805D6"/>
    <w:rsid w:val="00680648"/>
    <w:rsid w:val="00680668"/>
    <w:rsid w:val="0068066D"/>
    <w:rsid w:val="006806DF"/>
    <w:rsid w:val="006806ED"/>
    <w:rsid w:val="00680816"/>
    <w:rsid w:val="00680844"/>
    <w:rsid w:val="00680861"/>
    <w:rsid w:val="0068088E"/>
    <w:rsid w:val="006808C7"/>
    <w:rsid w:val="00680914"/>
    <w:rsid w:val="0068091D"/>
    <w:rsid w:val="00680921"/>
    <w:rsid w:val="0068092E"/>
    <w:rsid w:val="0068099C"/>
    <w:rsid w:val="006809B9"/>
    <w:rsid w:val="006809DD"/>
    <w:rsid w:val="00680A20"/>
    <w:rsid w:val="00680A54"/>
    <w:rsid w:val="00680B80"/>
    <w:rsid w:val="00680BA3"/>
    <w:rsid w:val="00680C33"/>
    <w:rsid w:val="00680C82"/>
    <w:rsid w:val="00680D39"/>
    <w:rsid w:val="00680D47"/>
    <w:rsid w:val="00680D9C"/>
    <w:rsid w:val="00680DFE"/>
    <w:rsid w:val="00680E6B"/>
    <w:rsid w:val="00680E8D"/>
    <w:rsid w:val="00680ED3"/>
    <w:rsid w:val="00680F9F"/>
    <w:rsid w:val="0068104D"/>
    <w:rsid w:val="006810C3"/>
    <w:rsid w:val="006810F7"/>
    <w:rsid w:val="00681186"/>
    <w:rsid w:val="006811D5"/>
    <w:rsid w:val="0068120C"/>
    <w:rsid w:val="00681379"/>
    <w:rsid w:val="0068143A"/>
    <w:rsid w:val="0068148B"/>
    <w:rsid w:val="006814E2"/>
    <w:rsid w:val="00681514"/>
    <w:rsid w:val="006815A2"/>
    <w:rsid w:val="006815F1"/>
    <w:rsid w:val="00681644"/>
    <w:rsid w:val="0068164C"/>
    <w:rsid w:val="00681651"/>
    <w:rsid w:val="00681656"/>
    <w:rsid w:val="00681736"/>
    <w:rsid w:val="00681784"/>
    <w:rsid w:val="006817C6"/>
    <w:rsid w:val="0068184F"/>
    <w:rsid w:val="00681864"/>
    <w:rsid w:val="006818DA"/>
    <w:rsid w:val="00681904"/>
    <w:rsid w:val="00681997"/>
    <w:rsid w:val="006819A0"/>
    <w:rsid w:val="006819E3"/>
    <w:rsid w:val="00681A53"/>
    <w:rsid w:val="00681ABA"/>
    <w:rsid w:val="00681BB2"/>
    <w:rsid w:val="00681BB3"/>
    <w:rsid w:val="00681BCA"/>
    <w:rsid w:val="00681C64"/>
    <w:rsid w:val="00681D6A"/>
    <w:rsid w:val="00681DB5"/>
    <w:rsid w:val="00681E7C"/>
    <w:rsid w:val="00681F6C"/>
    <w:rsid w:val="00681FEB"/>
    <w:rsid w:val="00682041"/>
    <w:rsid w:val="0068206B"/>
    <w:rsid w:val="006820BB"/>
    <w:rsid w:val="006820E9"/>
    <w:rsid w:val="00682168"/>
    <w:rsid w:val="006821BA"/>
    <w:rsid w:val="00682287"/>
    <w:rsid w:val="00682316"/>
    <w:rsid w:val="00682321"/>
    <w:rsid w:val="006823F6"/>
    <w:rsid w:val="0068245C"/>
    <w:rsid w:val="00682472"/>
    <w:rsid w:val="006825DC"/>
    <w:rsid w:val="0068262E"/>
    <w:rsid w:val="0068267F"/>
    <w:rsid w:val="00682711"/>
    <w:rsid w:val="006828D2"/>
    <w:rsid w:val="00682922"/>
    <w:rsid w:val="00682990"/>
    <w:rsid w:val="006829A9"/>
    <w:rsid w:val="006829D1"/>
    <w:rsid w:val="00682A43"/>
    <w:rsid w:val="00682AB8"/>
    <w:rsid w:val="00682B55"/>
    <w:rsid w:val="00682B91"/>
    <w:rsid w:val="00682B9C"/>
    <w:rsid w:val="00682C02"/>
    <w:rsid w:val="00682C97"/>
    <w:rsid w:val="00682CF1"/>
    <w:rsid w:val="00682FBD"/>
    <w:rsid w:val="00682FC1"/>
    <w:rsid w:val="00683074"/>
    <w:rsid w:val="00683109"/>
    <w:rsid w:val="00683154"/>
    <w:rsid w:val="00683172"/>
    <w:rsid w:val="0068319B"/>
    <w:rsid w:val="006831A5"/>
    <w:rsid w:val="00683255"/>
    <w:rsid w:val="00683294"/>
    <w:rsid w:val="006832E2"/>
    <w:rsid w:val="006832F1"/>
    <w:rsid w:val="00683382"/>
    <w:rsid w:val="00683383"/>
    <w:rsid w:val="0068339E"/>
    <w:rsid w:val="00683451"/>
    <w:rsid w:val="0068347E"/>
    <w:rsid w:val="0068348C"/>
    <w:rsid w:val="0068354A"/>
    <w:rsid w:val="00683744"/>
    <w:rsid w:val="006837C0"/>
    <w:rsid w:val="00683882"/>
    <w:rsid w:val="00683887"/>
    <w:rsid w:val="0068389C"/>
    <w:rsid w:val="006838F9"/>
    <w:rsid w:val="00683932"/>
    <w:rsid w:val="0068395E"/>
    <w:rsid w:val="00683994"/>
    <w:rsid w:val="006839E2"/>
    <w:rsid w:val="00683AE9"/>
    <w:rsid w:val="00683B27"/>
    <w:rsid w:val="00683B36"/>
    <w:rsid w:val="00683C06"/>
    <w:rsid w:val="00683CEF"/>
    <w:rsid w:val="00683E42"/>
    <w:rsid w:val="00683E46"/>
    <w:rsid w:val="00683EF2"/>
    <w:rsid w:val="00683F04"/>
    <w:rsid w:val="00683FB2"/>
    <w:rsid w:val="00683FBD"/>
    <w:rsid w:val="0068419C"/>
    <w:rsid w:val="006841E8"/>
    <w:rsid w:val="0068428B"/>
    <w:rsid w:val="006842A9"/>
    <w:rsid w:val="006842CB"/>
    <w:rsid w:val="006842CF"/>
    <w:rsid w:val="006843A1"/>
    <w:rsid w:val="006843C0"/>
    <w:rsid w:val="006843E3"/>
    <w:rsid w:val="0068440A"/>
    <w:rsid w:val="00684481"/>
    <w:rsid w:val="006844F2"/>
    <w:rsid w:val="00684563"/>
    <w:rsid w:val="00684599"/>
    <w:rsid w:val="006845B7"/>
    <w:rsid w:val="00684653"/>
    <w:rsid w:val="0068469C"/>
    <w:rsid w:val="006846B1"/>
    <w:rsid w:val="00684761"/>
    <w:rsid w:val="00684792"/>
    <w:rsid w:val="006848D3"/>
    <w:rsid w:val="0068492D"/>
    <w:rsid w:val="00684975"/>
    <w:rsid w:val="006849F3"/>
    <w:rsid w:val="00684A15"/>
    <w:rsid w:val="00684AB5"/>
    <w:rsid w:val="00684AFB"/>
    <w:rsid w:val="00684B04"/>
    <w:rsid w:val="00684BE9"/>
    <w:rsid w:val="00684C1A"/>
    <w:rsid w:val="00684CB2"/>
    <w:rsid w:val="00684CF2"/>
    <w:rsid w:val="00684D47"/>
    <w:rsid w:val="00684D69"/>
    <w:rsid w:val="00684DCB"/>
    <w:rsid w:val="00684E6C"/>
    <w:rsid w:val="00684EB3"/>
    <w:rsid w:val="00684EDE"/>
    <w:rsid w:val="00684F01"/>
    <w:rsid w:val="00684F52"/>
    <w:rsid w:val="00684FBD"/>
    <w:rsid w:val="00685093"/>
    <w:rsid w:val="0068510E"/>
    <w:rsid w:val="00685337"/>
    <w:rsid w:val="006853AA"/>
    <w:rsid w:val="00685503"/>
    <w:rsid w:val="0068554B"/>
    <w:rsid w:val="00685571"/>
    <w:rsid w:val="006855D8"/>
    <w:rsid w:val="00685602"/>
    <w:rsid w:val="0068563F"/>
    <w:rsid w:val="006856A1"/>
    <w:rsid w:val="0068570C"/>
    <w:rsid w:val="00685782"/>
    <w:rsid w:val="006857BE"/>
    <w:rsid w:val="006857E5"/>
    <w:rsid w:val="00685822"/>
    <w:rsid w:val="00685837"/>
    <w:rsid w:val="0068587C"/>
    <w:rsid w:val="0068589C"/>
    <w:rsid w:val="006859A1"/>
    <w:rsid w:val="00685A80"/>
    <w:rsid w:val="00685AAF"/>
    <w:rsid w:val="00685AB4"/>
    <w:rsid w:val="00685AD3"/>
    <w:rsid w:val="00685AED"/>
    <w:rsid w:val="00685B99"/>
    <w:rsid w:val="00685BD3"/>
    <w:rsid w:val="00685C45"/>
    <w:rsid w:val="00685C47"/>
    <w:rsid w:val="00685E85"/>
    <w:rsid w:val="00685EE7"/>
    <w:rsid w:val="00685F35"/>
    <w:rsid w:val="00685F43"/>
    <w:rsid w:val="00685F82"/>
    <w:rsid w:val="00686082"/>
    <w:rsid w:val="006860D0"/>
    <w:rsid w:val="006860E8"/>
    <w:rsid w:val="006861AE"/>
    <w:rsid w:val="00686217"/>
    <w:rsid w:val="00686272"/>
    <w:rsid w:val="006862C5"/>
    <w:rsid w:val="00686303"/>
    <w:rsid w:val="006863C7"/>
    <w:rsid w:val="00686420"/>
    <w:rsid w:val="00686452"/>
    <w:rsid w:val="00686457"/>
    <w:rsid w:val="006864A1"/>
    <w:rsid w:val="006864D9"/>
    <w:rsid w:val="0068651E"/>
    <w:rsid w:val="0068657E"/>
    <w:rsid w:val="00686619"/>
    <w:rsid w:val="00686680"/>
    <w:rsid w:val="006867A8"/>
    <w:rsid w:val="0068682D"/>
    <w:rsid w:val="006868C3"/>
    <w:rsid w:val="006868C8"/>
    <w:rsid w:val="00686914"/>
    <w:rsid w:val="00686917"/>
    <w:rsid w:val="00686921"/>
    <w:rsid w:val="00686952"/>
    <w:rsid w:val="00686B19"/>
    <w:rsid w:val="00686B38"/>
    <w:rsid w:val="00686B61"/>
    <w:rsid w:val="00686BCA"/>
    <w:rsid w:val="00686E3D"/>
    <w:rsid w:val="00686F04"/>
    <w:rsid w:val="00686F5E"/>
    <w:rsid w:val="00686FC1"/>
    <w:rsid w:val="00686FD6"/>
    <w:rsid w:val="00687044"/>
    <w:rsid w:val="0068704D"/>
    <w:rsid w:val="0068707F"/>
    <w:rsid w:val="00687080"/>
    <w:rsid w:val="00687112"/>
    <w:rsid w:val="0068715B"/>
    <w:rsid w:val="0068718D"/>
    <w:rsid w:val="006871A0"/>
    <w:rsid w:val="006871AB"/>
    <w:rsid w:val="006871EC"/>
    <w:rsid w:val="00687200"/>
    <w:rsid w:val="00687221"/>
    <w:rsid w:val="0068730E"/>
    <w:rsid w:val="0068747D"/>
    <w:rsid w:val="006874EB"/>
    <w:rsid w:val="006874F4"/>
    <w:rsid w:val="0068755C"/>
    <w:rsid w:val="006875E3"/>
    <w:rsid w:val="006875FF"/>
    <w:rsid w:val="0068761E"/>
    <w:rsid w:val="006877AE"/>
    <w:rsid w:val="006877BA"/>
    <w:rsid w:val="00687870"/>
    <w:rsid w:val="0068790C"/>
    <w:rsid w:val="00687972"/>
    <w:rsid w:val="006879E6"/>
    <w:rsid w:val="00687A1D"/>
    <w:rsid w:val="00687A4A"/>
    <w:rsid w:val="00687A78"/>
    <w:rsid w:val="00687AA0"/>
    <w:rsid w:val="00687AEC"/>
    <w:rsid w:val="00687AFA"/>
    <w:rsid w:val="00687BCC"/>
    <w:rsid w:val="00687C24"/>
    <w:rsid w:val="00687C82"/>
    <w:rsid w:val="00687D26"/>
    <w:rsid w:val="00687E14"/>
    <w:rsid w:val="00687E96"/>
    <w:rsid w:val="00687F21"/>
    <w:rsid w:val="00690176"/>
    <w:rsid w:val="006901CF"/>
    <w:rsid w:val="00690242"/>
    <w:rsid w:val="0069027C"/>
    <w:rsid w:val="006902C2"/>
    <w:rsid w:val="0069039F"/>
    <w:rsid w:val="006903AB"/>
    <w:rsid w:val="006903E8"/>
    <w:rsid w:val="006903EE"/>
    <w:rsid w:val="00690474"/>
    <w:rsid w:val="0069050E"/>
    <w:rsid w:val="0069051D"/>
    <w:rsid w:val="0069058B"/>
    <w:rsid w:val="006905D5"/>
    <w:rsid w:val="0069073C"/>
    <w:rsid w:val="0069084D"/>
    <w:rsid w:val="006908E8"/>
    <w:rsid w:val="0069092D"/>
    <w:rsid w:val="006909A9"/>
    <w:rsid w:val="006909E5"/>
    <w:rsid w:val="00690BBB"/>
    <w:rsid w:val="00690BE2"/>
    <w:rsid w:val="00690C1F"/>
    <w:rsid w:val="00690DD3"/>
    <w:rsid w:val="00690EAC"/>
    <w:rsid w:val="00690F5C"/>
    <w:rsid w:val="0069102A"/>
    <w:rsid w:val="00691034"/>
    <w:rsid w:val="0069111D"/>
    <w:rsid w:val="0069115B"/>
    <w:rsid w:val="0069117F"/>
    <w:rsid w:val="006911D6"/>
    <w:rsid w:val="0069124A"/>
    <w:rsid w:val="00691272"/>
    <w:rsid w:val="0069128B"/>
    <w:rsid w:val="00691295"/>
    <w:rsid w:val="0069129F"/>
    <w:rsid w:val="00691333"/>
    <w:rsid w:val="0069138C"/>
    <w:rsid w:val="00691436"/>
    <w:rsid w:val="00691466"/>
    <w:rsid w:val="0069158D"/>
    <w:rsid w:val="00691656"/>
    <w:rsid w:val="006916C2"/>
    <w:rsid w:val="0069171D"/>
    <w:rsid w:val="00691951"/>
    <w:rsid w:val="00691986"/>
    <w:rsid w:val="006919A3"/>
    <w:rsid w:val="00691A0D"/>
    <w:rsid w:val="00691AE0"/>
    <w:rsid w:val="00691B0D"/>
    <w:rsid w:val="00691B17"/>
    <w:rsid w:val="00691C61"/>
    <w:rsid w:val="00691DAB"/>
    <w:rsid w:val="00691E5F"/>
    <w:rsid w:val="00691E96"/>
    <w:rsid w:val="00691EDB"/>
    <w:rsid w:val="00691F3D"/>
    <w:rsid w:val="00691F7F"/>
    <w:rsid w:val="00691FBF"/>
    <w:rsid w:val="00691FF4"/>
    <w:rsid w:val="006920CE"/>
    <w:rsid w:val="0069212B"/>
    <w:rsid w:val="0069220C"/>
    <w:rsid w:val="006922CF"/>
    <w:rsid w:val="0069234B"/>
    <w:rsid w:val="00692378"/>
    <w:rsid w:val="006923C4"/>
    <w:rsid w:val="006923FE"/>
    <w:rsid w:val="0069242A"/>
    <w:rsid w:val="0069246E"/>
    <w:rsid w:val="00692494"/>
    <w:rsid w:val="0069261A"/>
    <w:rsid w:val="0069263D"/>
    <w:rsid w:val="006926B6"/>
    <w:rsid w:val="00692722"/>
    <w:rsid w:val="00692744"/>
    <w:rsid w:val="00692807"/>
    <w:rsid w:val="006928AA"/>
    <w:rsid w:val="006928BC"/>
    <w:rsid w:val="006928EB"/>
    <w:rsid w:val="0069291B"/>
    <w:rsid w:val="00692947"/>
    <w:rsid w:val="0069296B"/>
    <w:rsid w:val="0069296F"/>
    <w:rsid w:val="00692993"/>
    <w:rsid w:val="006929A7"/>
    <w:rsid w:val="00692AAB"/>
    <w:rsid w:val="00692B05"/>
    <w:rsid w:val="00692B12"/>
    <w:rsid w:val="00692B8D"/>
    <w:rsid w:val="00692BD2"/>
    <w:rsid w:val="00692BDF"/>
    <w:rsid w:val="00692C2A"/>
    <w:rsid w:val="00692C36"/>
    <w:rsid w:val="00692CB6"/>
    <w:rsid w:val="00692CCB"/>
    <w:rsid w:val="00692CDF"/>
    <w:rsid w:val="00692D59"/>
    <w:rsid w:val="00692D86"/>
    <w:rsid w:val="00692E88"/>
    <w:rsid w:val="00692F85"/>
    <w:rsid w:val="00693032"/>
    <w:rsid w:val="006930B6"/>
    <w:rsid w:val="00693294"/>
    <w:rsid w:val="006932A1"/>
    <w:rsid w:val="006932EF"/>
    <w:rsid w:val="00693378"/>
    <w:rsid w:val="0069339D"/>
    <w:rsid w:val="006933BA"/>
    <w:rsid w:val="006934CB"/>
    <w:rsid w:val="00693591"/>
    <w:rsid w:val="00693628"/>
    <w:rsid w:val="0069364E"/>
    <w:rsid w:val="0069366E"/>
    <w:rsid w:val="00693740"/>
    <w:rsid w:val="006937C6"/>
    <w:rsid w:val="0069383F"/>
    <w:rsid w:val="00693886"/>
    <w:rsid w:val="006938B8"/>
    <w:rsid w:val="006939AC"/>
    <w:rsid w:val="006939C2"/>
    <w:rsid w:val="00693A0E"/>
    <w:rsid w:val="00693A42"/>
    <w:rsid w:val="00693A70"/>
    <w:rsid w:val="00693AB3"/>
    <w:rsid w:val="00693B39"/>
    <w:rsid w:val="00693C93"/>
    <w:rsid w:val="00693CB1"/>
    <w:rsid w:val="00693D86"/>
    <w:rsid w:val="00693D93"/>
    <w:rsid w:val="00693D9E"/>
    <w:rsid w:val="00693DA6"/>
    <w:rsid w:val="00693DB9"/>
    <w:rsid w:val="00693E14"/>
    <w:rsid w:val="00693EF7"/>
    <w:rsid w:val="00693F59"/>
    <w:rsid w:val="0069400B"/>
    <w:rsid w:val="00694026"/>
    <w:rsid w:val="0069407D"/>
    <w:rsid w:val="006940FF"/>
    <w:rsid w:val="00694254"/>
    <w:rsid w:val="006942DA"/>
    <w:rsid w:val="0069432D"/>
    <w:rsid w:val="006943A9"/>
    <w:rsid w:val="00694432"/>
    <w:rsid w:val="0069449C"/>
    <w:rsid w:val="006944E0"/>
    <w:rsid w:val="0069451D"/>
    <w:rsid w:val="0069462F"/>
    <w:rsid w:val="00694664"/>
    <w:rsid w:val="0069468D"/>
    <w:rsid w:val="00694722"/>
    <w:rsid w:val="00694852"/>
    <w:rsid w:val="006948C1"/>
    <w:rsid w:val="006949C4"/>
    <w:rsid w:val="00694ABF"/>
    <w:rsid w:val="00694BDB"/>
    <w:rsid w:val="00694C77"/>
    <w:rsid w:val="00694C99"/>
    <w:rsid w:val="00694CCF"/>
    <w:rsid w:val="00694DDD"/>
    <w:rsid w:val="00694DE6"/>
    <w:rsid w:val="00694E29"/>
    <w:rsid w:val="00694E45"/>
    <w:rsid w:val="00694E77"/>
    <w:rsid w:val="00694E9B"/>
    <w:rsid w:val="00694F12"/>
    <w:rsid w:val="00694FB0"/>
    <w:rsid w:val="00694FC2"/>
    <w:rsid w:val="00694FDC"/>
    <w:rsid w:val="00694FDE"/>
    <w:rsid w:val="00694FEE"/>
    <w:rsid w:val="0069500F"/>
    <w:rsid w:val="00695015"/>
    <w:rsid w:val="006950DE"/>
    <w:rsid w:val="006950E6"/>
    <w:rsid w:val="00695112"/>
    <w:rsid w:val="0069526A"/>
    <w:rsid w:val="006952AC"/>
    <w:rsid w:val="006952D2"/>
    <w:rsid w:val="006952D5"/>
    <w:rsid w:val="0069533B"/>
    <w:rsid w:val="00695371"/>
    <w:rsid w:val="00695402"/>
    <w:rsid w:val="0069542F"/>
    <w:rsid w:val="006954C6"/>
    <w:rsid w:val="006954D5"/>
    <w:rsid w:val="006954F9"/>
    <w:rsid w:val="00695638"/>
    <w:rsid w:val="00695708"/>
    <w:rsid w:val="0069574E"/>
    <w:rsid w:val="00695798"/>
    <w:rsid w:val="006957C9"/>
    <w:rsid w:val="00695829"/>
    <w:rsid w:val="00695867"/>
    <w:rsid w:val="00695883"/>
    <w:rsid w:val="006958DC"/>
    <w:rsid w:val="0069597A"/>
    <w:rsid w:val="00695A53"/>
    <w:rsid w:val="00695A8C"/>
    <w:rsid w:val="00695AC8"/>
    <w:rsid w:val="00695BAC"/>
    <w:rsid w:val="00695C4B"/>
    <w:rsid w:val="00695CB7"/>
    <w:rsid w:val="00695DE3"/>
    <w:rsid w:val="00695E65"/>
    <w:rsid w:val="00695E94"/>
    <w:rsid w:val="00695F03"/>
    <w:rsid w:val="00695FDC"/>
    <w:rsid w:val="00696001"/>
    <w:rsid w:val="00696003"/>
    <w:rsid w:val="00696014"/>
    <w:rsid w:val="0069602F"/>
    <w:rsid w:val="006961A2"/>
    <w:rsid w:val="0069634A"/>
    <w:rsid w:val="006963A3"/>
    <w:rsid w:val="006963A5"/>
    <w:rsid w:val="00696413"/>
    <w:rsid w:val="006964B3"/>
    <w:rsid w:val="006964DA"/>
    <w:rsid w:val="00696501"/>
    <w:rsid w:val="00696506"/>
    <w:rsid w:val="0069650C"/>
    <w:rsid w:val="006965D0"/>
    <w:rsid w:val="00696637"/>
    <w:rsid w:val="006966C1"/>
    <w:rsid w:val="00696875"/>
    <w:rsid w:val="00696886"/>
    <w:rsid w:val="006968EF"/>
    <w:rsid w:val="0069695D"/>
    <w:rsid w:val="0069697C"/>
    <w:rsid w:val="006969B5"/>
    <w:rsid w:val="00696A8B"/>
    <w:rsid w:val="00696AC1"/>
    <w:rsid w:val="00696BB2"/>
    <w:rsid w:val="00696BCD"/>
    <w:rsid w:val="00696C20"/>
    <w:rsid w:val="00696CF7"/>
    <w:rsid w:val="00696D1C"/>
    <w:rsid w:val="00696D1D"/>
    <w:rsid w:val="00696D36"/>
    <w:rsid w:val="00696D54"/>
    <w:rsid w:val="00696E08"/>
    <w:rsid w:val="00696E27"/>
    <w:rsid w:val="00696E2A"/>
    <w:rsid w:val="00696E59"/>
    <w:rsid w:val="00696E70"/>
    <w:rsid w:val="00696E7C"/>
    <w:rsid w:val="00696E90"/>
    <w:rsid w:val="00696F4B"/>
    <w:rsid w:val="0069700F"/>
    <w:rsid w:val="006970CA"/>
    <w:rsid w:val="006971AC"/>
    <w:rsid w:val="006971CE"/>
    <w:rsid w:val="00697208"/>
    <w:rsid w:val="0069727A"/>
    <w:rsid w:val="00697389"/>
    <w:rsid w:val="006973D0"/>
    <w:rsid w:val="006973E5"/>
    <w:rsid w:val="0069747C"/>
    <w:rsid w:val="00697559"/>
    <w:rsid w:val="006975A7"/>
    <w:rsid w:val="0069766D"/>
    <w:rsid w:val="006976BB"/>
    <w:rsid w:val="00697796"/>
    <w:rsid w:val="006977AE"/>
    <w:rsid w:val="006977D1"/>
    <w:rsid w:val="00697844"/>
    <w:rsid w:val="00697851"/>
    <w:rsid w:val="00697958"/>
    <w:rsid w:val="00697997"/>
    <w:rsid w:val="00697A4A"/>
    <w:rsid w:val="00697A52"/>
    <w:rsid w:val="00697B36"/>
    <w:rsid w:val="00697B9A"/>
    <w:rsid w:val="00697BF7"/>
    <w:rsid w:val="00697C7A"/>
    <w:rsid w:val="00697CDE"/>
    <w:rsid w:val="00697D13"/>
    <w:rsid w:val="00697DB7"/>
    <w:rsid w:val="00697FE6"/>
    <w:rsid w:val="006A008F"/>
    <w:rsid w:val="006A00C6"/>
    <w:rsid w:val="006A021C"/>
    <w:rsid w:val="006A02B9"/>
    <w:rsid w:val="006A02D6"/>
    <w:rsid w:val="006A02F0"/>
    <w:rsid w:val="006A03E9"/>
    <w:rsid w:val="006A03F1"/>
    <w:rsid w:val="006A0401"/>
    <w:rsid w:val="006A0416"/>
    <w:rsid w:val="006A0477"/>
    <w:rsid w:val="006A04B8"/>
    <w:rsid w:val="006A04E0"/>
    <w:rsid w:val="006A055D"/>
    <w:rsid w:val="006A05BA"/>
    <w:rsid w:val="006A0687"/>
    <w:rsid w:val="006A06B5"/>
    <w:rsid w:val="006A073A"/>
    <w:rsid w:val="006A075B"/>
    <w:rsid w:val="006A0847"/>
    <w:rsid w:val="006A084F"/>
    <w:rsid w:val="006A0858"/>
    <w:rsid w:val="006A0884"/>
    <w:rsid w:val="006A08AD"/>
    <w:rsid w:val="006A08D9"/>
    <w:rsid w:val="006A094C"/>
    <w:rsid w:val="006A094F"/>
    <w:rsid w:val="006A0B3A"/>
    <w:rsid w:val="006A0B68"/>
    <w:rsid w:val="006A0BF2"/>
    <w:rsid w:val="006A0C47"/>
    <w:rsid w:val="006A0C51"/>
    <w:rsid w:val="006A0CAB"/>
    <w:rsid w:val="006A0E2E"/>
    <w:rsid w:val="006A0E3F"/>
    <w:rsid w:val="006A0E4C"/>
    <w:rsid w:val="006A0EA0"/>
    <w:rsid w:val="006A0EE1"/>
    <w:rsid w:val="006A0EF4"/>
    <w:rsid w:val="006A0F04"/>
    <w:rsid w:val="006A0F4F"/>
    <w:rsid w:val="006A0F6E"/>
    <w:rsid w:val="006A0FC8"/>
    <w:rsid w:val="006A1012"/>
    <w:rsid w:val="006A1091"/>
    <w:rsid w:val="006A1125"/>
    <w:rsid w:val="006A11DC"/>
    <w:rsid w:val="006A1241"/>
    <w:rsid w:val="006A142B"/>
    <w:rsid w:val="006A1477"/>
    <w:rsid w:val="006A14AD"/>
    <w:rsid w:val="006A14DB"/>
    <w:rsid w:val="006A1509"/>
    <w:rsid w:val="006A16A6"/>
    <w:rsid w:val="006A1711"/>
    <w:rsid w:val="006A172A"/>
    <w:rsid w:val="006A1759"/>
    <w:rsid w:val="006A17C3"/>
    <w:rsid w:val="006A17C4"/>
    <w:rsid w:val="006A182D"/>
    <w:rsid w:val="006A18C6"/>
    <w:rsid w:val="006A1900"/>
    <w:rsid w:val="006A1978"/>
    <w:rsid w:val="006A1A03"/>
    <w:rsid w:val="006A1A9E"/>
    <w:rsid w:val="006A1B20"/>
    <w:rsid w:val="006A1B3A"/>
    <w:rsid w:val="006A1B80"/>
    <w:rsid w:val="006A1BB6"/>
    <w:rsid w:val="006A1BC4"/>
    <w:rsid w:val="006A1C7C"/>
    <w:rsid w:val="006A1CF4"/>
    <w:rsid w:val="006A1D08"/>
    <w:rsid w:val="006A1D6E"/>
    <w:rsid w:val="006A1DEE"/>
    <w:rsid w:val="006A1DF6"/>
    <w:rsid w:val="006A1E60"/>
    <w:rsid w:val="006A1EA4"/>
    <w:rsid w:val="006A1F30"/>
    <w:rsid w:val="006A1F37"/>
    <w:rsid w:val="006A1F51"/>
    <w:rsid w:val="006A1FAE"/>
    <w:rsid w:val="006A2011"/>
    <w:rsid w:val="006A2039"/>
    <w:rsid w:val="006A2051"/>
    <w:rsid w:val="006A2136"/>
    <w:rsid w:val="006A216C"/>
    <w:rsid w:val="006A21AA"/>
    <w:rsid w:val="006A2213"/>
    <w:rsid w:val="006A2281"/>
    <w:rsid w:val="006A22AB"/>
    <w:rsid w:val="006A2310"/>
    <w:rsid w:val="006A2342"/>
    <w:rsid w:val="006A2358"/>
    <w:rsid w:val="006A244E"/>
    <w:rsid w:val="006A2479"/>
    <w:rsid w:val="006A249A"/>
    <w:rsid w:val="006A2565"/>
    <w:rsid w:val="006A2643"/>
    <w:rsid w:val="006A26A6"/>
    <w:rsid w:val="006A27E8"/>
    <w:rsid w:val="006A27F4"/>
    <w:rsid w:val="006A2872"/>
    <w:rsid w:val="006A2882"/>
    <w:rsid w:val="006A28C7"/>
    <w:rsid w:val="006A2B44"/>
    <w:rsid w:val="006A2C1A"/>
    <w:rsid w:val="006A2D32"/>
    <w:rsid w:val="006A2D8C"/>
    <w:rsid w:val="006A2DE6"/>
    <w:rsid w:val="006A2EDF"/>
    <w:rsid w:val="006A2FC3"/>
    <w:rsid w:val="006A30AF"/>
    <w:rsid w:val="006A313A"/>
    <w:rsid w:val="006A3258"/>
    <w:rsid w:val="006A32A3"/>
    <w:rsid w:val="006A337B"/>
    <w:rsid w:val="006A3419"/>
    <w:rsid w:val="006A3637"/>
    <w:rsid w:val="006A36C7"/>
    <w:rsid w:val="006A3798"/>
    <w:rsid w:val="006A383B"/>
    <w:rsid w:val="006A3846"/>
    <w:rsid w:val="006A3880"/>
    <w:rsid w:val="006A39C8"/>
    <w:rsid w:val="006A3AC2"/>
    <w:rsid w:val="006A3B62"/>
    <w:rsid w:val="006A3BE8"/>
    <w:rsid w:val="006A3C20"/>
    <w:rsid w:val="006A3D1C"/>
    <w:rsid w:val="006A3D27"/>
    <w:rsid w:val="006A3D79"/>
    <w:rsid w:val="006A3DB2"/>
    <w:rsid w:val="006A3E19"/>
    <w:rsid w:val="006A3E38"/>
    <w:rsid w:val="006A3EB8"/>
    <w:rsid w:val="006A3F0B"/>
    <w:rsid w:val="006A3F65"/>
    <w:rsid w:val="006A3FD8"/>
    <w:rsid w:val="006A4006"/>
    <w:rsid w:val="006A40B6"/>
    <w:rsid w:val="006A4256"/>
    <w:rsid w:val="006A42D3"/>
    <w:rsid w:val="006A4364"/>
    <w:rsid w:val="006A4369"/>
    <w:rsid w:val="006A4417"/>
    <w:rsid w:val="006A4419"/>
    <w:rsid w:val="006A4431"/>
    <w:rsid w:val="006A4491"/>
    <w:rsid w:val="006A459F"/>
    <w:rsid w:val="006A45B8"/>
    <w:rsid w:val="006A45E1"/>
    <w:rsid w:val="006A46F6"/>
    <w:rsid w:val="006A4724"/>
    <w:rsid w:val="006A474C"/>
    <w:rsid w:val="006A478F"/>
    <w:rsid w:val="006A47F6"/>
    <w:rsid w:val="006A480A"/>
    <w:rsid w:val="006A481E"/>
    <w:rsid w:val="006A4837"/>
    <w:rsid w:val="006A4868"/>
    <w:rsid w:val="006A486A"/>
    <w:rsid w:val="006A48CE"/>
    <w:rsid w:val="006A48D8"/>
    <w:rsid w:val="006A4908"/>
    <w:rsid w:val="006A4A15"/>
    <w:rsid w:val="006A4ACF"/>
    <w:rsid w:val="006A4B13"/>
    <w:rsid w:val="006A4B29"/>
    <w:rsid w:val="006A4C04"/>
    <w:rsid w:val="006A4CFE"/>
    <w:rsid w:val="006A4D86"/>
    <w:rsid w:val="006A4D97"/>
    <w:rsid w:val="006A4DAA"/>
    <w:rsid w:val="006A4DD4"/>
    <w:rsid w:val="006A4DD8"/>
    <w:rsid w:val="006A4E71"/>
    <w:rsid w:val="006A4EBF"/>
    <w:rsid w:val="006A4ED3"/>
    <w:rsid w:val="006A4EE7"/>
    <w:rsid w:val="006A4F02"/>
    <w:rsid w:val="006A4FA0"/>
    <w:rsid w:val="006A5010"/>
    <w:rsid w:val="006A50D6"/>
    <w:rsid w:val="006A50E2"/>
    <w:rsid w:val="006A513A"/>
    <w:rsid w:val="006A5160"/>
    <w:rsid w:val="006A52E2"/>
    <w:rsid w:val="006A52E8"/>
    <w:rsid w:val="006A5370"/>
    <w:rsid w:val="006A538D"/>
    <w:rsid w:val="006A53AC"/>
    <w:rsid w:val="006A550E"/>
    <w:rsid w:val="006A553C"/>
    <w:rsid w:val="006A560E"/>
    <w:rsid w:val="006A56D5"/>
    <w:rsid w:val="006A571D"/>
    <w:rsid w:val="006A576C"/>
    <w:rsid w:val="006A57E3"/>
    <w:rsid w:val="006A5805"/>
    <w:rsid w:val="006A5884"/>
    <w:rsid w:val="006A58BC"/>
    <w:rsid w:val="006A58BF"/>
    <w:rsid w:val="006A5942"/>
    <w:rsid w:val="006A598E"/>
    <w:rsid w:val="006A59E9"/>
    <w:rsid w:val="006A59F4"/>
    <w:rsid w:val="006A5A12"/>
    <w:rsid w:val="006A5A26"/>
    <w:rsid w:val="006A5A2F"/>
    <w:rsid w:val="006A5B9A"/>
    <w:rsid w:val="006A5CFC"/>
    <w:rsid w:val="006A5D31"/>
    <w:rsid w:val="006A5DE1"/>
    <w:rsid w:val="006A6012"/>
    <w:rsid w:val="006A60E0"/>
    <w:rsid w:val="006A610D"/>
    <w:rsid w:val="006A6191"/>
    <w:rsid w:val="006A6220"/>
    <w:rsid w:val="006A6457"/>
    <w:rsid w:val="006A6473"/>
    <w:rsid w:val="006A663A"/>
    <w:rsid w:val="006A6643"/>
    <w:rsid w:val="006A6694"/>
    <w:rsid w:val="006A66D2"/>
    <w:rsid w:val="006A6759"/>
    <w:rsid w:val="006A67F6"/>
    <w:rsid w:val="006A68B6"/>
    <w:rsid w:val="006A6948"/>
    <w:rsid w:val="006A695F"/>
    <w:rsid w:val="006A6A02"/>
    <w:rsid w:val="006A6AE8"/>
    <w:rsid w:val="006A6C2D"/>
    <w:rsid w:val="006A6CEB"/>
    <w:rsid w:val="006A6D0A"/>
    <w:rsid w:val="006A6D0D"/>
    <w:rsid w:val="006A6D19"/>
    <w:rsid w:val="006A6DAD"/>
    <w:rsid w:val="006A6DD6"/>
    <w:rsid w:val="006A6DDE"/>
    <w:rsid w:val="006A6EEA"/>
    <w:rsid w:val="006A6F3A"/>
    <w:rsid w:val="006A6F77"/>
    <w:rsid w:val="006A704B"/>
    <w:rsid w:val="006A70AA"/>
    <w:rsid w:val="006A715A"/>
    <w:rsid w:val="006A717A"/>
    <w:rsid w:val="006A71B8"/>
    <w:rsid w:val="006A7218"/>
    <w:rsid w:val="006A7270"/>
    <w:rsid w:val="006A7271"/>
    <w:rsid w:val="006A72F3"/>
    <w:rsid w:val="006A735C"/>
    <w:rsid w:val="006A7379"/>
    <w:rsid w:val="006A73BA"/>
    <w:rsid w:val="006A73C3"/>
    <w:rsid w:val="006A7451"/>
    <w:rsid w:val="006A74A5"/>
    <w:rsid w:val="006A7608"/>
    <w:rsid w:val="006A7615"/>
    <w:rsid w:val="006A764D"/>
    <w:rsid w:val="006A76E1"/>
    <w:rsid w:val="006A7727"/>
    <w:rsid w:val="006A772C"/>
    <w:rsid w:val="006A7772"/>
    <w:rsid w:val="006A77D2"/>
    <w:rsid w:val="006A78A3"/>
    <w:rsid w:val="006A7928"/>
    <w:rsid w:val="006A799B"/>
    <w:rsid w:val="006A7D33"/>
    <w:rsid w:val="006A7D67"/>
    <w:rsid w:val="006A7DC0"/>
    <w:rsid w:val="006A7DCB"/>
    <w:rsid w:val="006A7E4D"/>
    <w:rsid w:val="006A7F63"/>
    <w:rsid w:val="006A7FC1"/>
    <w:rsid w:val="006A7FEE"/>
    <w:rsid w:val="006AB7A6"/>
    <w:rsid w:val="006B006C"/>
    <w:rsid w:val="006B0077"/>
    <w:rsid w:val="006B010F"/>
    <w:rsid w:val="006B0144"/>
    <w:rsid w:val="006B0185"/>
    <w:rsid w:val="006B0192"/>
    <w:rsid w:val="006B01FC"/>
    <w:rsid w:val="006B02D6"/>
    <w:rsid w:val="006B0376"/>
    <w:rsid w:val="006B03BB"/>
    <w:rsid w:val="006B03F3"/>
    <w:rsid w:val="006B0470"/>
    <w:rsid w:val="006B062E"/>
    <w:rsid w:val="006B06B5"/>
    <w:rsid w:val="006B0763"/>
    <w:rsid w:val="006B0773"/>
    <w:rsid w:val="006B084A"/>
    <w:rsid w:val="006B0891"/>
    <w:rsid w:val="006B08F5"/>
    <w:rsid w:val="006B0919"/>
    <w:rsid w:val="006B091D"/>
    <w:rsid w:val="006B0A52"/>
    <w:rsid w:val="006B0AC2"/>
    <w:rsid w:val="006B0BBD"/>
    <w:rsid w:val="006B0BFA"/>
    <w:rsid w:val="006B0D93"/>
    <w:rsid w:val="006B0E35"/>
    <w:rsid w:val="006B0F7F"/>
    <w:rsid w:val="006B107F"/>
    <w:rsid w:val="006B10BF"/>
    <w:rsid w:val="006B10C0"/>
    <w:rsid w:val="006B10F0"/>
    <w:rsid w:val="006B1117"/>
    <w:rsid w:val="006B112D"/>
    <w:rsid w:val="006B1134"/>
    <w:rsid w:val="006B117A"/>
    <w:rsid w:val="006B11D2"/>
    <w:rsid w:val="006B1212"/>
    <w:rsid w:val="006B1252"/>
    <w:rsid w:val="006B127E"/>
    <w:rsid w:val="006B133E"/>
    <w:rsid w:val="006B137E"/>
    <w:rsid w:val="006B140C"/>
    <w:rsid w:val="006B150D"/>
    <w:rsid w:val="006B1548"/>
    <w:rsid w:val="006B15E5"/>
    <w:rsid w:val="006B161A"/>
    <w:rsid w:val="006B163A"/>
    <w:rsid w:val="006B168A"/>
    <w:rsid w:val="006B168F"/>
    <w:rsid w:val="006B1696"/>
    <w:rsid w:val="006B17B4"/>
    <w:rsid w:val="006B17C3"/>
    <w:rsid w:val="006B17C7"/>
    <w:rsid w:val="006B1872"/>
    <w:rsid w:val="006B18D6"/>
    <w:rsid w:val="006B1983"/>
    <w:rsid w:val="006B1A2D"/>
    <w:rsid w:val="006B1A46"/>
    <w:rsid w:val="006B1C68"/>
    <w:rsid w:val="006B1CF1"/>
    <w:rsid w:val="006B1CF2"/>
    <w:rsid w:val="006B1D13"/>
    <w:rsid w:val="006B1D7A"/>
    <w:rsid w:val="006B1D8E"/>
    <w:rsid w:val="006B1E1F"/>
    <w:rsid w:val="006B1F42"/>
    <w:rsid w:val="006B1FB3"/>
    <w:rsid w:val="006B2063"/>
    <w:rsid w:val="006B2081"/>
    <w:rsid w:val="006B20BF"/>
    <w:rsid w:val="006B20FA"/>
    <w:rsid w:val="006B21B1"/>
    <w:rsid w:val="006B2240"/>
    <w:rsid w:val="006B224A"/>
    <w:rsid w:val="006B22B8"/>
    <w:rsid w:val="006B22C1"/>
    <w:rsid w:val="006B2364"/>
    <w:rsid w:val="006B2368"/>
    <w:rsid w:val="006B23AB"/>
    <w:rsid w:val="006B23AE"/>
    <w:rsid w:val="006B242F"/>
    <w:rsid w:val="006B2496"/>
    <w:rsid w:val="006B249E"/>
    <w:rsid w:val="006B24CA"/>
    <w:rsid w:val="006B24DD"/>
    <w:rsid w:val="006B24F3"/>
    <w:rsid w:val="006B2518"/>
    <w:rsid w:val="006B25F7"/>
    <w:rsid w:val="006B267E"/>
    <w:rsid w:val="006B269A"/>
    <w:rsid w:val="006B26EB"/>
    <w:rsid w:val="006B2713"/>
    <w:rsid w:val="006B271D"/>
    <w:rsid w:val="006B2765"/>
    <w:rsid w:val="006B2767"/>
    <w:rsid w:val="006B2821"/>
    <w:rsid w:val="006B282D"/>
    <w:rsid w:val="006B2838"/>
    <w:rsid w:val="006B28EB"/>
    <w:rsid w:val="006B2A20"/>
    <w:rsid w:val="006B2B82"/>
    <w:rsid w:val="006B2CF4"/>
    <w:rsid w:val="006B2CF9"/>
    <w:rsid w:val="006B2D12"/>
    <w:rsid w:val="006B2DAF"/>
    <w:rsid w:val="006B2E28"/>
    <w:rsid w:val="006B2EE4"/>
    <w:rsid w:val="006B2EFF"/>
    <w:rsid w:val="006B2F21"/>
    <w:rsid w:val="006B2F86"/>
    <w:rsid w:val="006B2FE7"/>
    <w:rsid w:val="006B3091"/>
    <w:rsid w:val="006B30EE"/>
    <w:rsid w:val="006B31E9"/>
    <w:rsid w:val="006B31EF"/>
    <w:rsid w:val="006B3294"/>
    <w:rsid w:val="006B32D3"/>
    <w:rsid w:val="006B32DE"/>
    <w:rsid w:val="006B3341"/>
    <w:rsid w:val="006B3362"/>
    <w:rsid w:val="006B339D"/>
    <w:rsid w:val="006B33BA"/>
    <w:rsid w:val="006B3447"/>
    <w:rsid w:val="006B346E"/>
    <w:rsid w:val="006B34BA"/>
    <w:rsid w:val="006B3504"/>
    <w:rsid w:val="006B3522"/>
    <w:rsid w:val="006B3547"/>
    <w:rsid w:val="006B361A"/>
    <w:rsid w:val="006B36C5"/>
    <w:rsid w:val="006B3777"/>
    <w:rsid w:val="006B37B5"/>
    <w:rsid w:val="006B3811"/>
    <w:rsid w:val="006B3820"/>
    <w:rsid w:val="006B382C"/>
    <w:rsid w:val="006B38A3"/>
    <w:rsid w:val="006B38EF"/>
    <w:rsid w:val="006B38F7"/>
    <w:rsid w:val="006B3900"/>
    <w:rsid w:val="006B39C0"/>
    <w:rsid w:val="006B3A2C"/>
    <w:rsid w:val="006B3B4A"/>
    <w:rsid w:val="006B3B63"/>
    <w:rsid w:val="006B3BB5"/>
    <w:rsid w:val="006B3BFC"/>
    <w:rsid w:val="006B3CC1"/>
    <w:rsid w:val="006B3D24"/>
    <w:rsid w:val="006B3D3F"/>
    <w:rsid w:val="006B3D62"/>
    <w:rsid w:val="006B3D85"/>
    <w:rsid w:val="006B3E56"/>
    <w:rsid w:val="006B3EDB"/>
    <w:rsid w:val="006B3F3E"/>
    <w:rsid w:val="006B4093"/>
    <w:rsid w:val="006B40AE"/>
    <w:rsid w:val="006B40B9"/>
    <w:rsid w:val="006B412F"/>
    <w:rsid w:val="006B4142"/>
    <w:rsid w:val="006B414C"/>
    <w:rsid w:val="006B4172"/>
    <w:rsid w:val="006B4178"/>
    <w:rsid w:val="006B4193"/>
    <w:rsid w:val="006B424A"/>
    <w:rsid w:val="006B4303"/>
    <w:rsid w:val="006B4332"/>
    <w:rsid w:val="006B4371"/>
    <w:rsid w:val="006B4376"/>
    <w:rsid w:val="006B43BD"/>
    <w:rsid w:val="006B4404"/>
    <w:rsid w:val="006B4431"/>
    <w:rsid w:val="006B444F"/>
    <w:rsid w:val="006B460F"/>
    <w:rsid w:val="006B4616"/>
    <w:rsid w:val="006B46A5"/>
    <w:rsid w:val="006B4708"/>
    <w:rsid w:val="006B473D"/>
    <w:rsid w:val="006B474E"/>
    <w:rsid w:val="006B47F1"/>
    <w:rsid w:val="006B489D"/>
    <w:rsid w:val="006B4958"/>
    <w:rsid w:val="006B49C3"/>
    <w:rsid w:val="006B49E2"/>
    <w:rsid w:val="006B4A4E"/>
    <w:rsid w:val="006B4AAE"/>
    <w:rsid w:val="006B4AC5"/>
    <w:rsid w:val="006B4ACE"/>
    <w:rsid w:val="006B4B6F"/>
    <w:rsid w:val="006B4B77"/>
    <w:rsid w:val="006B4C73"/>
    <w:rsid w:val="006B4D04"/>
    <w:rsid w:val="006B4DD1"/>
    <w:rsid w:val="006B4E01"/>
    <w:rsid w:val="006B4E13"/>
    <w:rsid w:val="006B4E3C"/>
    <w:rsid w:val="006B4EB2"/>
    <w:rsid w:val="006B4F21"/>
    <w:rsid w:val="006B4F46"/>
    <w:rsid w:val="006B4FE9"/>
    <w:rsid w:val="006B4FF2"/>
    <w:rsid w:val="006B5012"/>
    <w:rsid w:val="006B503E"/>
    <w:rsid w:val="006B50B9"/>
    <w:rsid w:val="006B50F9"/>
    <w:rsid w:val="006B5105"/>
    <w:rsid w:val="006B51E2"/>
    <w:rsid w:val="006B5286"/>
    <w:rsid w:val="006B5323"/>
    <w:rsid w:val="006B5399"/>
    <w:rsid w:val="006B53DE"/>
    <w:rsid w:val="006B540E"/>
    <w:rsid w:val="006B5410"/>
    <w:rsid w:val="006B543B"/>
    <w:rsid w:val="006B54C3"/>
    <w:rsid w:val="006B559C"/>
    <w:rsid w:val="006B55AA"/>
    <w:rsid w:val="006B5649"/>
    <w:rsid w:val="006B575F"/>
    <w:rsid w:val="006B578A"/>
    <w:rsid w:val="006B5943"/>
    <w:rsid w:val="006B59D5"/>
    <w:rsid w:val="006B59FA"/>
    <w:rsid w:val="006B5A1A"/>
    <w:rsid w:val="006B5A68"/>
    <w:rsid w:val="006B5A8D"/>
    <w:rsid w:val="006B5ADB"/>
    <w:rsid w:val="006B5AE8"/>
    <w:rsid w:val="006B5B03"/>
    <w:rsid w:val="006B5B39"/>
    <w:rsid w:val="006B5B43"/>
    <w:rsid w:val="006B5B6A"/>
    <w:rsid w:val="006B5CF1"/>
    <w:rsid w:val="006B5E76"/>
    <w:rsid w:val="006B5FD6"/>
    <w:rsid w:val="006B605D"/>
    <w:rsid w:val="006B6095"/>
    <w:rsid w:val="006B60CE"/>
    <w:rsid w:val="006B613F"/>
    <w:rsid w:val="006B6147"/>
    <w:rsid w:val="006B614C"/>
    <w:rsid w:val="006B6182"/>
    <w:rsid w:val="006B61A0"/>
    <w:rsid w:val="006B61D3"/>
    <w:rsid w:val="006B625D"/>
    <w:rsid w:val="006B62AF"/>
    <w:rsid w:val="006B62EC"/>
    <w:rsid w:val="006B6364"/>
    <w:rsid w:val="006B6385"/>
    <w:rsid w:val="006B63C5"/>
    <w:rsid w:val="006B6402"/>
    <w:rsid w:val="006B644F"/>
    <w:rsid w:val="006B64D6"/>
    <w:rsid w:val="006B6585"/>
    <w:rsid w:val="006B6641"/>
    <w:rsid w:val="006B67C7"/>
    <w:rsid w:val="006B67E5"/>
    <w:rsid w:val="006B68DE"/>
    <w:rsid w:val="006B6919"/>
    <w:rsid w:val="006B695D"/>
    <w:rsid w:val="006B6981"/>
    <w:rsid w:val="006B6985"/>
    <w:rsid w:val="006B6996"/>
    <w:rsid w:val="006B69AF"/>
    <w:rsid w:val="006B69E9"/>
    <w:rsid w:val="006B6A24"/>
    <w:rsid w:val="006B6A9E"/>
    <w:rsid w:val="006B6AC2"/>
    <w:rsid w:val="006B6B5C"/>
    <w:rsid w:val="006B6B90"/>
    <w:rsid w:val="006B6B93"/>
    <w:rsid w:val="006B6BF7"/>
    <w:rsid w:val="006B6C1C"/>
    <w:rsid w:val="006B6C29"/>
    <w:rsid w:val="006B6CB4"/>
    <w:rsid w:val="006B6CEE"/>
    <w:rsid w:val="006B6D49"/>
    <w:rsid w:val="006B6D63"/>
    <w:rsid w:val="006B6DB7"/>
    <w:rsid w:val="006B6E87"/>
    <w:rsid w:val="006B6F6E"/>
    <w:rsid w:val="006B701B"/>
    <w:rsid w:val="006B70E1"/>
    <w:rsid w:val="006B710B"/>
    <w:rsid w:val="006B7198"/>
    <w:rsid w:val="006B71F7"/>
    <w:rsid w:val="006B7246"/>
    <w:rsid w:val="006B7265"/>
    <w:rsid w:val="006B72E8"/>
    <w:rsid w:val="006B7302"/>
    <w:rsid w:val="006B7362"/>
    <w:rsid w:val="006B736A"/>
    <w:rsid w:val="006B736B"/>
    <w:rsid w:val="006B7376"/>
    <w:rsid w:val="006B73C3"/>
    <w:rsid w:val="006B746C"/>
    <w:rsid w:val="006B7479"/>
    <w:rsid w:val="006B7481"/>
    <w:rsid w:val="006B74E2"/>
    <w:rsid w:val="006B74EB"/>
    <w:rsid w:val="006B75CA"/>
    <w:rsid w:val="006B75E5"/>
    <w:rsid w:val="006B761D"/>
    <w:rsid w:val="006B76DA"/>
    <w:rsid w:val="006B7701"/>
    <w:rsid w:val="006B7886"/>
    <w:rsid w:val="006B790E"/>
    <w:rsid w:val="006B793D"/>
    <w:rsid w:val="006B7A2F"/>
    <w:rsid w:val="006B7A32"/>
    <w:rsid w:val="006B7A46"/>
    <w:rsid w:val="006B7A66"/>
    <w:rsid w:val="006B7AA0"/>
    <w:rsid w:val="006B7AE6"/>
    <w:rsid w:val="006B7B7C"/>
    <w:rsid w:val="006B7C04"/>
    <w:rsid w:val="006B7D88"/>
    <w:rsid w:val="006B7DC1"/>
    <w:rsid w:val="006B7E70"/>
    <w:rsid w:val="006B7E96"/>
    <w:rsid w:val="006B7F15"/>
    <w:rsid w:val="006B7F38"/>
    <w:rsid w:val="006B7F5F"/>
    <w:rsid w:val="006C0054"/>
    <w:rsid w:val="006C0058"/>
    <w:rsid w:val="006C007E"/>
    <w:rsid w:val="006C01CF"/>
    <w:rsid w:val="006C0212"/>
    <w:rsid w:val="006C0253"/>
    <w:rsid w:val="006C02A3"/>
    <w:rsid w:val="006C033F"/>
    <w:rsid w:val="006C0341"/>
    <w:rsid w:val="006C03D8"/>
    <w:rsid w:val="006C03E3"/>
    <w:rsid w:val="006C0455"/>
    <w:rsid w:val="006C047E"/>
    <w:rsid w:val="006C04D5"/>
    <w:rsid w:val="006C05E8"/>
    <w:rsid w:val="006C0601"/>
    <w:rsid w:val="006C0620"/>
    <w:rsid w:val="006C0691"/>
    <w:rsid w:val="006C06ED"/>
    <w:rsid w:val="006C06F7"/>
    <w:rsid w:val="006C0787"/>
    <w:rsid w:val="006C07E8"/>
    <w:rsid w:val="006C0812"/>
    <w:rsid w:val="006C0824"/>
    <w:rsid w:val="006C088C"/>
    <w:rsid w:val="006C08E1"/>
    <w:rsid w:val="006C097F"/>
    <w:rsid w:val="006C09A1"/>
    <w:rsid w:val="006C0A3E"/>
    <w:rsid w:val="006C0AA3"/>
    <w:rsid w:val="006C0AF2"/>
    <w:rsid w:val="006C0C43"/>
    <w:rsid w:val="006C0C56"/>
    <w:rsid w:val="006C0D21"/>
    <w:rsid w:val="006C0DC8"/>
    <w:rsid w:val="006C0E2B"/>
    <w:rsid w:val="006C0F2E"/>
    <w:rsid w:val="006C0F3A"/>
    <w:rsid w:val="006C0F82"/>
    <w:rsid w:val="006C0FB9"/>
    <w:rsid w:val="006C0FBF"/>
    <w:rsid w:val="006C0FCE"/>
    <w:rsid w:val="006C0FE5"/>
    <w:rsid w:val="006C10D8"/>
    <w:rsid w:val="006C1161"/>
    <w:rsid w:val="006C1169"/>
    <w:rsid w:val="006C11C0"/>
    <w:rsid w:val="006C1395"/>
    <w:rsid w:val="006C13A6"/>
    <w:rsid w:val="006C143E"/>
    <w:rsid w:val="006C1454"/>
    <w:rsid w:val="006C1491"/>
    <w:rsid w:val="006C14C0"/>
    <w:rsid w:val="006C14E9"/>
    <w:rsid w:val="006C1552"/>
    <w:rsid w:val="006C15B4"/>
    <w:rsid w:val="006C1602"/>
    <w:rsid w:val="006C1630"/>
    <w:rsid w:val="006C1633"/>
    <w:rsid w:val="006C1679"/>
    <w:rsid w:val="006C16AB"/>
    <w:rsid w:val="006C16CE"/>
    <w:rsid w:val="006C16FC"/>
    <w:rsid w:val="006C172D"/>
    <w:rsid w:val="006C178F"/>
    <w:rsid w:val="006C17DA"/>
    <w:rsid w:val="006C17E7"/>
    <w:rsid w:val="006C1843"/>
    <w:rsid w:val="006C188A"/>
    <w:rsid w:val="006C1A1F"/>
    <w:rsid w:val="006C1A21"/>
    <w:rsid w:val="006C1A23"/>
    <w:rsid w:val="006C1A3A"/>
    <w:rsid w:val="006C1A9F"/>
    <w:rsid w:val="006C1AB1"/>
    <w:rsid w:val="006C1AD3"/>
    <w:rsid w:val="006C1AE3"/>
    <w:rsid w:val="006C1B22"/>
    <w:rsid w:val="006C1B8F"/>
    <w:rsid w:val="006C1BBB"/>
    <w:rsid w:val="006C1BE0"/>
    <w:rsid w:val="006C1C54"/>
    <w:rsid w:val="006C1CA4"/>
    <w:rsid w:val="006C1CDD"/>
    <w:rsid w:val="006C1D22"/>
    <w:rsid w:val="006C1D77"/>
    <w:rsid w:val="006C1DBF"/>
    <w:rsid w:val="006C1E1B"/>
    <w:rsid w:val="006C1F70"/>
    <w:rsid w:val="006C1FB9"/>
    <w:rsid w:val="006C207D"/>
    <w:rsid w:val="006C2093"/>
    <w:rsid w:val="006C210C"/>
    <w:rsid w:val="006C2124"/>
    <w:rsid w:val="006C2205"/>
    <w:rsid w:val="006C2274"/>
    <w:rsid w:val="006C2358"/>
    <w:rsid w:val="006C237F"/>
    <w:rsid w:val="006C2389"/>
    <w:rsid w:val="006C23AD"/>
    <w:rsid w:val="006C23E1"/>
    <w:rsid w:val="006C242B"/>
    <w:rsid w:val="006C2539"/>
    <w:rsid w:val="006C2663"/>
    <w:rsid w:val="006C270A"/>
    <w:rsid w:val="006C273F"/>
    <w:rsid w:val="006C27AC"/>
    <w:rsid w:val="006C2806"/>
    <w:rsid w:val="006C2838"/>
    <w:rsid w:val="006C283D"/>
    <w:rsid w:val="006C2866"/>
    <w:rsid w:val="006C28A7"/>
    <w:rsid w:val="006C28AF"/>
    <w:rsid w:val="006C28ED"/>
    <w:rsid w:val="006C290E"/>
    <w:rsid w:val="006C29AF"/>
    <w:rsid w:val="006C2A23"/>
    <w:rsid w:val="006C2A71"/>
    <w:rsid w:val="006C2AB3"/>
    <w:rsid w:val="006C2BF3"/>
    <w:rsid w:val="006C2C0E"/>
    <w:rsid w:val="006C2C21"/>
    <w:rsid w:val="006C2C89"/>
    <w:rsid w:val="006C2C93"/>
    <w:rsid w:val="006C2CA6"/>
    <w:rsid w:val="006C2CE5"/>
    <w:rsid w:val="006C2D0C"/>
    <w:rsid w:val="006C2DC9"/>
    <w:rsid w:val="006C2DF5"/>
    <w:rsid w:val="006C2E8B"/>
    <w:rsid w:val="006C2F41"/>
    <w:rsid w:val="006C3087"/>
    <w:rsid w:val="006C30C8"/>
    <w:rsid w:val="006C30DD"/>
    <w:rsid w:val="006C3107"/>
    <w:rsid w:val="006C3118"/>
    <w:rsid w:val="006C311D"/>
    <w:rsid w:val="006C3189"/>
    <w:rsid w:val="006C31E0"/>
    <w:rsid w:val="006C31FE"/>
    <w:rsid w:val="006C32B9"/>
    <w:rsid w:val="006C3300"/>
    <w:rsid w:val="006C33DB"/>
    <w:rsid w:val="006C3404"/>
    <w:rsid w:val="006C340A"/>
    <w:rsid w:val="006C3462"/>
    <w:rsid w:val="006C3503"/>
    <w:rsid w:val="006C350B"/>
    <w:rsid w:val="006C35EF"/>
    <w:rsid w:val="006C3660"/>
    <w:rsid w:val="006C368B"/>
    <w:rsid w:val="006C3711"/>
    <w:rsid w:val="006C3740"/>
    <w:rsid w:val="006C388C"/>
    <w:rsid w:val="006C3933"/>
    <w:rsid w:val="006C39CF"/>
    <w:rsid w:val="006C3A07"/>
    <w:rsid w:val="006C3B10"/>
    <w:rsid w:val="006C3C3D"/>
    <w:rsid w:val="006C3D35"/>
    <w:rsid w:val="006C3DCC"/>
    <w:rsid w:val="006C3E69"/>
    <w:rsid w:val="006C3E6A"/>
    <w:rsid w:val="006C3ED1"/>
    <w:rsid w:val="006C3EE8"/>
    <w:rsid w:val="006C400E"/>
    <w:rsid w:val="006C4069"/>
    <w:rsid w:val="006C409E"/>
    <w:rsid w:val="006C4122"/>
    <w:rsid w:val="006C41C5"/>
    <w:rsid w:val="006C41CC"/>
    <w:rsid w:val="006C422E"/>
    <w:rsid w:val="006C432B"/>
    <w:rsid w:val="006C432D"/>
    <w:rsid w:val="006C4463"/>
    <w:rsid w:val="006C4469"/>
    <w:rsid w:val="006C467A"/>
    <w:rsid w:val="006C46EA"/>
    <w:rsid w:val="006C474A"/>
    <w:rsid w:val="006C4751"/>
    <w:rsid w:val="006C47FA"/>
    <w:rsid w:val="006C4938"/>
    <w:rsid w:val="006C49F8"/>
    <w:rsid w:val="006C4A78"/>
    <w:rsid w:val="006C4A94"/>
    <w:rsid w:val="006C4AA3"/>
    <w:rsid w:val="006C4B57"/>
    <w:rsid w:val="006C4BB2"/>
    <w:rsid w:val="006C4C0B"/>
    <w:rsid w:val="006C4C19"/>
    <w:rsid w:val="006C4C94"/>
    <w:rsid w:val="006C4C9F"/>
    <w:rsid w:val="006C4CB8"/>
    <w:rsid w:val="006C4D5E"/>
    <w:rsid w:val="006C4DCA"/>
    <w:rsid w:val="006C4DDC"/>
    <w:rsid w:val="006C4E12"/>
    <w:rsid w:val="006C4E63"/>
    <w:rsid w:val="006C4E7D"/>
    <w:rsid w:val="006C4EAE"/>
    <w:rsid w:val="006C4EEC"/>
    <w:rsid w:val="006C4F4E"/>
    <w:rsid w:val="006C4FA0"/>
    <w:rsid w:val="006C4FB4"/>
    <w:rsid w:val="006C5025"/>
    <w:rsid w:val="006C5033"/>
    <w:rsid w:val="006C5035"/>
    <w:rsid w:val="006C5059"/>
    <w:rsid w:val="006C50E6"/>
    <w:rsid w:val="006C51B9"/>
    <w:rsid w:val="006C51CE"/>
    <w:rsid w:val="006C5246"/>
    <w:rsid w:val="006C539A"/>
    <w:rsid w:val="006C556A"/>
    <w:rsid w:val="006C55B4"/>
    <w:rsid w:val="006C55EA"/>
    <w:rsid w:val="006C56AD"/>
    <w:rsid w:val="006C56BF"/>
    <w:rsid w:val="006C5744"/>
    <w:rsid w:val="006C574B"/>
    <w:rsid w:val="006C575C"/>
    <w:rsid w:val="006C57BB"/>
    <w:rsid w:val="006C57C2"/>
    <w:rsid w:val="006C57E4"/>
    <w:rsid w:val="006C5813"/>
    <w:rsid w:val="006C581D"/>
    <w:rsid w:val="006C5997"/>
    <w:rsid w:val="006C5998"/>
    <w:rsid w:val="006C59C0"/>
    <w:rsid w:val="006C5A11"/>
    <w:rsid w:val="006C5AFD"/>
    <w:rsid w:val="006C5AFF"/>
    <w:rsid w:val="006C5B34"/>
    <w:rsid w:val="006C5B83"/>
    <w:rsid w:val="006C5BDE"/>
    <w:rsid w:val="006C5C0F"/>
    <w:rsid w:val="006C5C36"/>
    <w:rsid w:val="006C5C42"/>
    <w:rsid w:val="006C5C57"/>
    <w:rsid w:val="006C5CC2"/>
    <w:rsid w:val="006C5CDA"/>
    <w:rsid w:val="006C5CE6"/>
    <w:rsid w:val="006C5D08"/>
    <w:rsid w:val="006C5D4B"/>
    <w:rsid w:val="006C5D83"/>
    <w:rsid w:val="006C5DE0"/>
    <w:rsid w:val="006C5E05"/>
    <w:rsid w:val="006C5E5F"/>
    <w:rsid w:val="006C5E7F"/>
    <w:rsid w:val="006C5EE0"/>
    <w:rsid w:val="006C5FD4"/>
    <w:rsid w:val="006C601E"/>
    <w:rsid w:val="006C60F6"/>
    <w:rsid w:val="006C612A"/>
    <w:rsid w:val="006C6210"/>
    <w:rsid w:val="006C6404"/>
    <w:rsid w:val="006C6438"/>
    <w:rsid w:val="006C6466"/>
    <w:rsid w:val="006C646A"/>
    <w:rsid w:val="006C64D1"/>
    <w:rsid w:val="006C6504"/>
    <w:rsid w:val="006C659B"/>
    <w:rsid w:val="006C65CD"/>
    <w:rsid w:val="006C6632"/>
    <w:rsid w:val="006C6672"/>
    <w:rsid w:val="006C6691"/>
    <w:rsid w:val="006C679B"/>
    <w:rsid w:val="006C687C"/>
    <w:rsid w:val="006C688F"/>
    <w:rsid w:val="006C69CA"/>
    <w:rsid w:val="006C6A0B"/>
    <w:rsid w:val="006C6A0C"/>
    <w:rsid w:val="006C6B06"/>
    <w:rsid w:val="006C6B66"/>
    <w:rsid w:val="006C6B8D"/>
    <w:rsid w:val="006C6BA0"/>
    <w:rsid w:val="006C6BE9"/>
    <w:rsid w:val="006C6C28"/>
    <w:rsid w:val="006C6C77"/>
    <w:rsid w:val="006C6CBD"/>
    <w:rsid w:val="006C6CDC"/>
    <w:rsid w:val="006C6D53"/>
    <w:rsid w:val="006C6D83"/>
    <w:rsid w:val="006C6D8F"/>
    <w:rsid w:val="006C6F4B"/>
    <w:rsid w:val="006C7083"/>
    <w:rsid w:val="006C70BC"/>
    <w:rsid w:val="006C70DC"/>
    <w:rsid w:val="006C723B"/>
    <w:rsid w:val="006C7246"/>
    <w:rsid w:val="006C729A"/>
    <w:rsid w:val="006C73A5"/>
    <w:rsid w:val="006C743E"/>
    <w:rsid w:val="006C7494"/>
    <w:rsid w:val="006C75A0"/>
    <w:rsid w:val="006C767E"/>
    <w:rsid w:val="006C76AD"/>
    <w:rsid w:val="006C76CE"/>
    <w:rsid w:val="006C77B8"/>
    <w:rsid w:val="006C77F5"/>
    <w:rsid w:val="006C782C"/>
    <w:rsid w:val="006C791D"/>
    <w:rsid w:val="006C7942"/>
    <w:rsid w:val="006C7972"/>
    <w:rsid w:val="006C7977"/>
    <w:rsid w:val="006C7998"/>
    <w:rsid w:val="006C7A3D"/>
    <w:rsid w:val="006C7A75"/>
    <w:rsid w:val="006C7AA1"/>
    <w:rsid w:val="006C7ADB"/>
    <w:rsid w:val="006C7AFD"/>
    <w:rsid w:val="006C7C19"/>
    <w:rsid w:val="006C7CE3"/>
    <w:rsid w:val="006C7D06"/>
    <w:rsid w:val="006C7D3D"/>
    <w:rsid w:val="006C7D5E"/>
    <w:rsid w:val="006C7DAE"/>
    <w:rsid w:val="006C7E51"/>
    <w:rsid w:val="006C7EB2"/>
    <w:rsid w:val="006C7F97"/>
    <w:rsid w:val="006C7F9D"/>
    <w:rsid w:val="006D0142"/>
    <w:rsid w:val="006D0146"/>
    <w:rsid w:val="006D01B9"/>
    <w:rsid w:val="006D0241"/>
    <w:rsid w:val="006D0270"/>
    <w:rsid w:val="006D02E1"/>
    <w:rsid w:val="006D04DD"/>
    <w:rsid w:val="006D0515"/>
    <w:rsid w:val="006D0562"/>
    <w:rsid w:val="006D05AD"/>
    <w:rsid w:val="006D0605"/>
    <w:rsid w:val="006D0673"/>
    <w:rsid w:val="006D06B4"/>
    <w:rsid w:val="006D06E3"/>
    <w:rsid w:val="006D0716"/>
    <w:rsid w:val="006D072F"/>
    <w:rsid w:val="006D07A7"/>
    <w:rsid w:val="006D07B6"/>
    <w:rsid w:val="006D07D0"/>
    <w:rsid w:val="006D07D8"/>
    <w:rsid w:val="006D07ED"/>
    <w:rsid w:val="006D0812"/>
    <w:rsid w:val="006D0815"/>
    <w:rsid w:val="006D0870"/>
    <w:rsid w:val="006D087D"/>
    <w:rsid w:val="006D0894"/>
    <w:rsid w:val="006D090A"/>
    <w:rsid w:val="006D0965"/>
    <w:rsid w:val="006D09A7"/>
    <w:rsid w:val="006D09D0"/>
    <w:rsid w:val="006D09E5"/>
    <w:rsid w:val="006D0AB0"/>
    <w:rsid w:val="006D0ABF"/>
    <w:rsid w:val="006D0AC5"/>
    <w:rsid w:val="006D0B2F"/>
    <w:rsid w:val="006D0C12"/>
    <w:rsid w:val="006D0CAD"/>
    <w:rsid w:val="006D0CCF"/>
    <w:rsid w:val="006D0CD0"/>
    <w:rsid w:val="006D0CD7"/>
    <w:rsid w:val="006D0D0A"/>
    <w:rsid w:val="006D0D3C"/>
    <w:rsid w:val="006D0D4D"/>
    <w:rsid w:val="006D0D4F"/>
    <w:rsid w:val="006D0D6A"/>
    <w:rsid w:val="006D0D71"/>
    <w:rsid w:val="006D0D81"/>
    <w:rsid w:val="006D0D9B"/>
    <w:rsid w:val="006D0E13"/>
    <w:rsid w:val="006D0E17"/>
    <w:rsid w:val="006D0E2C"/>
    <w:rsid w:val="006D0E4E"/>
    <w:rsid w:val="006D0FFD"/>
    <w:rsid w:val="006D107D"/>
    <w:rsid w:val="006D11C3"/>
    <w:rsid w:val="006D11FC"/>
    <w:rsid w:val="006D1217"/>
    <w:rsid w:val="006D1253"/>
    <w:rsid w:val="006D1265"/>
    <w:rsid w:val="006D12A7"/>
    <w:rsid w:val="006D12CF"/>
    <w:rsid w:val="006D12FC"/>
    <w:rsid w:val="006D1306"/>
    <w:rsid w:val="006D135E"/>
    <w:rsid w:val="006D1367"/>
    <w:rsid w:val="006D13BA"/>
    <w:rsid w:val="006D1464"/>
    <w:rsid w:val="006D14C0"/>
    <w:rsid w:val="006D14E1"/>
    <w:rsid w:val="006D1568"/>
    <w:rsid w:val="006D15AD"/>
    <w:rsid w:val="006D16A5"/>
    <w:rsid w:val="006D16B6"/>
    <w:rsid w:val="006D182C"/>
    <w:rsid w:val="006D1848"/>
    <w:rsid w:val="006D184A"/>
    <w:rsid w:val="006D1874"/>
    <w:rsid w:val="006D18D0"/>
    <w:rsid w:val="006D18EC"/>
    <w:rsid w:val="006D19DD"/>
    <w:rsid w:val="006D1AC7"/>
    <w:rsid w:val="006D1B3C"/>
    <w:rsid w:val="006D1B42"/>
    <w:rsid w:val="006D1B8B"/>
    <w:rsid w:val="006D1BB5"/>
    <w:rsid w:val="006D1C01"/>
    <w:rsid w:val="006D1C70"/>
    <w:rsid w:val="006D1C81"/>
    <w:rsid w:val="006D1D03"/>
    <w:rsid w:val="006D1D6C"/>
    <w:rsid w:val="006D1DB8"/>
    <w:rsid w:val="006D1E07"/>
    <w:rsid w:val="006D1E79"/>
    <w:rsid w:val="006D1E8A"/>
    <w:rsid w:val="006D1EBB"/>
    <w:rsid w:val="006D1FA0"/>
    <w:rsid w:val="006D1FD4"/>
    <w:rsid w:val="006D2008"/>
    <w:rsid w:val="006D202D"/>
    <w:rsid w:val="006D20F6"/>
    <w:rsid w:val="006D2124"/>
    <w:rsid w:val="006D21D1"/>
    <w:rsid w:val="006D21E7"/>
    <w:rsid w:val="006D2206"/>
    <w:rsid w:val="006D2242"/>
    <w:rsid w:val="006D225C"/>
    <w:rsid w:val="006D22FC"/>
    <w:rsid w:val="006D230C"/>
    <w:rsid w:val="006D24FC"/>
    <w:rsid w:val="006D2507"/>
    <w:rsid w:val="006D250F"/>
    <w:rsid w:val="006D25E4"/>
    <w:rsid w:val="006D2718"/>
    <w:rsid w:val="006D277D"/>
    <w:rsid w:val="006D283B"/>
    <w:rsid w:val="006D284A"/>
    <w:rsid w:val="006D285E"/>
    <w:rsid w:val="006D28C5"/>
    <w:rsid w:val="006D28CB"/>
    <w:rsid w:val="006D2A50"/>
    <w:rsid w:val="006D2B34"/>
    <w:rsid w:val="006D2B45"/>
    <w:rsid w:val="006D2BA0"/>
    <w:rsid w:val="006D2BA5"/>
    <w:rsid w:val="006D2BAF"/>
    <w:rsid w:val="006D2BB3"/>
    <w:rsid w:val="006D2C34"/>
    <w:rsid w:val="006D2C95"/>
    <w:rsid w:val="006D2C9D"/>
    <w:rsid w:val="006D2CDE"/>
    <w:rsid w:val="006D2D3A"/>
    <w:rsid w:val="006D2DB1"/>
    <w:rsid w:val="006D2E03"/>
    <w:rsid w:val="006D2EA9"/>
    <w:rsid w:val="006D2EAC"/>
    <w:rsid w:val="006D2EF2"/>
    <w:rsid w:val="006D2EF9"/>
    <w:rsid w:val="006D2F0C"/>
    <w:rsid w:val="006D2F11"/>
    <w:rsid w:val="006D2FE0"/>
    <w:rsid w:val="006D3019"/>
    <w:rsid w:val="006D3037"/>
    <w:rsid w:val="006D311C"/>
    <w:rsid w:val="006D318D"/>
    <w:rsid w:val="006D31B2"/>
    <w:rsid w:val="006D333A"/>
    <w:rsid w:val="006D33F2"/>
    <w:rsid w:val="006D33F8"/>
    <w:rsid w:val="006D35F0"/>
    <w:rsid w:val="006D36FD"/>
    <w:rsid w:val="006D3715"/>
    <w:rsid w:val="006D386D"/>
    <w:rsid w:val="006D3979"/>
    <w:rsid w:val="006D39FD"/>
    <w:rsid w:val="006D3AD7"/>
    <w:rsid w:val="006D3B98"/>
    <w:rsid w:val="006D3BCA"/>
    <w:rsid w:val="006D3CED"/>
    <w:rsid w:val="006D3D3B"/>
    <w:rsid w:val="006D3D4A"/>
    <w:rsid w:val="006D3D63"/>
    <w:rsid w:val="006D3E00"/>
    <w:rsid w:val="006D3E83"/>
    <w:rsid w:val="006D3F26"/>
    <w:rsid w:val="006D3F36"/>
    <w:rsid w:val="006D3F95"/>
    <w:rsid w:val="006D404A"/>
    <w:rsid w:val="006D4079"/>
    <w:rsid w:val="006D40A3"/>
    <w:rsid w:val="006D413A"/>
    <w:rsid w:val="006D41AB"/>
    <w:rsid w:val="006D41D0"/>
    <w:rsid w:val="006D4254"/>
    <w:rsid w:val="006D42F0"/>
    <w:rsid w:val="006D4396"/>
    <w:rsid w:val="006D4446"/>
    <w:rsid w:val="006D4543"/>
    <w:rsid w:val="006D455E"/>
    <w:rsid w:val="006D4592"/>
    <w:rsid w:val="006D45B3"/>
    <w:rsid w:val="006D45EE"/>
    <w:rsid w:val="006D46BF"/>
    <w:rsid w:val="006D46FB"/>
    <w:rsid w:val="006D46FF"/>
    <w:rsid w:val="006D4742"/>
    <w:rsid w:val="006D4794"/>
    <w:rsid w:val="006D47BE"/>
    <w:rsid w:val="006D47FD"/>
    <w:rsid w:val="006D480B"/>
    <w:rsid w:val="006D4896"/>
    <w:rsid w:val="006D48BE"/>
    <w:rsid w:val="006D48E7"/>
    <w:rsid w:val="006D493F"/>
    <w:rsid w:val="006D4961"/>
    <w:rsid w:val="006D4971"/>
    <w:rsid w:val="006D499B"/>
    <w:rsid w:val="006D49EE"/>
    <w:rsid w:val="006D4A99"/>
    <w:rsid w:val="006D4BE9"/>
    <w:rsid w:val="006D4BEF"/>
    <w:rsid w:val="006D4BFE"/>
    <w:rsid w:val="006D4C26"/>
    <w:rsid w:val="006D4CDD"/>
    <w:rsid w:val="006D4CF8"/>
    <w:rsid w:val="006D4D18"/>
    <w:rsid w:val="006D4E2F"/>
    <w:rsid w:val="006D4E49"/>
    <w:rsid w:val="006D4E50"/>
    <w:rsid w:val="006D4E57"/>
    <w:rsid w:val="006D4E77"/>
    <w:rsid w:val="006D4EE0"/>
    <w:rsid w:val="006D4F11"/>
    <w:rsid w:val="006D4F5C"/>
    <w:rsid w:val="006D4FBD"/>
    <w:rsid w:val="006D5024"/>
    <w:rsid w:val="006D50D8"/>
    <w:rsid w:val="006D5127"/>
    <w:rsid w:val="006D5304"/>
    <w:rsid w:val="006D5322"/>
    <w:rsid w:val="006D5339"/>
    <w:rsid w:val="006D5359"/>
    <w:rsid w:val="006D5376"/>
    <w:rsid w:val="006D5381"/>
    <w:rsid w:val="006D53B7"/>
    <w:rsid w:val="006D550D"/>
    <w:rsid w:val="006D554C"/>
    <w:rsid w:val="006D5564"/>
    <w:rsid w:val="006D56C1"/>
    <w:rsid w:val="006D573C"/>
    <w:rsid w:val="006D5795"/>
    <w:rsid w:val="006D5882"/>
    <w:rsid w:val="006D591E"/>
    <w:rsid w:val="006D5950"/>
    <w:rsid w:val="006D59E4"/>
    <w:rsid w:val="006D5A50"/>
    <w:rsid w:val="006D5A8B"/>
    <w:rsid w:val="006D5B3C"/>
    <w:rsid w:val="006D5DDF"/>
    <w:rsid w:val="006D5DEF"/>
    <w:rsid w:val="006D5EB7"/>
    <w:rsid w:val="006D6099"/>
    <w:rsid w:val="006D60B1"/>
    <w:rsid w:val="006D60DF"/>
    <w:rsid w:val="006D6127"/>
    <w:rsid w:val="006D612B"/>
    <w:rsid w:val="006D615A"/>
    <w:rsid w:val="006D620F"/>
    <w:rsid w:val="006D632E"/>
    <w:rsid w:val="006D6446"/>
    <w:rsid w:val="006D64EB"/>
    <w:rsid w:val="006D6501"/>
    <w:rsid w:val="006D6527"/>
    <w:rsid w:val="006D655B"/>
    <w:rsid w:val="006D659A"/>
    <w:rsid w:val="006D65A5"/>
    <w:rsid w:val="006D65B4"/>
    <w:rsid w:val="006D667E"/>
    <w:rsid w:val="006D66B2"/>
    <w:rsid w:val="006D670E"/>
    <w:rsid w:val="006D6722"/>
    <w:rsid w:val="006D679F"/>
    <w:rsid w:val="006D67D7"/>
    <w:rsid w:val="006D67F1"/>
    <w:rsid w:val="006D6807"/>
    <w:rsid w:val="006D69CA"/>
    <w:rsid w:val="006D6B3D"/>
    <w:rsid w:val="006D6B74"/>
    <w:rsid w:val="006D6C1E"/>
    <w:rsid w:val="006D6C3E"/>
    <w:rsid w:val="006D6C4A"/>
    <w:rsid w:val="006D6C80"/>
    <w:rsid w:val="006D6CF1"/>
    <w:rsid w:val="006D6E0C"/>
    <w:rsid w:val="006D6E25"/>
    <w:rsid w:val="006D6E39"/>
    <w:rsid w:val="006D6E87"/>
    <w:rsid w:val="006D6E93"/>
    <w:rsid w:val="006D6F36"/>
    <w:rsid w:val="006D7011"/>
    <w:rsid w:val="006D7067"/>
    <w:rsid w:val="006D70AF"/>
    <w:rsid w:val="006D70BF"/>
    <w:rsid w:val="006D70E3"/>
    <w:rsid w:val="006D7142"/>
    <w:rsid w:val="006D71F8"/>
    <w:rsid w:val="006D7323"/>
    <w:rsid w:val="006D736A"/>
    <w:rsid w:val="006D73C3"/>
    <w:rsid w:val="006D73C7"/>
    <w:rsid w:val="006D73DB"/>
    <w:rsid w:val="006D7421"/>
    <w:rsid w:val="006D7476"/>
    <w:rsid w:val="006D74CD"/>
    <w:rsid w:val="006D74F4"/>
    <w:rsid w:val="006D752A"/>
    <w:rsid w:val="006D75A5"/>
    <w:rsid w:val="006D760B"/>
    <w:rsid w:val="006D7629"/>
    <w:rsid w:val="006D7632"/>
    <w:rsid w:val="006D7669"/>
    <w:rsid w:val="006D7684"/>
    <w:rsid w:val="006D76AA"/>
    <w:rsid w:val="006D76C8"/>
    <w:rsid w:val="006D7702"/>
    <w:rsid w:val="006D7712"/>
    <w:rsid w:val="006D771E"/>
    <w:rsid w:val="006D7753"/>
    <w:rsid w:val="006D77EE"/>
    <w:rsid w:val="006D7846"/>
    <w:rsid w:val="006D784F"/>
    <w:rsid w:val="006D7909"/>
    <w:rsid w:val="006D79AA"/>
    <w:rsid w:val="006D79E4"/>
    <w:rsid w:val="006D7A0B"/>
    <w:rsid w:val="006D7A5E"/>
    <w:rsid w:val="006D7AA6"/>
    <w:rsid w:val="006D7B1E"/>
    <w:rsid w:val="006D7B24"/>
    <w:rsid w:val="006D7BB5"/>
    <w:rsid w:val="006D7BE5"/>
    <w:rsid w:val="006D7C02"/>
    <w:rsid w:val="006D7C16"/>
    <w:rsid w:val="006D7C95"/>
    <w:rsid w:val="006D7D6E"/>
    <w:rsid w:val="006D7DC9"/>
    <w:rsid w:val="006D7DCF"/>
    <w:rsid w:val="006D7E94"/>
    <w:rsid w:val="006D7EEE"/>
    <w:rsid w:val="006E0009"/>
    <w:rsid w:val="006E0085"/>
    <w:rsid w:val="006E00E1"/>
    <w:rsid w:val="006E013B"/>
    <w:rsid w:val="006E019C"/>
    <w:rsid w:val="006E0209"/>
    <w:rsid w:val="006E0237"/>
    <w:rsid w:val="006E02A3"/>
    <w:rsid w:val="006E0390"/>
    <w:rsid w:val="006E047F"/>
    <w:rsid w:val="006E058E"/>
    <w:rsid w:val="006E0608"/>
    <w:rsid w:val="006E0609"/>
    <w:rsid w:val="006E068C"/>
    <w:rsid w:val="006E069C"/>
    <w:rsid w:val="006E06C0"/>
    <w:rsid w:val="006E073B"/>
    <w:rsid w:val="006E076C"/>
    <w:rsid w:val="006E07A5"/>
    <w:rsid w:val="006E07CA"/>
    <w:rsid w:val="006E07D3"/>
    <w:rsid w:val="006E0807"/>
    <w:rsid w:val="006E0867"/>
    <w:rsid w:val="006E08DD"/>
    <w:rsid w:val="006E0925"/>
    <w:rsid w:val="006E09B8"/>
    <w:rsid w:val="006E0A85"/>
    <w:rsid w:val="006E0AF7"/>
    <w:rsid w:val="006E0AFF"/>
    <w:rsid w:val="006E0BB1"/>
    <w:rsid w:val="006E0BD5"/>
    <w:rsid w:val="006E0C78"/>
    <w:rsid w:val="006E0CB4"/>
    <w:rsid w:val="006E0CC2"/>
    <w:rsid w:val="006E0CC8"/>
    <w:rsid w:val="006E0D24"/>
    <w:rsid w:val="006E0F12"/>
    <w:rsid w:val="006E0F5F"/>
    <w:rsid w:val="006E0F85"/>
    <w:rsid w:val="006E10A4"/>
    <w:rsid w:val="006E10D4"/>
    <w:rsid w:val="006E1292"/>
    <w:rsid w:val="006E12D0"/>
    <w:rsid w:val="006E12D9"/>
    <w:rsid w:val="006E133B"/>
    <w:rsid w:val="006E1352"/>
    <w:rsid w:val="006E13E8"/>
    <w:rsid w:val="006E1413"/>
    <w:rsid w:val="006E1428"/>
    <w:rsid w:val="006E14F9"/>
    <w:rsid w:val="006E163A"/>
    <w:rsid w:val="006E164D"/>
    <w:rsid w:val="006E16BA"/>
    <w:rsid w:val="006E1713"/>
    <w:rsid w:val="006E171F"/>
    <w:rsid w:val="006E1730"/>
    <w:rsid w:val="006E183C"/>
    <w:rsid w:val="006E185C"/>
    <w:rsid w:val="006E1868"/>
    <w:rsid w:val="006E19B6"/>
    <w:rsid w:val="006E19C3"/>
    <w:rsid w:val="006E19FB"/>
    <w:rsid w:val="006E1A64"/>
    <w:rsid w:val="006E1A83"/>
    <w:rsid w:val="006E1A91"/>
    <w:rsid w:val="006E1B5A"/>
    <w:rsid w:val="006E1C05"/>
    <w:rsid w:val="006E1C0A"/>
    <w:rsid w:val="006E1C57"/>
    <w:rsid w:val="006E1CAB"/>
    <w:rsid w:val="006E1CF8"/>
    <w:rsid w:val="006E1D9D"/>
    <w:rsid w:val="006E1E39"/>
    <w:rsid w:val="006E1F0D"/>
    <w:rsid w:val="006E216C"/>
    <w:rsid w:val="006E21A4"/>
    <w:rsid w:val="006E22AB"/>
    <w:rsid w:val="006E22D8"/>
    <w:rsid w:val="006E22FB"/>
    <w:rsid w:val="006E22FC"/>
    <w:rsid w:val="006E2307"/>
    <w:rsid w:val="006E2388"/>
    <w:rsid w:val="006E23A2"/>
    <w:rsid w:val="006E23B6"/>
    <w:rsid w:val="006E243C"/>
    <w:rsid w:val="006E2478"/>
    <w:rsid w:val="006E2498"/>
    <w:rsid w:val="006E24C8"/>
    <w:rsid w:val="006E2615"/>
    <w:rsid w:val="006E2742"/>
    <w:rsid w:val="006E27C1"/>
    <w:rsid w:val="006E27C3"/>
    <w:rsid w:val="006E27D2"/>
    <w:rsid w:val="006E28EA"/>
    <w:rsid w:val="006E2906"/>
    <w:rsid w:val="006E2926"/>
    <w:rsid w:val="006E298D"/>
    <w:rsid w:val="006E2A9A"/>
    <w:rsid w:val="006E2AEC"/>
    <w:rsid w:val="006E2BA4"/>
    <w:rsid w:val="006E2C90"/>
    <w:rsid w:val="006E2CA6"/>
    <w:rsid w:val="006E2CC4"/>
    <w:rsid w:val="006E2CE4"/>
    <w:rsid w:val="006E2D58"/>
    <w:rsid w:val="006E2DBC"/>
    <w:rsid w:val="006E2DD4"/>
    <w:rsid w:val="006E2E0B"/>
    <w:rsid w:val="006E2E23"/>
    <w:rsid w:val="006E2F64"/>
    <w:rsid w:val="006E2F67"/>
    <w:rsid w:val="006E2F87"/>
    <w:rsid w:val="006E2F8D"/>
    <w:rsid w:val="006E300E"/>
    <w:rsid w:val="006E305C"/>
    <w:rsid w:val="006E3096"/>
    <w:rsid w:val="006E3159"/>
    <w:rsid w:val="006E3214"/>
    <w:rsid w:val="006E3240"/>
    <w:rsid w:val="006E324D"/>
    <w:rsid w:val="006E3372"/>
    <w:rsid w:val="006E3490"/>
    <w:rsid w:val="006E34FF"/>
    <w:rsid w:val="006E3531"/>
    <w:rsid w:val="006E355B"/>
    <w:rsid w:val="006E3574"/>
    <w:rsid w:val="006E358D"/>
    <w:rsid w:val="006E3758"/>
    <w:rsid w:val="006E375E"/>
    <w:rsid w:val="006E378F"/>
    <w:rsid w:val="006E37A5"/>
    <w:rsid w:val="006E3841"/>
    <w:rsid w:val="006E3A49"/>
    <w:rsid w:val="006E3A67"/>
    <w:rsid w:val="006E3A98"/>
    <w:rsid w:val="006E3B0E"/>
    <w:rsid w:val="006E3B6A"/>
    <w:rsid w:val="006E3BAB"/>
    <w:rsid w:val="006E3BF7"/>
    <w:rsid w:val="006E3C14"/>
    <w:rsid w:val="006E3CD0"/>
    <w:rsid w:val="006E3D59"/>
    <w:rsid w:val="006E3DF1"/>
    <w:rsid w:val="006E3E59"/>
    <w:rsid w:val="006E3E5E"/>
    <w:rsid w:val="006E3EBB"/>
    <w:rsid w:val="006E3EC8"/>
    <w:rsid w:val="006E3ED9"/>
    <w:rsid w:val="006E3F8C"/>
    <w:rsid w:val="006E403E"/>
    <w:rsid w:val="006E4097"/>
    <w:rsid w:val="006E40B6"/>
    <w:rsid w:val="006E422D"/>
    <w:rsid w:val="006E424B"/>
    <w:rsid w:val="006E4326"/>
    <w:rsid w:val="006E444A"/>
    <w:rsid w:val="006E44D7"/>
    <w:rsid w:val="006E454A"/>
    <w:rsid w:val="006E45C9"/>
    <w:rsid w:val="006E45F0"/>
    <w:rsid w:val="006E4633"/>
    <w:rsid w:val="006E4646"/>
    <w:rsid w:val="006E469C"/>
    <w:rsid w:val="006E46DF"/>
    <w:rsid w:val="006E4740"/>
    <w:rsid w:val="006E4797"/>
    <w:rsid w:val="006E4837"/>
    <w:rsid w:val="006E485D"/>
    <w:rsid w:val="006E4869"/>
    <w:rsid w:val="006E48DB"/>
    <w:rsid w:val="006E48DC"/>
    <w:rsid w:val="006E48F6"/>
    <w:rsid w:val="006E499A"/>
    <w:rsid w:val="006E499E"/>
    <w:rsid w:val="006E4A8F"/>
    <w:rsid w:val="006E4A9D"/>
    <w:rsid w:val="006E4AE5"/>
    <w:rsid w:val="006E4AF6"/>
    <w:rsid w:val="006E4BB4"/>
    <w:rsid w:val="006E4C6C"/>
    <w:rsid w:val="006E4E6D"/>
    <w:rsid w:val="006E4ECA"/>
    <w:rsid w:val="006E4F9A"/>
    <w:rsid w:val="006E503D"/>
    <w:rsid w:val="006E504E"/>
    <w:rsid w:val="006E5077"/>
    <w:rsid w:val="006E507F"/>
    <w:rsid w:val="006E5085"/>
    <w:rsid w:val="006E5255"/>
    <w:rsid w:val="006E52FA"/>
    <w:rsid w:val="006E53AD"/>
    <w:rsid w:val="006E548D"/>
    <w:rsid w:val="006E5496"/>
    <w:rsid w:val="006E54B4"/>
    <w:rsid w:val="006E54F5"/>
    <w:rsid w:val="006E5506"/>
    <w:rsid w:val="006E5521"/>
    <w:rsid w:val="006E5539"/>
    <w:rsid w:val="006E55E1"/>
    <w:rsid w:val="006E5613"/>
    <w:rsid w:val="006E5614"/>
    <w:rsid w:val="006E5675"/>
    <w:rsid w:val="006E56BA"/>
    <w:rsid w:val="006E56E9"/>
    <w:rsid w:val="006E5791"/>
    <w:rsid w:val="006E57A4"/>
    <w:rsid w:val="006E5873"/>
    <w:rsid w:val="006E5912"/>
    <w:rsid w:val="006E5995"/>
    <w:rsid w:val="006E59FB"/>
    <w:rsid w:val="006E5A99"/>
    <w:rsid w:val="006E5AB9"/>
    <w:rsid w:val="006E5AC4"/>
    <w:rsid w:val="006E5AEA"/>
    <w:rsid w:val="006E5B9E"/>
    <w:rsid w:val="006E5BBD"/>
    <w:rsid w:val="006E5BD0"/>
    <w:rsid w:val="006E5C3F"/>
    <w:rsid w:val="006E5C4E"/>
    <w:rsid w:val="006E5CB4"/>
    <w:rsid w:val="006E5D6C"/>
    <w:rsid w:val="006E5D8B"/>
    <w:rsid w:val="006E5E52"/>
    <w:rsid w:val="006E5F30"/>
    <w:rsid w:val="006E5FB2"/>
    <w:rsid w:val="006E6043"/>
    <w:rsid w:val="006E604D"/>
    <w:rsid w:val="006E6077"/>
    <w:rsid w:val="006E6084"/>
    <w:rsid w:val="006E611B"/>
    <w:rsid w:val="006E6161"/>
    <w:rsid w:val="006E6197"/>
    <w:rsid w:val="006E61E6"/>
    <w:rsid w:val="006E637E"/>
    <w:rsid w:val="006E6579"/>
    <w:rsid w:val="006E65E2"/>
    <w:rsid w:val="006E663A"/>
    <w:rsid w:val="006E6706"/>
    <w:rsid w:val="006E6788"/>
    <w:rsid w:val="006E682A"/>
    <w:rsid w:val="006E68DA"/>
    <w:rsid w:val="006E6926"/>
    <w:rsid w:val="006E6A45"/>
    <w:rsid w:val="006E6A5F"/>
    <w:rsid w:val="006E6AC6"/>
    <w:rsid w:val="006E6B3B"/>
    <w:rsid w:val="006E6BB5"/>
    <w:rsid w:val="006E6BD9"/>
    <w:rsid w:val="006E6CD4"/>
    <w:rsid w:val="006E6DA1"/>
    <w:rsid w:val="006E6DC8"/>
    <w:rsid w:val="006E6E1D"/>
    <w:rsid w:val="006E6E3D"/>
    <w:rsid w:val="006E6F1D"/>
    <w:rsid w:val="006E6F76"/>
    <w:rsid w:val="006E6F9D"/>
    <w:rsid w:val="006E6FEB"/>
    <w:rsid w:val="006E702A"/>
    <w:rsid w:val="006E7063"/>
    <w:rsid w:val="006E70F0"/>
    <w:rsid w:val="006E7139"/>
    <w:rsid w:val="006E713B"/>
    <w:rsid w:val="006E71BA"/>
    <w:rsid w:val="006E71FA"/>
    <w:rsid w:val="006E728F"/>
    <w:rsid w:val="006E735D"/>
    <w:rsid w:val="006E73BF"/>
    <w:rsid w:val="006E73CD"/>
    <w:rsid w:val="006E7404"/>
    <w:rsid w:val="006E745A"/>
    <w:rsid w:val="006E7490"/>
    <w:rsid w:val="006E74CD"/>
    <w:rsid w:val="006E768B"/>
    <w:rsid w:val="006E76CB"/>
    <w:rsid w:val="006E76F9"/>
    <w:rsid w:val="006E7700"/>
    <w:rsid w:val="006E771E"/>
    <w:rsid w:val="006E7787"/>
    <w:rsid w:val="006E7816"/>
    <w:rsid w:val="006E781F"/>
    <w:rsid w:val="006E786D"/>
    <w:rsid w:val="006E7876"/>
    <w:rsid w:val="006E789F"/>
    <w:rsid w:val="006E78E1"/>
    <w:rsid w:val="006E78ED"/>
    <w:rsid w:val="006E78F7"/>
    <w:rsid w:val="006E791B"/>
    <w:rsid w:val="006E7928"/>
    <w:rsid w:val="006E79E1"/>
    <w:rsid w:val="006E7A55"/>
    <w:rsid w:val="006E7A5E"/>
    <w:rsid w:val="006E7B96"/>
    <w:rsid w:val="006E7BF3"/>
    <w:rsid w:val="006E7C44"/>
    <w:rsid w:val="006E7D3A"/>
    <w:rsid w:val="006E7E50"/>
    <w:rsid w:val="006E7E6E"/>
    <w:rsid w:val="006E7EB1"/>
    <w:rsid w:val="006E7FE2"/>
    <w:rsid w:val="006F007A"/>
    <w:rsid w:val="006F0102"/>
    <w:rsid w:val="006F01B2"/>
    <w:rsid w:val="006F01F4"/>
    <w:rsid w:val="006F02D1"/>
    <w:rsid w:val="006F03FC"/>
    <w:rsid w:val="006F0401"/>
    <w:rsid w:val="006F0411"/>
    <w:rsid w:val="006F0449"/>
    <w:rsid w:val="006F048B"/>
    <w:rsid w:val="006F04CA"/>
    <w:rsid w:val="006F054F"/>
    <w:rsid w:val="006F05BD"/>
    <w:rsid w:val="006F0646"/>
    <w:rsid w:val="006F067A"/>
    <w:rsid w:val="006F06A7"/>
    <w:rsid w:val="006F06ED"/>
    <w:rsid w:val="006F06F3"/>
    <w:rsid w:val="006F0748"/>
    <w:rsid w:val="006F0806"/>
    <w:rsid w:val="006F081C"/>
    <w:rsid w:val="006F0864"/>
    <w:rsid w:val="006F08D0"/>
    <w:rsid w:val="006F0A88"/>
    <w:rsid w:val="006F0BAA"/>
    <w:rsid w:val="006F0BF8"/>
    <w:rsid w:val="006F0BFD"/>
    <w:rsid w:val="006F0CA7"/>
    <w:rsid w:val="006F0CB3"/>
    <w:rsid w:val="006F0CFC"/>
    <w:rsid w:val="006F0D11"/>
    <w:rsid w:val="006F0D1C"/>
    <w:rsid w:val="006F0D27"/>
    <w:rsid w:val="006F0D4F"/>
    <w:rsid w:val="006F0DCD"/>
    <w:rsid w:val="006F0DF2"/>
    <w:rsid w:val="006F0E7F"/>
    <w:rsid w:val="006F0E97"/>
    <w:rsid w:val="006F0EB5"/>
    <w:rsid w:val="006F0EE4"/>
    <w:rsid w:val="006F0FAD"/>
    <w:rsid w:val="006F0FBD"/>
    <w:rsid w:val="006F1010"/>
    <w:rsid w:val="006F103C"/>
    <w:rsid w:val="006F108B"/>
    <w:rsid w:val="006F110C"/>
    <w:rsid w:val="006F1125"/>
    <w:rsid w:val="006F11A1"/>
    <w:rsid w:val="006F11CD"/>
    <w:rsid w:val="006F1272"/>
    <w:rsid w:val="006F1274"/>
    <w:rsid w:val="006F136A"/>
    <w:rsid w:val="006F1441"/>
    <w:rsid w:val="006F147B"/>
    <w:rsid w:val="006F14DA"/>
    <w:rsid w:val="006F1568"/>
    <w:rsid w:val="006F15AE"/>
    <w:rsid w:val="006F15E7"/>
    <w:rsid w:val="006F1636"/>
    <w:rsid w:val="006F169C"/>
    <w:rsid w:val="006F16EC"/>
    <w:rsid w:val="006F1709"/>
    <w:rsid w:val="006F1828"/>
    <w:rsid w:val="006F1845"/>
    <w:rsid w:val="006F18D4"/>
    <w:rsid w:val="006F1967"/>
    <w:rsid w:val="006F1A7A"/>
    <w:rsid w:val="006F1B38"/>
    <w:rsid w:val="006F1C5D"/>
    <w:rsid w:val="006F1CD0"/>
    <w:rsid w:val="006F1D2D"/>
    <w:rsid w:val="006F1D5A"/>
    <w:rsid w:val="006F1D98"/>
    <w:rsid w:val="006F1D9A"/>
    <w:rsid w:val="006F1DE1"/>
    <w:rsid w:val="006F1DF7"/>
    <w:rsid w:val="006F1DFC"/>
    <w:rsid w:val="006F1E29"/>
    <w:rsid w:val="006F1E3D"/>
    <w:rsid w:val="006F1EAD"/>
    <w:rsid w:val="006F1EB0"/>
    <w:rsid w:val="006F1F26"/>
    <w:rsid w:val="006F1F60"/>
    <w:rsid w:val="006F1FC2"/>
    <w:rsid w:val="006F1FD7"/>
    <w:rsid w:val="006F2032"/>
    <w:rsid w:val="006F2095"/>
    <w:rsid w:val="006F20EA"/>
    <w:rsid w:val="006F214B"/>
    <w:rsid w:val="006F2152"/>
    <w:rsid w:val="006F218D"/>
    <w:rsid w:val="006F21B1"/>
    <w:rsid w:val="006F21CB"/>
    <w:rsid w:val="006F2229"/>
    <w:rsid w:val="006F22E6"/>
    <w:rsid w:val="006F231A"/>
    <w:rsid w:val="006F2322"/>
    <w:rsid w:val="006F238C"/>
    <w:rsid w:val="006F2411"/>
    <w:rsid w:val="006F241D"/>
    <w:rsid w:val="006F244C"/>
    <w:rsid w:val="006F2480"/>
    <w:rsid w:val="006F249C"/>
    <w:rsid w:val="006F24E8"/>
    <w:rsid w:val="006F250B"/>
    <w:rsid w:val="006F253B"/>
    <w:rsid w:val="006F25F4"/>
    <w:rsid w:val="006F2736"/>
    <w:rsid w:val="006F27CC"/>
    <w:rsid w:val="006F281F"/>
    <w:rsid w:val="006F2894"/>
    <w:rsid w:val="006F2906"/>
    <w:rsid w:val="006F29C1"/>
    <w:rsid w:val="006F2A0D"/>
    <w:rsid w:val="006F2A1D"/>
    <w:rsid w:val="006F2B74"/>
    <w:rsid w:val="006F2C73"/>
    <w:rsid w:val="006F2D04"/>
    <w:rsid w:val="006F2E07"/>
    <w:rsid w:val="006F2EA3"/>
    <w:rsid w:val="006F2FBB"/>
    <w:rsid w:val="006F303E"/>
    <w:rsid w:val="006F315D"/>
    <w:rsid w:val="006F3249"/>
    <w:rsid w:val="006F324B"/>
    <w:rsid w:val="006F3252"/>
    <w:rsid w:val="006F328E"/>
    <w:rsid w:val="006F33D5"/>
    <w:rsid w:val="006F341B"/>
    <w:rsid w:val="006F34D9"/>
    <w:rsid w:val="006F352A"/>
    <w:rsid w:val="006F3533"/>
    <w:rsid w:val="006F355F"/>
    <w:rsid w:val="006F3564"/>
    <w:rsid w:val="006F3576"/>
    <w:rsid w:val="006F359D"/>
    <w:rsid w:val="006F35D5"/>
    <w:rsid w:val="006F36E9"/>
    <w:rsid w:val="006F370B"/>
    <w:rsid w:val="006F37B5"/>
    <w:rsid w:val="006F37C6"/>
    <w:rsid w:val="006F3891"/>
    <w:rsid w:val="006F3898"/>
    <w:rsid w:val="006F38E7"/>
    <w:rsid w:val="006F3A6B"/>
    <w:rsid w:val="006F3C2B"/>
    <w:rsid w:val="006F3C48"/>
    <w:rsid w:val="006F3C79"/>
    <w:rsid w:val="006F3CBE"/>
    <w:rsid w:val="006F3CE4"/>
    <w:rsid w:val="006F3CEF"/>
    <w:rsid w:val="006F3D0B"/>
    <w:rsid w:val="006F3D77"/>
    <w:rsid w:val="006F3DB8"/>
    <w:rsid w:val="006F3E25"/>
    <w:rsid w:val="006F3E2B"/>
    <w:rsid w:val="006F3E6D"/>
    <w:rsid w:val="006F3EBA"/>
    <w:rsid w:val="006F3EE7"/>
    <w:rsid w:val="006F3EF2"/>
    <w:rsid w:val="006F3F36"/>
    <w:rsid w:val="006F3F71"/>
    <w:rsid w:val="006F3FA5"/>
    <w:rsid w:val="006F40FB"/>
    <w:rsid w:val="006F4126"/>
    <w:rsid w:val="006F41BC"/>
    <w:rsid w:val="006F44D4"/>
    <w:rsid w:val="006F462D"/>
    <w:rsid w:val="006F464D"/>
    <w:rsid w:val="006F471E"/>
    <w:rsid w:val="006F473A"/>
    <w:rsid w:val="006F4791"/>
    <w:rsid w:val="006F486B"/>
    <w:rsid w:val="006F4945"/>
    <w:rsid w:val="006F4A16"/>
    <w:rsid w:val="006F4A8A"/>
    <w:rsid w:val="006F4AAC"/>
    <w:rsid w:val="006F4ADD"/>
    <w:rsid w:val="006F4B8D"/>
    <w:rsid w:val="006F4BAF"/>
    <w:rsid w:val="006F4BC9"/>
    <w:rsid w:val="006F4BD3"/>
    <w:rsid w:val="006F4C28"/>
    <w:rsid w:val="006F4C8F"/>
    <w:rsid w:val="006F4CE8"/>
    <w:rsid w:val="006F4E07"/>
    <w:rsid w:val="006F4E16"/>
    <w:rsid w:val="006F4F20"/>
    <w:rsid w:val="006F4F47"/>
    <w:rsid w:val="006F4F76"/>
    <w:rsid w:val="006F4F80"/>
    <w:rsid w:val="006F5065"/>
    <w:rsid w:val="006F509B"/>
    <w:rsid w:val="006F516B"/>
    <w:rsid w:val="006F5171"/>
    <w:rsid w:val="006F51A0"/>
    <w:rsid w:val="006F51B5"/>
    <w:rsid w:val="006F51BB"/>
    <w:rsid w:val="006F51D3"/>
    <w:rsid w:val="006F51E2"/>
    <w:rsid w:val="006F5231"/>
    <w:rsid w:val="006F5242"/>
    <w:rsid w:val="006F52B9"/>
    <w:rsid w:val="006F52D5"/>
    <w:rsid w:val="006F532C"/>
    <w:rsid w:val="006F53DF"/>
    <w:rsid w:val="006F5443"/>
    <w:rsid w:val="006F547D"/>
    <w:rsid w:val="006F54CB"/>
    <w:rsid w:val="006F5519"/>
    <w:rsid w:val="006F5598"/>
    <w:rsid w:val="006F55B9"/>
    <w:rsid w:val="006F5623"/>
    <w:rsid w:val="006F5730"/>
    <w:rsid w:val="006F5747"/>
    <w:rsid w:val="006F583D"/>
    <w:rsid w:val="006F584B"/>
    <w:rsid w:val="006F5934"/>
    <w:rsid w:val="006F59BE"/>
    <w:rsid w:val="006F5A05"/>
    <w:rsid w:val="006F5A7A"/>
    <w:rsid w:val="006F5A81"/>
    <w:rsid w:val="006F5AD0"/>
    <w:rsid w:val="006F5BAC"/>
    <w:rsid w:val="006F5C52"/>
    <w:rsid w:val="006F5CC1"/>
    <w:rsid w:val="006F5CDA"/>
    <w:rsid w:val="006F5DF2"/>
    <w:rsid w:val="006F5F3B"/>
    <w:rsid w:val="006F6174"/>
    <w:rsid w:val="006F618D"/>
    <w:rsid w:val="006F61B2"/>
    <w:rsid w:val="006F61C7"/>
    <w:rsid w:val="006F6219"/>
    <w:rsid w:val="006F62A4"/>
    <w:rsid w:val="006F63C6"/>
    <w:rsid w:val="006F6458"/>
    <w:rsid w:val="006F6476"/>
    <w:rsid w:val="006F64C3"/>
    <w:rsid w:val="006F64E0"/>
    <w:rsid w:val="006F6501"/>
    <w:rsid w:val="006F6505"/>
    <w:rsid w:val="006F657F"/>
    <w:rsid w:val="006F6656"/>
    <w:rsid w:val="006F672E"/>
    <w:rsid w:val="006F6785"/>
    <w:rsid w:val="006F67B5"/>
    <w:rsid w:val="006F68E9"/>
    <w:rsid w:val="006F6923"/>
    <w:rsid w:val="006F6971"/>
    <w:rsid w:val="006F69B2"/>
    <w:rsid w:val="006F69DF"/>
    <w:rsid w:val="006F69E4"/>
    <w:rsid w:val="006F6A25"/>
    <w:rsid w:val="006F6A54"/>
    <w:rsid w:val="006F6ABF"/>
    <w:rsid w:val="006F6B28"/>
    <w:rsid w:val="006F6B5B"/>
    <w:rsid w:val="006F6BAD"/>
    <w:rsid w:val="006F6C07"/>
    <w:rsid w:val="006F6C0E"/>
    <w:rsid w:val="006F6C47"/>
    <w:rsid w:val="006F6C95"/>
    <w:rsid w:val="006F6D62"/>
    <w:rsid w:val="006F6F2D"/>
    <w:rsid w:val="006F6F78"/>
    <w:rsid w:val="006F7064"/>
    <w:rsid w:val="006F70D1"/>
    <w:rsid w:val="006F7140"/>
    <w:rsid w:val="006F7166"/>
    <w:rsid w:val="006F716C"/>
    <w:rsid w:val="006F7191"/>
    <w:rsid w:val="006F71F0"/>
    <w:rsid w:val="006F728B"/>
    <w:rsid w:val="006F7295"/>
    <w:rsid w:val="006F729D"/>
    <w:rsid w:val="006F72E9"/>
    <w:rsid w:val="006F7334"/>
    <w:rsid w:val="006F7392"/>
    <w:rsid w:val="006F73A1"/>
    <w:rsid w:val="006F73F9"/>
    <w:rsid w:val="006F7498"/>
    <w:rsid w:val="006F75FB"/>
    <w:rsid w:val="006F7665"/>
    <w:rsid w:val="006F770D"/>
    <w:rsid w:val="006F7767"/>
    <w:rsid w:val="006F77BE"/>
    <w:rsid w:val="006F7855"/>
    <w:rsid w:val="006F7882"/>
    <w:rsid w:val="006F7893"/>
    <w:rsid w:val="006F7AB4"/>
    <w:rsid w:val="006F7B48"/>
    <w:rsid w:val="006F7B91"/>
    <w:rsid w:val="006F7BE3"/>
    <w:rsid w:val="006F7CAF"/>
    <w:rsid w:val="006F7CD5"/>
    <w:rsid w:val="006F7D0C"/>
    <w:rsid w:val="006F7D1B"/>
    <w:rsid w:val="006F7DB3"/>
    <w:rsid w:val="006F7DCC"/>
    <w:rsid w:val="006F7E0B"/>
    <w:rsid w:val="006F7E10"/>
    <w:rsid w:val="006F7E42"/>
    <w:rsid w:val="006F7F0D"/>
    <w:rsid w:val="00700087"/>
    <w:rsid w:val="007000D4"/>
    <w:rsid w:val="00700112"/>
    <w:rsid w:val="0070012C"/>
    <w:rsid w:val="00700163"/>
    <w:rsid w:val="007002BA"/>
    <w:rsid w:val="00700357"/>
    <w:rsid w:val="007003D5"/>
    <w:rsid w:val="00700413"/>
    <w:rsid w:val="00700453"/>
    <w:rsid w:val="00700455"/>
    <w:rsid w:val="0070045D"/>
    <w:rsid w:val="007004A3"/>
    <w:rsid w:val="0070054C"/>
    <w:rsid w:val="00700587"/>
    <w:rsid w:val="007005E5"/>
    <w:rsid w:val="0070061B"/>
    <w:rsid w:val="00700703"/>
    <w:rsid w:val="0070077A"/>
    <w:rsid w:val="00700811"/>
    <w:rsid w:val="00700869"/>
    <w:rsid w:val="007008A9"/>
    <w:rsid w:val="007008F6"/>
    <w:rsid w:val="00700962"/>
    <w:rsid w:val="007009E2"/>
    <w:rsid w:val="00700C35"/>
    <w:rsid w:val="00700C8D"/>
    <w:rsid w:val="00700CCD"/>
    <w:rsid w:val="00700D22"/>
    <w:rsid w:val="00700D8E"/>
    <w:rsid w:val="00700DA4"/>
    <w:rsid w:val="00700EC0"/>
    <w:rsid w:val="00700ECA"/>
    <w:rsid w:val="00700F65"/>
    <w:rsid w:val="0070106A"/>
    <w:rsid w:val="007010B3"/>
    <w:rsid w:val="007010B6"/>
    <w:rsid w:val="007010DD"/>
    <w:rsid w:val="00701110"/>
    <w:rsid w:val="00701157"/>
    <w:rsid w:val="00701169"/>
    <w:rsid w:val="00701206"/>
    <w:rsid w:val="00701215"/>
    <w:rsid w:val="007012EC"/>
    <w:rsid w:val="007013C6"/>
    <w:rsid w:val="0070147C"/>
    <w:rsid w:val="007015D7"/>
    <w:rsid w:val="007015FD"/>
    <w:rsid w:val="0070160E"/>
    <w:rsid w:val="00701613"/>
    <w:rsid w:val="0070169B"/>
    <w:rsid w:val="007016B5"/>
    <w:rsid w:val="007016E8"/>
    <w:rsid w:val="00701750"/>
    <w:rsid w:val="00701767"/>
    <w:rsid w:val="00701823"/>
    <w:rsid w:val="00701859"/>
    <w:rsid w:val="00701887"/>
    <w:rsid w:val="00701A8F"/>
    <w:rsid w:val="00701A99"/>
    <w:rsid w:val="00701AC5"/>
    <w:rsid w:val="00701AE8"/>
    <w:rsid w:val="00701B28"/>
    <w:rsid w:val="00701C5C"/>
    <w:rsid w:val="00701C60"/>
    <w:rsid w:val="00701D07"/>
    <w:rsid w:val="00701D1D"/>
    <w:rsid w:val="00701E94"/>
    <w:rsid w:val="00701EBD"/>
    <w:rsid w:val="00701F32"/>
    <w:rsid w:val="00701FCE"/>
    <w:rsid w:val="0070201A"/>
    <w:rsid w:val="007020CE"/>
    <w:rsid w:val="007020DA"/>
    <w:rsid w:val="00702155"/>
    <w:rsid w:val="0070215D"/>
    <w:rsid w:val="00702179"/>
    <w:rsid w:val="007021DB"/>
    <w:rsid w:val="00702291"/>
    <w:rsid w:val="007022B1"/>
    <w:rsid w:val="00702307"/>
    <w:rsid w:val="007023F1"/>
    <w:rsid w:val="00702428"/>
    <w:rsid w:val="0070242C"/>
    <w:rsid w:val="00702471"/>
    <w:rsid w:val="00702485"/>
    <w:rsid w:val="007024A9"/>
    <w:rsid w:val="007024AD"/>
    <w:rsid w:val="007024C3"/>
    <w:rsid w:val="00702508"/>
    <w:rsid w:val="0070265C"/>
    <w:rsid w:val="00702671"/>
    <w:rsid w:val="007026BE"/>
    <w:rsid w:val="0070273E"/>
    <w:rsid w:val="0070276B"/>
    <w:rsid w:val="00702856"/>
    <w:rsid w:val="00702919"/>
    <w:rsid w:val="00702971"/>
    <w:rsid w:val="007029EA"/>
    <w:rsid w:val="00702A7F"/>
    <w:rsid w:val="00702AAB"/>
    <w:rsid w:val="00702AC9"/>
    <w:rsid w:val="00702B1D"/>
    <w:rsid w:val="00702CA3"/>
    <w:rsid w:val="00702DB6"/>
    <w:rsid w:val="00702DC3"/>
    <w:rsid w:val="00702E85"/>
    <w:rsid w:val="00702EAF"/>
    <w:rsid w:val="00702ED3"/>
    <w:rsid w:val="00702F24"/>
    <w:rsid w:val="00702F26"/>
    <w:rsid w:val="00702F77"/>
    <w:rsid w:val="00702FA9"/>
    <w:rsid w:val="00702FD1"/>
    <w:rsid w:val="00702FE4"/>
    <w:rsid w:val="00702FE5"/>
    <w:rsid w:val="00703071"/>
    <w:rsid w:val="00703086"/>
    <w:rsid w:val="007030A8"/>
    <w:rsid w:val="007030A9"/>
    <w:rsid w:val="0070330B"/>
    <w:rsid w:val="00703370"/>
    <w:rsid w:val="007033DC"/>
    <w:rsid w:val="007033F5"/>
    <w:rsid w:val="0070346C"/>
    <w:rsid w:val="007034E0"/>
    <w:rsid w:val="007034F3"/>
    <w:rsid w:val="0070353D"/>
    <w:rsid w:val="00703546"/>
    <w:rsid w:val="0070354E"/>
    <w:rsid w:val="0070357F"/>
    <w:rsid w:val="0070363B"/>
    <w:rsid w:val="00703654"/>
    <w:rsid w:val="0070366C"/>
    <w:rsid w:val="00703688"/>
    <w:rsid w:val="00703706"/>
    <w:rsid w:val="0070371D"/>
    <w:rsid w:val="00703732"/>
    <w:rsid w:val="007037E0"/>
    <w:rsid w:val="007037E6"/>
    <w:rsid w:val="00703805"/>
    <w:rsid w:val="007038A2"/>
    <w:rsid w:val="00703907"/>
    <w:rsid w:val="0070394D"/>
    <w:rsid w:val="00703963"/>
    <w:rsid w:val="00703A07"/>
    <w:rsid w:val="00703A22"/>
    <w:rsid w:val="00703AAA"/>
    <w:rsid w:val="00703B0A"/>
    <w:rsid w:val="00703B1A"/>
    <w:rsid w:val="00703B62"/>
    <w:rsid w:val="00703B77"/>
    <w:rsid w:val="00703B7F"/>
    <w:rsid w:val="00703B90"/>
    <w:rsid w:val="00703BD4"/>
    <w:rsid w:val="00703CF1"/>
    <w:rsid w:val="00703D0B"/>
    <w:rsid w:val="00703D37"/>
    <w:rsid w:val="00703D45"/>
    <w:rsid w:val="00703D67"/>
    <w:rsid w:val="00703E63"/>
    <w:rsid w:val="00703E78"/>
    <w:rsid w:val="00703E8B"/>
    <w:rsid w:val="00704019"/>
    <w:rsid w:val="007040D8"/>
    <w:rsid w:val="0070410D"/>
    <w:rsid w:val="00704113"/>
    <w:rsid w:val="00704127"/>
    <w:rsid w:val="00704212"/>
    <w:rsid w:val="00704234"/>
    <w:rsid w:val="00704241"/>
    <w:rsid w:val="00704409"/>
    <w:rsid w:val="00704457"/>
    <w:rsid w:val="00704494"/>
    <w:rsid w:val="00704503"/>
    <w:rsid w:val="00704594"/>
    <w:rsid w:val="0070464B"/>
    <w:rsid w:val="0070466A"/>
    <w:rsid w:val="0070467A"/>
    <w:rsid w:val="007046DF"/>
    <w:rsid w:val="00704705"/>
    <w:rsid w:val="00704761"/>
    <w:rsid w:val="00704817"/>
    <w:rsid w:val="0070489C"/>
    <w:rsid w:val="00704900"/>
    <w:rsid w:val="0070490E"/>
    <w:rsid w:val="00704A22"/>
    <w:rsid w:val="00704A3B"/>
    <w:rsid w:val="00704ACD"/>
    <w:rsid w:val="00704B06"/>
    <w:rsid w:val="00704B78"/>
    <w:rsid w:val="00704BAD"/>
    <w:rsid w:val="00704C08"/>
    <w:rsid w:val="00704C4F"/>
    <w:rsid w:val="00704CB6"/>
    <w:rsid w:val="00704CC8"/>
    <w:rsid w:val="00704CE3"/>
    <w:rsid w:val="00704CF6"/>
    <w:rsid w:val="00704D38"/>
    <w:rsid w:val="00704DC2"/>
    <w:rsid w:val="00704DD0"/>
    <w:rsid w:val="00704DDC"/>
    <w:rsid w:val="00704E41"/>
    <w:rsid w:val="00704EBD"/>
    <w:rsid w:val="00704EFE"/>
    <w:rsid w:val="00704F85"/>
    <w:rsid w:val="00704FE8"/>
    <w:rsid w:val="00704FF6"/>
    <w:rsid w:val="0070500E"/>
    <w:rsid w:val="00705049"/>
    <w:rsid w:val="007050F7"/>
    <w:rsid w:val="00705130"/>
    <w:rsid w:val="0070513F"/>
    <w:rsid w:val="0070518B"/>
    <w:rsid w:val="007051E5"/>
    <w:rsid w:val="0070536F"/>
    <w:rsid w:val="007053AC"/>
    <w:rsid w:val="007053FA"/>
    <w:rsid w:val="00705423"/>
    <w:rsid w:val="00705451"/>
    <w:rsid w:val="007054DF"/>
    <w:rsid w:val="00705505"/>
    <w:rsid w:val="00705517"/>
    <w:rsid w:val="00705551"/>
    <w:rsid w:val="007055A1"/>
    <w:rsid w:val="0070569D"/>
    <w:rsid w:val="007056D3"/>
    <w:rsid w:val="007056E4"/>
    <w:rsid w:val="00705818"/>
    <w:rsid w:val="007058EC"/>
    <w:rsid w:val="0070599E"/>
    <w:rsid w:val="007059DC"/>
    <w:rsid w:val="00705A2D"/>
    <w:rsid w:val="00705BAB"/>
    <w:rsid w:val="00705BAE"/>
    <w:rsid w:val="00705BC3"/>
    <w:rsid w:val="00705BE3"/>
    <w:rsid w:val="00705C0E"/>
    <w:rsid w:val="00705C9A"/>
    <w:rsid w:val="00705CA1"/>
    <w:rsid w:val="00705CA9"/>
    <w:rsid w:val="00705CF0"/>
    <w:rsid w:val="00705D89"/>
    <w:rsid w:val="00705E1F"/>
    <w:rsid w:val="00705E8B"/>
    <w:rsid w:val="00705ED7"/>
    <w:rsid w:val="00705EF0"/>
    <w:rsid w:val="00705EF9"/>
    <w:rsid w:val="00705F82"/>
    <w:rsid w:val="00705F94"/>
    <w:rsid w:val="00706001"/>
    <w:rsid w:val="00706136"/>
    <w:rsid w:val="00706195"/>
    <w:rsid w:val="007061D0"/>
    <w:rsid w:val="007062EA"/>
    <w:rsid w:val="00706315"/>
    <w:rsid w:val="0070633B"/>
    <w:rsid w:val="0070634B"/>
    <w:rsid w:val="00706355"/>
    <w:rsid w:val="00706389"/>
    <w:rsid w:val="00706392"/>
    <w:rsid w:val="00706401"/>
    <w:rsid w:val="00706450"/>
    <w:rsid w:val="00706452"/>
    <w:rsid w:val="00706487"/>
    <w:rsid w:val="007064B1"/>
    <w:rsid w:val="007065A9"/>
    <w:rsid w:val="0070660E"/>
    <w:rsid w:val="00706697"/>
    <w:rsid w:val="007066BE"/>
    <w:rsid w:val="0070676C"/>
    <w:rsid w:val="007067DD"/>
    <w:rsid w:val="007067E9"/>
    <w:rsid w:val="00706878"/>
    <w:rsid w:val="007069BF"/>
    <w:rsid w:val="00706A0B"/>
    <w:rsid w:val="00706B31"/>
    <w:rsid w:val="00706B48"/>
    <w:rsid w:val="00706B68"/>
    <w:rsid w:val="00706BA5"/>
    <w:rsid w:val="00706BC4"/>
    <w:rsid w:val="00706C03"/>
    <w:rsid w:val="00706C19"/>
    <w:rsid w:val="00706C55"/>
    <w:rsid w:val="00706CE8"/>
    <w:rsid w:val="00706D10"/>
    <w:rsid w:val="00706D72"/>
    <w:rsid w:val="00706D82"/>
    <w:rsid w:val="00706ECD"/>
    <w:rsid w:val="00706ED8"/>
    <w:rsid w:val="00706F35"/>
    <w:rsid w:val="00706F65"/>
    <w:rsid w:val="00706F6A"/>
    <w:rsid w:val="00706FEC"/>
    <w:rsid w:val="0070703E"/>
    <w:rsid w:val="00707079"/>
    <w:rsid w:val="007071B1"/>
    <w:rsid w:val="007071BA"/>
    <w:rsid w:val="007071DF"/>
    <w:rsid w:val="007071F0"/>
    <w:rsid w:val="007072C2"/>
    <w:rsid w:val="0070739E"/>
    <w:rsid w:val="007073EF"/>
    <w:rsid w:val="00707454"/>
    <w:rsid w:val="00707510"/>
    <w:rsid w:val="00707521"/>
    <w:rsid w:val="0070753A"/>
    <w:rsid w:val="0070763F"/>
    <w:rsid w:val="00707691"/>
    <w:rsid w:val="007076C4"/>
    <w:rsid w:val="007076D9"/>
    <w:rsid w:val="00707864"/>
    <w:rsid w:val="007078ED"/>
    <w:rsid w:val="00707908"/>
    <w:rsid w:val="00707946"/>
    <w:rsid w:val="00707952"/>
    <w:rsid w:val="00707A3C"/>
    <w:rsid w:val="00707A54"/>
    <w:rsid w:val="00707AAF"/>
    <w:rsid w:val="00707AC2"/>
    <w:rsid w:val="00707B16"/>
    <w:rsid w:val="00707B95"/>
    <w:rsid w:val="00707BD0"/>
    <w:rsid w:val="00707BD1"/>
    <w:rsid w:val="00707BF0"/>
    <w:rsid w:val="00707C1C"/>
    <w:rsid w:val="00707C51"/>
    <w:rsid w:val="00707C7D"/>
    <w:rsid w:val="00707CDC"/>
    <w:rsid w:val="00707D69"/>
    <w:rsid w:val="00707D73"/>
    <w:rsid w:val="00707DCA"/>
    <w:rsid w:val="00707DF7"/>
    <w:rsid w:val="00707E3E"/>
    <w:rsid w:val="00707EB3"/>
    <w:rsid w:val="00707F3C"/>
    <w:rsid w:val="00707F88"/>
    <w:rsid w:val="00707F9C"/>
    <w:rsid w:val="00707FA1"/>
    <w:rsid w:val="00707FBF"/>
    <w:rsid w:val="00707FF2"/>
    <w:rsid w:val="007100A3"/>
    <w:rsid w:val="0071012D"/>
    <w:rsid w:val="0071013A"/>
    <w:rsid w:val="0071014E"/>
    <w:rsid w:val="00710263"/>
    <w:rsid w:val="007102EF"/>
    <w:rsid w:val="0071034A"/>
    <w:rsid w:val="00710363"/>
    <w:rsid w:val="00710369"/>
    <w:rsid w:val="00710478"/>
    <w:rsid w:val="007104BF"/>
    <w:rsid w:val="007104EB"/>
    <w:rsid w:val="00710536"/>
    <w:rsid w:val="007105E2"/>
    <w:rsid w:val="007106E0"/>
    <w:rsid w:val="007107FC"/>
    <w:rsid w:val="00710862"/>
    <w:rsid w:val="007108B9"/>
    <w:rsid w:val="00710959"/>
    <w:rsid w:val="007109D7"/>
    <w:rsid w:val="00710A36"/>
    <w:rsid w:val="00710A77"/>
    <w:rsid w:val="00710B24"/>
    <w:rsid w:val="00710BA4"/>
    <w:rsid w:val="00710C12"/>
    <w:rsid w:val="00710C49"/>
    <w:rsid w:val="00710CFB"/>
    <w:rsid w:val="00710CFE"/>
    <w:rsid w:val="00710D61"/>
    <w:rsid w:val="00710D6B"/>
    <w:rsid w:val="00710D6F"/>
    <w:rsid w:val="00710E53"/>
    <w:rsid w:val="00710EEC"/>
    <w:rsid w:val="0071107D"/>
    <w:rsid w:val="00711170"/>
    <w:rsid w:val="0071119D"/>
    <w:rsid w:val="00711214"/>
    <w:rsid w:val="007112C1"/>
    <w:rsid w:val="007112C4"/>
    <w:rsid w:val="0071131B"/>
    <w:rsid w:val="00711383"/>
    <w:rsid w:val="007113CA"/>
    <w:rsid w:val="00711413"/>
    <w:rsid w:val="00711476"/>
    <w:rsid w:val="007114A7"/>
    <w:rsid w:val="007114C0"/>
    <w:rsid w:val="007114D1"/>
    <w:rsid w:val="007115E4"/>
    <w:rsid w:val="007116D5"/>
    <w:rsid w:val="007117A9"/>
    <w:rsid w:val="00711806"/>
    <w:rsid w:val="0071180B"/>
    <w:rsid w:val="0071181B"/>
    <w:rsid w:val="0071188D"/>
    <w:rsid w:val="007118B2"/>
    <w:rsid w:val="00711A33"/>
    <w:rsid w:val="00711AC2"/>
    <w:rsid w:val="00711B2E"/>
    <w:rsid w:val="00711B66"/>
    <w:rsid w:val="00711BBF"/>
    <w:rsid w:val="00711C66"/>
    <w:rsid w:val="00711C6C"/>
    <w:rsid w:val="00711CDA"/>
    <w:rsid w:val="00711CF9"/>
    <w:rsid w:val="00711D07"/>
    <w:rsid w:val="00711DDD"/>
    <w:rsid w:val="00711E24"/>
    <w:rsid w:val="00711E61"/>
    <w:rsid w:val="00711F2A"/>
    <w:rsid w:val="00711F72"/>
    <w:rsid w:val="00711F76"/>
    <w:rsid w:val="0071203E"/>
    <w:rsid w:val="00712041"/>
    <w:rsid w:val="007120CE"/>
    <w:rsid w:val="00712108"/>
    <w:rsid w:val="00712146"/>
    <w:rsid w:val="0071215A"/>
    <w:rsid w:val="007121A0"/>
    <w:rsid w:val="007121F2"/>
    <w:rsid w:val="00712231"/>
    <w:rsid w:val="00712239"/>
    <w:rsid w:val="0071223D"/>
    <w:rsid w:val="00712254"/>
    <w:rsid w:val="007122CA"/>
    <w:rsid w:val="007122CF"/>
    <w:rsid w:val="007122D1"/>
    <w:rsid w:val="007122DF"/>
    <w:rsid w:val="007123AE"/>
    <w:rsid w:val="00712447"/>
    <w:rsid w:val="007124A9"/>
    <w:rsid w:val="00712589"/>
    <w:rsid w:val="007125CF"/>
    <w:rsid w:val="007126D6"/>
    <w:rsid w:val="0071273B"/>
    <w:rsid w:val="007127BA"/>
    <w:rsid w:val="00712869"/>
    <w:rsid w:val="007128A1"/>
    <w:rsid w:val="00712902"/>
    <w:rsid w:val="007129B7"/>
    <w:rsid w:val="00712A30"/>
    <w:rsid w:val="00712A5D"/>
    <w:rsid w:val="00712AF9"/>
    <w:rsid w:val="00712B31"/>
    <w:rsid w:val="00712B3E"/>
    <w:rsid w:val="00712B5A"/>
    <w:rsid w:val="00712B85"/>
    <w:rsid w:val="00712BB3"/>
    <w:rsid w:val="00712C28"/>
    <w:rsid w:val="00712C35"/>
    <w:rsid w:val="00712D1F"/>
    <w:rsid w:val="00712D62"/>
    <w:rsid w:val="00712DB6"/>
    <w:rsid w:val="00712DD8"/>
    <w:rsid w:val="00712DE1"/>
    <w:rsid w:val="00712E38"/>
    <w:rsid w:val="00712E45"/>
    <w:rsid w:val="00712E5B"/>
    <w:rsid w:val="00712F99"/>
    <w:rsid w:val="00712FD5"/>
    <w:rsid w:val="00713098"/>
    <w:rsid w:val="007130AC"/>
    <w:rsid w:val="00713112"/>
    <w:rsid w:val="007131E8"/>
    <w:rsid w:val="0071320F"/>
    <w:rsid w:val="0071327C"/>
    <w:rsid w:val="007132A5"/>
    <w:rsid w:val="007132C2"/>
    <w:rsid w:val="00713328"/>
    <w:rsid w:val="007133C8"/>
    <w:rsid w:val="00713428"/>
    <w:rsid w:val="007134A3"/>
    <w:rsid w:val="0071352A"/>
    <w:rsid w:val="0071353B"/>
    <w:rsid w:val="00713800"/>
    <w:rsid w:val="0071382E"/>
    <w:rsid w:val="007139AF"/>
    <w:rsid w:val="007139BC"/>
    <w:rsid w:val="00713A52"/>
    <w:rsid w:val="00713BBB"/>
    <w:rsid w:val="00713BD1"/>
    <w:rsid w:val="00713CAE"/>
    <w:rsid w:val="00713CFE"/>
    <w:rsid w:val="00713D1A"/>
    <w:rsid w:val="00713D2A"/>
    <w:rsid w:val="00713D5E"/>
    <w:rsid w:val="00713EB4"/>
    <w:rsid w:val="00713F14"/>
    <w:rsid w:val="00713F85"/>
    <w:rsid w:val="00713FA1"/>
    <w:rsid w:val="00713FDC"/>
    <w:rsid w:val="0071403D"/>
    <w:rsid w:val="0071405C"/>
    <w:rsid w:val="00714064"/>
    <w:rsid w:val="007140BC"/>
    <w:rsid w:val="007140C0"/>
    <w:rsid w:val="00714266"/>
    <w:rsid w:val="00714312"/>
    <w:rsid w:val="0071439E"/>
    <w:rsid w:val="007143CC"/>
    <w:rsid w:val="007143CE"/>
    <w:rsid w:val="0071440F"/>
    <w:rsid w:val="00714431"/>
    <w:rsid w:val="00714484"/>
    <w:rsid w:val="007145B1"/>
    <w:rsid w:val="0071460A"/>
    <w:rsid w:val="0071463B"/>
    <w:rsid w:val="00714687"/>
    <w:rsid w:val="00714696"/>
    <w:rsid w:val="0071469D"/>
    <w:rsid w:val="007146D5"/>
    <w:rsid w:val="00714733"/>
    <w:rsid w:val="00714820"/>
    <w:rsid w:val="0071487B"/>
    <w:rsid w:val="00714893"/>
    <w:rsid w:val="007148CC"/>
    <w:rsid w:val="007148DC"/>
    <w:rsid w:val="00714952"/>
    <w:rsid w:val="00714989"/>
    <w:rsid w:val="007149FF"/>
    <w:rsid w:val="00714AC4"/>
    <w:rsid w:val="00714B04"/>
    <w:rsid w:val="00714B55"/>
    <w:rsid w:val="00714BE8"/>
    <w:rsid w:val="00714C09"/>
    <w:rsid w:val="00714C9E"/>
    <w:rsid w:val="00714CBA"/>
    <w:rsid w:val="00714CCB"/>
    <w:rsid w:val="00714CE6"/>
    <w:rsid w:val="00714D00"/>
    <w:rsid w:val="00714D03"/>
    <w:rsid w:val="00714D90"/>
    <w:rsid w:val="00714F82"/>
    <w:rsid w:val="00714FC4"/>
    <w:rsid w:val="00715085"/>
    <w:rsid w:val="00715207"/>
    <w:rsid w:val="0071521A"/>
    <w:rsid w:val="00715305"/>
    <w:rsid w:val="00715362"/>
    <w:rsid w:val="00715398"/>
    <w:rsid w:val="007153B4"/>
    <w:rsid w:val="00715438"/>
    <w:rsid w:val="00715542"/>
    <w:rsid w:val="00715577"/>
    <w:rsid w:val="0071566D"/>
    <w:rsid w:val="0071576E"/>
    <w:rsid w:val="0071587C"/>
    <w:rsid w:val="00715884"/>
    <w:rsid w:val="00715903"/>
    <w:rsid w:val="00715964"/>
    <w:rsid w:val="00715972"/>
    <w:rsid w:val="0071599A"/>
    <w:rsid w:val="007159F0"/>
    <w:rsid w:val="00715A4E"/>
    <w:rsid w:val="00715B7A"/>
    <w:rsid w:val="00715C0A"/>
    <w:rsid w:val="00715C4F"/>
    <w:rsid w:val="00715CA6"/>
    <w:rsid w:val="00715D79"/>
    <w:rsid w:val="00715E5A"/>
    <w:rsid w:val="00715EF5"/>
    <w:rsid w:val="00715F5D"/>
    <w:rsid w:val="00715F6B"/>
    <w:rsid w:val="00715FD9"/>
    <w:rsid w:val="00715FF0"/>
    <w:rsid w:val="00716003"/>
    <w:rsid w:val="00716091"/>
    <w:rsid w:val="00716102"/>
    <w:rsid w:val="0071610D"/>
    <w:rsid w:val="0071631F"/>
    <w:rsid w:val="00716349"/>
    <w:rsid w:val="00716370"/>
    <w:rsid w:val="00716452"/>
    <w:rsid w:val="0071645D"/>
    <w:rsid w:val="00716489"/>
    <w:rsid w:val="007164D2"/>
    <w:rsid w:val="00716551"/>
    <w:rsid w:val="0071659E"/>
    <w:rsid w:val="007165EE"/>
    <w:rsid w:val="0071682F"/>
    <w:rsid w:val="00716893"/>
    <w:rsid w:val="00716937"/>
    <w:rsid w:val="007169D6"/>
    <w:rsid w:val="00716A7F"/>
    <w:rsid w:val="00716AFB"/>
    <w:rsid w:val="00716AFE"/>
    <w:rsid w:val="00716D55"/>
    <w:rsid w:val="00716D99"/>
    <w:rsid w:val="00716E12"/>
    <w:rsid w:val="00716E6D"/>
    <w:rsid w:val="00716E81"/>
    <w:rsid w:val="00716E9B"/>
    <w:rsid w:val="00716F45"/>
    <w:rsid w:val="00716F98"/>
    <w:rsid w:val="00717006"/>
    <w:rsid w:val="00717105"/>
    <w:rsid w:val="00717128"/>
    <w:rsid w:val="00717175"/>
    <w:rsid w:val="00717203"/>
    <w:rsid w:val="00717254"/>
    <w:rsid w:val="0071726C"/>
    <w:rsid w:val="00717280"/>
    <w:rsid w:val="00717284"/>
    <w:rsid w:val="00717294"/>
    <w:rsid w:val="007172AA"/>
    <w:rsid w:val="007172EC"/>
    <w:rsid w:val="007172F4"/>
    <w:rsid w:val="00717347"/>
    <w:rsid w:val="0071736A"/>
    <w:rsid w:val="007173EA"/>
    <w:rsid w:val="00717473"/>
    <w:rsid w:val="007174EC"/>
    <w:rsid w:val="00717527"/>
    <w:rsid w:val="007175CF"/>
    <w:rsid w:val="007175FF"/>
    <w:rsid w:val="0071761D"/>
    <w:rsid w:val="00717695"/>
    <w:rsid w:val="0071769D"/>
    <w:rsid w:val="007176A6"/>
    <w:rsid w:val="007176FA"/>
    <w:rsid w:val="00717743"/>
    <w:rsid w:val="0071776C"/>
    <w:rsid w:val="0071787E"/>
    <w:rsid w:val="0071792C"/>
    <w:rsid w:val="00717989"/>
    <w:rsid w:val="0071798C"/>
    <w:rsid w:val="007179D2"/>
    <w:rsid w:val="00717AC3"/>
    <w:rsid w:val="00717AC5"/>
    <w:rsid w:val="00717B70"/>
    <w:rsid w:val="00717C00"/>
    <w:rsid w:val="00717C79"/>
    <w:rsid w:val="00717C8A"/>
    <w:rsid w:val="00717D55"/>
    <w:rsid w:val="00717EBA"/>
    <w:rsid w:val="00717EEC"/>
    <w:rsid w:val="00717EF1"/>
    <w:rsid w:val="00717F05"/>
    <w:rsid w:val="00717F57"/>
    <w:rsid w:val="00717F81"/>
    <w:rsid w:val="00717FB5"/>
    <w:rsid w:val="00717FDB"/>
    <w:rsid w:val="00720008"/>
    <w:rsid w:val="0072006D"/>
    <w:rsid w:val="00720074"/>
    <w:rsid w:val="0072007D"/>
    <w:rsid w:val="007200A5"/>
    <w:rsid w:val="00720176"/>
    <w:rsid w:val="007201D8"/>
    <w:rsid w:val="0072035B"/>
    <w:rsid w:val="00720387"/>
    <w:rsid w:val="007203F0"/>
    <w:rsid w:val="007204B1"/>
    <w:rsid w:val="007204DF"/>
    <w:rsid w:val="007204F7"/>
    <w:rsid w:val="0072056C"/>
    <w:rsid w:val="00720571"/>
    <w:rsid w:val="007205CD"/>
    <w:rsid w:val="00720642"/>
    <w:rsid w:val="0072066A"/>
    <w:rsid w:val="00720769"/>
    <w:rsid w:val="007207A3"/>
    <w:rsid w:val="007207B0"/>
    <w:rsid w:val="007207E8"/>
    <w:rsid w:val="0072082D"/>
    <w:rsid w:val="0072087F"/>
    <w:rsid w:val="007208D3"/>
    <w:rsid w:val="007209ED"/>
    <w:rsid w:val="00720A47"/>
    <w:rsid w:val="00720A4C"/>
    <w:rsid w:val="00720A77"/>
    <w:rsid w:val="00720ACB"/>
    <w:rsid w:val="00720AF3"/>
    <w:rsid w:val="00720B2A"/>
    <w:rsid w:val="00720B74"/>
    <w:rsid w:val="00720BBF"/>
    <w:rsid w:val="00720BEC"/>
    <w:rsid w:val="00720C5B"/>
    <w:rsid w:val="00720CB9"/>
    <w:rsid w:val="00720CCF"/>
    <w:rsid w:val="00720D0B"/>
    <w:rsid w:val="00720D44"/>
    <w:rsid w:val="00720E8F"/>
    <w:rsid w:val="00720F4A"/>
    <w:rsid w:val="00720FB7"/>
    <w:rsid w:val="00720FB9"/>
    <w:rsid w:val="007210ED"/>
    <w:rsid w:val="0072113D"/>
    <w:rsid w:val="00721148"/>
    <w:rsid w:val="007211BB"/>
    <w:rsid w:val="007211F5"/>
    <w:rsid w:val="00721295"/>
    <w:rsid w:val="00721377"/>
    <w:rsid w:val="00721416"/>
    <w:rsid w:val="00721618"/>
    <w:rsid w:val="007216A1"/>
    <w:rsid w:val="007216C6"/>
    <w:rsid w:val="007216C8"/>
    <w:rsid w:val="00721763"/>
    <w:rsid w:val="00721776"/>
    <w:rsid w:val="007217C7"/>
    <w:rsid w:val="007217EC"/>
    <w:rsid w:val="00721805"/>
    <w:rsid w:val="0072183A"/>
    <w:rsid w:val="0072193E"/>
    <w:rsid w:val="00721966"/>
    <w:rsid w:val="00721982"/>
    <w:rsid w:val="007219C4"/>
    <w:rsid w:val="007219E4"/>
    <w:rsid w:val="007219F8"/>
    <w:rsid w:val="007219FD"/>
    <w:rsid w:val="00721A16"/>
    <w:rsid w:val="00721A2F"/>
    <w:rsid w:val="00721A99"/>
    <w:rsid w:val="00721B88"/>
    <w:rsid w:val="00721BAB"/>
    <w:rsid w:val="00721DF0"/>
    <w:rsid w:val="00721F53"/>
    <w:rsid w:val="00722003"/>
    <w:rsid w:val="00722025"/>
    <w:rsid w:val="00722073"/>
    <w:rsid w:val="0072211D"/>
    <w:rsid w:val="007221B8"/>
    <w:rsid w:val="007221CC"/>
    <w:rsid w:val="007221DF"/>
    <w:rsid w:val="007222DB"/>
    <w:rsid w:val="007222F9"/>
    <w:rsid w:val="0072237E"/>
    <w:rsid w:val="0072248A"/>
    <w:rsid w:val="007224E8"/>
    <w:rsid w:val="00722533"/>
    <w:rsid w:val="0072255A"/>
    <w:rsid w:val="0072255E"/>
    <w:rsid w:val="00722584"/>
    <w:rsid w:val="00722647"/>
    <w:rsid w:val="007226BE"/>
    <w:rsid w:val="00722734"/>
    <w:rsid w:val="0072274A"/>
    <w:rsid w:val="007227A7"/>
    <w:rsid w:val="007227CB"/>
    <w:rsid w:val="007227E0"/>
    <w:rsid w:val="007227F2"/>
    <w:rsid w:val="007227F4"/>
    <w:rsid w:val="00722827"/>
    <w:rsid w:val="00722843"/>
    <w:rsid w:val="0072284D"/>
    <w:rsid w:val="007228A3"/>
    <w:rsid w:val="0072299A"/>
    <w:rsid w:val="00722A1C"/>
    <w:rsid w:val="00722A34"/>
    <w:rsid w:val="00722A47"/>
    <w:rsid w:val="00722A8B"/>
    <w:rsid w:val="00722AC7"/>
    <w:rsid w:val="00722B29"/>
    <w:rsid w:val="00722B48"/>
    <w:rsid w:val="00722B52"/>
    <w:rsid w:val="00722CE1"/>
    <w:rsid w:val="00722D41"/>
    <w:rsid w:val="00722D58"/>
    <w:rsid w:val="00722D7F"/>
    <w:rsid w:val="00722EDE"/>
    <w:rsid w:val="00722EFD"/>
    <w:rsid w:val="00722F75"/>
    <w:rsid w:val="00722FA7"/>
    <w:rsid w:val="00723006"/>
    <w:rsid w:val="00723017"/>
    <w:rsid w:val="00723076"/>
    <w:rsid w:val="007230C4"/>
    <w:rsid w:val="007230C7"/>
    <w:rsid w:val="007231C8"/>
    <w:rsid w:val="007231EA"/>
    <w:rsid w:val="007231F8"/>
    <w:rsid w:val="0072325C"/>
    <w:rsid w:val="007232C0"/>
    <w:rsid w:val="00723332"/>
    <w:rsid w:val="00723343"/>
    <w:rsid w:val="00723436"/>
    <w:rsid w:val="00723457"/>
    <w:rsid w:val="00723475"/>
    <w:rsid w:val="007234B6"/>
    <w:rsid w:val="007234CB"/>
    <w:rsid w:val="0072356D"/>
    <w:rsid w:val="007235C7"/>
    <w:rsid w:val="00723652"/>
    <w:rsid w:val="0072365C"/>
    <w:rsid w:val="007236AD"/>
    <w:rsid w:val="007236F4"/>
    <w:rsid w:val="0072371A"/>
    <w:rsid w:val="00723798"/>
    <w:rsid w:val="0072398C"/>
    <w:rsid w:val="00723990"/>
    <w:rsid w:val="007239B6"/>
    <w:rsid w:val="007239CF"/>
    <w:rsid w:val="00723A95"/>
    <w:rsid w:val="00723C12"/>
    <w:rsid w:val="00723C16"/>
    <w:rsid w:val="00723C4E"/>
    <w:rsid w:val="00723C8A"/>
    <w:rsid w:val="00723DE0"/>
    <w:rsid w:val="00723E2C"/>
    <w:rsid w:val="00723E7D"/>
    <w:rsid w:val="00723F70"/>
    <w:rsid w:val="00723F79"/>
    <w:rsid w:val="00723FC7"/>
    <w:rsid w:val="00723FD4"/>
    <w:rsid w:val="0072401A"/>
    <w:rsid w:val="00724075"/>
    <w:rsid w:val="00724171"/>
    <w:rsid w:val="00724224"/>
    <w:rsid w:val="00724257"/>
    <w:rsid w:val="0072428E"/>
    <w:rsid w:val="0072435F"/>
    <w:rsid w:val="007244FD"/>
    <w:rsid w:val="00724589"/>
    <w:rsid w:val="0072459C"/>
    <w:rsid w:val="007245EB"/>
    <w:rsid w:val="00724615"/>
    <w:rsid w:val="0072461B"/>
    <w:rsid w:val="00724663"/>
    <w:rsid w:val="007247B5"/>
    <w:rsid w:val="007247F0"/>
    <w:rsid w:val="0072486C"/>
    <w:rsid w:val="0072487B"/>
    <w:rsid w:val="00724888"/>
    <w:rsid w:val="007248B6"/>
    <w:rsid w:val="007249A3"/>
    <w:rsid w:val="007249A7"/>
    <w:rsid w:val="00724A64"/>
    <w:rsid w:val="00724AFE"/>
    <w:rsid w:val="00724B60"/>
    <w:rsid w:val="00724BEC"/>
    <w:rsid w:val="00724C14"/>
    <w:rsid w:val="00724D0C"/>
    <w:rsid w:val="00724D98"/>
    <w:rsid w:val="00724E68"/>
    <w:rsid w:val="00724E69"/>
    <w:rsid w:val="00724E75"/>
    <w:rsid w:val="00724EB9"/>
    <w:rsid w:val="00724EDF"/>
    <w:rsid w:val="00724EF0"/>
    <w:rsid w:val="00724EFC"/>
    <w:rsid w:val="00724F2D"/>
    <w:rsid w:val="00724F9D"/>
    <w:rsid w:val="00724FEB"/>
    <w:rsid w:val="00725001"/>
    <w:rsid w:val="0072501C"/>
    <w:rsid w:val="00725052"/>
    <w:rsid w:val="007250BD"/>
    <w:rsid w:val="0072517E"/>
    <w:rsid w:val="0072523C"/>
    <w:rsid w:val="0072526A"/>
    <w:rsid w:val="007252BA"/>
    <w:rsid w:val="0072536E"/>
    <w:rsid w:val="00725378"/>
    <w:rsid w:val="00725385"/>
    <w:rsid w:val="00725459"/>
    <w:rsid w:val="007254F8"/>
    <w:rsid w:val="00725562"/>
    <w:rsid w:val="007255BA"/>
    <w:rsid w:val="007255E8"/>
    <w:rsid w:val="00725602"/>
    <w:rsid w:val="00725666"/>
    <w:rsid w:val="00725673"/>
    <w:rsid w:val="007256BA"/>
    <w:rsid w:val="007256D2"/>
    <w:rsid w:val="007256F6"/>
    <w:rsid w:val="007256FF"/>
    <w:rsid w:val="00725780"/>
    <w:rsid w:val="00725785"/>
    <w:rsid w:val="00725830"/>
    <w:rsid w:val="007258BA"/>
    <w:rsid w:val="0072591E"/>
    <w:rsid w:val="0072593E"/>
    <w:rsid w:val="0072597B"/>
    <w:rsid w:val="00725A3F"/>
    <w:rsid w:val="00725A8C"/>
    <w:rsid w:val="00725B83"/>
    <w:rsid w:val="00725E6A"/>
    <w:rsid w:val="00725EAF"/>
    <w:rsid w:val="00725F57"/>
    <w:rsid w:val="00725F76"/>
    <w:rsid w:val="00725F85"/>
    <w:rsid w:val="00725FC5"/>
    <w:rsid w:val="00726001"/>
    <w:rsid w:val="0072608F"/>
    <w:rsid w:val="007260C0"/>
    <w:rsid w:val="00726122"/>
    <w:rsid w:val="00726243"/>
    <w:rsid w:val="0072626C"/>
    <w:rsid w:val="007262B2"/>
    <w:rsid w:val="0072631F"/>
    <w:rsid w:val="0072635B"/>
    <w:rsid w:val="0072638A"/>
    <w:rsid w:val="007263C6"/>
    <w:rsid w:val="00726441"/>
    <w:rsid w:val="00726458"/>
    <w:rsid w:val="0072647E"/>
    <w:rsid w:val="0072652D"/>
    <w:rsid w:val="0072653A"/>
    <w:rsid w:val="00726578"/>
    <w:rsid w:val="007265B7"/>
    <w:rsid w:val="0072661E"/>
    <w:rsid w:val="00726659"/>
    <w:rsid w:val="007267EF"/>
    <w:rsid w:val="00726807"/>
    <w:rsid w:val="0072690D"/>
    <w:rsid w:val="0072692F"/>
    <w:rsid w:val="00726940"/>
    <w:rsid w:val="0072695C"/>
    <w:rsid w:val="0072696C"/>
    <w:rsid w:val="00726A38"/>
    <w:rsid w:val="00726B0C"/>
    <w:rsid w:val="00726B10"/>
    <w:rsid w:val="00726B16"/>
    <w:rsid w:val="00726B35"/>
    <w:rsid w:val="00726B50"/>
    <w:rsid w:val="00726C08"/>
    <w:rsid w:val="00726C5B"/>
    <w:rsid w:val="00726C7B"/>
    <w:rsid w:val="00726C8D"/>
    <w:rsid w:val="00726CE0"/>
    <w:rsid w:val="00726CFB"/>
    <w:rsid w:val="00726D44"/>
    <w:rsid w:val="00726D75"/>
    <w:rsid w:val="00726EB5"/>
    <w:rsid w:val="00726EBC"/>
    <w:rsid w:val="00726F27"/>
    <w:rsid w:val="00726F96"/>
    <w:rsid w:val="00726FDC"/>
    <w:rsid w:val="00727032"/>
    <w:rsid w:val="0072704C"/>
    <w:rsid w:val="00727077"/>
    <w:rsid w:val="007271C3"/>
    <w:rsid w:val="007271DF"/>
    <w:rsid w:val="00727231"/>
    <w:rsid w:val="00727272"/>
    <w:rsid w:val="0072731A"/>
    <w:rsid w:val="0072739B"/>
    <w:rsid w:val="007273ED"/>
    <w:rsid w:val="007273F2"/>
    <w:rsid w:val="00727590"/>
    <w:rsid w:val="007275B5"/>
    <w:rsid w:val="007276D3"/>
    <w:rsid w:val="007276D6"/>
    <w:rsid w:val="007276F8"/>
    <w:rsid w:val="00727701"/>
    <w:rsid w:val="00727752"/>
    <w:rsid w:val="00727772"/>
    <w:rsid w:val="00727782"/>
    <w:rsid w:val="007277E2"/>
    <w:rsid w:val="00727807"/>
    <w:rsid w:val="0072787C"/>
    <w:rsid w:val="00727885"/>
    <w:rsid w:val="007278B3"/>
    <w:rsid w:val="007278E7"/>
    <w:rsid w:val="0072790C"/>
    <w:rsid w:val="00727930"/>
    <w:rsid w:val="00727938"/>
    <w:rsid w:val="00727952"/>
    <w:rsid w:val="00727A02"/>
    <w:rsid w:val="00727AC4"/>
    <w:rsid w:val="00727B05"/>
    <w:rsid w:val="00727B72"/>
    <w:rsid w:val="00727BC4"/>
    <w:rsid w:val="00727C95"/>
    <w:rsid w:val="00727D61"/>
    <w:rsid w:val="00727DBC"/>
    <w:rsid w:val="00727DF6"/>
    <w:rsid w:val="00727E03"/>
    <w:rsid w:val="00727EC7"/>
    <w:rsid w:val="00727F18"/>
    <w:rsid w:val="00727FE0"/>
    <w:rsid w:val="00730066"/>
    <w:rsid w:val="007300B9"/>
    <w:rsid w:val="00730134"/>
    <w:rsid w:val="0073013B"/>
    <w:rsid w:val="00730152"/>
    <w:rsid w:val="00730164"/>
    <w:rsid w:val="007301D5"/>
    <w:rsid w:val="007301F0"/>
    <w:rsid w:val="00730230"/>
    <w:rsid w:val="0073029F"/>
    <w:rsid w:val="00730303"/>
    <w:rsid w:val="007303C6"/>
    <w:rsid w:val="007303DF"/>
    <w:rsid w:val="007303EE"/>
    <w:rsid w:val="0073056A"/>
    <w:rsid w:val="0073057D"/>
    <w:rsid w:val="00730762"/>
    <w:rsid w:val="00730788"/>
    <w:rsid w:val="00730817"/>
    <w:rsid w:val="00730842"/>
    <w:rsid w:val="0073090C"/>
    <w:rsid w:val="0073092F"/>
    <w:rsid w:val="00730972"/>
    <w:rsid w:val="007309CB"/>
    <w:rsid w:val="00730AAC"/>
    <w:rsid w:val="00730AC5"/>
    <w:rsid w:val="00730AFF"/>
    <w:rsid w:val="00730B2D"/>
    <w:rsid w:val="00730B45"/>
    <w:rsid w:val="00730B64"/>
    <w:rsid w:val="00730B7E"/>
    <w:rsid w:val="00730BC3"/>
    <w:rsid w:val="00730C08"/>
    <w:rsid w:val="00730DFE"/>
    <w:rsid w:val="00730E6C"/>
    <w:rsid w:val="00730FA4"/>
    <w:rsid w:val="007310DD"/>
    <w:rsid w:val="007310E1"/>
    <w:rsid w:val="0073118F"/>
    <w:rsid w:val="00731236"/>
    <w:rsid w:val="00731423"/>
    <w:rsid w:val="00731431"/>
    <w:rsid w:val="0073146B"/>
    <w:rsid w:val="00731517"/>
    <w:rsid w:val="00731556"/>
    <w:rsid w:val="00731567"/>
    <w:rsid w:val="007315B1"/>
    <w:rsid w:val="007315DC"/>
    <w:rsid w:val="007315EF"/>
    <w:rsid w:val="00731620"/>
    <w:rsid w:val="0073163B"/>
    <w:rsid w:val="00731666"/>
    <w:rsid w:val="0073167A"/>
    <w:rsid w:val="0073173E"/>
    <w:rsid w:val="00731769"/>
    <w:rsid w:val="00731845"/>
    <w:rsid w:val="00731878"/>
    <w:rsid w:val="00731998"/>
    <w:rsid w:val="0073199A"/>
    <w:rsid w:val="00731A57"/>
    <w:rsid w:val="00731AB0"/>
    <w:rsid w:val="00731ABF"/>
    <w:rsid w:val="00731B11"/>
    <w:rsid w:val="00731B3D"/>
    <w:rsid w:val="00731B89"/>
    <w:rsid w:val="00731CD2"/>
    <w:rsid w:val="00731D58"/>
    <w:rsid w:val="00731D96"/>
    <w:rsid w:val="00731DF1"/>
    <w:rsid w:val="00731E62"/>
    <w:rsid w:val="00731E7F"/>
    <w:rsid w:val="00731F56"/>
    <w:rsid w:val="00731F7F"/>
    <w:rsid w:val="00732038"/>
    <w:rsid w:val="00732064"/>
    <w:rsid w:val="007320F2"/>
    <w:rsid w:val="007320FC"/>
    <w:rsid w:val="0073214D"/>
    <w:rsid w:val="0073219A"/>
    <w:rsid w:val="0073219B"/>
    <w:rsid w:val="007321A9"/>
    <w:rsid w:val="0073222B"/>
    <w:rsid w:val="0073224A"/>
    <w:rsid w:val="00732301"/>
    <w:rsid w:val="007323A9"/>
    <w:rsid w:val="007323CA"/>
    <w:rsid w:val="007323FE"/>
    <w:rsid w:val="0073242D"/>
    <w:rsid w:val="00732437"/>
    <w:rsid w:val="0073248F"/>
    <w:rsid w:val="007324BA"/>
    <w:rsid w:val="007324FB"/>
    <w:rsid w:val="00732691"/>
    <w:rsid w:val="00732699"/>
    <w:rsid w:val="007326B3"/>
    <w:rsid w:val="00732708"/>
    <w:rsid w:val="0073283C"/>
    <w:rsid w:val="00732863"/>
    <w:rsid w:val="007328A3"/>
    <w:rsid w:val="00732961"/>
    <w:rsid w:val="00732A91"/>
    <w:rsid w:val="00732B50"/>
    <w:rsid w:val="00732C14"/>
    <w:rsid w:val="00732CC0"/>
    <w:rsid w:val="00732D90"/>
    <w:rsid w:val="00732DB4"/>
    <w:rsid w:val="00732FDB"/>
    <w:rsid w:val="0073317B"/>
    <w:rsid w:val="007331C6"/>
    <w:rsid w:val="0073322B"/>
    <w:rsid w:val="00733261"/>
    <w:rsid w:val="00733482"/>
    <w:rsid w:val="007334FE"/>
    <w:rsid w:val="00733541"/>
    <w:rsid w:val="007335C5"/>
    <w:rsid w:val="007335D0"/>
    <w:rsid w:val="00733642"/>
    <w:rsid w:val="00733676"/>
    <w:rsid w:val="00733716"/>
    <w:rsid w:val="00733769"/>
    <w:rsid w:val="007337D8"/>
    <w:rsid w:val="007337DC"/>
    <w:rsid w:val="007337E4"/>
    <w:rsid w:val="00733800"/>
    <w:rsid w:val="0073383D"/>
    <w:rsid w:val="00733904"/>
    <w:rsid w:val="00733952"/>
    <w:rsid w:val="00733969"/>
    <w:rsid w:val="007339A4"/>
    <w:rsid w:val="007339FA"/>
    <w:rsid w:val="00733ABE"/>
    <w:rsid w:val="00733B92"/>
    <w:rsid w:val="00733B98"/>
    <w:rsid w:val="00733C5F"/>
    <w:rsid w:val="00733CAB"/>
    <w:rsid w:val="00733CB5"/>
    <w:rsid w:val="00733CE2"/>
    <w:rsid w:val="00733D96"/>
    <w:rsid w:val="00733E2F"/>
    <w:rsid w:val="00733E68"/>
    <w:rsid w:val="00733E6F"/>
    <w:rsid w:val="00733E7B"/>
    <w:rsid w:val="00733EB8"/>
    <w:rsid w:val="00733FC1"/>
    <w:rsid w:val="00734034"/>
    <w:rsid w:val="0073419C"/>
    <w:rsid w:val="007341B7"/>
    <w:rsid w:val="007341E9"/>
    <w:rsid w:val="0073421B"/>
    <w:rsid w:val="00734375"/>
    <w:rsid w:val="00734397"/>
    <w:rsid w:val="00734420"/>
    <w:rsid w:val="0073447E"/>
    <w:rsid w:val="007344C7"/>
    <w:rsid w:val="0073451A"/>
    <w:rsid w:val="0073455E"/>
    <w:rsid w:val="007345AE"/>
    <w:rsid w:val="007345E7"/>
    <w:rsid w:val="0073463A"/>
    <w:rsid w:val="0073466D"/>
    <w:rsid w:val="007346DA"/>
    <w:rsid w:val="007347D4"/>
    <w:rsid w:val="00734879"/>
    <w:rsid w:val="00734892"/>
    <w:rsid w:val="007348A4"/>
    <w:rsid w:val="007348C2"/>
    <w:rsid w:val="007348F7"/>
    <w:rsid w:val="00734996"/>
    <w:rsid w:val="00734A3A"/>
    <w:rsid w:val="00734B71"/>
    <w:rsid w:val="00734B7C"/>
    <w:rsid w:val="00734BE0"/>
    <w:rsid w:val="00734C46"/>
    <w:rsid w:val="00734C8D"/>
    <w:rsid w:val="00734D27"/>
    <w:rsid w:val="00734DD0"/>
    <w:rsid w:val="00734E03"/>
    <w:rsid w:val="00734E86"/>
    <w:rsid w:val="00734ED1"/>
    <w:rsid w:val="00734F1C"/>
    <w:rsid w:val="00734F2E"/>
    <w:rsid w:val="00734F56"/>
    <w:rsid w:val="0073502E"/>
    <w:rsid w:val="00735102"/>
    <w:rsid w:val="00735139"/>
    <w:rsid w:val="0073516C"/>
    <w:rsid w:val="007352B9"/>
    <w:rsid w:val="007352C4"/>
    <w:rsid w:val="00735392"/>
    <w:rsid w:val="00735479"/>
    <w:rsid w:val="007354C4"/>
    <w:rsid w:val="00735603"/>
    <w:rsid w:val="00735645"/>
    <w:rsid w:val="0073572C"/>
    <w:rsid w:val="0073576A"/>
    <w:rsid w:val="0073576E"/>
    <w:rsid w:val="007357C5"/>
    <w:rsid w:val="007357FC"/>
    <w:rsid w:val="0073588C"/>
    <w:rsid w:val="007358FF"/>
    <w:rsid w:val="00735A1B"/>
    <w:rsid w:val="00735BB8"/>
    <w:rsid w:val="00735C53"/>
    <w:rsid w:val="00735D12"/>
    <w:rsid w:val="00735DC5"/>
    <w:rsid w:val="00735E81"/>
    <w:rsid w:val="00735EA1"/>
    <w:rsid w:val="00735F14"/>
    <w:rsid w:val="00735F20"/>
    <w:rsid w:val="00736036"/>
    <w:rsid w:val="0073606B"/>
    <w:rsid w:val="007360FD"/>
    <w:rsid w:val="007361E1"/>
    <w:rsid w:val="007361F9"/>
    <w:rsid w:val="007362A3"/>
    <w:rsid w:val="007362E0"/>
    <w:rsid w:val="007362E7"/>
    <w:rsid w:val="007363A0"/>
    <w:rsid w:val="0073644B"/>
    <w:rsid w:val="0073653B"/>
    <w:rsid w:val="0073653C"/>
    <w:rsid w:val="00736574"/>
    <w:rsid w:val="00736664"/>
    <w:rsid w:val="0073677A"/>
    <w:rsid w:val="00736785"/>
    <w:rsid w:val="0073678E"/>
    <w:rsid w:val="0073679B"/>
    <w:rsid w:val="007367CC"/>
    <w:rsid w:val="00736952"/>
    <w:rsid w:val="00736997"/>
    <w:rsid w:val="00736B0F"/>
    <w:rsid w:val="00736B24"/>
    <w:rsid w:val="00736B29"/>
    <w:rsid w:val="00736B32"/>
    <w:rsid w:val="00736BA2"/>
    <w:rsid w:val="00736C31"/>
    <w:rsid w:val="00736CD8"/>
    <w:rsid w:val="00736D23"/>
    <w:rsid w:val="00736D6F"/>
    <w:rsid w:val="00736E19"/>
    <w:rsid w:val="00736E29"/>
    <w:rsid w:val="00736E45"/>
    <w:rsid w:val="00736E63"/>
    <w:rsid w:val="00736E89"/>
    <w:rsid w:val="00736EEF"/>
    <w:rsid w:val="00736F3C"/>
    <w:rsid w:val="00737000"/>
    <w:rsid w:val="00737152"/>
    <w:rsid w:val="007372EC"/>
    <w:rsid w:val="0073732A"/>
    <w:rsid w:val="00737367"/>
    <w:rsid w:val="0073742C"/>
    <w:rsid w:val="0073749D"/>
    <w:rsid w:val="007374A4"/>
    <w:rsid w:val="0073756E"/>
    <w:rsid w:val="007375D5"/>
    <w:rsid w:val="007375FA"/>
    <w:rsid w:val="007376BB"/>
    <w:rsid w:val="007376DF"/>
    <w:rsid w:val="00737753"/>
    <w:rsid w:val="007377F4"/>
    <w:rsid w:val="00737807"/>
    <w:rsid w:val="00737817"/>
    <w:rsid w:val="0073787B"/>
    <w:rsid w:val="007378B0"/>
    <w:rsid w:val="007378DA"/>
    <w:rsid w:val="007379F9"/>
    <w:rsid w:val="00737BD9"/>
    <w:rsid w:val="00737BE7"/>
    <w:rsid w:val="00737C30"/>
    <w:rsid w:val="00737C3D"/>
    <w:rsid w:val="00737C4C"/>
    <w:rsid w:val="00737CE2"/>
    <w:rsid w:val="00737D0B"/>
    <w:rsid w:val="00737D34"/>
    <w:rsid w:val="00737F21"/>
    <w:rsid w:val="00737FD0"/>
    <w:rsid w:val="0074004A"/>
    <w:rsid w:val="00740068"/>
    <w:rsid w:val="0074010B"/>
    <w:rsid w:val="0074010E"/>
    <w:rsid w:val="007401D3"/>
    <w:rsid w:val="0074021C"/>
    <w:rsid w:val="0074029A"/>
    <w:rsid w:val="0074029E"/>
    <w:rsid w:val="0074035D"/>
    <w:rsid w:val="00740366"/>
    <w:rsid w:val="00740456"/>
    <w:rsid w:val="007404E6"/>
    <w:rsid w:val="00740540"/>
    <w:rsid w:val="00740544"/>
    <w:rsid w:val="007405E0"/>
    <w:rsid w:val="00740605"/>
    <w:rsid w:val="00740625"/>
    <w:rsid w:val="0074064A"/>
    <w:rsid w:val="0074069B"/>
    <w:rsid w:val="007406FD"/>
    <w:rsid w:val="0074073A"/>
    <w:rsid w:val="00740775"/>
    <w:rsid w:val="00740779"/>
    <w:rsid w:val="007407B9"/>
    <w:rsid w:val="007408EC"/>
    <w:rsid w:val="007408F1"/>
    <w:rsid w:val="00740942"/>
    <w:rsid w:val="0074098E"/>
    <w:rsid w:val="00740A05"/>
    <w:rsid w:val="00740A53"/>
    <w:rsid w:val="00740A71"/>
    <w:rsid w:val="00740AD1"/>
    <w:rsid w:val="00740B65"/>
    <w:rsid w:val="00740BE9"/>
    <w:rsid w:val="00740C4B"/>
    <w:rsid w:val="00740CC9"/>
    <w:rsid w:val="00740D75"/>
    <w:rsid w:val="00740DE6"/>
    <w:rsid w:val="00740E3E"/>
    <w:rsid w:val="00740EE5"/>
    <w:rsid w:val="00740F0D"/>
    <w:rsid w:val="00740FAD"/>
    <w:rsid w:val="00740FCB"/>
    <w:rsid w:val="00740FEE"/>
    <w:rsid w:val="007410CD"/>
    <w:rsid w:val="00741196"/>
    <w:rsid w:val="007411E8"/>
    <w:rsid w:val="00741238"/>
    <w:rsid w:val="00741299"/>
    <w:rsid w:val="0074138F"/>
    <w:rsid w:val="00741481"/>
    <w:rsid w:val="00741499"/>
    <w:rsid w:val="007414E2"/>
    <w:rsid w:val="0074152F"/>
    <w:rsid w:val="00741699"/>
    <w:rsid w:val="007416E2"/>
    <w:rsid w:val="0074173E"/>
    <w:rsid w:val="007417A0"/>
    <w:rsid w:val="00741875"/>
    <w:rsid w:val="00741956"/>
    <w:rsid w:val="0074196F"/>
    <w:rsid w:val="00741995"/>
    <w:rsid w:val="007419B6"/>
    <w:rsid w:val="007419B8"/>
    <w:rsid w:val="007419F8"/>
    <w:rsid w:val="00741A19"/>
    <w:rsid w:val="00741A39"/>
    <w:rsid w:val="00741AA5"/>
    <w:rsid w:val="00741AE9"/>
    <w:rsid w:val="00741B4E"/>
    <w:rsid w:val="00741BAE"/>
    <w:rsid w:val="00741BBF"/>
    <w:rsid w:val="00741BDD"/>
    <w:rsid w:val="00741C22"/>
    <w:rsid w:val="00741CD0"/>
    <w:rsid w:val="00741D09"/>
    <w:rsid w:val="00741D69"/>
    <w:rsid w:val="00741DC7"/>
    <w:rsid w:val="00741F15"/>
    <w:rsid w:val="00741F48"/>
    <w:rsid w:val="00741F4B"/>
    <w:rsid w:val="007420BF"/>
    <w:rsid w:val="007420C0"/>
    <w:rsid w:val="00742113"/>
    <w:rsid w:val="0074211C"/>
    <w:rsid w:val="00742151"/>
    <w:rsid w:val="00742154"/>
    <w:rsid w:val="007421D9"/>
    <w:rsid w:val="00742206"/>
    <w:rsid w:val="00742224"/>
    <w:rsid w:val="00742370"/>
    <w:rsid w:val="00742390"/>
    <w:rsid w:val="0074245A"/>
    <w:rsid w:val="00742483"/>
    <w:rsid w:val="007424F8"/>
    <w:rsid w:val="0074252A"/>
    <w:rsid w:val="00742582"/>
    <w:rsid w:val="00742603"/>
    <w:rsid w:val="00742646"/>
    <w:rsid w:val="0074271C"/>
    <w:rsid w:val="00742738"/>
    <w:rsid w:val="00742744"/>
    <w:rsid w:val="0074288A"/>
    <w:rsid w:val="007428E5"/>
    <w:rsid w:val="00742990"/>
    <w:rsid w:val="007429AA"/>
    <w:rsid w:val="007429FD"/>
    <w:rsid w:val="00742A35"/>
    <w:rsid w:val="00742A9F"/>
    <w:rsid w:val="00742B05"/>
    <w:rsid w:val="00742CCD"/>
    <w:rsid w:val="00742DAB"/>
    <w:rsid w:val="00742DF1"/>
    <w:rsid w:val="00742E51"/>
    <w:rsid w:val="00742F23"/>
    <w:rsid w:val="00742F56"/>
    <w:rsid w:val="007430A5"/>
    <w:rsid w:val="0074316A"/>
    <w:rsid w:val="0074320C"/>
    <w:rsid w:val="0074326F"/>
    <w:rsid w:val="007432B2"/>
    <w:rsid w:val="007432C6"/>
    <w:rsid w:val="007433DA"/>
    <w:rsid w:val="00743447"/>
    <w:rsid w:val="0074344F"/>
    <w:rsid w:val="0074345D"/>
    <w:rsid w:val="00743492"/>
    <w:rsid w:val="00743598"/>
    <w:rsid w:val="007435ED"/>
    <w:rsid w:val="007436E4"/>
    <w:rsid w:val="00743831"/>
    <w:rsid w:val="0074398E"/>
    <w:rsid w:val="007439F3"/>
    <w:rsid w:val="00743A0B"/>
    <w:rsid w:val="00743A94"/>
    <w:rsid w:val="00743AA0"/>
    <w:rsid w:val="00743B19"/>
    <w:rsid w:val="00743C0F"/>
    <w:rsid w:val="00743C71"/>
    <w:rsid w:val="00743C82"/>
    <w:rsid w:val="00743D1B"/>
    <w:rsid w:val="00743DA8"/>
    <w:rsid w:val="00743E7C"/>
    <w:rsid w:val="00743F34"/>
    <w:rsid w:val="00743F59"/>
    <w:rsid w:val="00743FD5"/>
    <w:rsid w:val="0074403E"/>
    <w:rsid w:val="007440BB"/>
    <w:rsid w:val="007440DC"/>
    <w:rsid w:val="00744193"/>
    <w:rsid w:val="0074426E"/>
    <w:rsid w:val="007442E5"/>
    <w:rsid w:val="007442FF"/>
    <w:rsid w:val="007443AC"/>
    <w:rsid w:val="007443D8"/>
    <w:rsid w:val="0074453C"/>
    <w:rsid w:val="00744570"/>
    <w:rsid w:val="007445D6"/>
    <w:rsid w:val="007445DC"/>
    <w:rsid w:val="007446DC"/>
    <w:rsid w:val="007446F9"/>
    <w:rsid w:val="007446FE"/>
    <w:rsid w:val="0074471F"/>
    <w:rsid w:val="00744735"/>
    <w:rsid w:val="0074473C"/>
    <w:rsid w:val="0074478B"/>
    <w:rsid w:val="007447CF"/>
    <w:rsid w:val="007447FF"/>
    <w:rsid w:val="00744825"/>
    <w:rsid w:val="0074489C"/>
    <w:rsid w:val="00744A5B"/>
    <w:rsid w:val="00744BD0"/>
    <w:rsid w:val="00744C2B"/>
    <w:rsid w:val="00744CC2"/>
    <w:rsid w:val="00744CEC"/>
    <w:rsid w:val="00744D10"/>
    <w:rsid w:val="00744DAE"/>
    <w:rsid w:val="00744E0F"/>
    <w:rsid w:val="00744F28"/>
    <w:rsid w:val="00744F41"/>
    <w:rsid w:val="00744F73"/>
    <w:rsid w:val="00744FC4"/>
    <w:rsid w:val="00745021"/>
    <w:rsid w:val="00745062"/>
    <w:rsid w:val="007450BF"/>
    <w:rsid w:val="007450E1"/>
    <w:rsid w:val="00745120"/>
    <w:rsid w:val="00745171"/>
    <w:rsid w:val="00745184"/>
    <w:rsid w:val="007451ED"/>
    <w:rsid w:val="00745279"/>
    <w:rsid w:val="00745285"/>
    <w:rsid w:val="007452B0"/>
    <w:rsid w:val="007452D0"/>
    <w:rsid w:val="007452E1"/>
    <w:rsid w:val="007452EA"/>
    <w:rsid w:val="00745321"/>
    <w:rsid w:val="00745457"/>
    <w:rsid w:val="00745476"/>
    <w:rsid w:val="007454B1"/>
    <w:rsid w:val="00745517"/>
    <w:rsid w:val="0074558A"/>
    <w:rsid w:val="0074567A"/>
    <w:rsid w:val="0074568A"/>
    <w:rsid w:val="00745731"/>
    <w:rsid w:val="007457AD"/>
    <w:rsid w:val="007458AF"/>
    <w:rsid w:val="007458FD"/>
    <w:rsid w:val="0074593A"/>
    <w:rsid w:val="007459EF"/>
    <w:rsid w:val="00745A5C"/>
    <w:rsid w:val="00745BFA"/>
    <w:rsid w:val="00745C45"/>
    <w:rsid w:val="00745C5A"/>
    <w:rsid w:val="00745C8A"/>
    <w:rsid w:val="00745D0B"/>
    <w:rsid w:val="00745DB1"/>
    <w:rsid w:val="00745DFF"/>
    <w:rsid w:val="00745EDA"/>
    <w:rsid w:val="00745F3E"/>
    <w:rsid w:val="00746062"/>
    <w:rsid w:val="007460C9"/>
    <w:rsid w:val="00746143"/>
    <w:rsid w:val="007461B4"/>
    <w:rsid w:val="007461C7"/>
    <w:rsid w:val="007461E0"/>
    <w:rsid w:val="007461EA"/>
    <w:rsid w:val="00746277"/>
    <w:rsid w:val="0074627D"/>
    <w:rsid w:val="007462B4"/>
    <w:rsid w:val="00746355"/>
    <w:rsid w:val="0074650D"/>
    <w:rsid w:val="007465CD"/>
    <w:rsid w:val="007465E0"/>
    <w:rsid w:val="00746670"/>
    <w:rsid w:val="00746699"/>
    <w:rsid w:val="007466C2"/>
    <w:rsid w:val="007466DC"/>
    <w:rsid w:val="00746744"/>
    <w:rsid w:val="00746789"/>
    <w:rsid w:val="00746790"/>
    <w:rsid w:val="00746797"/>
    <w:rsid w:val="007467FF"/>
    <w:rsid w:val="007468B9"/>
    <w:rsid w:val="0074690B"/>
    <w:rsid w:val="0074694C"/>
    <w:rsid w:val="00746952"/>
    <w:rsid w:val="00746970"/>
    <w:rsid w:val="00746974"/>
    <w:rsid w:val="007469B1"/>
    <w:rsid w:val="00746A60"/>
    <w:rsid w:val="00746A61"/>
    <w:rsid w:val="00746AD1"/>
    <w:rsid w:val="00746C3F"/>
    <w:rsid w:val="00746CB4"/>
    <w:rsid w:val="00746CFB"/>
    <w:rsid w:val="00746D92"/>
    <w:rsid w:val="00746E3A"/>
    <w:rsid w:val="00746E6D"/>
    <w:rsid w:val="00747014"/>
    <w:rsid w:val="0074704C"/>
    <w:rsid w:val="007470A4"/>
    <w:rsid w:val="007470E7"/>
    <w:rsid w:val="00747147"/>
    <w:rsid w:val="007471FC"/>
    <w:rsid w:val="00747221"/>
    <w:rsid w:val="00747335"/>
    <w:rsid w:val="00747387"/>
    <w:rsid w:val="007473C1"/>
    <w:rsid w:val="0074740E"/>
    <w:rsid w:val="0074756A"/>
    <w:rsid w:val="00747582"/>
    <w:rsid w:val="007475D6"/>
    <w:rsid w:val="00747609"/>
    <w:rsid w:val="0074760F"/>
    <w:rsid w:val="00747645"/>
    <w:rsid w:val="007476DC"/>
    <w:rsid w:val="00747744"/>
    <w:rsid w:val="007477AE"/>
    <w:rsid w:val="00747852"/>
    <w:rsid w:val="0074786F"/>
    <w:rsid w:val="007478B5"/>
    <w:rsid w:val="007478E4"/>
    <w:rsid w:val="00747985"/>
    <w:rsid w:val="007479F1"/>
    <w:rsid w:val="00747A18"/>
    <w:rsid w:val="00747A5F"/>
    <w:rsid w:val="00747A68"/>
    <w:rsid w:val="00747BF9"/>
    <w:rsid w:val="00747C0E"/>
    <w:rsid w:val="00747C19"/>
    <w:rsid w:val="00747C62"/>
    <w:rsid w:val="00747D8C"/>
    <w:rsid w:val="00747E4B"/>
    <w:rsid w:val="00747ED9"/>
    <w:rsid w:val="00747F2E"/>
    <w:rsid w:val="00750032"/>
    <w:rsid w:val="0075003A"/>
    <w:rsid w:val="007500C7"/>
    <w:rsid w:val="0075013C"/>
    <w:rsid w:val="0075020F"/>
    <w:rsid w:val="00750260"/>
    <w:rsid w:val="007502C1"/>
    <w:rsid w:val="00750318"/>
    <w:rsid w:val="0075040C"/>
    <w:rsid w:val="00750479"/>
    <w:rsid w:val="00750480"/>
    <w:rsid w:val="00750498"/>
    <w:rsid w:val="007504B1"/>
    <w:rsid w:val="0075051D"/>
    <w:rsid w:val="007506A2"/>
    <w:rsid w:val="007506BB"/>
    <w:rsid w:val="00750770"/>
    <w:rsid w:val="00750822"/>
    <w:rsid w:val="00750837"/>
    <w:rsid w:val="0075085F"/>
    <w:rsid w:val="0075094C"/>
    <w:rsid w:val="00750A24"/>
    <w:rsid w:val="00750B23"/>
    <w:rsid w:val="00750B6B"/>
    <w:rsid w:val="00750B8E"/>
    <w:rsid w:val="00750B98"/>
    <w:rsid w:val="00750CCA"/>
    <w:rsid w:val="00750CD5"/>
    <w:rsid w:val="00750E01"/>
    <w:rsid w:val="00750EBE"/>
    <w:rsid w:val="00750F07"/>
    <w:rsid w:val="00750FE3"/>
    <w:rsid w:val="00751019"/>
    <w:rsid w:val="00751022"/>
    <w:rsid w:val="0075106E"/>
    <w:rsid w:val="00751074"/>
    <w:rsid w:val="007510A7"/>
    <w:rsid w:val="007511DA"/>
    <w:rsid w:val="007511E4"/>
    <w:rsid w:val="00751246"/>
    <w:rsid w:val="0075124E"/>
    <w:rsid w:val="007512C3"/>
    <w:rsid w:val="007512D4"/>
    <w:rsid w:val="0075130A"/>
    <w:rsid w:val="0075135B"/>
    <w:rsid w:val="007513B0"/>
    <w:rsid w:val="00751422"/>
    <w:rsid w:val="00751549"/>
    <w:rsid w:val="007516F4"/>
    <w:rsid w:val="00751789"/>
    <w:rsid w:val="00751815"/>
    <w:rsid w:val="00751865"/>
    <w:rsid w:val="00751879"/>
    <w:rsid w:val="007518BE"/>
    <w:rsid w:val="007518D1"/>
    <w:rsid w:val="00751922"/>
    <w:rsid w:val="00751928"/>
    <w:rsid w:val="0075199C"/>
    <w:rsid w:val="007519B8"/>
    <w:rsid w:val="00751B44"/>
    <w:rsid w:val="00751BA7"/>
    <w:rsid w:val="00751C2A"/>
    <w:rsid w:val="00751C51"/>
    <w:rsid w:val="00751C9A"/>
    <w:rsid w:val="00751CF8"/>
    <w:rsid w:val="00751E5E"/>
    <w:rsid w:val="00751ED1"/>
    <w:rsid w:val="00751F25"/>
    <w:rsid w:val="00751FF4"/>
    <w:rsid w:val="00752234"/>
    <w:rsid w:val="00752289"/>
    <w:rsid w:val="007522AA"/>
    <w:rsid w:val="007522B7"/>
    <w:rsid w:val="00752444"/>
    <w:rsid w:val="00752484"/>
    <w:rsid w:val="00752499"/>
    <w:rsid w:val="007524BD"/>
    <w:rsid w:val="007525D8"/>
    <w:rsid w:val="007525E1"/>
    <w:rsid w:val="007525F7"/>
    <w:rsid w:val="00752624"/>
    <w:rsid w:val="00752633"/>
    <w:rsid w:val="0075263D"/>
    <w:rsid w:val="00752672"/>
    <w:rsid w:val="007526DB"/>
    <w:rsid w:val="0075273A"/>
    <w:rsid w:val="0075275A"/>
    <w:rsid w:val="00752853"/>
    <w:rsid w:val="007529CE"/>
    <w:rsid w:val="00752A88"/>
    <w:rsid w:val="00752A98"/>
    <w:rsid w:val="00752A99"/>
    <w:rsid w:val="00752BBC"/>
    <w:rsid w:val="00752CE6"/>
    <w:rsid w:val="00752D06"/>
    <w:rsid w:val="00752D99"/>
    <w:rsid w:val="00752EE3"/>
    <w:rsid w:val="00752FAE"/>
    <w:rsid w:val="007530C7"/>
    <w:rsid w:val="007530FC"/>
    <w:rsid w:val="00753120"/>
    <w:rsid w:val="00753142"/>
    <w:rsid w:val="00753180"/>
    <w:rsid w:val="0075318A"/>
    <w:rsid w:val="007533E8"/>
    <w:rsid w:val="007533F9"/>
    <w:rsid w:val="0075345C"/>
    <w:rsid w:val="00753537"/>
    <w:rsid w:val="0075358A"/>
    <w:rsid w:val="00753598"/>
    <w:rsid w:val="007535B3"/>
    <w:rsid w:val="007535C1"/>
    <w:rsid w:val="007535EC"/>
    <w:rsid w:val="007535F0"/>
    <w:rsid w:val="0075361C"/>
    <w:rsid w:val="0075362D"/>
    <w:rsid w:val="00753648"/>
    <w:rsid w:val="00753664"/>
    <w:rsid w:val="0075366C"/>
    <w:rsid w:val="0075366E"/>
    <w:rsid w:val="007536F0"/>
    <w:rsid w:val="0075381A"/>
    <w:rsid w:val="00753842"/>
    <w:rsid w:val="00753930"/>
    <w:rsid w:val="00753961"/>
    <w:rsid w:val="007539C4"/>
    <w:rsid w:val="007539E6"/>
    <w:rsid w:val="00753A34"/>
    <w:rsid w:val="00753A8F"/>
    <w:rsid w:val="00753A9A"/>
    <w:rsid w:val="00753ABC"/>
    <w:rsid w:val="00753BC2"/>
    <w:rsid w:val="00753BC5"/>
    <w:rsid w:val="00753C29"/>
    <w:rsid w:val="00753CB4"/>
    <w:rsid w:val="00753E13"/>
    <w:rsid w:val="00753E4A"/>
    <w:rsid w:val="00753F52"/>
    <w:rsid w:val="00754007"/>
    <w:rsid w:val="00754031"/>
    <w:rsid w:val="00754159"/>
    <w:rsid w:val="0075415B"/>
    <w:rsid w:val="007541A3"/>
    <w:rsid w:val="007541CD"/>
    <w:rsid w:val="0075433D"/>
    <w:rsid w:val="0075448A"/>
    <w:rsid w:val="00754497"/>
    <w:rsid w:val="0075450E"/>
    <w:rsid w:val="00754596"/>
    <w:rsid w:val="00754613"/>
    <w:rsid w:val="00754678"/>
    <w:rsid w:val="00754746"/>
    <w:rsid w:val="0075482A"/>
    <w:rsid w:val="007548F3"/>
    <w:rsid w:val="00754945"/>
    <w:rsid w:val="00754A30"/>
    <w:rsid w:val="00754ABB"/>
    <w:rsid w:val="00754B0F"/>
    <w:rsid w:val="00754D3D"/>
    <w:rsid w:val="00754DE7"/>
    <w:rsid w:val="00754E3E"/>
    <w:rsid w:val="00754EDB"/>
    <w:rsid w:val="00754EDE"/>
    <w:rsid w:val="00754EF0"/>
    <w:rsid w:val="00754EF9"/>
    <w:rsid w:val="00754F0E"/>
    <w:rsid w:val="00754F26"/>
    <w:rsid w:val="00754FF0"/>
    <w:rsid w:val="00754FF2"/>
    <w:rsid w:val="00755008"/>
    <w:rsid w:val="00755038"/>
    <w:rsid w:val="007550FC"/>
    <w:rsid w:val="0075518F"/>
    <w:rsid w:val="007551F2"/>
    <w:rsid w:val="00755366"/>
    <w:rsid w:val="00755379"/>
    <w:rsid w:val="007553FF"/>
    <w:rsid w:val="0075541E"/>
    <w:rsid w:val="007554B2"/>
    <w:rsid w:val="007554B3"/>
    <w:rsid w:val="007554F5"/>
    <w:rsid w:val="00755513"/>
    <w:rsid w:val="00755662"/>
    <w:rsid w:val="0075567C"/>
    <w:rsid w:val="0075569B"/>
    <w:rsid w:val="007556B1"/>
    <w:rsid w:val="00755708"/>
    <w:rsid w:val="0075574D"/>
    <w:rsid w:val="007557C8"/>
    <w:rsid w:val="007557E0"/>
    <w:rsid w:val="00755853"/>
    <w:rsid w:val="007558A0"/>
    <w:rsid w:val="007558CA"/>
    <w:rsid w:val="007558D8"/>
    <w:rsid w:val="00755921"/>
    <w:rsid w:val="00755A36"/>
    <w:rsid w:val="00755ADC"/>
    <w:rsid w:val="00755BDD"/>
    <w:rsid w:val="00755C48"/>
    <w:rsid w:val="00755C4D"/>
    <w:rsid w:val="00755CB6"/>
    <w:rsid w:val="00755CF1"/>
    <w:rsid w:val="00755D12"/>
    <w:rsid w:val="00755D55"/>
    <w:rsid w:val="00755D96"/>
    <w:rsid w:val="00755EAE"/>
    <w:rsid w:val="00755F1F"/>
    <w:rsid w:val="00755F22"/>
    <w:rsid w:val="00755F5E"/>
    <w:rsid w:val="00755F8B"/>
    <w:rsid w:val="007560F6"/>
    <w:rsid w:val="00756113"/>
    <w:rsid w:val="0075618E"/>
    <w:rsid w:val="007561F8"/>
    <w:rsid w:val="00756209"/>
    <w:rsid w:val="007562A5"/>
    <w:rsid w:val="007562C9"/>
    <w:rsid w:val="0075630A"/>
    <w:rsid w:val="00756388"/>
    <w:rsid w:val="007563B8"/>
    <w:rsid w:val="007563CE"/>
    <w:rsid w:val="00756496"/>
    <w:rsid w:val="007564DC"/>
    <w:rsid w:val="007564E6"/>
    <w:rsid w:val="007564F5"/>
    <w:rsid w:val="00756541"/>
    <w:rsid w:val="0075660A"/>
    <w:rsid w:val="00756620"/>
    <w:rsid w:val="00756654"/>
    <w:rsid w:val="0075667F"/>
    <w:rsid w:val="007566B4"/>
    <w:rsid w:val="00756792"/>
    <w:rsid w:val="00756830"/>
    <w:rsid w:val="0075685E"/>
    <w:rsid w:val="0075687C"/>
    <w:rsid w:val="007568A9"/>
    <w:rsid w:val="0075694C"/>
    <w:rsid w:val="00756993"/>
    <w:rsid w:val="007569AE"/>
    <w:rsid w:val="007569E1"/>
    <w:rsid w:val="007569E2"/>
    <w:rsid w:val="00756A48"/>
    <w:rsid w:val="00756A51"/>
    <w:rsid w:val="00756A66"/>
    <w:rsid w:val="00756A8C"/>
    <w:rsid w:val="00756B12"/>
    <w:rsid w:val="00756B5D"/>
    <w:rsid w:val="00756B90"/>
    <w:rsid w:val="00756BF0"/>
    <w:rsid w:val="00756BF9"/>
    <w:rsid w:val="00756C0F"/>
    <w:rsid w:val="00756CAA"/>
    <w:rsid w:val="00756CBB"/>
    <w:rsid w:val="00756D28"/>
    <w:rsid w:val="00756EF3"/>
    <w:rsid w:val="007570F9"/>
    <w:rsid w:val="00757102"/>
    <w:rsid w:val="00757194"/>
    <w:rsid w:val="007571AC"/>
    <w:rsid w:val="007571E3"/>
    <w:rsid w:val="0075721F"/>
    <w:rsid w:val="00757276"/>
    <w:rsid w:val="00757401"/>
    <w:rsid w:val="0075742A"/>
    <w:rsid w:val="0075744C"/>
    <w:rsid w:val="00757518"/>
    <w:rsid w:val="0075751A"/>
    <w:rsid w:val="0075758A"/>
    <w:rsid w:val="0075761B"/>
    <w:rsid w:val="00757707"/>
    <w:rsid w:val="00757796"/>
    <w:rsid w:val="00757817"/>
    <w:rsid w:val="00757890"/>
    <w:rsid w:val="007578AE"/>
    <w:rsid w:val="007578D2"/>
    <w:rsid w:val="00757908"/>
    <w:rsid w:val="007579D5"/>
    <w:rsid w:val="00757AD9"/>
    <w:rsid w:val="00757B6D"/>
    <w:rsid w:val="00757B93"/>
    <w:rsid w:val="00757BEB"/>
    <w:rsid w:val="00757C18"/>
    <w:rsid w:val="00757C1E"/>
    <w:rsid w:val="00757C45"/>
    <w:rsid w:val="00757C57"/>
    <w:rsid w:val="00757CCE"/>
    <w:rsid w:val="00757CDA"/>
    <w:rsid w:val="00757CEE"/>
    <w:rsid w:val="00757D3A"/>
    <w:rsid w:val="00757E35"/>
    <w:rsid w:val="00757E6A"/>
    <w:rsid w:val="00757E8A"/>
    <w:rsid w:val="00757F2C"/>
    <w:rsid w:val="00757F3E"/>
    <w:rsid w:val="0076006E"/>
    <w:rsid w:val="00760076"/>
    <w:rsid w:val="00760091"/>
    <w:rsid w:val="007600B8"/>
    <w:rsid w:val="00760117"/>
    <w:rsid w:val="00760225"/>
    <w:rsid w:val="00760265"/>
    <w:rsid w:val="0076026D"/>
    <w:rsid w:val="00760291"/>
    <w:rsid w:val="007602AE"/>
    <w:rsid w:val="007602F5"/>
    <w:rsid w:val="007603DC"/>
    <w:rsid w:val="00760439"/>
    <w:rsid w:val="007604A5"/>
    <w:rsid w:val="00760540"/>
    <w:rsid w:val="007605D6"/>
    <w:rsid w:val="007606DA"/>
    <w:rsid w:val="007606EF"/>
    <w:rsid w:val="00760757"/>
    <w:rsid w:val="00760767"/>
    <w:rsid w:val="0076078B"/>
    <w:rsid w:val="007607D6"/>
    <w:rsid w:val="00760819"/>
    <w:rsid w:val="0076084D"/>
    <w:rsid w:val="007608E4"/>
    <w:rsid w:val="00760BC1"/>
    <w:rsid w:val="00760DC8"/>
    <w:rsid w:val="00760DD8"/>
    <w:rsid w:val="00760E23"/>
    <w:rsid w:val="00760EC9"/>
    <w:rsid w:val="00760F26"/>
    <w:rsid w:val="00760F34"/>
    <w:rsid w:val="00760F9B"/>
    <w:rsid w:val="00761143"/>
    <w:rsid w:val="00761153"/>
    <w:rsid w:val="007611CB"/>
    <w:rsid w:val="0076124C"/>
    <w:rsid w:val="0076138E"/>
    <w:rsid w:val="007613FA"/>
    <w:rsid w:val="007613FB"/>
    <w:rsid w:val="00761441"/>
    <w:rsid w:val="007614C3"/>
    <w:rsid w:val="007614F9"/>
    <w:rsid w:val="0076156F"/>
    <w:rsid w:val="007615CD"/>
    <w:rsid w:val="0076167E"/>
    <w:rsid w:val="0076172C"/>
    <w:rsid w:val="0076175C"/>
    <w:rsid w:val="007617C6"/>
    <w:rsid w:val="00761865"/>
    <w:rsid w:val="0076188E"/>
    <w:rsid w:val="007618D7"/>
    <w:rsid w:val="00761915"/>
    <w:rsid w:val="00761974"/>
    <w:rsid w:val="00761AB8"/>
    <w:rsid w:val="00761B20"/>
    <w:rsid w:val="00761C9B"/>
    <w:rsid w:val="00761C9D"/>
    <w:rsid w:val="00761CAE"/>
    <w:rsid w:val="00761CD2"/>
    <w:rsid w:val="00761D65"/>
    <w:rsid w:val="00761DDF"/>
    <w:rsid w:val="00761DF8"/>
    <w:rsid w:val="00761E80"/>
    <w:rsid w:val="00761EAD"/>
    <w:rsid w:val="00761EE0"/>
    <w:rsid w:val="00761FE1"/>
    <w:rsid w:val="00762000"/>
    <w:rsid w:val="007620A7"/>
    <w:rsid w:val="007620B1"/>
    <w:rsid w:val="007620C7"/>
    <w:rsid w:val="0076211B"/>
    <w:rsid w:val="0076212D"/>
    <w:rsid w:val="007621B4"/>
    <w:rsid w:val="007621EC"/>
    <w:rsid w:val="00762263"/>
    <w:rsid w:val="007622AE"/>
    <w:rsid w:val="00762344"/>
    <w:rsid w:val="00762371"/>
    <w:rsid w:val="007624B1"/>
    <w:rsid w:val="00762539"/>
    <w:rsid w:val="007625C3"/>
    <w:rsid w:val="007625E5"/>
    <w:rsid w:val="007626FA"/>
    <w:rsid w:val="00762709"/>
    <w:rsid w:val="007627C1"/>
    <w:rsid w:val="0076281E"/>
    <w:rsid w:val="00762856"/>
    <w:rsid w:val="00762895"/>
    <w:rsid w:val="0076298C"/>
    <w:rsid w:val="007629C1"/>
    <w:rsid w:val="00762A35"/>
    <w:rsid w:val="00762A5A"/>
    <w:rsid w:val="00762B52"/>
    <w:rsid w:val="00762BAB"/>
    <w:rsid w:val="00762BC9"/>
    <w:rsid w:val="00762BF4"/>
    <w:rsid w:val="00762C0B"/>
    <w:rsid w:val="00762C77"/>
    <w:rsid w:val="00762E15"/>
    <w:rsid w:val="00762EAA"/>
    <w:rsid w:val="00762EE1"/>
    <w:rsid w:val="0076304E"/>
    <w:rsid w:val="0076304F"/>
    <w:rsid w:val="007630C7"/>
    <w:rsid w:val="00763121"/>
    <w:rsid w:val="00763184"/>
    <w:rsid w:val="00763207"/>
    <w:rsid w:val="0076320E"/>
    <w:rsid w:val="007632B0"/>
    <w:rsid w:val="00763319"/>
    <w:rsid w:val="0076337E"/>
    <w:rsid w:val="007633C2"/>
    <w:rsid w:val="00763485"/>
    <w:rsid w:val="00763486"/>
    <w:rsid w:val="007634F5"/>
    <w:rsid w:val="00763531"/>
    <w:rsid w:val="00763607"/>
    <w:rsid w:val="00763611"/>
    <w:rsid w:val="00763614"/>
    <w:rsid w:val="00763630"/>
    <w:rsid w:val="007636A5"/>
    <w:rsid w:val="0076371F"/>
    <w:rsid w:val="00763769"/>
    <w:rsid w:val="00763861"/>
    <w:rsid w:val="0076386D"/>
    <w:rsid w:val="007638BE"/>
    <w:rsid w:val="007638E5"/>
    <w:rsid w:val="00763983"/>
    <w:rsid w:val="00763A2F"/>
    <w:rsid w:val="00763ABC"/>
    <w:rsid w:val="00763AD2"/>
    <w:rsid w:val="00763B79"/>
    <w:rsid w:val="00763B8E"/>
    <w:rsid w:val="00763CB9"/>
    <w:rsid w:val="00763CF6"/>
    <w:rsid w:val="00763D63"/>
    <w:rsid w:val="00763D9D"/>
    <w:rsid w:val="00763DAC"/>
    <w:rsid w:val="00763F27"/>
    <w:rsid w:val="00763FA2"/>
    <w:rsid w:val="00763FB2"/>
    <w:rsid w:val="00764042"/>
    <w:rsid w:val="007640B4"/>
    <w:rsid w:val="0076410D"/>
    <w:rsid w:val="007641AC"/>
    <w:rsid w:val="007641CC"/>
    <w:rsid w:val="007641E0"/>
    <w:rsid w:val="007642CD"/>
    <w:rsid w:val="0076431B"/>
    <w:rsid w:val="00764351"/>
    <w:rsid w:val="0076437F"/>
    <w:rsid w:val="007643C7"/>
    <w:rsid w:val="007643D2"/>
    <w:rsid w:val="007644CA"/>
    <w:rsid w:val="00764510"/>
    <w:rsid w:val="0076451A"/>
    <w:rsid w:val="0076454C"/>
    <w:rsid w:val="007645AC"/>
    <w:rsid w:val="007645C5"/>
    <w:rsid w:val="0076462A"/>
    <w:rsid w:val="00764648"/>
    <w:rsid w:val="0076472C"/>
    <w:rsid w:val="0076474C"/>
    <w:rsid w:val="007647CF"/>
    <w:rsid w:val="0076489B"/>
    <w:rsid w:val="00764955"/>
    <w:rsid w:val="0076497D"/>
    <w:rsid w:val="007649A9"/>
    <w:rsid w:val="00764A52"/>
    <w:rsid w:val="00764A94"/>
    <w:rsid w:val="00764AD0"/>
    <w:rsid w:val="00764ADF"/>
    <w:rsid w:val="00764B27"/>
    <w:rsid w:val="00764BA0"/>
    <w:rsid w:val="00764BE9"/>
    <w:rsid w:val="00764C05"/>
    <w:rsid w:val="00764CC3"/>
    <w:rsid w:val="00764CD1"/>
    <w:rsid w:val="00764D27"/>
    <w:rsid w:val="00764E9D"/>
    <w:rsid w:val="00764EC7"/>
    <w:rsid w:val="00764F18"/>
    <w:rsid w:val="00764F79"/>
    <w:rsid w:val="0076509D"/>
    <w:rsid w:val="0076515E"/>
    <w:rsid w:val="0076517F"/>
    <w:rsid w:val="0076519F"/>
    <w:rsid w:val="007651DC"/>
    <w:rsid w:val="007652A6"/>
    <w:rsid w:val="00765357"/>
    <w:rsid w:val="007654B0"/>
    <w:rsid w:val="00765537"/>
    <w:rsid w:val="00765592"/>
    <w:rsid w:val="007655C1"/>
    <w:rsid w:val="007655FB"/>
    <w:rsid w:val="00765626"/>
    <w:rsid w:val="00765664"/>
    <w:rsid w:val="00765670"/>
    <w:rsid w:val="007656E0"/>
    <w:rsid w:val="00765725"/>
    <w:rsid w:val="00765731"/>
    <w:rsid w:val="00765739"/>
    <w:rsid w:val="007657F7"/>
    <w:rsid w:val="00765894"/>
    <w:rsid w:val="007658AC"/>
    <w:rsid w:val="007658B1"/>
    <w:rsid w:val="007659BD"/>
    <w:rsid w:val="00765A22"/>
    <w:rsid w:val="00765A31"/>
    <w:rsid w:val="00765A68"/>
    <w:rsid w:val="00765AA2"/>
    <w:rsid w:val="00765B03"/>
    <w:rsid w:val="00765B3F"/>
    <w:rsid w:val="00765C36"/>
    <w:rsid w:val="00765C68"/>
    <w:rsid w:val="00765CAD"/>
    <w:rsid w:val="00765E0C"/>
    <w:rsid w:val="00765FBC"/>
    <w:rsid w:val="0076601E"/>
    <w:rsid w:val="00766022"/>
    <w:rsid w:val="0076604F"/>
    <w:rsid w:val="0076618F"/>
    <w:rsid w:val="0076619C"/>
    <w:rsid w:val="007661B7"/>
    <w:rsid w:val="00766233"/>
    <w:rsid w:val="0076624A"/>
    <w:rsid w:val="007662CE"/>
    <w:rsid w:val="00766364"/>
    <w:rsid w:val="00766369"/>
    <w:rsid w:val="00766454"/>
    <w:rsid w:val="0076645B"/>
    <w:rsid w:val="007664AC"/>
    <w:rsid w:val="007664B5"/>
    <w:rsid w:val="007664F2"/>
    <w:rsid w:val="0076652A"/>
    <w:rsid w:val="00766558"/>
    <w:rsid w:val="007665B4"/>
    <w:rsid w:val="007665C4"/>
    <w:rsid w:val="007665C7"/>
    <w:rsid w:val="007665F7"/>
    <w:rsid w:val="00766698"/>
    <w:rsid w:val="00766765"/>
    <w:rsid w:val="0076678A"/>
    <w:rsid w:val="007668A1"/>
    <w:rsid w:val="007668CE"/>
    <w:rsid w:val="007668E2"/>
    <w:rsid w:val="0076693B"/>
    <w:rsid w:val="00766999"/>
    <w:rsid w:val="007669DC"/>
    <w:rsid w:val="007669E5"/>
    <w:rsid w:val="00766AFA"/>
    <w:rsid w:val="00766B41"/>
    <w:rsid w:val="00766C23"/>
    <w:rsid w:val="00766C25"/>
    <w:rsid w:val="00766CEC"/>
    <w:rsid w:val="00766D09"/>
    <w:rsid w:val="00766D91"/>
    <w:rsid w:val="00766E7B"/>
    <w:rsid w:val="00766F30"/>
    <w:rsid w:val="00767036"/>
    <w:rsid w:val="00767151"/>
    <w:rsid w:val="00767161"/>
    <w:rsid w:val="0076718A"/>
    <w:rsid w:val="0076726F"/>
    <w:rsid w:val="00767307"/>
    <w:rsid w:val="007673DE"/>
    <w:rsid w:val="007673F3"/>
    <w:rsid w:val="0076744E"/>
    <w:rsid w:val="0076754C"/>
    <w:rsid w:val="0076761B"/>
    <w:rsid w:val="007676CB"/>
    <w:rsid w:val="0076784E"/>
    <w:rsid w:val="007678F9"/>
    <w:rsid w:val="0076790D"/>
    <w:rsid w:val="0076796D"/>
    <w:rsid w:val="00767975"/>
    <w:rsid w:val="00767983"/>
    <w:rsid w:val="00767A2E"/>
    <w:rsid w:val="00767AF9"/>
    <w:rsid w:val="00767AFF"/>
    <w:rsid w:val="00767B1E"/>
    <w:rsid w:val="00767BD0"/>
    <w:rsid w:val="00767C67"/>
    <w:rsid w:val="00767C68"/>
    <w:rsid w:val="00767CE7"/>
    <w:rsid w:val="00767D15"/>
    <w:rsid w:val="00767D3C"/>
    <w:rsid w:val="00767D3E"/>
    <w:rsid w:val="00767D56"/>
    <w:rsid w:val="00767D68"/>
    <w:rsid w:val="00767DB1"/>
    <w:rsid w:val="00767DCF"/>
    <w:rsid w:val="00767FEA"/>
    <w:rsid w:val="0077010E"/>
    <w:rsid w:val="0077015E"/>
    <w:rsid w:val="00770175"/>
    <w:rsid w:val="007702FD"/>
    <w:rsid w:val="007703A2"/>
    <w:rsid w:val="007703D2"/>
    <w:rsid w:val="00770478"/>
    <w:rsid w:val="007704A8"/>
    <w:rsid w:val="00770639"/>
    <w:rsid w:val="007706F7"/>
    <w:rsid w:val="00770723"/>
    <w:rsid w:val="00770793"/>
    <w:rsid w:val="00770821"/>
    <w:rsid w:val="00770905"/>
    <w:rsid w:val="0077094F"/>
    <w:rsid w:val="007709A2"/>
    <w:rsid w:val="007709B0"/>
    <w:rsid w:val="007709E5"/>
    <w:rsid w:val="00770A58"/>
    <w:rsid w:val="00770ADC"/>
    <w:rsid w:val="00770AFC"/>
    <w:rsid w:val="00770B35"/>
    <w:rsid w:val="00770BD5"/>
    <w:rsid w:val="00770C7C"/>
    <w:rsid w:val="00770C80"/>
    <w:rsid w:val="00770CED"/>
    <w:rsid w:val="00770D0C"/>
    <w:rsid w:val="00770D82"/>
    <w:rsid w:val="00770E41"/>
    <w:rsid w:val="00770E50"/>
    <w:rsid w:val="00770F5B"/>
    <w:rsid w:val="00770FCD"/>
    <w:rsid w:val="00770FE7"/>
    <w:rsid w:val="0077100B"/>
    <w:rsid w:val="00771024"/>
    <w:rsid w:val="00771061"/>
    <w:rsid w:val="007710A5"/>
    <w:rsid w:val="00771111"/>
    <w:rsid w:val="00771137"/>
    <w:rsid w:val="0077128A"/>
    <w:rsid w:val="00771304"/>
    <w:rsid w:val="0077142C"/>
    <w:rsid w:val="0077149F"/>
    <w:rsid w:val="0077159D"/>
    <w:rsid w:val="007715D3"/>
    <w:rsid w:val="0077171B"/>
    <w:rsid w:val="0077173B"/>
    <w:rsid w:val="00771774"/>
    <w:rsid w:val="007717AE"/>
    <w:rsid w:val="007717D2"/>
    <w:rsid w:val="00771863"/>
    <w:rsid w:val="0077188F"/>
    <w:rsid w:val="007718D8"/>
    <w:rsid w:val="007718F4"/>
    <w:rsid w:val="00771AE2"/>
    <w:rsid w:val="00771B52"/>
    <w:rsid w:val="00771B60"/>
    <w:rsid w:val="00771BDC"/>
    <w:rsid w:val="00771C1E"/>
    <w:rsid w:val="00771C2C"/>
    <w:rsid w:val="00771C56"/>
    <w:rsid w:val="00771D58"/>
    <w:rsid w:val="00771F05"/>
    <w:rsid w:val="00771F28"/>
    <w:rsid w:val="00771F91"/>
    <w:rsid w:val="0077216D"/>
    <w:rsid w:val="0077216E"/>
    <w:rsid w:val="007721CA"/>
    <w:rsid w:val="007721DD"/>
    <w:rsid w:val="00772221"/>
    <w:rsid w:val="00772223"/>
    <w:rsid w:val="00772237"/>
    <w:rsid w:val="0077246E"/>
    <w:rsid w:val="007724DD"/>
    <w:rsid w:val="007724F2"/>
    <w:rsid w:val="00772532"/>
    <w:rsid w:val="0077254D"/>
    <w:rsid w:val="007725AD"/>
    <w:rsid w:val="007725D8"/>
    <w:rsid w:val="00772649"/>
    <w:rsid w:val="0077265A"/>
    <w:rsid w:val="00772689"/>
    <w:rsid w:val="007726C8"/>
    <w:rsid w:val="0077271C"/>
    <w:rsid w:val="007727B2"/>
    <w:rsid w:val="007727F0"/>
    <w:rsid w:val="0077281E"/>
    <w:rsid w:val="0077287A"/>
    <w:rsid w:val="007728D2"/>
    <w:rsid w:val="007728DF"/>
    <w:rsid w:val="00772943"/>
    <w:rsid w:val="0077297D"/>
    <w:rsid w:val="00772A22"/>
    <w:rsid w:val="00772A23"/>
    <w:rsid w:val="00772A95"/>
    <w:rsid w:val="00772A9B"/>
    <w:rsid w:val="00772AB1"/>
    <w:rsid w:val="00772B4B"/>
    <w:rsid w:val="00772BC2"/>
    <w:rsid w:val="00772BDE"/>
    <w:rsid w:val="00772BF6"/>
    <w:rsid w:val="00772BFF"/>
    <w:rsid w:val="00772C2B"/>
    <w:rsid w:val="00772C5B"/>
    <w:rsid w:val="00772C83"/>
    <w:rsid w:val="00772C8B"/>
    <w:rsid w:val="00772CD6"/>
    <w:rsid w:val="00772D84"/>
    <w:rsid w:val="00772DAC"/>
    <w:rsid w:val="00772DB6"/>
    <w:rsid w:val="00772E3A"/>
    <w:rsid w:val="00772E4E"/>
    <w:rsid w:val="00772E65"/>
    <w:rsid w:val="00772FD9"/>
    <w:rsid w:val="00773026"/>
    <w:rsid w:val="00773123"/>
    <w:rsid w:val="007731CC"/>
    <w:rsid w:val="007732A8"/>
    <w:rsid w:val="0077330E"/>
    <w:rsid w:val="0077337F"/>
    <w:rsid w:val="007733A8"/>
    <w:rsid w:val="007733B4"/>
    <w:rsid w:val="007733DD"/>
    <w:rsid w:val="00773527"/>
    <w:rsid w:val="00773530"/>
    <w:rsid w:val="00773536"/>
    <w:rsid w:val="00773588"/>
    <w:rsid w:val="00773729"/>
    <w:rsid w:val="00773779"/>
    <w:rsid w:val="00773872"/>
    <w:rsid w:val="007738B0"/>
    <w:rsid w:val="007738B4"/>
    <w:rsid w:val="00773924"/>
    <w:rsid w:val="0077396C"/>
    <w:rsid w:val="007739E4"/>
    <w:rsid w:val="00773A74"/>
    <w:rsid w:val="00773A82"/>
    <w:rsid w:val="00773AB1"/>
    <w:rsid w:val="00773ACE"/>
    <w:rsid w:val="00773B53"/>
    <w:rsid w:val="00773BA0"/>
    <w:rsid w:val="00773CFC"/>
    <w:rsid w:val="00773D08"/>
    <w:rsid w:val="00773D96"/>
    <w:rsid w:val="00773DAB"/>
    <w:rsid w:val="00773DD3"/>
    <w:rsid w:val="00773DEC"/>
    <w:rsid w:val="00773EA5"/>
    <w:rsid w:val="00773F58"/>
    <w:rsid w:val="00773F6B"/>
    <w:rsid w:val="00773F86"/>
    <w:rsid w:val="00773FAD"/>
    <w:rsid w:val="00773FF0"/>
    <w:rsid w:val="0077406E"/>
    <w:rsid w:val="00774089"/>
    <w:rsid w:val="007740C5"/>
    <w:rsid w:val="007740DA"/>
    <w:rsid w:val="00774116"/>
    <w:rsid w:val="00774130"/>
    <w:rsid w:val="00774160"/>
    <w:rsid w:val="00774198"/>
    <w:rsid w:val="00774292"/>
    <w:rsid w:val="007742FC"/>
    <w:rsid w:val="00774317"/>
    <w:rsid w:val="0077432C"/>
    <w:rsid w:val="00774348"/>
    <w:rsid w:val="0077436F"/>
    <w:rsid w:val="007743C3"/>
    <w:rsid w:val="00774440"/>
    <w:rsid w:val="00774468"/>
    <w:rsid w:val="0077447F"/>
    <w:rsid w:val="007745E6"/>
    <w:rsid w:val="00774669"/>
    <w:rsid w:val="007746BC"/>
    <w:rsid w:val="007748A6"/>
    <w:rsid w:val="007748CD"/>
    <w:rsid w:val="00774917"/>
    <w:rsid w:val="00774922"/>
    <w:rsid w:val="00774929"/>
    <w:rsid w:val="007749C4"/>
    <w:rsid w:val="00774BA9"/>
    <w:rsid w:val="00774BC9"/>
    <w:rsid w:val="00774BD6"/>
    <w:rsid w:val="00774C42"/>
    <w:rsid w:val="00774CCA"/>
    <w:rsid w:val="00774CE8"/>
    <w:rsid w:val="00774D96"/>
    <w:rsid w:val="00774E44"/>
    <w:rsid w:val="00774E69"/>
    <w:rsid w:val="00774EBA"/>
    <w:rsid w:val="00774F14"/>
    <w:rsid w:val="00774F38"/>
    <w:rsid w:val="00774F75"/>
    <w:rsid w:val="00775195"/>
    <w:rsid w:val="0077525B"/>
    <w:rsid w:val="007752C3"/>
    <w:rsid w:val="007752F7"/>
    <w:rsid w:val="0077533D"/>
    <w:rsid w:val="007753B0"/>
    <w:rsid w:val="007753B1"/>
    <w:rsid w:val="00775421"/>
    <w:rsid w:val="0077550A"/>
    <w:rsid w:val="0077554E"/>
    <w:rsid w:val="007755B0"/>
    <w:rsid w:val="00775661"/>
    <w:rsid w:val="00775690"/>
    <w:rsid w:val="00775698"/>
    <w:rsid w:val="007756A7"/>
    <w:rsid w:val="007756D2"/>
    <w:rsid w:val="007756FA"/>
    <w:rsid w:val="007757CE"/>
    <w:rsid w:val="00775826"/>
    <w:rsid w:val="00775A14"/>
    <w:rsid w:val="00775A1C"/>
    <w:rsid w:val="00775A2F"/>
    <w:rsid w:val="00775A31"/>
    <w:rsid w:val="00775A8E"/>
    <w:rsid w:val="00775AB8"/>
    <w:rsid w:val="00775B48"/>
    <w:rsid w:val="00775B74"/>
    <w:rsid w:val="00775D0D"/>
    <w:rsid w:val="00775D10"/>
    <w:rsid w:val="00775D18"/>
    <w:rsid w:val="00775D6B"/>
    <w:rsid w:val="00775D80"/>
    <w:rsid w:val="00775E39"/>
    <w:rsid w:val="00775E52"/>
    <w:rsid w:val="00775F8A"/>
    <w:rsid w:val="00775F92"/>
    <w:rsid w:val="00775FB2"/>
    <w:rsid w:val="00776082"/>
    <w:rsid w:val="007761D9"/>
    <w:rsid w:val="007761E9"/>
    <w:rsid w:val="007762DF"/>
    <w:rsid w:val="007762F0"/>
    <w:rsid w:val="00776319"/>
    <w:rsid w:val="007763B4"/>
    <w:rsid w:val="007763DD"/>
    <w:rsid w:val="00776414"/>
    <w:rsid w:val="0077642C"/>
    <w:rsid w:val="007764C9"/>
    <w:rsid w:val="007764E2"/>
    <w:rsid w:val="00776509"/>
    <w:rsid w:val="0077652E"/>
    <w:rsid w:val="0077655E"/>
    <w:rsid w:val="0077655F"/>
    <w:rsid w:val="0077657B"/>
    <w:rsid w:val="0077659C"/>
    <w:rsid w:val="00776635"/>
    <w:rsid w:val="00776653"/>
    <w:rsid w:val="007766C7"/>
    <w:rsid w:val="007766E8"/>
    <w:rsid w:val="0077679E"/>
    <w:rsid w:val="00776821"/>
    <w:rsid w:val="00776930"/>
    <w:rsid w:val="0077694A"/>
    <w:rsid w:val="00776965"/>
    <w:rsid w:val="007769A0"/>
    <w:rsid w:val="00776A6B"/>
    <w:rsid w:val="00776A8C"/>
    <w:rsid w:val="00776B6E"/>
    <w:rsid w:val="00776B72"/>
    <w:rsid w:val="00776C47"/>
    <w:rsid w:val="00776C60"/>
    <w:rsid w:val="00776C78"/>
    <w:rsid w:val="00776CC8"/>
    <w:rsid w:val="00776E1F"/>
    <w:rsid w:val="00776F0F"/>
    <w:rsid w:val="00776F59"/>
    <w:rsid w:val="00776F98"/>
    <w:rsid w:val="0077707A"/>
    <w:rsid w:val="00777110"/>
    <w:rsid w:val="007771F8"/>
    <w:rsid w:val="007771FD"/>
    <w:rsid w:val="00777220"/>
    <w:rsid w:val="007773D7"/>
    <w:rsid w:val="00777417"/>
    <w:rsid w:val="00777492"/>
    <w:rsid w:val="007774B9"/>
    <w:rsid w:val="0077752B"/>
    <w:rsid w:val="00777541"/>
    <w:rsid w:val="00777594"/>
    <w:rsid w:val="007775B3"/>
    <w:rsid w:val="00777681"/>
    <w:rsid w:val="0077770B"/>
    <w:rsid w:val="0077778D"/>
    <w:rsid w:val="007777FE"/>
    <w:rsid w:val="007778EC"/>
    <w:rsid w:val="0077792F"/>
    <w:rsid w:val="00777964"/>
    <w:rsid w:val="007779CF"/>
    <w:rsid w:val="007779F4"/>
    <w:rsid w:val="00777A56"/>
    <w:rsid w:val="00777B2B"/>
    <w:rsid w:val="00777BF7"/>
    <w:rsid w:val="00777C1B"/>
    <w:rsid w:val="00777C33"/>
    <w:rsid w:val="00777D36"/>
    <w:rsid w:val="00777DBB"/>
    <w:rsid w:val="00777E2F"/>
    <w:rsid w:val="00777E6B"/>
    <w:rsid w:val="00777EF4"/>
    <w:rsid w:val="00777F73"/>
    <w:rsid w:val="0078005D"/>
    <w:rsid w:val="0078008B"/>
    <w:rsid w:val="0078029B"/>
    <w:rsid w:val="007802F6"/>
    <w:rsid w:val="0078031E"/>
    <w:rsid w:val="00780357"/>
    <w:rsid w:val="00780419"/>
    <w:rsid w:val="0078041F"/>
    <w:rsid w:val="00780434"/>
    <w:rsid w:val="007804B9"/>
    <w:rsid w:val="00780565"/>
    <w:rsid w:val="007805BB"/>
    <w:rsid w:val="0078065D"/>
    <w:rsid w:val="0078068D"/>
    <w:rsid w:val="00780711"/>
    <w:rsid w:val="00780751"/>
    <w:rsid w:val="007807F8"/>
    <w:rsid w:val="00780811"/>
    <w:rsid w:val="0078088E"/>
    <w:rsid w:val="00780909"/>
    <w:rsid w:val="0078093B"/>
    <w:rsid w:val="007809B1"/>
    <w:rsid w:val="00780B01"/>
    <w:rsid w:val="00780B2D"/>
    <w:rsid w:val="00780B2F"/>
    <w:rsid w:val="00780C6A"/>
    <w:rsid w:val="00780C8B"/>
    <w:rsid w:val="00780D4A"/>
    <w:rsid w:val="00780D89"/>
    <w:rsid w:val="00780E4A"/>
    <w:rsid w:val="00780E67"/>
    <w:rsid w:val="00780E7D"/>
    <w:rsid w:val="00780E89"/>
    <w:rsid w:val="00780EB9"/>
    <w:rsid w:val="00780F27"/>
    <w:rsid w:val="00780F44"/>
    <w:rsid w:val="00780F6F"/>
    <w:rsid w:val="00780F77"/>
    <w:rsid w:val="00780FA5"/>
    <w:rsid w:val="00780FFA"/>
    <w:rsid w:val="00781057"/>
    <w:rsid w:val="0078124D"/>
    <w:rsid w:val="007812BA"/>
    <w:rsid w:val="00781317"/>
    <w:rsid w:val="0078131A"/>
    <w:rsid w:val="0078131C"/>
    <w:rsid w:val="00781336"/>
    <w:rsid w:val="007814AE"/>
    <w:rsid w:val="007814D1"/>
    <w:rsid w:val="007814D5"/>
    <w:rsid w:val="0078150D"/>
    <w:rsid w:val="0078150F"/>
    <w:rsid w:val="007815C0"/>
    <w:rsid w:val="00781602"/>
    <w:rsid w:val="00781729"/>
    <w:rsid w:val="0078172C"/>
    <w:rsid w:val="00781757"/>
    <w:rsid w:val="007818AD"/>
    <w:rsid w:val="00781905"/>
    <w:rsid w:val="00781A20"/>
    <w:rsid w:val="00781A35"/>
    <w:rsid w:val="00781B1A"/>
    <w:rsid w:val="00781B5A"/>
    <w:rsid w:val="00781C33"/>
    <w:rsid w:val="00781D2F"/>
    <w:rsid w:val="00781D60"/>
    <w:rsid w:val="00781D82"/>
    <w:rsid w:val="00781D93"/>
    <w:rsid w:val="00781DB3"/>
    <w:rsid w:val="00781DD0"/>
    <w:rsid w:val="00781E31"/>
    <w:rsid w:val="00781E9C"/>
    <w:rsid w:val="00781EC3"/>
    <w:rsid w:val="00781ED4"/>
    <w:rsid w:val="00781F2E"/>
    <w:rsid w:val="00781FAB"/>
    <w:rsid w:val="0078202E"/>
    <w:rsid w:val="00782035"/>
    <w:rsid w:val="00782078"/>
    <w:rsid w:val="0078208C"/>
    <w:rsid w:val="007821C6"/>
    <w:rsid w:val="00782312"/>
    <w:rsid w:val="00782355"/>
    <w:rsid w:val="00782507"/>
    <w:rsid w:val="007825F6"/>
    <w:rsid w:val="0078260A"/>
    <w:rsid w:val="00782640"/>
    <w:rsid w:val="007826D2"/>
    <w:rsid w:val="00782700"/>
    <w:rsid w:val="00782726"/>
    <w:rsid w:val="00782832"/>
    <w:rsid w:val="00782839"/>
    <w:rsid w:val="007828C4"/>
    <w:rsid w:val="007828D2"/>
    <w:rsid w:val="007828F6"/>
    <w:rsid w:val="00782A2E"/>
    <w:rsid w:val="00782B37"/>
    <w:rsid w:val="00782B55"/>
    <w:rsid w:val="00782BA3"/>
    <w:rsid w:val="00782C24"/>
    <w:rsid w:val="00782C8C"/>
    <w:rsid w:val="00782CB8"/>
    <w:rsid w:val="00782CBE"/>
    <w:rsid w:val="00782D51"/>
    <w:rsid w:val="00782D6F"/>
    <w:rsid w:val="00782DAC"/>
    <w:rsid w:val="00782DBA"/>
    <w:rsid w:val="00782DC0"/>
    <w:rsid w:val="00782DE5"/>
    <w:rsid w:val="00782E13"/>
    <w:rsid w:val="00782EB2"/>
    <w:rsid w:val="00783006"/>
    <w:rsid w:val="007830A9"/>
    <w:rsid w:val="007830CA"/>
    <w:rsid w:val="0078313F"/>
    <w:rsid w:val="00783187"/>
    <w:rsid w:val="0078319E"/>
    <w:rsid w:val="007832AE"/>
    <w:rsid w:val="007832DA"/>
    <w:rsid w:val="007833B6"/>
    <w:rsid w:val="007833B7"/>
    <w:rsid w:val="00783478"/>
    <w:rsid w:val="007835AD"/>
    <w:rsid w:val="007835E2"/>
    <w:rsid w:val="0078366E"/>
    <w:rsid w:val="00783676"/>
    <w:rsid w:val="0078370B"/>
    <w:rsid w:val="00783726"/>
    <w:rsid w:val="0078390F"/>
    <w:rsid w:val="0078394F"/>
    <w:rsid w:val="00783961"/>
    <w:rsid w:val="00783984"/>
    <w:rsid w:val="00783A39"/>
    <w:rsid w:val="00783A96"/>
    <w:rsid w:val="00783B4C"/>
    <w:rsid w:val="00783BD5"/>
    <w:rsid w:val="00783BDE"/>
    <w:rsid w:val="00783C52"/>
    <w:rsid w:val="00783C9F"/>
    <w:rsid w:val="00783CD4"/>
    <w:rsid w:val="00783CEA"/>
    <w:rsid w:val="00783D05"/>
    <w:rsid w:val="00783EEF"/>
    <w:rsid w:val="00783F5D"/>
    <w:rsid w:val="00783F6A"/>
    <w:rsid w:val="00783FF7"/>
    <w:rsid w:val="00784061"/>
    <w:rsid w:val="007840ED"/>
    <w:rsid w:val="00784156"/>
    <w:rsid w:val="007841AE"/>
    <w:rsid w:val="007842D6"/>
    <w:rsid w:val="0078435F"/>
    <w:rsid w:val="00784361"/>
    <w:rsid w:val="00784394"/>
    <w:rsid w:val="00784461"/>
    <w:rsid w:val="007844D8"/>
    <w:rsid w:val="007845F8"/>
    <w:rsid w:val="00784781"/>
    <w:rsid w:val="007847FA"/>
    <w:rsid w:val="00784831"/>
    <w:rsid w:val="007848AC"/>
    <w:rsid w:val="007848C4"/>
    <w:rsid w:val="007848ED"/>
    <w:rsid w:val="0078496F"/>
    <w:rsid w:val="00784996"/>
    <w:rsid w:val="00784A5A"/>
    <w:rsid w:val="00784A7B"/>
    <w:rsid w:val="00784A9A"/>
    <w:rsid w:val="00784C23"/>
    <w:rsid w:val="00784C32"/>
    <w:rsid w:val="00784C36"/>
    <w:rsid w:val="00784C73"/>
    <w:rsid w:val="00784CAE"/>
    <w:rsid w:val="00784E12"/>
    <w:rsid w:val="00784E65"/>
    <w:rsid w:val="00784EED"/>
    <w:rsid w:val="00784F19"/>
    <w:rsid w:val="00784F6B"/>
    <w:rsid w:val="00784FB9"/>
    <w:rsid w:val="007851EA"/>
    <w:rsid w:val="00785270"/>
    <w:rsid w:val="007852AD"/>
    <w:rsid w:val="007852B7"/>
    <w:rsid w:val="007852EA"/>
    <w:rsid w:val="00785416"/>
    <w:rsid w:val="0078546A"/>
    <w:rsid w:val="00785470"/>
    <w:rsid w:val="007854AB"/>
    <w:rsid w:val="007854F2"/>
    <w:rsid w:val="00785593"/>
    <w:rsid w:val="0078559A"/>
    <w:rsid w:val="007855F4"/>
    <w:rsid w:val="00785679"/>
    <w:rsid w:val="007856AE"/>
    <w:rsid w:val="007856C9"/>
    <w:rsid w:val="0078579D"/>
    <w:rsid w:val="007857EC"/>
    <w:rsid w:val="007857F7"/>
    <w:rsid w:val="007858D2"/>
    <w:rsid w:val="0078594C"/>
    <w:rsid w:val="00785985"/>
    <w:rsid w:val="00785A5E"/>
    <w:rsid w:val="00785C1F"/>
    <w:rsid w:val="00785C2C"/>
    <w:rsid w:val="00785C52"/>
    <w:rsid w:val="00785CA2"/>
    <w:rsid w:val="00785E29"/>
    <w:rsid w:val="00785E87"/>
    <w:rsid w:val="00785EC8"/>
    <w:rsid w:val="00785FA0"/>
    <w:rsid w:val="00785FAD"/>
    <w:rsid w:val="007861BA"/>
    <w:rsid w:val="007861C9"/>
    <w:rsid w:val="007861CC"/>
    <w:rsid w:val="00786321"/>
    <w:rsid w:val="007863A7"/>
    <w:rsid w:val="0078644A"/>
    <w:rsid w:val="007864CB"/>
    <w:rsid w:val="00786531"/>
    <w:rsid w:val="007865F5"/>
    <w:rsid w:val="007866B9"/>
    <w:rsid w:val="0078670F"/>
    <w:rsid w:val="00786730"/>
    <w:rsid w:val="00786754"/>
    <w:rsid w:val="007867CA"/>
    <w:rsid w:val="00786944"/>
    <w:rsid w:val="0078697F"/>
    <w:rsid w:val="00786A54"/>
    <w:rsid w:val="00786BD2"/>
    <w:rsid w:val="00786C1E"/>
    <w:rsid w:val="00786C97"/>
    <w:rsid w:val="00786D41"/>
    <w:rsid w:val="00786DEE"/>
    <w:rsid w:val="00786E27"/>
    <w:rsid w:val="00786E7A"/>
    <w:rsid w:val="00786ED3"/>
    <w:rsid w:val="00786F0A"/>
    <w:rsid w:val="00786F8D"/>
    <w:rsid w:val="00786FE2"/>
    <w:rsid w:val="007870B7"/>
    <w:rsid w:val="0078718A"/>
    <w:rsid w:val="007871B0"/>
    <w:rsid w:val="00787300"/>
    <w:rsid w:val="0078737E"/>
    <w:rsid w:val="007873ED"/>
    <w:rsid w:val="0078747C"/>
    <w:rsid w:val="00787647"/>
    <w:rsid w:val="0078767D"/>
    <w:rsid w:val="00787781"/>
    <w:rsid w:val="007877A6"/>
    <w:rsid w:val="007877D9"/>
    <w:rsid w:val="007877E7"/>
    <w:rsid w:val="00787892"/>
    <w:rsid w:val="00787946"/>
    <w:rsid w:val="00787957"/>
    <w:rsid w:val="00787984"/>
    <w:rsid w:val="00787A5B"/>
    <w:rsid w:val="00787A97"/>
    <w:rsid w:val="00787B15"/>
    <w:rsid w:val="00787B94"/>
    <w:rsid w:val="00787BE8"/>
    <w:rsid w:val="00787C12"/>
    <w:rsid w:val="00787DC8"/>
    <w:rsid w:val="00787E21"/>
    <w:rsid w:val="00787E22"/>
    <w:rsid w:val="00787E3C"/>
    <w:rsid w:val="00787E7F"/>
    <w:rsid w:val="00787F7B"/>
    <w:rsid w:val="00787F89"/>
    <w:rsid w:val="0079004F"/>
    <w:rsid w:val="00790168"/>
    <w:rsid w:val="007901A6"/>
    <w:rsid w:val="007901CC"/>
    <w:rsid w:val="0079020B"/>
    <w:rsid w:val="0079024E"/>
    <w:rsid w:val="00790387"/>
    <w:rsid w:val="007903FB"/>
    <w:rsid w:val="00790441"/>
    <w:rsid w:val="00790442"/>
    <w:rsid w:val="0079048B"/>
    <w:rsid w:val="00790643"/>
    <w:rsid w:val="0079065D"/>
    <w:rsid w:val="00790667"/>
    <w:rsid w:val="00790677"/>
    <w:rsid w:val="007906CF"/>
    <w:rsid w:val="00790722"/>
    <w:rsid w:val="0079074A"/>
    <w:rsid w:val="00790863"/>
    <w:rsid w:val="007908CD"/>
    <w:rsid w:val="007908F5"/>
    <w:rsid w:val="00790A3B"/>
    <w:rsid w:val="00790A71"/>
    <w:rsid w:val="00790B3A"/>
    <w:rsid w:val="00790B6A"/>
    <w:rsid w:val="00790BAD"/>
    <w:rsid w:val="00790C0A"/>
    <w:rsid w:val="00790D1D"/>
    <w:rsid w:val="00790D2B"/>
    <w:rsid w:val="00790D75"/>
    <w:rsid w:val="00790E15"/>
    <w:rsid w:val="00790E23"/>
    <w:rsid w:val="00790E61"/>
    <w:rsid w:val="00790F05"/>
    <w:rsid w:val="00790F12"/>
    <w:rsid w:val="00790FD5"/>
    <w:rsid w:val="007910FA"/>
    <w:rsid w:val="00791150"/>
    <w:rsid w:val="0079116F"/>
    <w:rsid w:val="00791179"/>
    <w:rsid w:val="007911C7"/>
    <w:rsid w:val="00791256"/>
    <w:rsid w:val="007912AD"/>
    <w:rsid w:val="007913F9"/>
    <w:rsid w:val="00791440"/>
    <w:rsid w:val="00791504"/>
    <w:rsid w:val="00791568"/>
    <w:rsid w:val="00791584"/>
    <w:rsid w:val="00791638"/>
    <w:rsid w:val="0079164F"/>
    <w:rsid w:val="0079174F"/>
    <w:rsid w:val="0079179A"/>
    <w:rsid w:val="00791842"/>
    <w:rsid w:val="007918B0"/>
    <w:rsid w:val="007918F5"/>
    <w:rsid w:val="0079190D"/>
    <w:rsid w:val="00791922"/>
    <w:rsid w:val="00791975"/>
    <w:rsid w:val="0079199F"/>
    <w:rsid w:val="007919B1"/>
    <w:rsid w:val="00791B2E"/>
    <w:rsid w:val="00791B9F"/>
    <w:rsid w:val="00791C37"/>
    <w:rsid w:val="00791C50"/>
    <w:rsid w:val="00791D38"/>
    <w:rsid w:val="00791D56"/>
    <w:rsid w:val="00791E02"/>
    <w:rsid w:val="00791E36"/>
    <w:rsid w:val="00791E67"/>
    <w:rsid w:val="00791E7F"/>
    <w:rsid w:val="00791EE7"/>
    <w:rsid w:val="00791F7B"/>
    <w:rsid w:val="00791FBE"/>
    <w:rsid w:val="00792098"/>
    <w:rsid w:val="0079213D"/>
    <w:rsid w:val="007921BE"/>
    <w:rsid w:val="00792220"/>
    <w:rsid w:val="00792289"/>
    <w:rsid w:val="00792398"/>
    <w:rsid w:val="007923AD"/>
    <w:rsid w:val="007923ED"/>
    <w:rsid w:val="007924C9"/>
    <w:rsid w:val="0079250E"/>
    <w:rsid w:val="00792542"/>
    <w:rsid w:val="00792604"/>
    <w:rsid w:val="00792632"/>
    <w:rsid w:val="0079263E"/>
    <w:rsid w:val="007926BA"/>
    <w:rsid w:val="0079278E"/>
    <w:rsid w:val="00792828"/>
    <w:rsid w:val="00792864"/>
    <w:rsid w:val="007928E9"/>
    <w:rsid w:val="00792907"/>
    <w:rsid w:val="0079290E"/>
    <w:rsid w:val="00792917"/>
    <w:rsid w:val="00792918"/>
    <w:rsid w:val="00792923"/>
    <w:rsid w:val="007929AE"/>
    <w:rsid w:val="007929EB"/>
    <w:rsid w:val="007929F1"/>
    <w:rsid w:val="00792A28"/>
    <w:rsid w:val="00792A6D"/>
    <w:rsid w:val="00792AAB"/>
    <w:rsid w:val="00792BB5"/>
    <w:rsid w:val="00792C7C"/>
    <w:rsid w:val="00792CD0"/>
    <w:rsid w:val="00792CF5"/>
    <w:rsid w:val="00792E5D"/>
    <w:rsid w:val="00792F21"/>
    <w:rsid w:val="00792F60"/>
    <w:rsid w:val="00792FD9"/>
    <w:rsid w:val="00793038"/>
    <w:rsid w:val="0079304D"/>
    <w:rsid w:val="0079308B"/>
    <w:rsid w:val="007930BC"/>
    <w:rsid w:val="007930CF"/>
    <w:rsid w:val="007931C4"/>
    <w:rsid w:val="00793200"/>
    <w:rsid w:val="00793217"/>
    <w:rsid w:val="00793255"/>
    <w:rsid w:val="0079327F"/>
    <w:rsid w:val="007932AC"/>
    <w:rsid w:val="007932C2"/>
    <w:rsid w:val="007932EC"/>
    <w:rsid w:val="0079339B"/>
    <w:rsid w:val="007933A0"/>
    <w:rsid w:val="007933B0"/>
    <w:rsid w:val="007933DE"/>
    <w:rsid w:val="00793447"/>
    <w:rsid w:val="00793472"/>
    <w:rsid w:val="00793538"/>
    <w:rsid w:val="00793555"/>
    <w:rsid w:val="007936C2"/>
    <w:rsid w:val="007936D0"/>
    <w:rsid w:val="0079376C"/>
    <w:rsid w:val="0079381A"/>
    <w:rsid w:val="0079383E"/>
    <w:rsid w:val="00793903"/>
    <w:rsid w:val="00793910"/>
    <w:rsid w:val="0079396F"/>
    <w:rsid w:val="00793A00"/>
    <w:rsid w:val="00793A08"/>
    <w:rsid w:val="00793B04"/>
    <w:rsid w:val="00793B46"/>
    <w:rsid w:val="00793B77"/>
    <w:rsid w:val="00793BFA"/>
    <w:rsid w:val="00793C65"/>
    <w:rsid w:val="00793D67"/>
    <w:rsid w:val="00793D6A"/>
    <w:rsid w:val="00793F1C"/>
    <w:rsid w:val="00793F2B"/>
    <w:rsid w:val="00793F6E"/>
    <w:rsid w:val="00794012"/>
    <w:rsid w:val="007940BF"/>
    <w:rsid w:val="007940F0"/>
    <w:rsid w:val="007941D3"/>
    <w:rsid w:val="00794205"/>
    <w:rsid w:val="00794213"/>
    <w:rsid w:val="00794218"/>
    <w:rsid w:val="00794341"/>
    <w:rsid w:val="007944E5"/>
    <w:rsid w:val="00794573"/>
    <w:rsid w:val="007945A1"/>
    <w:rsid w:val="00794642"/>
    <w:rsid w:val="00794682"/>
    <w:rsid w:val="007946D6"/>
    <w:rsid w:val="00794718"/>
    <w:rsid w:val="0079476A"/>
    <w:rsid w:val="00794810"/>
    <w:rsid w:val="00794822"/>
    <w:rsid w:val="007948B5"/>
    <w:rsid w:val="00794987"/>
    <w:rsid w:val="00794A3C"/>
    <w:rsid w:val="00794A52"/>
    <w:rsid w:val="00794B35"/>
    <w:rsid w:val="00794B3B"/>
    <w:rsid w:val="00794B60"/>
    <w:rsid w:val="00794B71"/>
    <w:rsid w:val="00794CAA"/>
    <w:rsid w:val="00794DC0"/>
    <w:rsid w:val="00794DDC"/>
    <w:rsid w:val="00794E0E"/>
    <w:rsid w:val="00794E6D"/>
    <w:rsid w:val="00794EC0"/>
    <w:rsid w:val="00794EC5"/>
    <w:rsid w:val="00794EE8"/>
    <w:rsid w:val="00794F3B"/>
    <w:rsid w:val="00794FB1"/>
    <w:rsid w:val="00794FFF"/>
    <w:rsid w:val="00795006"/>
    <w:rsid w:val="00795066"/>
    <w:rsid w:val="00795134"/>
    <w:rsid w:val="00795162"/>
    <w:rsid w:val="007952B0"/>
    <w:rsid w:val="00795311"/>
    <w:rsid w:val="00795315"/>
    <w:rsid w:val="0079532B"/>
    <w:rsid w:val="0079544F"/>
    <w:rsid w:val="0079557A"/>
    <w:rsid w:val="007955AA"/>
    <w:rsid w:val="007955F9"/>
    <w:rsid w:val="00795636"/>
    <w:rsid w:val="007956A7"/>
    <w:rsid w:val="007956F1"/>
    <w:rsid w:val="00795714"/>
    <w:rsid w:val="00795724"/>
    <w:rsid w:val="00795782"/>
    <w:rsid w:val="007957CC"/>
    <w:rsid w:val="00795831"/>
    <w:rsid w:val="00795833"/>
    <w:rsid w:val="00795859"/>
    <w:rsid w:val="0079595A"/>
    <w:rsid w:val="007959F4"/>
    <w:rsid w:val="00795A34"/>
    <w:rsid w:val="00795A44"/>
    <w:rsid w:val="00795A4C"/>
    <w:rsid w:val="00795AA0"/>
    <w:rsid w:val="00795C65"/>
    <w:rsid w:val="00795D38"/>
    <w:rsid w:val="00795EE3"/>
    <w:rsid w:val="00795EF4"/>
    <w:rsid w:val="00795F64"/>
    <w:rsid w:val="0079607E"/>
    <w:rsid w:val="007960E2"/>
    <w:rsid w:val="00796142"/>
    <w:rsid w:val="00796152"/>
    <w:rsid w:val="007961DB"/>
    <w:rsid w:val="007961E8"/>
    <w:rsid w:val="007962CF"/>
    <w:rsid w:val="0079642F"/>
    <w:rsid w:val="00796524"/>
    <w:rsid w:val="0079657B"/>
    <w:rsid w:val="007965BE"/>
    <w:rsid w:val="007965DB"/>
    <w:rsid w:val="00796627"/>
    <w:rsid w:val="00796679"/>
    <w:rsid w:val="00796740"/>
    <w:rsid w:val="00796760"/>
    <w:rsid w:val="007967A7"/>
    <w:rsid w:val="007967D7"/>
    <w:rsid w:val="0079681F"/>
    <w:rsid w:val="00796826"/>
    <w:rsid w:val="00796904"/>
    <w:rsid w:val="007969B8"/>
    <w:rsid w:val="007969CB"/>
    <w:rsid w:val="00796B4C"/>
    <w:rsid w:val="00796B6B"/>
    <w:rsid w:val="00796C96"/>
    <w:rsid w:val="00796CBA"/>
    <w:rsid w:val="00796EBE"/>
    <w:rsid w:val="00796FCD"/>
    <w:rsid w:val="00796FD5"/>
    <w:rsid w:val="00797018"/>
    <w:rsid w:val="007970DA"/>
    <w:rsid w:val="007971A1"/>
    <w:rsid w:val="007971DC"/>
    <w:rsid w:val="007972BC"/>
    <w:rsid w:val="00797343"/>
    <w:rsid w:val="007974BD"/>
    <w:rsid w:val="00797512"/>
    <w:rsid w:val="00797561"/>
    <w:rsid w:val="007975CC"/>
    <w:rsid w:val="007975EC"/>
    <w:rsid w:val="007975ED"/>
    <w:rsid w:val="0079769B"/>
    <w:rsid w:val="00797712"/>
    <w:rsid w:val="00797737"/>
    <w:rsid w:val="007977B4"/>
    <w:rsid w:val="007979B9"/>
    <w:rsid w:val="00797A78"/>
    <w:rsid w:val="00797A9F"/>
    <w:rsid w:val="00797B64"/>
    <w:rsid w:val="00797B7E"/>
    <w:rsid w:val="00797D1F"/>
    <w:rsid w:val="00797DA0"/>
    <w:rsid w:val="00797DFF"/>
    <w:rsid w:val="00797E02"/>
    <w:rsid w:val="00797E78"/>
    <w:rsid w:val="00797E99"/>
    <w:rsid w:val="00797ED4"/>
    <w:rsid w:val="00797EE6"/>
    <w:rsid w:val="00797EFF"/>
    <w:rsid w:val="00797F46"/>
    <w:rsid w:val="00797F4B"/>
    <w:rsid w:val="00797F67"/>
    <w:rsid w:val="00797F9C"/>
    <w:rsid w:val="007A0045"/>
    <w:rsid w:val="007A008F"/>
    <w:rsid w:val="007A00CA"/>
    <w:rsid w:val="007A0213"/>
    <w:rsid w:val="007A034A"/>
    <w:rsid w:val="007A0360"/>
    <w:rsid w:val="007A0370"/>
    <w:rsid w:val="007A03C9"/>
    <w:rsid w:val="007A03DB"/>
    <w:rsid w:val="007A0406"/>
    <w:rsid w:val="007A0453"/>
    <w:rsid w:val="007A0457"/>
    <w:rsid w:val="007A047B"/>
    <w:rsid w:val="007A04A1"/>
    <w:rsid w:val="007A0509"/>
    <w:rsid w:val="007A0523"/>
    <w:rsid w:val="007A0550"/>
    <w:rsid w:val="007A0551"/>
    <w:rsid w:val="007A0556"/>
    <w:rsid w:val="007A0573"/>
    <w:rsid w:val="007A05F0"/>
    <w:rsid w:val="007A0611"/>
    <w:rsid w:val="007A06B7"/>
    <w:rsid w:val="007A072E"/>
    <w:rsid w:val="007A0767"/>
    <w:rsid w:val="007A07B8"/>
    <w:rsid w:val="007A084E"/>
    <w:rsid w:val="007A0859"/>
    <w:rsid w:val="007A088F"/>
    <w:rsid w:val="007A08DC"/>
    <w:rsid w:val="007A08EB"/>
    <w:rsid w:val="007A0992"/>
    <w:rsid w:val="007A0998"/>
    <w:rsid w:val="007A09D6"/>
    <w:rsid w:val="007A0A30"/>
    <w:rsid w:val="007A0A48"/>
    <w:rsid w:val="007A0A83"/>
    <w:rsid w:val="007A0B51"/>
    <w:rsid w:val="007A0B97"/>
    <w:rsid w:val="007A0BF2"/>
    <w:rsid w:val="007A0C34"/>
    <w:rsid w:val="007A0D61"/>
    <w:rsid w:val="007A0D94"/>
    <w:rsid w:val="007A0E03"/>
    <w:rsid w:val="007A0E0F"/>
    <w:rsid w:val="007A0E3F"/>
    <w:rsid w:val="007A0EBD"/>
    <w:rsid w:val="007A0EC4"/>
    <w:rsid w:val="007A0ED8"/>
    <w:rsid w:val="007A0F5F"/>
    <w:rsid w:val="007A0FDB"/>
    <w:rsid w:val="007A1061"/>
    <w:rsid w:val="007A1082"/>
    <w:rsid w:val="007A10B7"/>
    <w:rsid w:val="007A10D4"/>
    <w:rsid w:val="007A10FE"/>
    <w:rsid w:val="007A1117"/>
    <w:rsid w:val="007A1147"/>
    <w:rsid w:val="007A12E5"/>
    <w:rsid w:val="007A132A"/>
    <w:rsid w:val="007A1334"/>
    <w:rsid w:val="007A1344"/>
    <w:rsid w:val="007A1370"/>
    <w:rsid w:val="007A1375"/>
    <w:rsid w:val="007A1487"/>
    <w:rsid w:val="007A14A8"/>
    <w:rsid w:val="007A156A"/>
    <w:rsid w:val="007A15A3"/>
    <w:rsid w:val="007A1640"/>
    <w:rsid w:val="007A1644"/>
    <w:rsid w:val="007A167C"/>
    <w:rsid w:val="007A16EB"/>
    <w:rsid w:val="007A175E"/>
    <w:rsid w:val="007A1771"/>
    <w:rsid w:val="007A1782"/>
    <w:rsid w:val="007A17D5"/>
    <w:rsid w:val="007A1897"/>
    <w:rsid w:val="007A18B5"/>
    <w:rsid w:val="007A18FC"/>
    <w:rsid w:val="007A18FF"/>
    <w:rsid w:val="007A190A"/>
    <w:rsid w:val="007A19F6"/>
    <w:rsid w:val="007A1AF9"/>
    <w:rsid w:val="007A1AFC"/>
    <w:rsid w:val="007A1BCE"/>
    <w:rsid w:val="007A1C20"/>
    <w:rsid w:val="007A1CA1"/>
    <w:rsid w:val="007A1D55"/>
    <w:rsid w:val="007A1DB5"/>
    <w:rsid w:val="007A1E0B"/>
    <w:rsid w:val="007A1E2B"/>
    <w:rsid w:val="007A1E4B"/>
    <w:rsid w:val="007A1E4C"/>
    <w:rsid w:val="007A1EEE"/>
    <w:rsid w:val="007A1F3C"/>
    <w:rsid w:val="007A1F70"/>
    <w:rsid w:val="007A1F9C"/>
    <w:rsid w:val="007A1FCD"/>
    <w:rsid w:val="007A1FCE"/>
    <w:rsid w:val="007A2040"/>
    <w:rsid w:val="007A20E3"/>
    <w:rsid w:val="007A21D8"/>
    <w:rsid w:val="007A2272"/>
    <w:rsid w:val="007A2321"/>
    <w:rsid w:val="007A2353"/>
    <w:rsid w:val="007A236B"/>
    <w:rsid w:val="007A23BC"/>
    <w:rsid w:val="007A24CF"/>
    <w:rsid w:val="007A2506"/>
    <w:rsid w:val="007A2587"/>
    <w:rsid w:val="007A26FB"/>
    <w:rsid w:val="007A27ED"/>
    <w:rsid w:val="007A2814"/>
    <w:rsid w:val="007A2849"/>
    <w:rsid w:val="007A2864"/>
    <w:rsid w:val="007A2869"/>
    <w:rsid w:val="007A28B3"/>
    <w:rsid w:val="007A296F"/>
    <w:rsid w:val="007A2A5A"/>
    <w:rsid w:val="007A2A5C"/>
    <w:rsid w:val="007A2A75"/>
    <w:rsid w:val="007A2AB0"/>
    <w:rsid w:val="007A2BA5"/>
    <w:rsid w:val="007A2C19"/>
    <w:rsid w:val="007A2CA5"/>
    <w:rsid w:val="007A2CCA"/>
    <w:rsid w:val="007A2D6F"/>
    <w:rsid w:val="007A2D7A"/>
    <w:rsid w:val="007A2DA3"/>
    <w:rsid w:val="007A2DF0"/>
    <w:rsid w:val="007A2E94"/>
    <w:rsid w:val="007A2EC3"/>
    <w:rsid w:val="007A307C"/>
    <w:rsid w:val="007A3135"/>
    <w:rsid w:val="007A3137"/>
    <w:rsid w:val="007A314C"/>
    <w:rsid w:val="007A31BE"/>
    <w:rsid w:val="007A326A"/>
    <w:rsid w:val="007A3340"/>
    <w:rsid w:val="007A33C8"/>
    <w:rsid w:val="007A3475"/>
    <w:rsid w:val="007A34F6"/>
    <w:rsid w:val="007A357C"/>
    <w:rsid w:val="007A3586"/>
    <w:rsid w:val="007A35A0"/>
    <w:rsid w:val="007A3615"/>
    <w:rsid w:val="007A36E1"/>
    <w:rsid w:val="007A37A4"/>
    <w:rsid w:val="007A37FB"/>
    <w:rsid w:val="007A3885"/>
    <w:rsid w:val="007A38A4"/>
    <w:rsid w:val="007A38EA"/>
    <w:rsid w:val="007A397C"/>
    <w:rsid w:val="007A39B0"/>
    <w:rsid w:val="007A3A9B"/>
    <w:rsid w:val="007A3AAE"/>
    <w:rsid w:val="007A3AB9"/>
    <w:rsid w:val="007A3ABE"/>
    <w:rsid w:val="007A3B1A"/>
    <w:rsid w:val="007A3B21"/>
    <w:rsid w:val="007A3B42"/>
    <w:rsid w:val="007A3B5B"/>
    <w:rsid w:val="007A3BAF"/>
    <w:rsid w:val="007A3BF5"/>
    <w:rsid w:val="007A3C05"/>
    <w:rsid w:val="007A3CB1"/>
    <w:rsid w:val="007A3CB5"/>
    <w:rsid w:val="007A3D94"/>
    <w:rsid w:val="007A3DA1"/>
    <w:rsid w:val="007A3DA2"/>
    <w:rsid w:val="007A3DA7"/>
    <w:rsid w:val="007A3F6D"/>
    <w:rsid w:val="007A4011"/>
    <w:rsid w:val="007A40E2"/>
    <w:rsid w:val="007A4204"/>
    <w:rsid w:val="007A4264"/>
    <w:rsid w:val="007A42E3"/>
    <w:rsid w:val="007A42E7"/>
    <w:rsid w:val="007A4370"/>
    <w:rsid w:val="007A443B"/>
    <w:rsid w:val="007A4525"/>
    <w:rsid w:val="007A46BD"/>
    <w:rsid w:val="007A46E5"/>
    <w:rsid w:val="007A4762"/>
    <w:rsid w:val="007A47A2"/>
    <w:rsid w:val="007A4841"/>
    <w:rsid w:val="007A488A"/>
    <w:rsid w:val="007A4891"/>
    <w:rsid w:val="007A48FA"/>
    <w:rsid w:val="007A491C"/>
    <w:rsid w:val="007A499A"/>
    <w:rsid w:val="007A4A3C"/>
    <w:rsid w:val="007A4AB3"/>
    <w:rsid w:val="007A4AF3"/>
    <w:rsid w:val="007A4B36"/>
    <w:rsid w:val="007A4BAF"/>
    <w:rsid w:val="007A4D24"/>
    <w:rsid w:val="007A4D70"/>
    <w:rsid w:val="007A4D7C"/>
    <w:rsid w:val="007A4DE0"/>
    <w:rsid w:val="007A4DF4"/>
    <w:rsid w:val="007A4E95"/>
    <w:rsid w:val="007A4F0C"/>
    <w:rsid w:val="007A4F8E"/>
    <w:rsid w:val="007A509F"/>
    <w:rsid w:val="007A510E"/>
    <w:rsid w:val="007A5192"/>
    <w:rsid w:val="007A51E3"/>
    <w:rsid w:val="007A51EF"/>
    <w:rsid w:val="007A5429"/>
    <w:rsid w:val="007A54A3"/>
    <w:rsid w:val="007A5563"/>
    <w:rsid w:val="007A557C"/>
    <w:rsid w:val="007A55EA"/>
    <w:rsid w:val="007A561A"/>
    <w:rsid w:val="007A5652"/>
    <w:rsid w:val="007A567C"/>
    <w:rsid w:val="007A571C"/>
    <w:rsid w:val="007A574A"/>
    <w:rsid w:val="007A57AB"/>
    <w:rsid w:val="007A5822"/>
    <w:rsid w:val="007A58A3"/>
    <w:rsid w:val="007A58A6"/>
    <w:rsid w:val="007A59E6"/>
    <w:rsid w:val="007A5A16"/>
    <w:rsid w:val="007A5A6F"/>
    <w:rsid w:val="007A5AC6"/>
    <w:rsid w:val="007A5B1D"/>
    <w:rsid w:val="007A5BC6"/>
    <w:rsid w:val="007A5BEE"/>
    <w:rsid w:val="007A5BFF"/>
    <w:rsid w:val="007A5D2F"/>
    <w:rsid w:val="007A5D7E"/>
    <w:rsid w:val="007A5E4A"/>
    <w:rsid w:val="007A5E68"/>
    <w:rsid w:val="007A5E79"/>
    <w:rsid w:val="007A5F3F"/>
    <w:rsid w:val="007A620E"/>
    <w:rsid w:val="007A627B"/>
    <w:rsid w:val="007A62C8"/>
    <w:rsid w:val="007A62C9"/>
    <w:rsid w:val="007A62DB"/>
    <w:rsid w:val="007A6311"/>
    <w:rsid w:val="007A6363"/>
    <w:rsid w:val="007A6377"/>
    <w:rsid w:val="007A6485"/>
    <w:rsid w:val="007A64B0"/>
    <w:rsid w:val="007A64BA"/>
    <w:rsid w:val="007A6532"/>
    <w:rsid w:val="007A65D4"/>
    <w:rsid w:val="007A6624"/>
    <w:rsid w:val="007A66DA"/>
    <w:rsid w:val="007A6719"/>
    <w:rsid w:val="007A671F"/>
    <w:rsid w:val="007A6737"/>
    <w:rsid w:val="007A676D"/>
    <w:rsid w:val="007A68CA"/>
    <w:rsid w:val="007A696F"/>
    <w:rsid w:val="007A6A2A"/>
    <w:rsid w:val="007A6A3E"/>
    <w:rsid w:val="007A6A55"/>
    <w:rsid w:val="007A6B4E"/>
    <w:rsid w:val="007A6C7E"/>
    <w:rsid w:val="007A6C9D"/>
    <w:rsid w:val="007A6C9F"/>
    <w:rsid w:val="007A6EA4"/>
    <w:rsid w:val="007A6F76"/>
    <w:rsid w:val="007A6FE1"/>
    <w:rsid w:val="007A7004"/>
    <w:rsid w:val="007A7019"/>
    <w:rsid w:val="007A7053"/>
    <w:rsid w:val="007A7071"/>
    <w:rsid w:val="007A70CE"/>
    <w:rsid w:val="007A713E"/>
    <w:rsid w:val="007A717A"/>
    <w:rsid w:val="007A7197"/>
    <w:rsid w:val="007A71C0"/>
    <w:rsid w:val="007A725E"/>
    <w:rsid w:val="007A7310"/>
    <w:rsid w:val="007A7315"/>
    <w:rsid w:val="007A7345"/>
    <w:rsid w:val="007A7466"/>
    <w:rsid w:val="007A74FA"/>
    <w:rsid w:val="007A7548"/>
    <w:rsid w:val="007A7557"/>
    <w:rsid w:val="007A77F3"/>
    <w:rsid w:val="007A782B"/>
    <w:rsid w:val="007A782F"/>
    <w:rsid w:val="007A7876"/>
    <w:rsid w:val="007A793C"/>
    <w:rsid w:val="007A7962"/>
    <w:rsid w:val="007A7970"/>
    <w:rsid w:val="007A7973"/>
    <w:rsid w:val="007A79C3"/>
    <w:rsid w:val="007A7B1B"/>
    <w:rsid w:val="007A7B95"/>
    <w:rsid w:val="007A7C2C"/>
    <w:rsid w:val="007A7C41"/>
    <w:rsid w:val="007A7C76"/>
    <w:rsid w:val="007A7C9F"/>
    <w:rsid w:val="007A7CAF"/>
    <w:rsid w:val="007A7CE5"/>
    <w:rsid w:val="007A7D9E"/>
    <w:rsid w:val="007A7DA9"/>
    <w:rsid w:val="007A7DEA"/>
    <w:rsid w:val="007A7E15"/>
    <w:rsid w:val="007A7E7B"/>
    <w:rsid w:val="007A7ECD"/>
    <w:rsid w:val="007A7F5A"/>
    <w:rsid w:val="007A7FED"/>
    <w:rsid w:val="007B0043"/>
    <w:rsid w:val="007B0069"/>
    <w:rsid w:val="007B007E"/>
    <w:rsid w:val="007B00B7"/>
    <w:rsid w:val="007B00CE"/>
    <w:rsid w:val="007B0172"/>
    <w:rsid w:val="007B0187"/>
    <w:rsid w:val="007B01D7"/>
    <w:rsid w:val="007B01DD"/>
    <w:rsid w:val="007B02A3"/>
    <w:rsid w:val="007B02B2"/>
    <w:rsid w:val="007B033C"/>
    <w:rsid w:val="007B0396"/>
    <w:rsid w:val="007B03EC"/>
    <w:rsid w:val="007B0425"/>
    <w:rsid w:val="007B043D"/>
    <w:rsid w:val="007B04A5"/>
    <w:rsid w:val="007B0507"/>
    <w:rsid w:val="007B0514"/>
    <w:rsid w:val="007B0524"/>
    <w:rsid w:val="007B0676"/>
    <w:rsid w:val="007B071F"/>
    <w:rsid w:val="007B08CC"/>
    <w:rsid w:val="007B08F2"/>
    <w:rsid w:val="007B0917"/>
    <w:rsid w:val="007B0941"/>
    <w:rsid w:val="007B0951"/>
    <w:rsid w:val="007B0957"/>
    <w:rsid w:val="007B09BA"/>
    <w:rsid w:val="007B0AF7"/>
    <w:rsid w:val="007B0B34"/>
    <w:rsid w:val="007B0B9B"/>
    <w:rsid w:val="007B0BA4"/>
    <w:rsid w:val="007B0C11"/>
    <w:rsid w:val="007B0C79"/>
    <w:rsid w:val="007B0CD0"/>
    <w:rsid w:val="007B0DC8"/>
    <w:rsid w:val="007B0E8F"/>
    <w:rsid w:val="007B0F2E"/>
    <w:rsid w:val="007B0F36"/>
    <w:rsid w:val="007B0F78"/>
    <w:rsid w:val="007B106A"/>
    <w:rsid w:val="007B10B2"/>
    <w:rsid w:val="007B10E6"/>
    <w:rsid w:val="007B112B"/>
    <w:rsid w:val="007B1195"/>
    <w:rsid w:val="007B11F5"/>
    <w:rsid w:val="007B120C"/>
    <w:rsid w:val="007B1248"/>
    <w:rsid w:val="007B12BF"/>
    <w:rsid w:val="007B12C1"/>
    <w:rsid w:val="007B1357"/>
    <w:rsid w:val="007B1396"/>
    <w:rsid w:val="007B13E1"/>
    <w:rsid w:val="007B1455"/>
    <w:rsid w:val="007B147B"/>
    <w:rsid w:val="007B14DF"/>
    <w:rsid w:val="007B17FB"/>
    <w:rsid w:val="007B1821"/>
    <w:rsid w:val="007B1886"/>
    <w:rsid w:val="007B1907"/>
    <w:rsid w:val="007B1960"/>
    <w:rsid w:val="007B1AC7"/>
    <w:rsid w:val="007B1AC9"/>
    <w:rsid w:val="007B1B0F"/>
    <w:rsid w:val="007B1B27"/>
    <w:rsid w:val="007B1B33"/>
    <w:rsid w:val="007B1B83"/>
    <w:rsid w:val="007B1BA0"/>
    <w:rsid w:val="007B1BA2"/>
    <w:rsid w:val="007B1D58"/>
    <w:rsid w:val="007B1D75"/>
    <w:rsid w:val="007B1DAA"/>
    <w:rsid w:val="007B1E1A"/>
    <w:rsid w:val="007B1E44"/>
    <w:rsid w:val="007B1ECA"/>
    <w:rsid w:val="007B1EED"/>
    <w:rsid w:val="007B1F07"/>
    <w:rsid w:val="007B1F68"/>
    <w:rsid w:val="007B207E"/>
    <w:rsid w:val="007B2102"/>
    <w:rsid w:val="007B2153"/>
    <w:rsid w:val="007B2175"/>
    <w:rsid w:val="007B220B"/>
    <w:rsid w:val="007B2215"/>
    <w:rsid w:val="007B22A5"/>
    <w:rsid w:val="007B2306"/>
    <w:rsid w:val="007B2327"/>
    <w:rsid w:val="007B23E7"/>
    <w:rsid w:val="007B2410"/>
    <w:rsid w:val="007B24D9"/>
    <w:rsid w:val="007B2549"/>
    <w:rsid w:val="007B2555"/>
    <w:rsid w:val="007B264E"/>
    <w:rsid w:val="007B26E3"/>
    <w:rsid w:val="007B27A2"/>
    <w:rsid w:val="007B27BD"/>
    <w:rsid w:val="007B2843"/>
    <w:rsid w:val="007B2865"/>
    <w:rsid w:val="007B288A"/>
    <w:rsid w:val="007B2AA9"/>
    <w:rsid w:val="007B2AB7"/>
    <w:rsid w:val="007B2AC3"/>
    <w:rsid w:val="007B2B31"/>
    <w:rsid w:val="007B2B79"/>
    <w:rsid w:val="007B2E1B"/>
    <w:rsid w:val="007B2F04"/>
    <w:rsid w:val="007B2F3D"/>
    <w:rsid w:val="007B2F45"/>
    <w:rsid w:val="007B2F61"/>
    <w:rsid w:val="007B2FED"/>
    <w:rsid w:val="007B30DD"/>
    <w:rsid w:val="007B3117"/>
    <w:rsid w:val="007B3120"/>
    <w:rsid w:val="007B3157"/>
    <w:rsid w:val="007B316E"/>
    <w:rsid w:val="007B3179"/>
    <w:rsid w:val="007B31E4"/>
    <w:rsid w:val="007B3218"/>
    <w:rsid w:val="007B3281"/>
    <w:rsid w:val="007B32BD"/>
    <w:rsid w:val="007B32FA"/>
    <w:rsid w:val="007B3403"/>
    <w:rsid w:val="007B34FA"/>
    <w:rsid w:val="007B3510"/>
    <w:rsid w:val="007B354F"/>
    <w:rsid w:val="007B361F"/>
    <w:rsid w:val="007B3677"/>
    <w:rsid w:val="007B36D8"/>
    <w:rsid w:val="007B3740"/>
    <w:rsid w:val="007B3778"/>
    <w:rsid w:val="007B3788"/>
    <w:rsid w:val="007B37A8"/>
    <w:rsid w:val="007B3811"/>
    <w:rsid w:val="007B38A9"/>
    <w:rsid w:val="007B38BF"/>
    <w:rsid w:val="007B38C2"/>
    <w:rsid w:val="007B395B"/>
    <w:rsid w:val="007B3A20"/>
    <w:rsid w:val="007B3AB2"/>
    <w:rsid w:val="007B3B46"/>
    <w:rsid w:val="007B3BDF"/>
    <w:rsid w:val="007B3CD4"/>
    <w:rsid w:val="007B3CD6"/>
    <w:rsid w:val="007B3CE9"/>
    <w:rsid w:val="007B3D68"/>
    <w:rsid w:val="007B3DA6"/>
    <w:rsid w:val="007B3DCC"/>
    <w:rsid w:val="007B3DCD"/>
    <w:rsid w:val="007B3EA2"/>
    <w:rsid w:val="007B3F3F"/>
    <w:rsid w:val="007B3F5B"/>
    <w:rsid w:val="007B3F63"/>
    <w:rsid w:val="007B414C"/>
    <w:rsid w:val="007B4184"/>
    <w:rsid w:val="007B41D1"/>
    <w:rsid w:val="007B4247"/>
    <w:rsid w:val="007B4277"/>
    <w:rsid w:val="007B4289"/>
    <w:rsid w:val="007B43DA"/>
    <w:rsid w:val="007B4460"/>
    <w:rsid w:val="007B451A"/>
    <w:rsid w:val="007B4539"/>
    <w:rsid w:val="007B45B1"/>
    <w:rsid w:val="007B466D"/>
    <w:rsid w:val="007B476E"/>
    <w:rsid w:val="007B47E4"/>
    <w:rsid w:val="007B47F2"/>
    <w:rsid w:val="007B4803"/>
    <w:rsid w:val="007B482D"/>
    <w:rsid w:val="007B4864"/>
    <w:rsid w:val="007B48B9"/>
    <w:rsid w:val="007B4939"/>
    <w:rsid w:val="007B4A3D"/>
    <w:rsid w:val="007B4B36"/>
    <w:rsid w:val="007B4C31"/>
    <w:rsid w:val="007B4C38"/>
    <w:rsid w:val="007B4C82"/>
    <w:rsid w:val="007B4C93"/>
    <w:rsid w:val="007B4CCF"/>
    <w:rsid w:val="007B4CD0"/>
    <w:rsid w:val="007B4DA1"/>
    <w:rsid w:val="007B4DE0"/>
    <w:rsid w:val="007B4EAF"/>
    <w:rsid w:val="007B4EC9"/>
    <w:rsid w:val="007B4F76"/>
    <w:rsid w:val="007B4FB0"/>
    <w:rsid w:val="007B5272"/>
    <w:rsid w:val="007B52BC"/>
    <w:rsid w:val="007B52EC"/>
    <w:rsid w:val="007B53CF"/>
    <w:rsid w:val="007B541E"/>
    <w:rsid w:val="007B5476"/>
    <w:rsid w:val="007B54BD"/>
    <w:rsid w:val="007B5532"/>
    <w:rsid w:val="007B5534"/>
    <w:rsid w:val="007B5558"/>
    <w:rsid w:val="007B55A9"/>
    <w:rsid w:val="007B55CF"/>
    <w:rsid w:val="007B5683"/>
    <w:rsid w:val="007B56C8"/>
    <w:rsid w:val="007B571F"/>
    <w:rsid w:val="007B573E"/>
    <w:rsid w:val="007B5748"/>
    <w:rsid w:val="007B579F"/>
    <w:rsid w:val="007B57B2"/>
    <w:rsid w:val="007B5862"/>
    <w:rsid w:val="007B5888"/>
    <w:rsid w:val="007B588B"/>
    <w:rsid w:val="007B589F"/>
    <w:rsid w:val="007B5955"/>
    <w:rsid w:val="007B597E"/>
    <w:rsid w:val="007B597F"/>
    <w:rsid w:val="007B59D8"/>
    <w:rsid w:val="007B5A3C"/>
    <w:rsid w:val="007B5C1D"/>
    <w:rsid w:val="007B5C52"/>
    <w:rsid w:val="007B5D6E"/>
    <w:rsid w:val="007B5DA3"/>
    <w:rsid w:val="007B5DF3"/>
    <w:rsid w:val="007B5EA0"/>
    <w:rsid w:val="007B5EAF"/>
    <w:rsid w:val="007B5F1C"/>
    <w:rsid w:val="007B5F88"/>
    <w:rsid w:val="007B602B"/>
    <w:rsid w:val="007B60AB"/>
    <w:rsid w:val="007B6170"/>
    <w:rsid w:val="007B61AB"/>
    <w:rsid w:val="007B61B1"/>
    <w:rsid w:val="007B6228"/>
    <w:rsid w:val="007B62FE"/>
    <w:rsid w:val="007B632C"/>
    <w:rsid w:val="007B6396"/>
    <w:rsid w:val="007B6461"/>
    <w:rsid w:val="007B64C3"/>
    <w:rsid w:val="007B6511"/>
    <w:rsid w:val="007B65C6"/>
    <w:rsid w:val="007B65D7"/>
    <w:rsid w:val="007B6673"/>
    <w:rsid w:val="007B66B1"/>
    <w:rsid w:val="007B66E7"/>
    <w:rsid w:val="007B673D"/>
    <w:rsid w:val="007B67C6"/>
    <w:rsid w:val="007B6807"/>
    <w:rsid w:val="007B68B6"/>
    <w:rsid w:val="007B6923"/>
    <w:rsid w:val="007B692C"/>
    <w:rsid w:val="007B6937"/>
    <w:rsid w:val="007B69B0"/>
    <w:rsid w:val="007B6A2A"/>
    <w:rsid w:val="007B6A4B"/>
    <w:rsid w:val="007B6A61"/>
    <w:rsid w:val="007B6B64"/>
    <w:rsid w:val="007B6B7A"/>
    <w:rsid w:val="007B6C2A"/>
    <w:rsid w:val="007B6C8B"/>
    <w:rsid w:val="007B6D5C"/>
    <w:rsid w:val="007B6D66"/>
    <w:rsid w:val="007B6D6B"/>
    <w:rsid w:val="007B6D8A"/>
    <w:rsid w:val="007B6F2D"/>
    <w:rsid w:val="007B6FB0"/>
    <w:rsid w:val="007B6FBF"/>
    <w:rsid w:val="007B70C0"/>
    <w:rsid w:val="007B729D"/>
    <w:rsid w:val="007B73E9"/>
    <w:rsid w:val="007B7439"/>
    <w:rsid w:val="007B7482"/>
    <w:rsid w:val="007B74A2"/>
    <w:rsid w:val="007B74A7"/>
    <w:rsid w:val="007B74A8"/>
    <w:rsid w:val="007B74BA"/>
    <w:rsid w:val="007B7512"/>
    <w:rsid w:val="007B7588"/>
    <w:rsid w:val="007B759D"/>
    <w:rsid w:val="007B766D"/>
    <w:rsid w:val="007B7816"/>
    <w:rsid w:val="007B7927"/>
    <w:rsid w:val="007B7937"/>
    <w:rsid w:val="007B7A09"/>
    <w:rsid w:val="007B7A36"/>
    <w:rsid w:val="007B7A50"/>
    <w:rsid w:val="007B7ADE"/>
    <w:rsid w:val="007B7AF8"/>
    <w:rsid w:val="007B7C30"/>
    <w:rsid w:val="007B7DB1"/>
    <w:rsid w:val="007B7DD9"/>
    <w:rsid w:val="007B7E83"/>
    <w:rsid w:val="007B7E99"/>
    <w:rsid w:val="007B7EEA"/>
    <w:rsid w:val="007B7EF4"/>
    <w:rsid w:val="007B7EF5"/>
    <w:rsid w:val="007C007C"/>
    <w:rsid w:val="007C00E0"/>
    <w:rsid w:val="007C00E1"/>
    <w:rsid w:val="007C0106"/>
    <w:rsid w:val="007C015B"/>
    <w:rsid w:val="007C018E"/>
    <w:rsid w:val="007C0197"/>
    <w:rsid w:val="007C01E3"/>
    <w:rsid w:val="007C01E5"/>
    <w:rsid w:val="007C026F"/>
    <w:rsid w:val="007C02E1"/>
    <w:rsid w:val="007C02EF"/>
    <w:rsid w:val="007C039F"/>
    <w:rsid w:val="007C0418"/>
    <w:rsid w:val="007C0438"/>
    <w:rsid w:val="007C07CB"/>
    <w:rsid w:val="007C0847"/>
    <w:rsid w:val="007C0848"/>
    <w:rsid w:val="007C089C"/>
    <w:rsid w:val="007C08C1"/>
    <w:rsid w:val="007C09A6"/>
    <w:rsid w:val="007C0A3F"/>
    <w:rsid w:val="007C0AA4"/>
    <w:rsid w:val="007C0B1C"/>
    <w:rsid w:val="007C0BD8"/>
    <w:rsid w:val="007C0C37"/>
    <w:rsid w:val="007C0C8B"/>
    <w:rsid w:val="007C0D1E"/>
    <w:rsid w:val="007C0D2C"/>
    <w:rsid w:val="007C0D49"/>
    <w:rsid w:val="007C0D5E"/>
    <w:rsid w:val="007C0DD4"/>
    <w:rsid w:val="007C0ED8"/>
    <w:rsid w:val="007C101B"/>
    <w:rsid w:val="007C1020"/>
    <w:rsid w:val="007C10AB"/>
    <w:rsid w:val="007C11A8"/>
    <w:rsid w:val="007C11BF"/>
    <w:rsid w:val="007C1237"/>
    <w:rsid w:val="007C1244"/>
    <w:rsid w:val="007C1257"/>
    <w:rsid w:val="007C128A"/>
    <w:rsid w:val="007C131C"/>
    <w:rsid w:val="007C1355"/>
    <w:rsid w:val="007C1362"/>
    <w:rsid w:val="007C13B5"/>
    <w:rsid w:val="007C14A1"/>
    <w:rsid w:val="007C1541"/>
    <w:rsid w:val="007C16E7"/>
    <w:rsid w:val="007C1726"/>
    <w:rsid w:val="007C1797"/>
    <w:rsid w:val="007C17E6"/>
    <w:rsid w:val="007C182B"/>
    <w:rsid w:val="007C1890"/>
    <w:rsid w:val="007C18BC"/>
    <w:rsid w:val="007C18BF"/>
    <w:rsid w:val="007C1960"/>
    <w:rsid w:val="007C19C1"/>
    <w:rsid w:val="007C19E4"/>
    <w:rsid w:val="007C1A48"/>
    <w:rsid w:val="007C1A8B"/>
    <w:rsid w:val="007C1AC2"/>
    <w:rsid w:val="007C1ADA"/>
    <w:rsid w:val="007C1B1F"/>
    <w:rsid w:val="007C1B89"/>
    <w:rsid w:val="007C1D2D"/>
    <w:rsid w:val="007C1EAF"/>
    <w:rsid w:val="007C1EE8"/>
    <w:rsid w:val="007C1EE9"/>
    <w:rsid w:val="007C1F7E"/>
    <w:rsid w:val="007C2035"/>
    <w:rsid w:val="007C2040"/>
    <w:rsid w:val="007C20D6"/>
    <w:rsid w:val="007C20DE"/>
    <w:rsid w:val="007C2133"/>
    <w:rsid w:val="007C218E"/>
    <w:rsid w:val="007C21ED"/>
    <w:rsid w:val="007C223F"/>
    <w:rsid w:val="007C2244"/>
    <w:rsid w:val="007C226B"/>
    <w:rsid w:val="007C2312"/>
    <w:rsid w:val="007C23E9"/>
    <w:rsid w:val="007C245A"/>
    <w:rsid w:val="007C254D"/>
    <w:rsid w:val="007C25A6"/>
    <w:rsid w:val="007C26C5"/>
    <w:rsid w:val="007C271B"/>
    <w:rsid w:val="007C288B"/>
    <w:rsid w:val="007C28C0"/>
    <w:rsid w:val="007C28D4"/>
    <w:rsid w:val="007C2926"/>
    <w:rsid w:val="007C295F"/>
    <w:rsid w:val="007C29D2"/>
    <w:rsid w:val="007C29FC"/>
    <w:rsid w:val="007C2A7E"/>
    <w:rsid w:val="007C2A91"/>
    <w:rsid w:val="007C2ACA"/>
    <w:rsid w:val="007C2AF1"/>
    <w:rsid w:val="007C2B42"/>
    <w:rsid w:val="007C2C81"/>
    <w:rsid w:val="007C2D62"/>
    <w:rsid w:val="007C2E7E"/>
    <w:rsid w:val="007C2E86"/>
    <w:rsid w:val="007C2EF4"/>
    <w:rsid w:val="007C2F56"/>
    <w:rsid w:val="007C2FA0"/>
    <w:rsid w:val="007C2FFF"/>
    <w:rsid w:val="007C301A"/>
    <w:rsid w:val="007C3078"/>
    <w:rsid w:val="007C30AA"/>
    <w:rsid w:val="007C30DB"/>
    <w:rsid w:val="007C31B6"/>
    <w:rsid w:val="007C3254"/>
    <w:rsid w:val="007C32DB"/>
    <w:rsid w:val="007C32E4"/>
    <w:rsid w:val="007C3399"/>
    <w:rsid w:val="007C339B"/>
    <w:rsid w:val="007C3419"/>
    <w:rsid w:val="007C3443"/>
    <w:rsid w:val="007C34A3"/>
    <w:rsid w:val="007C34BA"/>
    <w:rsid w:val="007C3579"/>
    <w:rsid w:val="007C35CF"/>
    <w:rsid w:val="007C35FE"/>
    <w:rsid w:val="007C3656"/>
    <w:rsid w:val="007C365C"/>
    <w:rsid w:val="007C36B4"/>
    <w:rsid w:val="007C36C6"/>
    <w:rsid w:val="007C36DA"/>
    <w:rsid w:val="007C3714"/>
    <w:rsid w:val="007C38D8"/>
    <w:rsid w:val="007C397E"/>
    <w:rsid w:val="007C3A69"/>
    <w:rsid w:val="007C3B41"/>
    <w:rsid w:val="007C3B8C"/>
    <w:rsid w:val="007C3BB4"/>
    <w:rsid w:val="007C3BD6"/>
    <w:rsid w:val="007C3C03"/>
    <w:rsid w:val="007C3C0F"/>
    <w:rsid w:val="007C3C60"/>
    <w:rsid w:val="007C3C98"/>
    <w:rsid w:val="007C3E6C"/>
    <w:rsid w:val="007C3EB1"/>
    <w:rsid w:val="007C3EE9"/>
    <w:rsid w:val="007C3F19"/>
    <w:rsid w:val="007C3F88"/>
    <w:rsid w:val="007C4019"/>
    <w:rsid w:val="007C4078"/>
    <w:rsid w:val="007C423D"/>
    <w:rsid w:val="007C43B5"/>
    <w:rsid w:val="007C4414"/>
    <w:rsid w:val="007C441A"/>
    <w:rsid w:val="007C448C"/>
    <w:rsid w:val="007C4569"/>
    <w:rsid w:val="007C465D"/>
    <w:rsid w:val="007C4668"/>
    <w:rsid w:val="007C47B8"/>
    <w:rsid w:val="007C47C6"/>
    <w:rsid w:val="007C47D2"/>
    <w:rsid w:val="007C48C2"/>
    <w:rsid w:val="007C4957"/>
    <w:rsid w:val="007C4A1C"/>
    <w:rsid w:val="007C4A26"/>
    <w:rsid w:val="007C4A86"/>
    <w:rsid w:val="007C4B09"/>
    <w:rsid w:val="007C4B19"/>
    <w:rsid w:val="007C4BE8"/>
    <w:rsid w:val="007C4CEF"/>
    <w:rsid w:val="007C4E50"/>
    <w:rsid w:val="007C4EB8"/>
    <w:rsid w:val="007C4F31"/>
    <w:rsid w:val="007C50C8"/>
    <w:rsid w:val="007C512F"/>
    <w:rsid w:val="007C516A"/>
    <w:rsid w:val="007C51B4"/>
    <w:rsid w:val="007C51C5"/>
    <w:rsid w:val="007C5243"/>
    <w:rsid w:val="007C5251"/>
    <w:rsid w:val="007C5327"/>
    <w:rsid w:val="007C5349"/>
    <w:rsid w:val="007C535F"/>
    <w:rsid w:val="007C539B"/>
    <w:rsid w:val="007C5439"/>
    <w:rsid w:val="007C54B4"/>
    <w:rsid w:val="007C550A"/>
    <w:rsid w:val="007C5545"/>
    <w:rsid w:val="007C5572"/>
    <w:rsid w:val="007C55BF"/>
    <w:rsid w:val="007C55F1"/>
    <w:rsid w:val="007C5686"/>
    <w:rsid w:val="007C5785"/>
    <w:rsid w:val="007C5A60"/>
    <w:rsid w:val="007C5A8B"/>
    <w:rsid w:val="007C5B3E"/>
    <w:rsid w:val="007C5B60"/>
    <w:rsid w:val="007C5C10"/>
    <w:rsid w:val="007C5C7D"/>
    <w:rsid w:val="007C5D22"/>
    <w:rsid w:val="007C5D5A"/>
    <w:rsid w:val="007C5D99"/>
    <w:rsid w:val="007C5DD6"/>
    <w:rsid w:val="007C5DE7"/>
    <w:rsid w:val="007C5E44"/>
    <w:rsid w:val="007C5F6E"/>
    <w:rsid w:val="007C5FFD"/>
    <w:rsid w:val="007C6002"/>
    <w:rsid w:val="007C60CC"/>
    <w:rsid w:val="007C60D4"/>
    <w:rsid w:val="007C6152"/>
    <w:rsid w:val="007C61B7"/>
    <w:rsid w:val="007C61F7"/>
    <w:rsid w:val="007C62E3"/>
    <w:rsid w:val="007C6372"/>
    <w:rsid w:val="007C63CF"/>
    <w:rsid w:val="007C63F3"/>
    <w:rsid w:val="007C6446"/>
    <w:rsid w:val="007C64E9"/>
    <w:rsid w:val="007C64EC"/>
    <w:rsid w:val="007C64F9"/>
    <w:rsid w:val="007C651A"/>
    <w:rsid w:val="007C655F"/>
    <w:rsid w:val="007C65C4"/>
    <w:rsid w:val="007C6615"/>
    <w:rsid w:val="007C6852"/>
    <w:rsid w:val="007C6887"/>
    <w:rsid w:val="007C68C4"/>
    <w:rsid w:val="007C68D1"/>
    <w:rsid w:val="007C69F8"/>
    <w:rsid w:val="007C6A56"/>
    <w:rsid w:val="007C6AC2"/>
    <w:rsid w:val="007C6C0D"/>
    <w:rsid w:val="007C6C22"/>
    <w:rsid w:val="007C6C3C"/>
    <w:rsid w:val="007C6D6C"/>
    <w:rsid w:val="007C6EDE"/>
    <w:rsid w:val="007C6F4E"/>
    <w:rsid w:val="007C6F71"/>
    <w:rsid w:val="007C7019"/>
    <w:rsid w:val="007C7065"/>
    <w:rsid w:val="007C71A6"/>
    <w:rsid w:val="007C71B2"/>
    <w:rsid w:val="007C72EA"/>
    <w:rsid w:val="007C7332"/>
    <w:rsid w:val="007C7357"/>
    <w:rsid w:val="007C749A"/>
    <w:rsid w:val="007C7501"/>
    <w:rsid w:val="007C759C"/>
    <w:rsid w:val="007C75B6"/>
    <w:rsid w:val="007C779A"/>
    <w:rsid w:val="007C77CB"/>
    <w:rsid w:val="007C7814"/>
    <w:rsid w:val="007C786D"/>
    <w:rsid w:val="007C7995"/>
    <w:rsid w:val="007C79B8"/>
    <w:rsid w:val="007C79D8"/>
    <w:rsid w:val="007C7A98"/>
    <w:rsid w:val="007C7AC0"/>
    <w:rsid w:val="007C7AE9"/>
    <w:rsid w:val="007C7BB6"/>
    <w:rsid w:val="007C7BF7"/>
    <w:rsid w:val="007C7C36"/>
    <w:rsid w:val="007C7C61"/>
    <w:rsid w:val="007C7C7A"/>
    <w:rsid w:val="007C7CCD"/>
    <w:rsid w:val="007C7D69"/>
    <w:rsid w:val="007C7E15"/>
    <w:rsid w:val="007C7E43"/>
    <w:rsid w:val="007C7ED6"/>
    <w:rsid w:val="007C7F53"/>
    <w:rsid w:val="007C7F95"/>
    <w:rsid w:val="007C7FA3"/>
    <w:rsid w:val="007C7FB9"/>
    <w:rsid w:val="007D00AB"/>
    <w:rsid w:val="007D00B2"/>
    <w:rsid w:val="007D00B6"/>
    <w:rsid w:val="007D00D0"/>
    <w:rsid w:val="007D0117"/>
    <w:rsid w:val="007D0154"/>
    <w:rsid w:val="007D01A6"/>
    <w:rsid w:val="007D0267"/>
    <w:rsid w:val="007D02CA"/>
    <w:rsid w:val="007D0307"/>
    <w:rsid w:val="007D0352"/>
    <w:rsid w:val="007D03AD"/>
    <w:rsid w:val="007D03D5"/>
    <w:rsid w:val="007D04E9"/>
    <w:rsid w:val="007D0542"/>
    <w:rsid w:val="007D068F"/>
    <w:rsid w:val="007D06B1"/>
    <w:rsid w:val="007D06D4"/>
    <w:rsid w:val="007D07AB"/>
    <w:rsid w:val="007D07DD"/>
    <w:rsid w:val="007D0811"/>
    <w:rsid w:val="007D0954"/>
    <w:rsid w:val="007D097A"/>
    <w:rsid w:val="007D0AEE"/>
    <w:rsid w:val="007D0B07"/>
    <w:rsid w:val="007D0B53"/>
    <w:rsid w:val="007D0BAF"/>
    <w:rsid w:val="007D0CAD"/>
    <w:rsid w:val="007D0CC8"/>
    <w:rsid w:val="007D0CDD"/>
    <w:rsid w:val="007D0CF6"/>
    <w:rsid w:val="007D0D10"/>
    <w:rsid w:val="007D0D7D"/>
    <w:rsid w:val="007D0D9E"/>
    <w:rsid w:val="007D0DAA"/>
    <w:rsid w:val="007D0DBA"/>
    <w:rsid w:val="007D0E59"/>
    <w:rsid w:val="007D0F63"/>
    <w:rsid w:val="007D0FB0"/>
    <w:rsid w:val="007D0FCF"/>
    <w:rsid w:val="007D0FE1"/>
    <w:rsid w:val="007D0FE6"/>
    <w:rsid w:val="007D1014"/>
    <w:rsid w:val="007D1060"/>
    <w:rsid w:val="007D10CF"/>
    <w:rsid w:val="007D1161"/>
    <w:rsid w:val="007D11A2"/>
    <w:rsid w:val="007D1239"/>
    <w:rsid w:val="007D124B"/>
    <w:rsid w:val="007D125C"/>
    <w:rsid w:val="007D1283"/>
    <w:rsid w:val="007D12AE"/>
    <w:rsid w:val="007D1372"/>
    <w:rsid w:val="007D13BD"/>
    <w:rsid w:val="007D13C4"/>
    <w:rsid w:val="007D13CF"/>
    <w:rsid w:val="007D13D6"/>
    <w:rsid w:val="007D142A"/>
    <w:rsid w:val="007D1440"/>
    <w:rsid w:val="007D145E"/>
    <w:rsid w:val="007D14D2"/>
    <w:rsid w:val="007D1664"/>
    <w:rsid w:val="007D1669"/>
    <w:rsid w:val="007D16CA"/>
    <w:rsid w:val="007D16D8"/>
    <w:rsid w:val="007D173B"/>
    <w:rsid w:val="007D1826"/>
    <w:rsid w:val="007D183C"/>
    <w:rsid w:val="007D18E2"/>
    <w:rsid w:val="007D1904"/>
    <w:rsid w:val="007D1943"/>
    <w:rsid w:val="007D19BA"/>
    <w:rsid w:val="007D19CF"/>
    <w:rsid w:val="007D1A53"/>
    <w:rsid w:val="007D1B0E"/>
    <w:rsid w:val="007D1B3E"/>
    <w:rsid w:val="007D1B56"/>
    <w:rsid w:val="007D1BBF"/>
    <w:rsid w:val="007D1C3F"/>
    <w:rsid w:val="007D1D22"/>
    <w:rsid w:val="007D1D4C"/>
    <w:rsid w:val="007D1DB2"/>
    <w:rsid w:val="007D1E23"/>
    <w:rsid w:val="007D1EC3"/>
    <w:rsid w:val="007D1EFD"/>
    <w:rsid w:val="007D2055"/>
    <w:rsid w:val="007D20C9"/>
    <w:rsid w:val="007D20E2"/>
    <w:rsid w:val="007D2162"/>
    <w:rsid w:val="007D21C4"/>
    <w:rsid w:val="007D21C9"/>
    <w:rsid w:val="007D22A8"/>
    <w:rsid w:val="007D2335"/>
    <w:rsid w:val="007D23D4"/>
    <w:rsid w:val="007D2428"/>
    <w:rsid w:val="007D2485"/>
    <w:rsid w:val="007D25B0"/>
    <w:rsid w:val="007D25FC"/>
    <w:rsid w:val="007D2622"/>
    <w:rsid w:val="007D26C8"/>
    <w:rsid w:val="007D271C"/>
    <w:rsid w:val="007D2721"/>
    <w:rsid w:val="007D283D"/>
    <w:rsid w:val="007D286D"/>
    <w:rsid w:val="007D2871"/>
    <w:rsid w:val="007D2991"/>
    <w:rsid w:val="007D2A2D"/>
    <w:rsid w:val="007D2A9F"/>
    <w:rsid w:val="007D2ADD"/>
    <w:rsid w:val="007D2C22"/>
    <w:rsid w:val="007D2C27"/>
    <w:rsid w:val="007D2C41"/>
    <w:rsid w:val="007D2D45"/>
    <w:rsid w:val="007D2D8D"/>
    <w:rsid w:val="007D2DC5"/>
    <w:rsid w:val="007D2F43"/>
    <w:rsid w:val="007D2F59"/>
    <w:rsid w:val="007D3019"/>
    <w:rsid w:val="007D3059"/>
    <w:rsid w:val="007D306A"/>
    <w:rsid w:val="007D3071"/>
    <w:rsid w:val="007D3124"/>
    <w:rsid w:val="007D3167"/>
    <w:rsid w:val="007D32BB"/>
    <w:rsid w:val="007D32DF"/>
    <w:rsid w:val="007D33A8"/>
    <w:rsid w:val="007D3449"/>
    <w:rsid w:val="007D34CC"/>
    <w:rsid w:val="007D3563"/>
    <w:rsid w:val="007D3587"/>
    <w:rsid w:val="007D3617"/>
    <w:rsid w:val="007D3638"/>
    <w:rsid w:val="007D3660"/>
    <w:rsid w:val="007D372A"/>
    <w:rsid w:val="007D3797"/>
    <w:rsid w:val="007D381C"/>
    <w:rsid w:val="007D3901"/>
    <w:rsid w:val="007D396F"/>
    <w:rsid w:val="007D39B9"/>
    <w:rsid w:val="007D39F2"/>
    <w:rsid w:val="007D3AA2"/>
    <w:rsid w:val="007D3AC8"/>
    <w:rsid w:val="007D3ACD"/>
    <w:rsid w:val="007D3B43"/>
    <w:rsid w:val="007D3B4D"/>
    <w:rsid w:val="007D3C4E"/>
    <w:rsid w:val="007D3C54"/>
    <w:rsid w:val="007D3CB8"/>
    <w:rsid w:val="007D3E3B"/>
    <w:rsid w:val="007D3E6B"/>
    <w:rsid w:val="007D3E7E"/>
    <w:rsid w:val="007D3EA0"/>
    <w:rsid w:val="007D3F33"/>
    <w:rsid w:val="007D3F59"/>
    <w:rsid w:val="007D4124"/>
    <w:rsid w:val="007D4136"/>
    <w:rsid w:val="007D4138"/>
    <w:rsid w:val="007D4139"/>
    <w:rsid w:val="007D41CC"/>
    <w:rsid w:val="007D426C"/>
    <w:rsid w:val="007D4292"/>
    <w:rsid w:val="007D432A"/>
    <w:rsid w:val="007D4379"/>
    <w:rsid w:val="007D440E"/>
    <w:rsid w:val="007D4433"/>
    <w:rsid w:val="007D4463"/>
    <w:rsid w:val="007D4478"/>
    <w:rsid w:val="007D44D3"/>
    <w:rsid w:val="007D45CE"/>
    <w:rsid w:val="007D4601"/>
    <w:rsid w:val="007D462A"/>
    <w:rsid w:val="007D4692"/>
    <w:rsid w:val="007D46ED"/>
    <w:rsid w:val="007D47FA"/>
    <w:rsid w:val="007D47FB"/>
    <w:rsid w:val="007D486C"/>
    <w:rsid w:val="007D486F"/>
    <w:rsid w:val="007D48C6"/>
    <w:rsid w:val="007D4908"/>
    <w:rsid w:val="007D4915"/>
    <w:rsid w:val="007D4A37"/>
    <w:rsid w:val="007D4B10"/>
    <w:rsid w:val="007D4B54"/>
    <w:rsid w:val="007D4D1C"/>
    <w:rsid w:val="007D4DA6"/>
    <w:rsid w:val="007D4DE0"/>
    <w:rsid w:val="007D4E07"/>
    <w:rsid w:val="007D4E68"/>
    <w:rsid w:val="007D4E80"/>
    <w:rsid w:val="007D4EAF"/>
    <w:rsid w:val="007D4EC3"/>
    <w:rsid w:val="007D4EF0"/>
    <w:rsid w:val="007D4F1F"/>
    <w:rsid w:val="007D4F99"/>
    <w:rsid w:val="007D4F9A"/>
    <w:rsid w:val="007D5241"/>
    <w:rsid w:val="007D5278"/>
    <w:rsid w:val="007D52A6"/>
    <w:rsid w:val="007D53BD"/>
    <w:rsid w:val="007D53CA"/>
    <w:rsid w:val="007D53FA"/>
    <w:rsid w:val="007D546F"/>
    <w:rsid w:val="007D5470"/>
    <w:rsid w:val="007D54F5"/>
    <w:rsid w:val="007D554E"/>
    <w:rsid w:val="007D55B8"/>
    <w:rsid w:val="007D5632"/>
    <w:rsid w:val="007D5671"/>
    <w:rsid w:val="007D568D"/>
    <w:rsid w:val="007D574C"/>
    <w:rsid w:val="007D57BF"/>
    <w:rsid w:val="007D5824"/>
    <w:rsid w:val="007D585D"/>
    <w:rsid w:val="007D594F"/>
    <w:rsid w:val="007D59DA"/>
    <w:rsid w:val="007D5B32"/>
    <w:rsid w:val="007D5C10"/>
    <w:rsid w:val="007D5D0C"/>
    <w:rsid w:val="007D5D5F"/>
    <w:rsid w:val="007D5DC1"/>
    <w:rsid w:val="007D5DDA"/>
    <w:rsid w:val="007D5DFC"/>
    <w:rsid w:val="007D5E17"/>
    <w:rsid w:val="007D5E39"/>
    <w:rsid w:val="007D5E7D"/>
    <w:rsid w:val="007D5EC7"/>
    <w:rsid w:val="007D5EE5"/>
    <w:rsid w:val="007D610E"/>
    <w:rsid w:val="007D6163"/>
    <w:rsid w:val="007D6167"/>
    <w:rsid w:val="007D6187"/>
    <w:rsid w:val="007D61BB"/>
    <w:rsid w:val="007D6245"/>
    <w:rsid w:val="007D62F6"/>
    <w:rsid w:val="007D6321"/>
    <w:rsid w:val="007D63CB"/>
    <w:rsid w:val="007D656E"/>
    <w:rsid w:val="007D65D1"/>
    <w:rsid w:val="007D66E1"/>
    <w:rsid w:val="007D677D"/>
    <w:rsid w:val="007D6782"/>
    <w:rsid w:val="007D678B"/>
    <w:rsid w:val="007D67BA"/>
    <w:rsid w:val="007D6830"/>
    <w:rsid w:val="007D6866"/>
    <w:rsid w:val="007D686A"/>
    <w:rsid w:val="007D68B8"/>
    <w:rsid w:val="007D68BE"/>
    <w:rsid w:val="007D68C7"/>
    <w:rsid w:val="007D68FC"/>
    <w:rsid w:val="007D69ED"/>
    <w:rsid w:val="007D6A55"/>
    <w:rsid w:val="007D6AB4"/>
    <w:rsid w:val="007D6AEF"/>
    <w:rsid w:val="007D6B23"/>
    <w:rsid w:val="007D6B71"/>
    <w:rsid w:val="007D6BFF"/>
    <w:rsid w:val="007D6C2A"/>
    <w:rsid w:val="007D6CE5"/>
    <w:rsid w:val="007D6D06"/>
    <w:rsid w:val="007D6E55"/>
    <w:rsid w:val="007D6E75"/>
    <w:rsid w:val="007D6F1E"/>
    <w:rsid w:val="007D6F92"/>
    <w:rsid w:val="007D6FA0"/>
    <w:rsid w:val="007D707B"/>
    <w:rsid w:val="007D71FD"/>
    <w:rsid w:val="007D72D9"/>
    <w:rsid w:val="007D72F2"/>
    <w:rsid w:val="007D74AA"/>
    <w:rsid w:val="007D74EB"/>
    <w:rsid w:val="007D75FD"/>
    <w:rsid w:val="007D7639"/>
    <w:rsid w:val="007D774F"/>
    <w:rsid w:val="007D77B9"/>
    <w:rsid w:val="007D77E2"/>
    <w:rsid w:val="007D77E6"/>
    <w:rsid w:val="007D78ED"/>
    <w:rsid w:val="007D78F4"/>
    <w:rsid w:val="007D792E"/>
    <w:rsid w:val="007D7A08"/>
    <w:rsid w:val="007D7A22"/>
    <w:rsid w:val="007D7AA5"/>
    <w:rsid w:val="007D7AEF"/>
    <w:rsid w:val="007D7B15"/>
    <w:rsid w:val="007D7B50"/>
    <w:rsid w:val="007D7B57"/>
    <w:rsid w:val="007D7B68"/>
    <w:rsid w:val="007D7C45"/>
    <w:rsid w:val="007D7C95"/>
    <w:rsid w:val="007D7CCA"/>
    <w:rsid w:val="007D7CF7"/>
    <w:rsid w:val="007D7D69"/>
    <w:rsid w:val="007D7D98"/>
    <w:rsid w:val="007D7E4B"/>
    <w:rsid w:val="007D7EAC"/>
    <w:rsid w:val="007D7EDA"/>
    <w:rsid w:val="007D7F8F"/>
    <w:rsid w:val="007D7FB1"/>
    <w:rsid w:val="007D7FD2"/>
    <w:rsid w:val="007E00BB"/>
    <w:rsid w:val="007E0135"/>
    <w:rsid w:val="007E0170"/>
    <w:rsid w:val="007E0172"/>
    <w:rsid w:val="007E01B4"/>
    <w:rsid w:val="007E0204"/>
    <w:rsid w:val="007E022C"/>
    <w:rsid w:val="007E02C1"/>
    <w:rsid w:val="007E02F4"/>
    <w:rsid w:val="007E0335"/>
    <w:rsid w:val="007E048E"/>
    <w:rsid w:val="007E04C7"/>
    <w:rsid w:val="007E056A"/>
    <w:rsid w:val="007E0607"/>
    <w:rsid w:val="007E062C"/>
    <w:rsid w:val="007E06B9"/>
    <w:rsid w:val="007E06FC"/>
    <w:rsid w:val="007E071E"/>
    <w:rsid w:val="007E0791"/>
    <w:rsid w:val="007E0798"/>
    <w:rsid w:val="007E07AE"/>
    <w:rsid w:val="007E0841"/>
    <w:rsid w:val="007E0851"/>
    <w:rsid w:val="007E0949"/>
    <w:rsid w:val="007E0989"/>
    <w:rsid w:val="007E09E5"/>
    <w:rsid w:val="007E09F7"/>
    <w:rsid w:val="007E0A1B"/>
    <w:rsid w:val="007E0A29"/>
    <w:rsid w:val="007E0AFF"/>
    <w:rsid w:val="007E0B9F"/>
    <w:rsid w:val="007E0BD9"/>
    <w:rsid w:val="007E0C40"/>
    <w:rsid w:val="007E0C64"/>
    <w:rsid w:val="007E0C87"/>
    <w:rsid w:val="007E0CC5"/>
    <w:rsid w:val="007E0CF7"/>
    <w:rsid w:val="007E0CFA"/>
    <w:rsid w:val="007E0D2B"/>
    <w:rsid w:val="007E0E31"/>
    <w:rsid w:val="007E0E42"/>
    <w:rsid w:val="007E0F17"/>
    <w:rsid w:val="007E0F51"/>
    <w:rsid w:val="007E0FD0"/>
    <w:rsid w:val="007E108B"/>
    <w:rsid w:val="007E10B0"/>
    <w:rsid w:val="007E1126"/>
    <w:rsid w:val="007E122A"/>
    <w:rsid w:val="007E1233"/>
    <w:rsid w:val="007E125D"/>
    <w:rsid w:val="007E128A"/>
    <w:rsid w:val="007E13AC"/>
    <w:rsid w:val="007E15B0"/>
    <w:rsid w:val="007E15B4"/>
    <w:rsid w:val="007E15C4"/>
    <w:rsid w:val="007E15D7"/>
    <w:rsid w:val="007E1600"/>
    <w:rsid w:val="007E1650"/>
    <w:rsid w:val="007E16AB"/>
    <w:rsid w:val="007E16E0"/>
    <w:rsid w:val="007E1737"/>
    <w:rsid w:val="007E17B9"/>
    <w:rsid w:val="007E17FF"/>
    <w:rsid w:val="007E1808"/>
    <w:rsid w:val="007E1818"/>
    <w:rsid w:val="007E1819"/>
    <w:rsid w:val="007E1839"/>
    <w:rsid w:val="007E1876"/>
    <w:rsid w:val="007E18B3"/>
    <w:rsid w:val="007E18C3"/>
    <w:rsid w:val="007E197F"/>
    <w:rsid w:val="007E1A42"/>
    <w:rsid w:val="007E1AE6"/>
    <w:rsid w:val="007E1AEA"/>
    <w:rsid w:val="007E1BC2"/>
    <w:rsid w:val="007E1BC5"/>
    <w:rsid w:val="007E1C73"/>
    <w:rsid w:val="007E1D1D"/>
    <w:rsid w:val="007E1D9F"/>
    <w:rsid w:val="007E1E27"/>
    <w:rsid w:val="007E1EA3"/>
    <w:rsid w:val="007E1F50"/>
    <w:rsid w:val="007E1F92"/>
    <w:rsid w:val="007E20E3"/>
    <w:rsid w:val="007E2163"/>
    <w:rsid w:val="007E21A4"/>
    <w:rsid w:val="007E21B3"/>
    <w:rsid w:val="007E21BE"/>
    <w:rsid w:val="007E21EA"/>
    <w:rsid w:val="007E21F7"/>
    <w:rsid w:val="007E227D"/>
    <w:rsid w:val="007E22A0"/>
    <w:rsid w:val="007E22B5"/>
    <w:rsid w:val="007E238C"/>
    <w:rsid w:val="007E239C"/>
    <w:rsid w:val="007E23BE"/>
    <w:rsid w:val="007E2445"/>
    <w:rsid w:val="007E24BE"/>
    <w:rsid w:val="007E24CB"/>
    <w:rsid w:val="007E268E"/>
    <w:rsid w:val="007E26CD"/>
    <w:rsid w:val="007E27B4"/>
    <w:rsid w:val="007E27BB"/>
    <w:rsid w:val="007E28B0"/>
    <w:rsid w:val="007E28E5"/>
    <w:rsid w:val="007E290E"/>
    <w:rsid w:val="007E290F"/>
    <w:rsid w:val="007E29D4"/>
    <w:rsid w:val="007E2A89"/>
    <w:rsid w:val="007E2AD2"/>
    <w:rsid w:val="007E2B51"/>
    <w:rsid w:val="007E2B6A"/>
    <w:rsid w:val="007E2BDB"/>
    <w:rsid w:val="007E2C1F"/>
    <w:rsid w:val="007E2D0F"/>
    <w:rsid w:val="007E2D4D"/>
    <w:rsid w:val="007E2D8B"/>
    <w:rsid w:val="007E2FDC"/>
    <w:rsid w:val="007E3059"/>
    <w:rsid w:val="007E3060"/>
    <w:rsid w:val="007E3083"/>
    <w:rsid w:val="007E3086"/>
    <w:rsid w:val="007E30D7"/>
    <w:rsid w:val="007E3100"/>
    <w:rsid w:val="007E3174"/>
    <w:rsid w:val="007E31F8"/>
    <w:rsid w:val="007E3437"/>
    <w:rsid w:val="007E3469"/>
    <w:rsid w:val="007E346D"/>
    <w:rsid w:val="007E351D"/>
    <w:rsid w:val="007E3520"/>
    <w:rsid w:val="007E372C"/>
    <w:rsid w:val="007E37BA"/>
    <w:rsid w:val="007E3815"/>
    <w:rsid w:val="007E386A"/>
    <w:rsid w:val="007E3913"/>
    <w:rsid w:val="007E39E3"/>
    <w:rsid w:val="007E3ABC"/>
    <w:rsid w:val="007E3BB5"/>
    <w:rsid w:val="007E3D2A"/>
    <w:rsid w:val="007E3E74"/>
    <w:rsid w:val="007E3E92"/>
    <w:rsid w:val="007E3EFD"/>
    <w:rsid w:val="007E402B"/>
    <w:rsid w:val="007E40CF"/>
    <w:rsid w:val="007E4148"/>
    <w:rsid w:val="007E419A"/>
    <w:rsid w:val="007E4204"/>
    <w:rsid w:val="007E422B"/>
    <w:rsid w:val="007E4230"/>
    <w:rsid w:val="007E4275"/>
    <w:rsid w:val="007E452E"/>
    <w:rsid w:val="007E461C"/>
    <w:rsid w:val="007E4625"/>
    <w:rsid w:val="007E4658"/>
    <w:rsid w:val="007E46A7"/>
    <w:rsid w:val="007E46C0"/>
    <w:rsid w:val="007E475D"/>
    <w:rsid w:val="007E47C2"/>
    <w:rsid w:val="007E47DD"/>
    <w:rsid w:val="007E4802"/>
    <w:rsid w:val="007E48B8"/>
    <w:rsid w:val="007E48C9"/>
    <w:rsid w:val="007E499E"/>
    <w:rsid w:val="007E49B3"/>
    <w:rsid w:val="007E49BA"/>
    <w:rsid w:val="007E4A49"/>
    <w:rsid w:val="007E4B1C"/>
    <w:rsid w:val="007E4BE1"/>
    <w:rsid w:val="007E4C32"/>
    <w:rsid w:val="007E4C7D"/>
    <w:rsid w:val="007E4C98"/>
    <w:rsid w:val="007E4E14"/>
    <w:rsid w:val="007E4E4A"/>
    <w:rsid w:val="007E4E6F"/>
    <w:rsid w:val="007E4EBA"/>
    <w:rsid w:val="007E4EC2"/>
    <w:rsid w:val="007E4F0D"/>
    <w:rsid w:val="007E4F6A"/>
    <w:rsid w:val="007E4FB2"/>
    <w:rsid w:val="007E4FE7"/>
    <w:rsid w:val="007E50C0"/>
    <w:rsid w:val="007E5123"/>
    <w:rsid w:val="007E527D"/>
    <w:rsid w:val="007E52D2"/>
    <w:rsid w:val="007E5379"/>
    <w:rsid w:val="007E538A"/>
    <w:rsid w:val="007E53DB"/>
    <w:rsid w:val="007E540A"/>
    <w:rsid w:val="007E543F"/>
    <w:rsid w:val="007E54B9"/>
    <w:rsid w:val="007E54C0"/>
    <w:rsid w:val="007E5594"/>
    <w:rsid w:val="007E563A"/>
    <w:rsid w:val="007E578E"/>
    <w:rsid w:val="007E57A1"/>
    <w:rsid w:val="007E5801"/>
    <w:rsid w:val="007E5872"/>
    <w:rsid w:val="007E5905"/>
    <w:rsid w:val="007E5941"/>
    <w:rsid w:val="007E59FC"/>
    <w:rsid w:val="007E5A2A"/>
    <w:rsid w:val="007E5A2F"/>
    <w:rsid w:val="007E5A48"/>
    <w:rsid w:val="007E5A69"/>
    <w:rsid w:val="007E5C4C"/>
    <w:rsid w:val="007E5C6F"/>
    <w:rsid w:val="007E5CCA"/>
    <w:rsid w:val="007E5CCC"/>
    <w:rsid w:val="007E5D4F"/>
    <w:rsid w:val="007E5D60"/>
    <w:rsid w:val="007E5DC6"/>
    <w:rsid w:val="007E5E00"/>
    <w:rsid w:val="007E5E0E"/>
    <w:rsid w:val="007E609F"/>
    <w:rsid w:val="007E60E8"/>
    <w:rsid w:val="007E613E"/>
    <w:rsid w:val="007E614C"/>
    <w:rsid w:val="007E6311"/>
    <w:rsid w:val="007E633C"/>
    <w:rsid w:val="007E6476"/>
    <w:rsid w:val="007E651D"/>
    <w:rsid w:val="007E661B"/>
    <w:rsid w:val="007E66E3"/>
    <w:rsid w:val="007E6748"/>
    <w:rsid w:val="007E677F"/>
    <w:rsid w:val="007E6832"/>
    <w:rsid w:val="007E689C"/>
    <w:rsid w:val="007E694B"/>
    <w:rsid w:val="007E695A"/>
    <w:rsid w:val="007E6996"/>
    <w:rsid w:val="007E69E8"/>
    <w:rsid w:val="007E6A60"/>
    <w:rsid w:val="007E6A68"/>
    <w:rsid w:val="007E6A69"/>
    <w:rsid w:val="007E6B53"/>
    <w:rsid w:val="007E6B7B"/>
    <w:rsid w:val="007E6BB5"/>
    <w:rsid w:val="007E6C11"/>
    <w:rsid w:val="007E6CE7"/>
    <w:rsid w:val="007E6DB6"/>
    <w:rsid w:val="007E6EA1"/>
    <w:rsid w:val="007E702F"/>
    <w:rsid w:val="007E704E"/>
    <w:rsid w:val="007E7085"/>
    <w:rsid w:val="007E70B6"/>
    <w:rsid w:val="007E7172"/>
    <w:rsid w:val="007E71A2"/>
    <w:rsid w:val="007E71E2"/>
    <w:rsid w:val="007E7205"/>
    <w:rsid w:val="007E7250"/>
    <w:rsid w:val="007E7258"/>
    <w:rsid w:val="007E72B4"/>
    <w:rsid w:val="007E73A1"/>
    <w:rsid w:val="007E73F7"/>
    <w:rsid w:val="007E74A0"/>
    <w:rsid w:val="007E7522"/>
    <w:rsid w:val="007E75A3"/>
    <w:rsid w:val="007E76BA"/>
    <w:rsid w:val="007E7706"/>
    <w:rsid w:val="007E7707"/>
    <w:rsid w:val="007E779F"/>
    <w:rsid w:val="007E77FB"/>
    <w:rsid w:val="007E7806"/>
    <w:rsid w:val="007E7830"/>
    <w:rsid w:val="007E78A5"/>
    <w:rsid w:val="007E7905"/>
    <w:rsid w:val="007E7AA8"/>
    <w:rsid w:val="007E7AF4"/>
    <w:rsid w:val="007E7AFA"/>
    <w:rsid w:val="007E7B32"/>
    <w:rsid w:val="007E7BD3"/>
    <w:rsid w:val="007E7C50"/>
    <w:rsid w:val="007E7CF4"/>
    <w:rsid w:val="007E7D2A"/>
    <w:rsid w:val="007E7E27"/>
    <w:rsid w:val="007E7E35"/>
    <w:rsid w:val="007E7F65"/>
    <w:rsid w:val="007E7F6C"/>
    <w:rsid w:val="007E7FD2"/>
    <w:rsid w:val="007E7FE4"/>
    <w:rsid w:val="007E7FF6"/>
    <w:rsid w:val="007F001D"/>
    <w:rsid w:val="007F0099"/>
    <w:rsid w:val="007F013E"/>
    <w:rsid w:val="007F017A"/>
    <w:rsid w:val="007F017B"/>
    <w:rsid w:val="007F021D"/>
    <w:rsid w:val="007F0232"/>
    <w:rsid w:val="007F02E6"/>
    <w:rsid w:val="007F035E"/>
    <w:rsid w:val="007F042E"/>
    <w:rsid w:val="007F04E3"/>
    <w:rsid w:val="007F05EA"/>
    <w:rsid w:val="007F0648"/>
    <w:rsid w:val="007F06A5"/>
    <w:rsid w:val="007F06F0"/>
    <w:rsid w:val="007F072A"/>
    <w:rsid w:val="007F0757"/>
    <w:rsid w:val="007F077B"/>
    <w:rsid w:val="007F087F"/>
    <w:rsid w:val="007F0A02"/>
    <w:rsid w:val="007F0A66"/>
    <w:rsid w:val="007F0AD8"/>
    <w:rsid w:val="007F0B1D"/>
    <w:rsid w:val="007F0B66"/>
    <w:rsid w:val="007F0DC8"/>
    <w:rsid w:val="007F0E73"/>
    <w:rsid w:val="007F0EE6"/>
    <w:rsid w:val="007F106C"/>
    <w:rsid w:val="007F1118"/>
    <w:rsid w:val="007F1124"/>
    <w:rsid w:val="007F11E2"/>
    <w:rsid w:val="007F1231"/>
    <w:rsid w:val="007F123A"/>
    <w:rsid w:val="007F124D"/>
    <w:rsid w:val="007F12EE"/>
    <w:rsid w:val="007F1308"/>
    <w:rsid w:val="007F13AA"/>
    <w:rsid w:val="007F13FC"/>
    <w:rsid w:val="007F1403"/>
    <w:rsid w:val="007F142F"/>
    <w:rsid w:val="007F143D"/>
    <w:rsid w:val="007F147A"/>
    <w:rsid w:val="007F1489"/>
    <w:rsid w:val="007F14C9"/>
    <w:rsid w:val="007F1527"/>
    <w:rsid w:val="007F1580"/>
    <w:rsid w:val="007F15E0"/>
    <w:rsid w:val="007F1655"/>
    <w:rsid w:val="007F167A"/>
    <w:rsid w:val="007F174B"/>
    <w:rsid w:val="007F17C9"/>
    <w:rsid w:val="007F1814"/>
    <w:rsid w:val="007F1834"/>
    <w:rsid w:val="007F187B"/>
    <w:rsid w:val="007F1955"/>
    <w:rsid w:val="007F1A08"/>
    <w:rsid w:val="007F1A4E"/>
    <w:rsid w:val="007F1B29"/>
    <w:rsid w:val="007F1B80"/>
    <w:rsid w:val="007F1C3B"/>
    <w:rsid w:val="007F1CF6"/>
    <w:rsid w:val="007F1D07"/>
    <w:rsid w:val="007F1D68"/>
    <w:rsid w:val="007F1D81"/>
    <w:rsid w:val="007F1F14"/>
    <w:rsid w:val="007F1FB6"/>
    <w:rsid w:val="007F1FED"/>
    <w:rsid w:val="007F206B"/>
    <w:rsid w:val="007F216A"/>
    <w:rsid w:val="007F22CC"/>
    <w:rsid w:val="007F25A6"/>
    <w:rsid w:val="007F2697"/>
    <w:rsid w:val="007F272A"/>
    <w:rsid w:val="007F27AD"/>
    <w:rsid w:val="007F2808"/>
    <w:rsid w:val="007F2839"/>
    <w:rsid w:val="007F284F"/>
    <w:rsid w:val="007F288A"/>
    <w:rsid w:val="007F288D"/>
    <w:rsid w:val="007F28B3"/>
    <w:rsid w:val="007F2929"/>
    <w:rsid w:val="007F2987"/>
    <w:rsid w:val="007F29B6"/>
    <w:rsid w:val="007F29B9"/>
    <w:rsid w:val="007F29D9"/>
    <w:rsid w:val="007F2A39"/>
    <w:rsid w:val="007F2B19"/>
    <w:rsid w:val="007F2C18"/>
    <w:rsid w:val="007F2CEA"/>
    <w:rsid w:val="007F2D36"/>
    <w:rsid w:val="007F2E80"/>
    <w:rsid w:val="007F2EF7"/>
    <w:rsid w:val="007F2F75"/>
    <w:rsid w:val="007F2F7B"/>
    <w:rsid w:val="007F2F8B"/>
    <w:rsid w:val="007F3032"/>
    <w:rsid w:val="007F30A2"/>
    <w:rsid w:val="007F3107"/>
    <w:rsid w:val="007F313A"/>
    <w:rsid w:val="007F31D9"/>
    <w:rsid w:val="007F330C"/>
    <w:rsid w:val="007F3368"/>
    <w:rsid w:val="007F339D"/>
    <w:rsid w:val="007F33B9"/>
    <w:rsid w:val="007F33C6"/>
    <w:rsid w:val="007F3434"/>
    <w:rsid w:val="007F343E"/>
    <w:rsid w:val="007F3445"/>
    <w:rsid w:val="007F34A4"/>
    <w:rsid w:val="007F3516"/>
    <w:rsid w:val="007F3538"/>
    <w:rsid w:val="007F3600"/>
    <w:rsid w:val="007F3609"/>
    <w:rsid w:val="007F36A7"/>
    <w:rsid w:val="007F36E9"/>
    <w:rsid w:val="007F3705"/>
    <w:rsid w:val="007F372E"/>
    <w:rsid w:val="007F3781"/>
    <w:rsid w:val="007F386C"/>
    <w:rsid w:val="007F38A8"/>
    <w:rsid w:val="007F390A"/>
    <w:rsid w:val="007F39AD"/>
    <w:rsid w:val="007F3AB5"/>
    <w:rsid w:val="007F3AE7"/>
    <w:rsid w:val="007F3B03"/>
    <w:rsid w:val="007F3B9D"/>
    <w:rsid w:val="007F3BBF"/>
    <w:rsid w:val="007F3C8B"/>
    <w:rsid w:val="007F3DAA"/>
    <w:rsid w:val="007F3DED"/>
    <w:rsid w:val="007F3E15"/>
    <w:rsid w:val="007F3EA2"/>
    <w:rsid w:val="007F3F78"/>
    <w:rsid w:val="007F3FFA"/>
    <w:rsid w:val="007F3FFB"/>
    <w:rsid w:val="007F4047"/>
    <w:rsid w:val="007F405C"/>
    <w:rsid w:val="007F4146"/>
    <w:rsid w:val="007F41B9"/>
    <w:rsid w:val="007F41D4"/>
    <w:rsid w:val="007F41E5"/>
    <w:rsid w:val="007F42B6"/>
    <w:rsid w:val="007F42C3"/>
    <w:rsid w:val="007F431E"/>
    <w:rsid w:val="007F4334"/>
    <w:rsid w:val="007F433B"/>
    <w:rsid w:val="007F437F"/>
    <w:rsid w:val="007F43F1"/>
    <w:rsid w:val="007F44ED"/>
    <w:rsid w:val="007F44FA"/>
    <w:rsid w:val="007F4509"/>
    <w:rsid w:val="007F4554"/>
    <w:rsid w:val="007F45B2"/>
    <w:rsid w:val="007F45C1"/>
    <w:rsid w:val="007F4688"/>
    <w:rsid w:val="007F46AF"/>
    <w:rsid w:val="007F4753"/>
    <w:rsid w:val="007F4818"/>
    <w:rsid w:val="007F4895"/>
    <w:rsid w:val="007F48B8"/>
    <w:rsid w:val="007F497D"/>
    <w:rsid w:val="007F49DE"/>
    <w:rsid w:val="007F49E3"/>
    <w:rsid w:val="007F4A2D"/>
    <w:rsid w:val="007F4A53"/>
    <w:rsid w:val="007F4A83"/>
    <w:rsid w:val="007F4A97"/>
    <w:rsid w:val="007F4C0B"/>
    <w:rsid w:val="007F4CD9"/>
    <w:rsid w:val="007F4D7F"/>
    <w:rsid w:val="007F4E65"/>
    <w:rsid w:val="007F4ED4"/>
    <w:rsid w:val="007F4FEE"/>
    <w:rsid w:val="007F504A"/>
    <w:rsid w:val="007F5181"/>
    <w:rsid w:val="007F5185"/>
    <w:rsid w:val="007F51ED"/>
    <w:rsid w:val="007F522C"/>
    <w:rsid w:val="007F5339"/>
    <w:rsid w:val="007F555C"/>
    <w:rsid w:val="007F556A"/>
    <w:rsid w:val="007F5585"/>
    <w:rsid w:val="007F5678"/>
    <w:rsid w:val="007F56B1"/>
    <w:rsid w:val="007F56C7"/>
    <w:rsid w:val="007F5713"/>
    <w:rsid w:val="007F5840"/>
    <w:rsid w:val="007F58C3"/>
    <w:rsid w:val="007F596E"/>
    <w:rsid w:val="007F5970"/>
    <w:rsid w:val="007F599C"/>
    <w:rsid w:val="007F59F5"/>
    <w:rsid w:val="007F5A58"/>
    <w:rsid w:val="007F5AF3"/>
    <w:rsid w:val="007F5B09"/>
    <w:rsid w:val="007F5B5E"/>
    <w:rsid w:val="007F5B78"/>
    <w:rsid w:val="007F5BE3"/>
    <w:rsid w:val="007F5C08"/>
    <w:rsid w:val="007F5C89"/>
    <w:rsid w:val="007F5E78"/>
    <w:rsid w:val="007F5F78"/>
    <w:rsid w:val="007F5F95"/>
    <w:rsid w:val="007F5FD0"/>
    <w:rsid w:val="007F5FF0"/>
    <w:rsid w:val="007F60CE"/>
    <w:rsid w:val="007F6165"/>
    <w:rsid w:val="007F616F"/>
    <w:rsid w:val="007F61F2"/>
    <w:rsid w:val="007F626F"/>
    <w:rsid w:val="007F62A0"/>
    <w:rsid w:val="007F63B1"/>
    <w:rsid w:val="007F643F"/>
    <w:rsid w:val="007F6479"/>
    <w:rsid w:val="007F650D"/>
    <w:rsid w:val="007F653B"/>
    <w:rsid w:val="007F656E"/>
    <w:rsid w:val="007F6593"/>
    <w:rsid w:val="007F65ED"/>
    <w:rsid w:val="007F6659"/>
    <w:rsid w:val="007F666A"/>
    <w:rsid w:val="007F66D1"/>
    <w:rsid w:val="007F6754"/>
    <w:rsid w:val="007F67B0"/>
    <w:rsid w:val="007F6864"/>
    <w:rsid w:val="007F6953"/>
    <w:rsid w:val="007F6955"/>
    <w:rsid w:val="007F6962"/>
    <w:rsid w:val="007F6990"/>
    <w:rsid w:val="007F69E0"/>
    <w:rsid w:val="007F6A03"/>
    <w:rsid w:val="007F6A82"/>
    <w:rsid w:val="007F6B87"/>
    <w:rsid w:val="007F6C3D"/>
    <w:rsid w:val="007F6C5E"/>
    <w:rsid w:val="007F6C82"/>
    <w:rsid w:val="007F6D57"/>
    <w:rsid w:val="007F6D82"/>
    <w:rsid w:val="007F6DF3"/>
    <w:rsid w:val="007F6E49"/>
    <w:rsid w:val="007F6E62"/>
    <w:rsid w:val="007F6EBB"/>
    <w:rsid w:val="007F6EEA"/>
    <w:rsid w:val="007F6F86"/>
    <w:rsid w:val="007F6FB5"/>
    <w:rsid w:val="007F6FCE"/>
    <w:rsid w:val="007F7011"/>
    <w:rsid w:val="007F70AE"/>
    <w:rsid w:val="007F70BC"/>
    <w:rsid w:val="007F70C9"/>
    <w:rsid w:val="007F70E3"/>
    <w:rsid w:val="007F71AC"/>
    <w:rsid w:val="007F71CC"/>
    <w:rsid w:val="007F71E7"/>
    <w:rsid w:val="007F7268"/>
    <w:rsid w:val="007F727F"/>
    <w:rsid w:val="007F7361"/>
    <w:rsid w:val="007F73A9"/>
    <w:rsid w:val="007F73AB"/>
    <w:rsid w:val="007F743F"/>
    <w:rsid w:val="007F7458"/>
    <w:rsid w:val="007F7489"/>
    <w:rsid w:val="007F74DF"/>
    <w:rsid w:val="007F74ED"/>
    <w:rsid w:val="007F7546"/>
    <w:rsid w:val="007F75CB"/>
    <w:rsid w:val="007F75D5"/>
    <w:rsid w:val="007F7623"/>
    <w:rsid w:val="007F76D0"/>
    <w:rsid w:val="007F76D1"/>
    <w:rsid w:val="007F7725"/>
    <w:rsid w:val="007F7745"/>
    <w:rsid w:val="007F7868"/>
    <w:rsid w:val="007F791F"/>
    <w:rsid w:val="007F79F2"/>
    <w:rsid w:val="007F7AD1"/>
    <w:rsid w:val="007F7B00"/>
    <w:rsid w:val="007F7B0A"/>
    <w:rsid w:val="007F7B7D"/>
    <w:rsid w:val="007F7CB8"/>
    <w:rsid w:val="007F7CCF"/>
    <w:rsid w:val="007F7CE9"/>
    <w:rsid w:val="007F7D5A"/>
    <w:rsid w:val="007F7D6E"/>
    <w:rsid w:val="007F7E06"/>
    <w:rsid w:val="007F7E12"/>
    <w:rsid w:val="007F7FBE"/>
    <w:rsid w:val="007F7FEA"/>
    <w:rsid w:val="00800066"/>
    <w:rsid w:val="0080007C"/>
    <w:rsid w:val="008000FB"/>
    <w:rsid w:val="00800135"/>
    <w:rsid w:val="00800142"/>
    <w:rsid w:val="00800149"/>
    <w:rsid w:val="0080016A"/>
    <w:rsid w:val="00800184"/>
    <w:rsid w:val="00800252"/>
    <w:rsid w:val="00800297"/>
    <w:rsid w:val="00800334"/>
    <w:rsid w:val="00800384"/>
    <w:rsid w:val="008003A7"/>
    <w:rsid w:val="008003EA"/>
    <w:rsid w:val="00800485"/>
    <w:rsid w:val="00800522"/>
    <w:rsid w:val="00800525"/>
    <w:rsid w:val="00800526"/>
    <w:rsid w:val="008005CD"/>
    <w:rsid w:val="008005F9"/>
    <w:rsid w:val="0080084E"/>
    <w:rsid w:val="00800865"/>
    <w:rsid w:val="00800A4B"/>
    <w:rsid w:val="00800B00"/>
    <w:rsid w:val="00800B0E"/>
    <w:rsid w:val="00800B1D"/>
    <w:rsid w:val="00800B57"/>
    <w:rsid w:val="00800B74"/>
    <w:rsid w:val="00800B94"/>
    <w:rsid w:val="00800BC4"/>
    <w:rsid w:val="00800C39"/>
    <w:rsid w:val="00800C69"/>
    <w:rsid w:val="00800CCE"/>
    <w:rsid w:val="00800D79"/>
    <w:rsid w:val="00800D85"/>
    <w:rsid w:val="00800DA8"/>
    <w:rsid w:val="00800DBA"/>
    <w:rsid w:val="00800E28"/>
    <w:rsid w:val="00800E76"/>
    <w:rsid w:val="00800E9B"/>
    <w:rsid w:val="00800ECC"/>
    <w:rsid w:val="00800F0C"/>
    <w:rsid w:val="00800F34"/>
    <w:rsid w:val="00801099"/>
    <w:rsid w:val="008010B2"/>
    <w:rsid w:val="00801147"/>
    <w:rsid w:val="00801150"/>
    <w:rsid w:val="00801159"/>
    <w:rsid w:val="008011A0"/>
    <w:rsid w:val="0080122E"/>
    <w:rsid w:val="00801274"/>
    <w:rsid w:val="00801276"/>
    <w:rsid w:val="008012CA"/>
    <w:rsid w:val="0080139A"/>
    <w:rsid w:val="008013D9"/>
    <w:rsid w:val="0080140E"/>
    <w:rsid w:val="00801450"/>
    <w:rsid w:val="00801491"/>
    <w:rsid w:val="008014EE"/>
    <w:rsid w:val="008015EE"/>
    <w:rsid w:val="00801754"/>
    <w:rsid w:val="008017B9"/>
    <w:rsid w:val="008018FB"/>
    <w:rsid w:val="00801939"/>
    <w:rsid w:val="008019A6"/>
    <w:rsid w:val="00801B0C"/>
    <w:rsid w:val="00801B43"/>
    <w:rsid w:val="00801B46"/>
    <w:rsid w:val="00801C23"/>
    <w:rsid w:val="00801CD2"/>
    <w:rsid w:val="00801D4E"/>
    <w:rsid w:val="00801D7D"/>
    <w:rsid w:val="00801D92"/>
    <w:rsid w:val="00801DBC"/>
    <w:rsid w:val="00801DE6"/>
    <w:rsid w:val="00801E0A"/>
    <w:rsid w:val="00801E67"/>
    <w:rsid w:val="00801ED3"/>
    <w:rsid w:val="00801EF9"/>
    <w:rsid w:val="00801F16"/>
    <w:rsid w:val="00801F43"/>
    <w:rsid w:val="00801F57"/>
    <w:rsid w:val="00801F8E"/>
    <w:rsid w:val="00801FAF"/>
    <w:rsid w:val="00802048"/>
    <w:rsid w:val="008020CE"/>
    <w:rsid w:val="008020EB"/>
    <w:rsid w:val="008020F5"/>
    <w:rsid w:val="0080221D"/>
    <w:rsid w:val="00802300"/>
    <w:rsid w:val="00802320"/>
    <w:rsid w:val="0080239E"/>
    <w:rsid w:val="008023BB"/>
    <w:rsid w:val="008023F2"/>
    <w:rsid w:val="008023FC"/>
    <w:rsid w:val="00802488"/>
    <w:rsid w:val="008024AA"/>
    <w:rsid w:val="00802500"/>
    <w:rsid w:val="0080256A"/>
    <w:rsid w:val="008026CB"/>
    <w:rsid w:val="0080276A"/>
    <w:rsid w:val="00802788"/>
    <w:rsid w:val="008027C0"/>
    <w:rsid w:val="008027FB"/>
    <w:rsid w:val="00802805"/>
    <w:rsid w:val="00802832"/>
    <w:rsid w:val="0080289F"/>
    <w:rsid w:val="008028A4"/>
    <w:rsid w:val="008028F8"/>
    <w:rsid w:val="0080293B"/>
    <w:rsid w:val="00802978"/>
    <w:rsid w:val="0080297F"/>
    <w:rsid w:val="008029F1"/>
    <w:rsid w:val="00802A02"/>
    <w:rsid w:val="00802A23"/>
    <w:rsid w:val="00802B2C"/>
    <w:rsid w:val="00802B68"/>
    <w:rsid w:val="00802B85"/>
    <w:rsid w:val="00802B86"/>
    <w:rsid w:val="00802B8C"/>
    <w:rsid w:val="00802BCD"/>
    <w:rsid w:val="00802BED"/>
    <w:rsid w:val="00802C12"/>
    <w:rsid w:val="00802C30"/>
    <w:rsid w:val="00802E91"/>
    <w:rsid w:val="00802E94"/>
    <w:rsid w:val="00802EA8"/>
    <w:rsid w:val="00802F29"/>
    <w:rsid w:val="008030A2"/>
    <w:rsid w:val="0080321A"/>
    <w:rsid w:val="0080324E"/>
    <w:rsid w:val="008032E4"/>
    <w:rsid w:val="0080332E"/>
    <w:rsid w:val="008033A2"/>
    <w:rsid w:val="00803414"/>
    <w:rsid w:val="00803473"/>
    <w:rsid w:val="008034B5"/>
    <w:rsid w:val="008034D0"/>
    <w:rsid w:val="00803547"/>
    <w:rsid w:val="0080358F"/>
    <w:rsid w:val="00803676"/>
    <w:rsid w:val="008036B1"/>
    <w:rsid w:val="008038B5"/>
    <w:rsid w:val="008038F3"/>
    <w:rsid w:val="00803A16"/>
    <w:rsid w:val="00803ACA"/>
    <w:rsid w:val="00803AD7"/>
    <w:rsid w:val="00803B61"/>
    <w:rsid w:val="00803B8B"/>
    <w:rsid w:val="00803B9B"/>
    <w:rsid w:val="00803BA3"/>
    <w:rsid w:val="00803BAE"/>
    <w:rsid w:val="00803C2B"/>
    <w:rsid w:val="00803C59"/>
    <w:rsid w:val="00803CB7"/>
    <w:rsid w:val="00803D69"/>
    <w:rsid w:val="00803ED9"/>
    <w:rsid w:val="0080402B"/>
    <w:rsid w:val="00804065"/>
    <w:rsid w:val="0080418A"/>
    <w:rsid w:val="0080419B"/>
    <w:rsid w:val="008042E6"/>
    <w:rsid w:val="00804315"/>
    <w:rsid w:val="008043BD"/>
    <w:rsid w:val="008043FF"/>
    <w:rsid w:val="0080450D"/>
    <w:rsid w:val="00804556"/>
    <w:rsid w:val="008045B5"/>
    <w:rsid w:val="00804692"/>
    <w:rsid w:val="008046AC"/>
    <w:rsid w:val="008046D7"/>
    <w:rsid w:val="008047AC"/>
    <w:rsid w:val="00804801"/>
    <w:rsid w:val="00804828"/>
    <w:rsid w:val="00804832"/>
    <w:rsid w:val="0080483F"/>
    <w:rsid w:val="00804953"/>
    <w:rsid w:val="008049DF"/>
    <w:rsid w:val="008049FA"/>
    <w:rsid w:val="00804A58"/>
    <w:rsid w:val="00804A8C"/>
    <w:rsid w:val="00804AC9"/>
    <w:rsid w:val="00804B5A"/>
    <w:rsid w:val="00804C11"/>
    <w:rsid w:val="00804C5B"/>
    <w:rsid w:val="00804CFF"/>
    <w:rsid w:val="00804D0D"/>
    <w:rsid w:val="00804D5D"/>
    <w:rsid w:val="00804D64"/>
    <w:rsid w:val="00804E04"/>
    <w:rsid w:val="00804E78"/>
    <w:rsid w:val="00804F04"/>
    <w:rsid w:val="00805014"/>
    <w:rsid w:val="00805048"/>
    <w:rsid w:val="00805074"/>
    <w:rsid w:val="008050AD"/>
    <w:rsid w:val="008050D9"/>
    <w:rsid w:val="00805131"/>
    <w:rsid w:val="0080518C"/>
    <w:rsid w:val="00805255"/>
    <w:rsid w:val="0080527F"/>
    <w:rsid w:val="0080530D"/>
    <w:rsid w:val="008053C4"/>
    <w:rsid w:val="00805418"/>
    <w:rsid w:val="008054F4"/>
    <w:rsid w:val="00805501"/>
    <w:rsid w:val="00805521"/>
    <w:rsid w:val="00805662"/>
    <w:rsid w:val="00805729"/>
    <w:rsid w:val="00805786"/>
    <w:rsid w:val="00805830"/>
    <w:rsid w:val="008058F0"/>
    <w:rsid w:val="00805972"/>
    <w:rsid w:val="008059CF"/>
    <w:rsid w:val="00805A24"/>
    <w:rsid w:val="00805A4E"/>
    <w:rsid w:val="00805A91"/>
    <w:rsid w:val="00805AA3"/>
    <w:rsid w:val="00805AEC"/>
    <w:rsid w:val="00805C2F"/>
    <w:rsid w:val="00805C93"/>
    <w:rsid w:val="00805DB2"/>
    <w:rsid w:val="00805EA6"/>
    <w:rsid w:val="00805EC9"/>
    <w:rsid w:val="00805F57"/>
    <w:rsid w:val="00805F8F"/>
    <w:rsid w:val="00805FDB"/>
    <w:rsid w:val="008060A1"/>
    <w:rsid w:val="008060C8"/>
    <w:rsid w:val="008060CB"/>
    <w:rsid w:val="008060E1"/>
    <w:rsid w:val="00806128"/>
    <w:rsid w:val="008061EE"/>
    <w:rsid w:val="0080625A"/>
    <w:rsid w:val="00806384"/>
    <w:rsid w:val="00806389"/>
    <w:rsid w:val="008063A0"/>
    <w:rsid w:val="008063D1"/>
    <w:rsid w:val="008063FD"/>
    <w:rsid w:val="00806401"/>
    <w:rsid w:val="0080643A"/>
    <w:rsid w:val="00806510"/>
    <w:rsid w:val="0080651A"/>
    <w:rsid w:val="00806625"/>
    <w:rsid w:val="0080664B"/>
    <w:rsid w:val="008066DF"/>
    <w:rsid w:val="008067A1"/>
    <w:rsid w:val="008067CF"/>
    <w:rsid w:val="008067DD"/>
    <w:rsid w:val="00806874"/>
    <w:rsid w:val="008068B3"/>
    <w:rsid w:val="00806905"/>
    <w:rsid w:val="00806939"/>
    <w:rsid w:val="00806961"/>
    <w:rsid w:val="00806966"/>
    <w:rsid w:val="0080696A"/>
    <w:rsid w:val="008069FA"/>
    <w:rsid w:val="00806AA3"/>
    <w:rsid w:val="00806AFE"/>
    <w:rsid w:val="00806B4B"/>
    <w:rsid w:val="00806B6A"/>
    <w:rsid w:val="00806C07"/>
    <w:rsid w:val="00806C11"/>
    <w:rsid w:val="00806CEE"/>
    <w:rsid w:val="00806DA3"/>
    <w:rsid w:val="00806EC1"/>
    <w:rsid w:val="00806F41"/>
    <w:rsid w:val="00806F44"/>
    <w:rsid w:val="00806FED"/>
    <w:rsid w:val="00807019"/>
    <w:rsid w:val="0080719E"/>
    <w:rsid w:val="00807211"/>
    <w:rsid w:val="00807238"/>
    <w:rsid w:val="0080724F"/>
    <w:rsid w:val="0080729C"/>
    <w:rsid w:val="008072A6"/>
    <w:rsid w:val="0080734E"/>
    <w:rsid w:val="0080736E"/>
    <w:rsid w:val="00807386"/>
    <w:rsid w:val="00807535"/>
    <w:rsid w:val="00807562"/>
    <w:rsid w:val="008075C1"/>
    <w:rsid w:val="008075E7"/>
    <w:rsid w:val="008076BD"/>
    <w:rsid w:val="008076D1"/>
    <w:rsid w:val="008076DE"/>
    <w:rsid w:val="00807730"/>
    <w:rsid w:val="00807750"/>
    <w:rsid w:val="0080776A"/>
    <w:rsid w:val="00807790"/>
    <w:rsid w:val="00807795"/>
    <w:rsid w:val="00807882"/>
    <w:rsid w:val="00807939"/>
    <w:rsid w:val="0080796D"/>
    <w:rsid w:val="008079B7"/>
    <w:rsid w:val="00807BB4"/>
    <w:rsid w:val="00807C25"/>
    <w:rsid w:val="00807C94"/>
    <w:rsid w:val="00807D3F"/>
    <w:rsid w:val="00807D87"/>
    <w:rsid w:val="00807E94"/>
    <w:rsid w:val="00807ED8"/>
    <w:rsid w:val="00807EFB"/>
    <w:rsid w:val="00807F5C"/>
    <w:rsid w:val="00807FBD"/>
    <w:rsid w:val="00810029"/>
    <w:rsid w:val="00810059"/>
    <w:rsid w:val="00810079"/>
    <w:rsid w:val="008101D5"/>
    <w:rsid w:val="008101F4"/>
    <w:rsid w:val="0081028E"/>
    <w:rsid w:val="00810338"/>
    <w:rsid w:val="008103CD"/>
    <w:rsid w:val="008103DA"/>
    <w:rsid w:val="008103E2"/>
    <w:rsid w:val="008105BE"/>
    <w:rsid w:val="008105D9"/>
    <w:rsid w:val="008105FE"/>
    <w:rsid w:val="00810696"/>
    <w:rsid w:val="008107CB"/>
    <w:rsid w:val="00810885"/>
    <w:rsid w:val="008108B4"/>
    <w:rsid w:val="00810925"/>
    <w:rsid w:val="00810960"/>
    <w:rsid w:val="008109A7"/>
    <w:rsid w:val="00810AD1"/>
    <w:rsid w:val="00810AD8"/>
    <w:rsid w:val="00810B00"/>
    <w:rsid w:val="00810B6E"/>
    <w:rsid w:val="00810BBE"/>
    <w:rsid w:val="00810D58"/>
    <w:rsid w:val="00810E37"/>
    <w:rsid w:val="00810EDB"/>
    <w:rsid w:val="00810F51"/>
    <w:rsid w:val="00810FD4"/>
    <w:rsid w:val="00811029"/>
    <w:rsid w:val="00811050"/>
    <w:rsid w:val="008110BD"/>
    <w:rsid w:val="00811203"/>
    <w:rsid w:val="00811216"/>
    <w:rsid w:val="00811219"/>
    <w:rsid w:val="00811225"/>
    <w:rsid w:val="008113A8"/>
    <w:rsid w:val="008113C3"/>
    <w:rsid w:val="00811425"/>
    <w:rsid w:val="008114DA"/>
    <w:rsid w:val="008114E4"/>
    <w:rsid w:val="00811649"/>
    <w:rsid w:val="008116DE"/>
    <w:rsid w:val="008116FB"/>
    <w:rsid w:val="0081186B"/>
    <w:rsid w:val="008118A1"/>
    <w:rsid w:val="008118F9"/>
    <w:rsid w:val="0081198A"/>
    <w:rsid w:val="008119E0"/>
    <w:rsid w:val="008119E7"/>
    <w:rsid w:val="008119FF"/>
    <w:rsid w:val="00811A21"/>
    <w:rsid w:val="00811AB7"/>
    <w:rsid w:val="00811B9E"/>
    <w:rsid w:val="00811BE3"/>
    <w:rsid w:val="00811D4B"/>
    <w:rsid w:val="00811D6E"/>
    <w:rsid w:val="00811DF1"/>
    <w:rsid w:val="00811FB0"/>
    <w:rsid w:val="00811FE5"/>
    <w:rsid w:val="008120C0"/>
    <w:rsid w:val="008120C5"/>
    <w:rsid w:val="0081215F"/>
    <w:rsid w:val="008121B7"/>
    <w:rsid w:val="00812219"/>
    <w:rsid w:val="0081222D"/>
    <w:rsid w:val="00812378"/>
    <w:rsid w:val="0081237D"/>
    <w:rsid w:val="00812447"/>
    <w:rsid w:val="00812470"/>
    <w:rsid w:val="00812561"/>
    <w:rsid w:val="0081256E"/>
    <w:rsid w:val="00812586"/>
    <w:rsid w:val="00812648"/>
    <w:rsid w:val="00812759"/>
    <w:rsid w:val="00812807"/>
    <w:rsid w:val="008128E6"/>
    <w:rsid w:val="00812908"/>
    <w:rsid w:val="008129F0"/>
    <w:rsid w:val="00812AF2"/>
    <w:rsid w:val="00812AF9"/>
    <w:rsid w:val="00812B68"/>
    <w:rsid w:val="00812C6A"/>
    <w:rsid w:val="00812CDA"/>
    <w:rsid w:val="00812E2A"/>
    <w:rsid w:val="00812E5C"/>
    <w:rsid w:val="00812E98"/>
    <w:rsid w:val="00812EA0"/>
    <w:rsid w:val="00812EEF"/>
    <w:rsid w:val="00813005"/>
    <w:rsid w:val="00813086"/>
    <w:rsid w:val="008130D3"/>
    <w:rsid w:val="008130E8"/>
    <w:rsid w:val="008131D6"/>
    <w:rsid w:val="0081320B"/>
    <w:rsid w:val="00813235"/>
    <w:rsid w:val="00813296"/>
    <w:rsid w:val="00813297"/>
    <w:rsid w:val="008132D7"/>
    <w:rsid w:val="00813400"/>
    <w:rsid w:val="00813413"/>
    <w:rsid w:val="0081346E"/>
    <w:rsid w:val="00813528"/>
    <w:rsid w:val="00813651"/>
    <w:rsid w:val="00813670"/>
    <w:rsid w:val="008136C6"/>
    <w:rsid w:val="008136F7"/>
    <w:rsid w:val="008137A5"/>
    <w:rsid w:val="008138C6"/>
    <w:rsid w:val="008138CC"/>
    <w:rsid w:val="00813907"/>
    <w:rsid w:val="00813992"/>
    <w:rsid w:val="008139A0"/>
    <w:rsid w:val="00813AAE"/>
    <w:rsid w:val="00813BB7"/>
    <w:rsid w:val="00813D18"/>
    <w:rsid w:val="00813DEF"/>
    <w:rsid w:val="00813E8C"/>
    <w:rsid w:val="00813ED8"/>
    <w:rsid w:val="00813F48"/>
    <w:rsid w:val="00813F62"/>
    <w:rsid w:val="00813F74"/>
    <w:rsid w:val="00813F7B"/>
    <w:rsid w:val="00813FD4"/>
    <w:rsid w:val="00813FE3"/>
    <w:rsid w:val="00814074"/>
    <w:rsid w:val="00814088"/>
    <w:rsid w:val="008140EA"/>
    <w:rsid w:val="00814123"/>
    <w:rsid w:val="008141BF"/>
    <w:rsid w:val="0081428F"/>
    <w:rsid w:val="00814374"/>
    <w:rsid w:val="008143CC"/>
    <w:rsid w:val="00814475"/>
    <w:rsid w:val="008144FA"/>
    <w:rsid w:val="00814559"/>
    <w:rsid w:val="00814596"/>
    <w:rsid w:val="0081460A"/>
    <w:rsid w:val="00814661"/>
    <w:rsid w:val="00814715"/>
    <w:rsid w:val="0081475D"/>
    <w:rsid w:val="00814831"/>
    <w:rsid w:val="008148F0"/>
    <w:rsid w:val="008149B6"/>
    <w:rsid w:val="00814AA8"/>
    <w:rsid w:val="00814ABC"/>
    <w:rsid w:val="00814AFD"/>
    <w:rsid w:val="00814B02"/>
    <w:rsid w:val="00814B83"/>
    <w:rsid w:val="00814BDB"/>
    <w:rsid w:val="00814BEE"/>
    <w:rsid w:val="00814C54"/>
    <w:rsid w:val="00814D0A"/>
    <w:rsid w:val="00814D3F"/>
    <w:rsid w:val="00814D62"/>
    <w:rsid w:val="00814D64"/>
    <w:rsid w:val="00814D88"/>
    <w:rsid w:val="00814E62"/>
    <w:rsid w:val="00814E76"/>
    <w:rsid w:val="00814E9D"/>
    <w:rsid w:val="00814F26"/>
    <w:rsid w:val="00815005"/>
    <w:rsid w:val="00815014"/>
    <w:rsid w:val="0081517C"/>
    <w:rsid w:val="00815185"/>
    <w:rsid w:val="00815197"/>
    <w:rsid w:val="008151F1"/>
    <w:rsid w:val="0081523B"/>
    <w:rsid w:val="00815304"/>
    <w:rsid w:val="00815337"/>
    <w:rsid w:val="0081536A"/>
    <w:rsid w:val="00815401"/>
    <w:rsid w:val="00815410"/>
    <w:rsid w:val="00815481"/>
    <w:rsid w:val="008154B2"/>
    <w:rsid w:val="00815528"/>
    <w:rsid w:val="0081552F"/>
    <w:rsid w:val="008155EC"/>
    <w:rsid w:val="0081561C"/>
    <w:rsid w:val="00815644"/>
    <w:rsid w:val="0081566B"/>
    <w:rsid w:val="008156E1"/>
    <w:rsid w:val="008156FB"/>
    <w:rsid w:val="0081572E"/>
    <w:rsid w:val="0081576C"/>
    <w:rsid w:val="008157E4"/>
    <w:rsid w:val="0081588E"/>
    <w:rsid w:val="008158A6"/>
    <w:rsid w:val="008158BD"/>
    <w:rsid w:val="00815996"/>
    <w:rsid w:val="00815AEA"/>
    <w:rsid w:val="00815CF7"/>
    <w:rsid w:val="00815D13"/>
    <w:rsid w:val="00815D44"/>
    <w:rsid w:val="00815D51"/>
    <w:rsid w:val="00815D55"/>
    <w:rsid w:val="00815D86"/>
    <w:rsid w:val="00815E22"/>
    <w:rsid w:val="00815E68"/>
    <w:rsid w:val="00815E81"/>
    <w:rsid w:val="00815ECA"/>
    <w:rsid w:val="00816045"/>
    <w:rsid w:val="008160C1"/>
    <w:rsid w:val="0081613E"/>
    <w:rsid w:val="0081618E"/>
    <w:rsid w:val="00816338"/>
    <w:rsid w:val="00816391"/>
    <w:rsid w:val="008163F6"/>
    <w:rsid w:val="008163FC"/>
    <w:rsid w:val="0081646A"/>
    <w:rsid w:val="008164B1"/>
    <w:rsid w:val="008164BF"/>
    <w:rsid w:val="008165E9"/>
    <w:rsid w:val="0081666C"/>
    <w:rsid w:val="008166E5"/>
    <w:rsid w:val="008166FA"/>
    <w:rsid w:val="00816708"/>
    <w:rsid w:val="0081671E"/>
    <w:rsid w:val="00816744"/>
    <w:rsid w:val="00816818"/>
    <w:rsid w:val="0081681B"/>
    <w:rsid w:val="0081683D"/>
    <w:rsid w:val="00816939"/>
    <w:rsid w:val="00816965"/>
    <w:rsid w:val="008169B7"/>
    <w:rsid w:val="00816A75"/>
    <w:rsid w:val="00816A96"/>
    <w:rsid w:val="00816AA4"/>
    <w:rsid w:val="00816B55"/>
    <w:rsid w:val="00816BBF"/>
    <w:rsid w:val="00816C6D"/>
    <w:rsid w:val="00816CBA"/>
    <w:rsid w:val="00816E62"/>
    <w:rsid w:val="00816EAB"/>
    <w:rsid w:val="00816EC5"/>
    <w:rsid w:val="00816ED5"/>
    <w:rsid w:val="00816EE7"/>
    <w:rsid w:val="00816F25"/>
    <w:rsid w:val="00816FB0"/>
    <w:rsid w:val="00816FDB"/>
    <w:rsid w:val="008170B0"/>
    <w:rsid w:val="008171F9"/>
    <w:rsid w:val="00817203"/>
    <w:rsid w:val="008172D8"/>
    <w:rsid w:val="008172ED"/>
    <w:rsid w:val="00817353"/>
    <w:rsid w:val="0081746A"/>
    <w:rsid w:val="0081748D"/>
    <w:rsid w:val="0081749B"/>
    <w:rsid w:val="00817587"/>
    <w:rsid w:val="0081761B"/>
    <w:rsid w:val="00817717"/>
    <w:rsid w:val="0081779D"/>
    <w:rsid w:val="0081781F"/>
    <w:rsid w:val="00817874"/>
    <w:rsid w:val="008178A9"/>
    <w:rsid w:val="008178AD"/>
    <w:rsid w:val="008178B2"/>
    <w:rsid w:val="008178E2"/>
    <w:rsid w:val="008178F8"/>
    <w:rsid w:val="0081792F"/>
    <w:rsid w:val="008179F3"/>
    <w:rsid w:val="00817A3F"/>
    <w:rsid w:val="00817AC3"/>
    <w:rsid w:val="00817B40"/>
    <w:rsid w:val="00817B7C"/>
    <w:rsid w:val="00817BF7"/>
    <w:rsid w:val="00817C0A"/>
    <w:rsid w:val="00817C6A"/>
    <w:rsid w:val="00817C73"/>
    <w:rsid w:val="00817C7B"/>
    <w:rsid w:val="00817C88"/>
    <w:rsid w:val="00817CAE"/>
    <w:rsid w:val="00817CF5"/>
    <w:rsid w:val="00817CF8"/>
    <w:rsid w:val="00817D40"/>
    <w:rsid w:val="00817EA9"/>
    <w:rsid w:val="00817FA5"/>
    <w:rsid w:val="00817FD2"/>
    <w:rsid w:val="00820056"/>
    <w:rsid w:val="008201A4"/>
    <w:rsid w:val="0082025D"/>
    <w:rsid w:val="0082032D"/>
    <w:rsid w:val="00820334"/>
    <w:rsid w:val="0082039B"/>
    <w:rsid w:val="008203A9"/>
    <w:rsid w:val="008203B3"/>
    <w:rsid w:val="008203B6"/>
    <w:rsid w:val="00820494"/>
    <w:rsid w:val="008204A7"/>
    <w:rsid w:val="0082055C"/>
    <w:rsid w:val="0082065C"/>
    <w:rsid w:val="00820677"/>
    <w:rsid w:val="00820699"/>
    <w:rsid w:val="008206E1"/>
    <w:rsid w:val="0082075C"/>
    <w:rsid w:val="00820781"/>
    <w:rsid w:val="00820790"/>
    <w:rsid w:val="008208B0"/>
    <w:rsid w:val="008208E7"/>
    <w:rsid w:val="0082092C"/>
    <w:rsid w:val="00820945"/>
    <w:rsid w:val="008209B8"/>
    <w:rsid w:val="008209F8"/>
    <w:rsid w:val="00820A57"/>
    <w:rsid w:val="00820BAB"/>
    <w:rsid w:val="00820C1A"/>
    <w:rsid w:val="00820C4F"/>
    <w:rsid w:val="00820D36"/>
    <w:rsid w:val="00820D3B"/>
    <w:rsid w:val="00820D97"/>
    <w:rsid w:val="00820E23"/>
    <w:rsid w:val="00820E49"/>
    <w:rsid w:val="00820E6D"/>
    <w:rsid w:val="00820E86"/>
    <w:rsid w:val="00820EEA"/>
    <w:rsid w:val="00820F39"/>
    <w:rsid w:val="00820FE6"/>
    <w:rsid w:val="00821061"/>
    <w:rsid w:val="008210DD"/>
    <w:rsid w:val="008211BF"/>
    <w:rsid w:val="008212A4"/>
    <w:rsid w:val="008212B6"/>
    <w:rsid w:val="008212E7"/>
    <w:rsid w:val="00821309"/>
    <w:rsid w:val="0082130F"/>
    <w:rsid w:val="00821319"/>
    <w:rsid w:val="00821395"/>
    <w:rsid w:val="00821430"/>
    <w:rsid w:val="0082148A"/>
    <w:rsid w:val="00821492"/>
    <w:rsid w:val="0082149A"/>
    <w:rsid w:val="0082149D"/>
    <w:rsid w:val="00821502"/>
    <w:rsid w:val="0082150C"/>
    <w:rsid w:val="0082158D"/>
    <w:rsid w:val="008215C5"/>
    <w:rsid w:val="00821605"/>
    <w:rsid w:val="00821631"/>
    <w:rsid w:val="008216B4"/>
    <w:rsid w:val="00821732"/>
    <w:rsid w:val="00821734"/>
    <w:rsid w:val="00821837"/>
    <w:rsid w:val="008218E3"/>
    <w:rsid w:val="00821900"/>
    <w:rsid w:val="00821911"/>
    <w:rsid w:val="00821999"/>
    <w:rsid w:val="0082199B"/>
    <w:rsid w:val="008219B7"/>
    <w:rsid w:val="00821A87"/>
    <w:rsid w:val="00821ABB"/>
    <w:rsid w:val="00821AC8"/>
    <w:rsid w:val="00821B26"/>
    <w:rsid w:val="00821B51"/>
    <w:rsid w:val="00821B68"/>
    <w:rsid w:val="00821CAB"/>
    <w:rsid w:val="00821D51"/>
    <w:rsid w:val="00821D54"/>
    <w:rsid w:val="00821D88"/>
    <w:rsid w:val="00821DAC"/>
    <w:rsid w:val="00821E5D"/>
    <w:rsid w:val="00821E6F"/>
    <w:rsid w:val="00821E9E"/>
    <w:rsid w:val="00821F5E"/>
    <w:rsid w:val="00821F82"/>
    <w:rsid w:val="00821F89"/>
    <w:rsid w:val="00821FF3"/>
    <w:rsid w:val="00822008"/>
    <w:rsid w:val="0082206E"/>
    <w:rsid w:val="00822093"/>
    <w:rsid w:val="00822109"/>
    <w:rsid w:val="00822154"/>
    <w:rsid w:val="0082216A"/>
    <w:rsid w:val="008221D4"/>
    <w:rsid w:val="0082223D"/>
    <w:rsid w:val="008222FE"/>
    <w:rsid w:val="00822302"/>
    <w:rsid w:val="00822361"/>
    <w:rsid w:val="00822532"/>
    <w:rsid w:val="0082258B"/>
    <w:rsid w:val="008225BE"/>
    <w:rsid w:val="008225F3"/>
    <w:rsid w:val="00822670"/>
    <w:rsid w:val="00822681"/>
    <w:rsid w:val="0082272D"/>
    <w:rsid w:val="00822779"/>
    <w:rsid w:val="008227F6"/>
    <w:rsid w:val="00822800"/>
    <w:rsid w:val="00822832"/>
    <w:rsid w:val="00822906"/>
    <w:rsid w:val="00822A36"/>
    <w:rsid w:val="00822A3B"/>
    <w:rsid w:val="00822A8F"/>
    <w:rsid w:val="00822AE8"/>
    <w:rsid w:val="00822BE6"/>
    <w:rsid w:val="00822C19"/>
    <w:rsid w:val="00822C73"/>
    <w:rsid w:val="00822C97"/>
    <w:rsid w:val="00822D9C"/>
    <w:rsid w:val="00822E76"/>
    <w:rsid w:val="00822EB1"/>
    <w:rsid w:val="00822EF5"/>
    <w:rsid w:val="00822EF8"/>
    <w:rsid w:val="00822F97"/>
    <w:rsid w:val="0082306A"/>
    <w:rsid w:val="00823118"/>
    <w:rsid w:val="0082321D"/>
    <w:rsid w:val="00823241"/>
    <w:rsid w:val="00823384"/>
    <w:rsid w:val="0082339C"/>
    <w:rsid w:val="008233A7"/>
    <w:rsid w:val="008233E4"/>
    <w:rsid w:val="0082349B"/>
    <w:rsid w:val="008234D2"/>
    <w:rsid w:val="008234EE"/>
    <w:rsid w:val="00823597"/>
    <w:rsid w:val="00823696"/>
    <w:rsid w:val="008236E2"/>
    <w:rsid w:val="008237F4"/>
    <w:rsid w:val="0082384E"/>
    <w:rsid w:val="00823861"/>
    <w:rsid w:val="008238ED"/>
    <w:rsid w:val="00823901"/>
    <w:rsid w:val="00823956"/>
    <w:rsid w:val="00823A2B"/>
    <w:rsid w:val="00823A40"/>
    <w:rsid w:val="00823AC7"/>
    <w:rsid w:val="00823B22"/>
    <w:rsid w:val="00823C49"/>
    <w:rsid w:val="00823C6C"/>
    <w:rsid w:val="00823C92"/>
    <w:rsid w:val="00823CFC"/>
    <w:rsid w:val="00823CFD"/>
    <w:rsid w:val="00823D52"/>
    <w:rsid w:val="00823DB7"/>
    <w:rsid w:val="00823E33"/>
    <w:rsid w:val="00823E73"/>
    <w:rsid w:val="00823EB7"/>
    <w:rsid w:val="00823F61"/>
    <w:rsid w:val="0082409B"/>
    <w:rsid w:val="00824116"/>
    <w:rsid w:val="0082426C"/>
    <w:rsid w:val="00824275"/>
    <w:rsid w:val="0082429C"/>
    <w:rsid w:val="008242DC"/>
    <w:rsid w:val="00824346"/>
    <w:rsid w:val="008243B3"/>
    <w:rsid w:val="00824428"/>
    <w:rsid w:val="008244DF"/>
    <w:rsid w:val="008244E5"/>
    <w:rsid w:val="00824514"/>
    <w:rsid w:val="00824683"/>
    <w:rsid w:val="00824689"/>
    <w:rsid w:val="00824695"/>
    <w:rsid w:val="00824778"/>
    <w:rsid w:val="008247E4"/>
    <w:rsid w:val="008248FD"/>
    <w:rsid w:val="008249E6"/>
    <w:rsid w:val="00824A00"/>
    <w:rsid w:val="00824A88"/>
    <w:rsid w:val="00824A93"/>
    <w:rsid w:val="00824AE8"/>
    <w:rsid w:val="00824B1E"/>
    <w:rsid w:val="00824B2E"/>
    <w:rsid w:val="00824B3A"/>
    <w:rsid w:val="00824B74"/>
    <w:rsid w:val="00824C53"/>
    <w:rsid w:val="00824DEF"/>
    <w:rsid w:val="00824E47"/>
    <w:rsid w:val="00824E6D"/>
    <w:rsid w:val="00824ED3"/>
    <w:rsid w:val="00824F61"/>
    <w:rsid w:val="00824FBA"/>
    <w:rsid w:val="00825039"/>
    <w:rsid w:val="00825043"/>
    <w:rsid w:val="008251C8"/>
    <w:rsid w:val="008251E8"/>
    <w:rsid w:val="0082527A"/>
    <w:rsid w:val="0082527D"/>
    <w:rsid w:val="008252C5"/>
    <w:rsid w:val="0082535B"/>
    <w:rsid w:val="00825420"/>
    <w:rsid w:val="0082542A"/>
    <w:rsid w:val="00825433"/>
    <w:rsid w:val="00825504"/>
    <w:rsid w:val="00825664"/>
    <w:rsid w:val="00825689"/>
    <w:rsid w:val="0082568E"/>
    <w:rsid w:val="0082569C"/>
    <w:rsid w:val="008256C3"/>
    <w:rsid w:val="008256DA"/>
    <w:rsid w:val="0082574C"/>
    <w:rsid w:val="00825765"/>
    <w:rsid w:val="0082578C"/>
    <w:rsid w:val="008257A2"/>
    <w:rsid w:val="008257CD"/>
    <w:rsid w:val="00825806"/>
    <w:rsid w:val="008258B2"/>
    <w:rsid w:val="008259B8"/>
    <w:rsid w:val="00825ADB"/>
    <w:rsid w:val="00825B5E"/>
    <w:rsid w:val="00825C0D"/>
    <w:rsid w:val="00825C43"/>
    <w:rsid w:val="00825D85"/>
    <w:rsid w:val="00825E0F"/>
    <w:rsid w:val="00825E62"/>
    <w:rsid w:val="00825EE1"/>
    <w:rsid w:val="00825EED"/>
    <w:rsid w:val="00825F40"/>
    <w:rsid w:val="00825F93"/>
    <w:rsid w:val="00826007"/>
    <w:rsid w:val="00826014"/>
    <w:rsid w:val="00826056"/>
    <w:rsid w:val="0082607C"/>
    <w:rsid w:val="008260A7"/>
    <w:rsid w:val="008260B4"/>
    <w:rsid w:val="0082617E"/>
    <w:rsid w:val="00826223"/>
    <w:rsid w:val="008262D5"/>
    <w:rsid w:val="008264E2"/>
    <w:rsid w:val="00826539"/>
    <w:rsid w:val="008265F8"/>
    <w:rsid w:val="008267C6"/>
    <w:rsid w:val="00826A0B"/>
    <w:rsid w:val="00826ACA"/>
    <w:rsid w:val="00826B1A"/>
    <w:rsid w:val="00826BC3"/>
    <w:rsid w:val="00826BF0"/>
    <w:rsid w:val="00826C8B"/>
    <w:rsid w:val="00826CAB"/>
    <w:rsid w:val="00826D29"/>
    <w:rsid w:val="00826D4E"/>
    <w:rsid w:val="00826DA3"/>
    <w:rsid w:val="00826E20"/>
    <w:rsid w:val="00826E3B"/>
    <w:rsid w:val="00826EE6"/>
    <w:rsid w:val="00826F38"/>
    <w:rsid w:val="00826F8A"/>
    <w:rsid w:val="0082700D"/>
    <w:rsid w:val="0082702C"/>
    <w:rsid w:val="008272BC"/>
    <w:rsid w:val="008272F7"/>
    <w:rsid w:val="00827318"/>
    <w:rsid w:val="008273A4"/>
    <w:rsid w:val="008273AE"/>
    <w:rsid w:val="008273EC"/>
    <w:rsid w:val="008274C6"/>
    <w:rsid w:val="00827519"/>
    <w:rsid w:val="0082755F"/>
    <w:rsid w:val="00827580"/>
    <w:rsid w:val="0082759B"/>
    <w:rsid w:val="008275C5"/>
    <w:rsid w:val="008275C7"/>
    <w:rsid w:val="008276BF"/>
    <w:rsid w:val="008277AD"/>
    <w:rsid w:val="008277F0"/>
    <w:rsid w:val="00827827"/>
    <w:rsid w:val="0082789C"/>
    <w:rsid w:val="008278A6"/>
    <w:rsid w:val="008278FF"/>
    <w:rsid w:val="0082793B"/>
    <w:rsid w:val="008279C8"/>
    <w:rsid w:val="008279DF"/>
    <w:rsid w:val="00827A14"/>
    <w:rsid w:val="00827A78"/>
    <w:rsid w:val="00827A97"/>
    <w:rsid w:val="00827B48"/>
    <w:rsid w:val="00827B49"/>
    <w:rsid w:val="00827BB3"/>
    <w:rsid w:val="00827C17"/>
    <w:rsid w:val="00827C6A"/>
    <w:rsid w:val="00827C74"/>
    <w:rsid w:val="00827C85"/>
    <w:rsid w:val="00827CDA"/>
    <w:rsid w:val="00827D9E"/>
    <w:rsid w:val="00827DB5"/>
    <w:rsid w:val="00827E34"/>
    <w:rsid w:val="00827E38"/>
    <w:rsid w:val="00827E39"/>
    <w:rsid w:val="00827F5D"/>
    <w:rsid w:val="00827FAE"/>
    <w:rsid w:val="00830007"/>
    <w:rsid w:val="00830135"/>
    <w:rsid w:val="008301CF"/>
    <w:rsid w:val="008301EA"/>
    <w:rsid w:val="0083025B"/>
    <w:rsid w:val="00830277"/>
    <w:rsid w:val="00830319"/>
    <w:rsid w:val="008304F6"/>
    <w:rsid w:val="00830559"/>
    <w:rsid w:val="00830566"/>
    <w:rsid w:val="00830577"/>
    <w:rsid w:val="0083058D"/>
    <w:rsid w:val="0083061F"/>
    <w:rsid w:val="00830631"/>
    <w:rsid w:val="00830634"/>
    <w:rsid w:val="0083067F"/>
    <w:rsid w:val="0083068D"/>
    <w:rsid w:val="008307C2"/>
    <w:rsid w:val="00830805"/>
    <w:rsid w:val="0083084C"/>
    <w:rsid w:val="00830890"/>
    <w:rsid w:val="0083089F"/>
    <w:rsid w:val="008308DC"/>
    <w:rsid w:val="0083095D"/>
    <w:rsid w:val="008309E6"/>
    <w:rsid w:val="00830A74"/>
    <w:rsid w:val="00830AED"/>
    <w:rsid w:val="00830AF7"/>
    <w:rsid w:val="00830C1A"/>
    <w:rsid w:val="00830C81"/>
    <w:rsid w:val="00830D9A"/>
    <w:rsid w:val="00830DB6"/>
    <w:rsid w:val="00830DEA"/>
    <w:rsid w:val="00830EAC"/>
    <w:rsid w:val="00830F42"/>
    <w:rsid w:val="00830F71"/>
    <w:rsid w:val="00830F7A"/>
    <w:rsid w:val="00830FD6"/>
    <w:rsid w:val="00830FFA"/>
    <w:rsid w:val="00831033"/>
    <w:rsid w:val="00831174"/>
    <w:rsid w:val="0083125A"/>
    <w:rsid w:val="00831294"/>
    <w:rsid w:val="008312AE"/>
    <w:rsid w:val="0083132D"/>
    <w:rsid w:val="00831353"/>
    <w:rsid w:val="00831354"/>
    <w:rsid w:val="00831378"/>
    <w:rsid w:val="0083139E"/>
    <w:rsid w:val="008313E8"/>
    <w:rsid w:val="00831451"/>
    <w:rsid w:val="00831457"/>
    <w:rsid w:val="00831481"/>
    <w:rsid w:val="008314BE"/>
    <w:rsid w:val="008315E7"/>
    <w:rsid w:val="008315F5"/>
    <w:rsid w:val="0083161D"/>
    <w:rsid w:val="00831648"/>
    <w:rsid w:val="00831757"/>
    <w:rsid w:val="0083176D"/>
    <w:rsid w:val="008318A8"/>
    <w:rsid w:val="0083197B"/>
    <w:rsid w:val="008319A4"/>
    <w:rsid w:val="008319AB"/>
    <w:rsid w:val="00831A72"/>
    <w:rsid w:val="00831AD2"/>
    <w:rsid w:val="00831BE1"/>
    <w:rsid w:val="00831CDE"/>
    <w:rsid w:val="00831CE2"/>
    <w:rsid w:val="00831D00"/>
    <w:rsid w:val="00831D5C"/>
    <w:rsid w:val="00831D67"/>
    <w:rsid w:val="00831DA9"/>
    <w:rsid w:val="00831DD3"/>
    <w:rsid w:val="00831E3C"/>
    <w:rsid w:val="00831E9E"/>
    <w:rsid w:val="00831EB6"/>
    <w:rsid w:val="00831FD8"/>
    <w:rsid w:val="00832022"/>
    <w:rsid w:val="00832120"/>
    <w:rsid w:val="0083216D"/>
    <w:rsid w:val="0083234C"/>
    <w:rsid w:val="00832357"/>
    <w:rsid w:val="008323D9"/>
    <w:rsid w:val="008323E6"/>
    <w:rsid w:val="00832430"/>
    <w:rsid w:val="008325EE"/>
    <w:rsid w:val="0083263F"/>
    <w:rsid w:val="00832688"/>
    <w:rsid w:val="008326CF"/>
    <w:rsid w:val="00832721"/>
    <w:rsid w:val="008327F4"/>
    <w:rsid w:val="00832867"/>
    <w:rsid w:val="00832970"/>
    <w:rsid w:val="008329EC"/>
    <w:rsid w:val="00832A5F"/>
    <w:rsid w:val="00832A7E"/>
    <w:rsid w:val="00832AA5"/>
    <w:rsid w:val="00832AF2"/>
    <w:rsid w:val="00832AF8"/>
    <w:rsid w:val="00832BD6"/>
    <w:rsid w:val="00832C90"/>
    <w:rsid w:val="00832DA5"/>
    <w:rsid w:val="00832DD9"/>
    <w:rsid w:val="00832DF1"/>
    <w:rsid w:val="00832E5D"/>
    <w:rsid w:val="00832ED1"/>
    <w:rsid w:val="00832ED3"/>
    <w:rsid w:val="00832F22"/>
    <w:rsid w:val="0083301E"/>
    <w:rsid w:val="0083302A"/>
    <w:rsid w:val="00833038"/>
    <w:rsid w:val="00833040"/>
    <w:rsid w:val="00833049"/>
    <w:rsid w:val="00833157"/>
    <w:rsid w:val="0083318B"/>
    <w:rsid w:val="00833192"/>
    <w:rsid w:val="008331D8"/>
    <w:rsid w:val="008332DC"/>
    <w:rsid w:val="008332DF"/>
    <w:rsid w:val="00833322"/>
    <w:rsid w:val="00833323"/>
    <w:rsid w:val="0083333C"/>
    <w:rsid w:val="00833389"/>
    <w:rsid w:val="008333C3"/>
    <w:rsid w:val="00833401"/>
    <w:rsid w:val="0083343F"/>
    <w:rsid w:val="0083354F"/>
    <w:rsid w:val="00833550"/>
    <w:rsid w:val="008335B8"/>
    <w:rsid w:val="008335D0"/>
    <w:rsid w:val="008335E3"/>
    <w:rsid w:val="00833616"/>
    <w:rsid w:val="00833644"/>
    <w:rsid w:val="00833659"/>
    <w:rsid w:val="0083369C"/>
    <w:rsid w:val="008338B4"/>
    <w:rsid w:val="00833951"/>
    <w:rsid w:val="008339B3"/>
    <w:rsid w:val="00833A03"/>
    <w:rsid w:val="00833A09"/>
    <w:rsid w:val="00833C44"/>
    <w:rsid w:val="00833C5F"/>
    <w:rsid w:val="00833C83"/>
    <w:rsid w:val="00833CA9"/>
    <w:rsid w:val="00833CFA"/>
    <w:rsid w:val="00833E36"/>
    <w:rsid w:val="00833E81"/>
    <w:rsid w:val="00833F06"/>
    <w:rsid w:val="00833FC6"/>
    <w:rsid w:val="00833FE8"/>
    <w:rsid w:val="00833FEC"/>
    <w:rsid w:val="0083402D"/>
    <w:rsid w:val="0083407A"/>
    <w:rsid w:val="0083416C"/>
    <w:rsid w:val="0083417C"/>
    <w:rsid w:val="008341A4"/>
    <w:rsid w:val="008341C2"/>
    <w:rsid w:val="008341D6"/>
    <w:rsid w:val="00834226"/>
    <w:rsid w:val="008342AF"/>
    <w:rsid w:val="008343CE"/>
    <w:rsid w:val="008343F7"/>
    <w:rsid w:val="0083446F"/>
    <w:rsid w:val="0083452A"/>
    <w:rsid w:val="0083452E"/>
    <w:rsid w:val="0083453F"/>
    <w:rsid w:val="00834562"/>
    <w:rsid w:val="008345D2"/>
    <w:rsid w:val="00834635"/>
    <w:rsid w:val="008346AC"/>
    <w:rsid w:val="0083473C"/>
    <w:rsid w:val="008347C7"/>
    <w:rsid w:val="00834825"/>
    <w:rsid w:val="00834835"/>
    <w:rsid w:val="00834884"/>
    <w:rsid w:val="00834945"/>
    <w:rsid w:val="00834963"/>
    <w:rsid w:val="00834A70"/>
    <w:rsid w:val="00834AB6"/>
    <w:rsid w:val="00834B25"/>
    <w:rsid w:val="00834BCE"/>
    <w:rsid w:val="00834BD5"/>
    <w:rsid w:val="00834BEB"/>
    <w:rsid w:val="00834C11"/>
    <w:rsid w:val="00834C51"/>
    <w:rsid w:val="00834CA8"/>
    <w:rsid w:val="00834D61"/>
    <w:rsid w:val="00834E08"/>
    <w:rsid w:val="00834E42"/>
    <w:rsid w:val="00834F31"/>
    <w:rsid w:val="00834FE7"/>
    <w:rsid w:val="00834FFF"/>
    <w:rsid w:val="008350CE"/>
    <w:rsid w:val="008350DB"/>
    <w:rsid w:val="008351E8"/>
    <w:rsid w:val="00835217"/>
    <w:rsid w:val="0083528C"/>
    <w:rsid w:val="008352F9"/>
    <w:rsid w:val="00835372"/>
    <w:rsid w:val="008353CD"/>
    <w:rsid w:val="008353E3"/>
    <w:rsid w:val="008353E5"/>
    <w:rsid w:val="0083554D"/>
    <w:rsid w:val="00835552"/>
    <w:rsid w:val="0083561A"/>
    <w:rsid w:val="00835628"/>
    <w:rsid w:val="00835629"/>
    <w:rsid w:val="0083567B"/>
    <w:rsid w:val="0083573B"/>
    <w:rsid w:val="0083578E"/>
    <w:rsid w:val="00835800"/>
    <w:rsid w:val="00835882"/>
    <w:rsid w:val="00835922"/>
    <w:rsid w:val="00835984"/>
    <w:rsid w:val="008359A7"/>
    <w:rsid w:val="008359A9"/>
    <w:rsid w:val="00835A2B"/>
    <w:rsid w:val="00835A69"/>
    <w:rsid w:val="00835A6D"/>
    <w:rsid w:val="00835B54"/>
    <w:rsid w:val="00835BAD"/>
    <w:rsid w:val="00835BCB"/>
    <w:rsid w:val="00835C72"/>
    <w:rsid w:val="00835E1D"/>
    <w:rsid w:val="00835E4D"/>
    <w:rsid w:val="00835EEB"/>
    <w:rsid w:val="00835FD6"/>
    <w:rsid w:val="0083607C"/>
    <w:rsid w:val="008360D2"/>
    <w:rsid w:val="00836185"/>
    <w:rsid w:val="00836210"/>
    <w:rsid w:val="00836350"/>
    <w:rsid w:val="00836442"/>
    <w:rsid w:val="0083645A"/>
    <w:rsid w:val="0083651E"/>
    <w:rsid w:val="00836541"/>
    <w:rsid w:val="00836572"/>
    <w:rsid w:val="008365EE"/>
    <w:rsid w:val="00836619"/>
    <w:rsid w:val="0083661A"/>
    <w:rsid w:val="00836683"/>
    <w:rsid w:val="008366FF"/>
    <w:rsid w:val="0083678D"/>
    <w:rsid w:val="008367BD"/>
    <w:rsid w:val="00836948"/>
    <w:rsid w:val="00836966"/>
    <w:rsid w:val="008369ED"/>
    <w:rsid w:val="00836A38"/>
    <w:rsid w:val="00836ABA"/>
    <w:rsid w:val="00836B18"/>
    <w:rsid w:val="00836B29"/>
    <w:rsid w:val="00836C69"/>
    <w:rsid w:val="00836CDA"/>
    <w:rsid w:val="00836F2C"/>
    <w:rsid w:val="00836F55"/>
    <w:rsid w:val="00836F8F"/>
    <w:rsid w:val="00836FA0"/>
    <w:rsid w:val="00836FCA"/>
    <w:rsid w:val="00836FEF"/>
    <w:rsid w:val="0083702B"/>
    <w:rsid w:val="008370E6"/>
    <w:rsid w:val="008370FE"/>
    <w:rsid w:val="00837156"/>
    <w:rsid w:val="0083715D"/>
    <w:rsid w:val="008371FA"/>
    <w:rsid w:val="0083726F"/>
    <w:rsid w:val="00837291"/>
    <w:rsid w:val="00837327"/>
    <w:rsid w:val="00837357"/>
    <w:rsid w:val="00837457"/>
    <w:rsid w:val="008374F5"/>
    <w:rsid w:val="00837514"/>
    <w:rsid w:val="00837536"/>
    <w:rsid w:val="00837561"/>
    <w:rsid w:val="008375CE"/>
    <w:rsid w:val="008375EB"/>
    <w:rsid w:val="008375FB"/>
    <w:rsid w:val="008376BD"/>
    <w:rsid w:val="008376D0"/>
    <w:rsid w:val="00837889"/>
    <w:rsid w:val="008378D9"/>
    <w:rsid w:val="00837A1C"/>
    <w:rsid w:val="00837A7E"/>
    <w:rsid w:val="00837B1D"/>
    <w:rsid w:val="00837B84"/>
    <w:rsid w:val="00837BF8"/>
    <w:rsid w:val="00837BFB"/>
    <w:rsid w:val="00837C3B"/>
    <w:rsid w:val="00837C52"/>
    <w:rsid w:val="00837D37"/>
    <w:rsid w:val="00837E23"/>
    <w:rsid w:val="00837E86"/>
    <w:rsid w:val="00837EF0"/>
    <w:rsid w:val="00837F89"/>
    <w:rsid w:val="00840084"/>
    <w:rsid w:val="0084017D"/>
    <w:rsid w:val="00840182"/>
    <w:rsid w:val="008401A7"/>
    <w:rsid w:val="00840248"/>
    <w:rsid w:val="00840270"/>
    <w:rsid w:val="008402C0"/>
    <w:rsid w:val="00840307"/>
    <w:rsid w:val="008403C8"/>
    <w:rsid w:val="00840444"/>
    <w:rsid w:val="00840466"/>
    <w:rsid w:val="00840517"/>
    <w:rsid w:val="008405D9"/>
    <w:rsid w:val="008405EB"/>
    <w:rsid w:val="008405ED"/>
    <w:rsid w:val="0084066D"/>
    <w:rsid w:val="008406B5"/>
    <w:rsid w:val="008406DE"/>
    <w:rsid w:val="008407BE"/>
    <w:rsid w:val="008407BF"/>
    <w:rsid w:val="008408E2"/>
    <w:rsid w:val="008408FD"/>
    <w:rsid w:val="00840A58"/>
    <w:rsid w:val="00840A65"/>
    <w:rsid w:val="00840ACE"/>
    <w:rsid w:val="00840B04"/>
    <w:rsid w:val="00840B18"/>
    <w:rsid w:val="00840BC6"/>
    <w:rsid w:val="00840C1C"/>
    <w:rsid w:val="00840C5F"/>
    <w:rsid w:val="00840D79"/>
    <w:rsid w:val="00840DDA"/>
    <w:rsid w:val="00840DDB"/>
    <w:rsid w:val="00840E07"/>
    <w:rsid w:val="00840E45"/>
    <w:rsid w:val="00840F40"/>
    <w:rsid w:val="00840F4E"/>
    <w:rsid w:val="00840F5C"/>
    <w:rsid w:val="00840FCC"/>
    <w:rsid w:val="00841079"/>
    <w:rsid w:val="008410F7"/>
    <w:rsid w:val="00841139"/>
    <w:rsid w:val="008411EA"/>
    <w:rsid w:val="008412EA"/>
    <w:rsid w:val="008413AA"/>
    <w:rsid w:val="008413E2"/>
    <w:rsid w:val="008413FD"/>
    <w:rsid w:val="00841475"/>
    <w:rsid w:val="00841572"/>
    <w:rsid w:val="0084163B"/>
    <w:rsid w:val="00841679"/>
    <w:rsid w:val="008416F0"/>
    <w:rsid w:val="008416FB"/>
    <w:rsid w:val="00841767"/>
    <w:rsid w:val="0084183C"/>
    <w:rsid w:val="0084187E"/>
    <w:rsid w:val="0084189E"/>
    <w:rsid w:val="0084194A"/>
    <w:rsid w:val="00841ABA"/>
    <w:rsid w:val="00841B40"/>
    <w:rsid w:val="00841C07"/>
    <w:rsid w:val="00841C8F"/>
    <w:rsid w:val="00841DF5"/>
    <w:rsid w:val="00841E5A"/>
    <w:rsid w:val="00841F1E"/>
    <w:rsid w:val="00841F72"/>
    <w:rsid w:val="00841F92"/>
    <w:rsid w:val="00842028"/>
    <w:rsid w:val="0084203C"/>
    <w:rsid w:val="00842052"/>
    <w:rsid w:val="0084207C"/>
    <w:rsid w:val="008420A2"/>
    <w:rsid w:val="008420F3"/>
    <w:rsid w:val="00842138"/>
    <w:rsid w:val="0084239E"/>
    <w:rsid w:val="00842456"/>
    <w:rsid w:val="008424A0"/>
    <w:rsid w:val="008424CF"/>
    <w:rsid w:val="0084256D"/>
    <w:rsid w:val="0084273C"/>
    <w:rsid w:val="0084274C"/>
    <w:rsid w:val="0084276B"/>
    <w:rsid w:val="008427F5"/>
    <w:rsid w:val="00842892"/>
    <w:rsid w:val="008428ED"/>
    <w:rsid w:val="0084299A"/>
    <w:rsid w:val="008429B1"/>
    <w:rsid w:val="00842A31"/>
    <w:rsid w:val="00842A61"/>
    <w:rsid w:val="00842A8A"/>
    <w:rsid w:val="00842AB4"/>
    <w:rsid w:val="00842B53"/>
    <w:rsid w:val="00842B5C"/>
    <w:rsid w:val="00842BB9"/>
    <w:rsid w:val="00842BE4"/>
    <w:rsid w:val="00842C67"/>
    <w:rsid w:val="00842CFE"/>
    <w:rsid w:val="00842D44"/>
    <w:rsid w:val="00842D6E"/>
    <w:rsid w:val="00842E10"/>
    <w:rsid w:val="00842E14"/>
    <w:rsid w:val="00842EA5"/>
    <w:rsid w:val="00842EB4"/>
    <w:rsid w:val="00842F26"/>
    <w:rsid w:val="00842F39"/>
    <w:rsid w:val="00842F62"/>
    <w:rsid w:val="00842F89"/>
    <w:rsid w:val="008430A1"/>
    <w:rsid w:val="008430CB"/>
    <w:rsid w:val="008430DC"/>
    <w:rsid w:val="00843107"/>
    <w:rsid w:val="00843112"/>
    <w:rsid w:val="00843222"/>
    <w:rsid w:val="0084339E"/>
    <w:rsid w:val="008433D3"/>
    <w:rsid w:val="008433E3"/>
    <w:rsid w:val="008433E4"/>
    <w:rsid w:val="0084347F"/>
    <w:rsid w:val="0084352B"/>
    <w:rsid w:val="00843537"/>
    <w:rsid w:val="00843572"/>
    <w:rsid w:val="0084359F"/>
    <w:rsid w:val="008436AD"/>
    <w:rsid w:val="00843740"/>
    <w:rsid w:val="00843847"/>
    <w:rsid w:val="0084384A"/>
    <w:rsid w:val="0084385A"/>
    <w:rsid w:val="0084397B"/>
    <w:rsid w:val="008439A7"/>
    <w:rsid w:val="00843A09"/>
    <w:rsid w:val="00843AD1"/>
    <w:rsid w:val="00843AEB"/>
    <w:rsid w:val="00843B4D"/>
    <w:rsid w:val="00843BE0"/>
    <w:rsid w:val="00843BE5"/>
    <w:rsid w:val="00843CE4"/>
    <w:rsid w:val="00843D75"/>
    <w:rsid w:val="00843E04"/>
    <w:rsid w:val="00843E4B"/>
    <w:rsid w:val="00843F36"/>
    <w:rsid w:val="00843F3E"/>
    <w:rsid w:val="00843F3F"/>
    <w:rsid w:val="00843F92"/>
    <w:rsid w:val="0084419E"/>
    <w:rsid w:val="0084421C"/>
    <w:rsid w:val="0084428E"/>
    <w:rsid w:val="008442BD"/>
    <w:rsid w:val="008442E6"/>
    <w:rsid w:val="0084433D"/>
    <w:rsid w:val="0084437B"/>
    <w:rsid w:val="0084438F"/>
    <w:rsid w:val="00844531"/>
    <w:rsid w:val="00844600"/>
    <w:rsid w:val="0084460D"/>
    <w:rsid w:val="00844612"/>
    <w:rsid w:val="00844679"/>
    <w:rsid w:val="0084467B"/>
    <w:rsid w:val="008446B0"/>
    <w:rsid w:val="00844707"/>
    <w:rsid w:val="0084472F"/>
    <w:rsid w:val="008447FD"/>
    <w:rsid w:val="0084482D"/>
    <w:rsid w:val="00844843"/>
    <w:rsid w:val="00844943"/>
    <w:rsid w:val="0084495D"/>
    <w:rsid w:val="00844984"/>
    <w:rsid w:val="008449D0"/>
    <w:rsid w:val="00844A63"/>
    <w:rsid w:val="00844B53"/>
    <w:rsid w:val="00844B7B"/>
    <w:rsid w:val="00844BB5"/>
    <w:rsid w:val="00844BD4"/>
    <w:rsid w:val="00844C88"/>
    <w:rsid w:val="00844CD7"/>
    <w:rsid w:val="00844DD0"/>
    <w:rsid w:val="00844E0B"/>
    <w:rsid w:val="00844E70"/>
    <w:rsid w:val="00844ECC"/>
    <w:rsid w:val="00844F42"/>
    <w:rsid w:val="008450E3"/>
    <w:rsid w:val="00845105"/>
    <w:rsid w:val="008451C8"/>
    <w:rsid w:val="0084521A"/>
    <w:rsid w:val="00845260"/>
    <w:rsid w:val="008452E5"/>
    <w:rsid w:val="00845300"/>
    <w:rsid w:val="008453AE"/>
    <w:rsid w:val="008453EC"/>
    <w:rsid w:val="00845480"/>
    <w:rsid w:val="008454A1"/>
    <w:rsid w:val="008454B6"/>
    <w:rsid w:val="008454E5"/>
    <w:rsid w:val="00845524"/>
    <w:rsid w:val="0084562E"/>
    <w:rsid w:val="008456C6"/>
    <w:rsid w:val="00845702"/>
    <w:rsid w:val="0084573D"/>
    <w:rsid w:val="0084577E"/>
    <w:rsid w:val="008457B2"/>
    <w:rsid w:val="008458AE"/>
    <w:rsid w:val="008458F6"/>
    <w:rsid w:val="00845974"/>
    <w:rsid w:val="00845A65"/>
    <w:rsid w:val="00845AE5"/>
    <w:rsid w:val="00845AF2"/>
    <w:rsid w:val="00845B3D"/>
    <w:rsid w:val="00845B52"/>
    <w:rsid w:val="00845C2B"/>
    <w:rsid w:val="00845CDF"/>
    <w:rsid w:val="00845D21"/>
    <w:rsid w:val="00845D76"/>
    <w:rsid w:val="00845DB6"/>
    <w:rsid w:val="00845DE0"/>
    <w:rsid w:val="00845F5B"/>
    <w:rsid w:val="00845FE3"/>
    <w:rsid w:val="00845FFA"/>
    <w:rsid w:val="008461A3"/>
    <w:rsid w:val="0084627D"/>
    <w:rsid w:val="0084628B"/>
    <w:rsid w:val="00846320"/>
    <w:rsid w:val="00846380"/>
    <w:rsid w:val="008463AC"/>
    <w:rsid w:val="00846474"/>
    <w:rsid w:val="00846654"/>
    <w:rsid w:val="008466A3"/>
    <w:rsid w:val="0084675B"/>
    <w:rsid w:val="0084685D"/>
    <w:rsid w:val="008468F7"/>
    <w:rsid w:val="008469A1"/>
    <w:rsid w:val="00846A2F"/>
    <w:rsid w:val="00846C45"/>
    <w:rsid w:val="00846CA5"/>
    <w:rsid w:val="00846CAC"/>
    <w:rsid w:val="00846D06"/>
    <w:rsid w:val="00846D0C"/>
    <w:rsid w:val="00846D20"/>
    <w:rsid w:val="00846D29"/>
    <w:rsid w:val="00846D5C"/>
    <w:rsid w:val="00846DA8"/>
    <w:rsid w:val="00846DF9"/>
    <w:rsid w:val="00846E57"/>
    <w:rsid w:val="00846EEC"/>
    <w:rsid w:val="00846F8A"/>
    <w:rsid w:val="00846F9A"/>
    <w:rsid w:val="00846FAC"/>
    <w:rsid w:val="00847006"/>
    <w:rsid w:val="0084707A"/>
    <w:rsid w:val="00847104"/>
    <w:rsid w:val="008471B8"/>
    <w:rsid w:val="0084722B"/>
    <w:rsid w:val="00847378"/>
    <w:rsid w:val="00847393"/>
    <w:rsid w:val="008473F4"/>
    <w:rsid w:val="00847426"/>
    <w:rsid w:val="00847446"/>
    <w:rsid w:val="0084744D"/>
    <w:rsid w:val="0084745A"/>
    <w:rsid w:val="00847478"/>
    <w:rsid w:val="008474C1"/>
    <w:rsid w:val="00847576"/>
    <w:rsid w:val="00847597"/>
    <w:rsid w:val="008475F8"/>
    <w:rsid w:val="008476DC"/>
    <w:rsid w:val="008476E1"/>
    <w:rsid w:val="00847774"/>
    <w:rsid w:val="0084779C"/>
    <w:rsid w:val="008477AE"/>
    <w:rsid w:val="00847810"/>
    <w:rsid w:val="00847906"/>
    <w:rsid w:val="00847937"/>
    <w:rsid w:val="00847945"/>
    <w:rsid w:val="00847950"/>
    <w:rsid w:val="0084795A"/>
    <w:rsid w:val="0084798F"/>
    <w:rsid w:val="00847A2C"/>
    <w:rsid w:val="00847A80"/>
    <w:rsid w:val="00847AA3"/>
    <w:rsid w:val="00847B4B"/>
    <w:rsid w:val="00847BBC"/>
    <w:rsid w:val="00847BCC"/>
    <w:rsid w:val="00847D77"/>
    <w:rsid w:val="00847DF1"/>
    <w:rsid w:val="00847E44"/>
    <w:rsid w:val="00847F35"/>
    <w:rsid w:val="00847F8D"/>
    <w:rsid w:val="00847FEC"/>
    <w:rsid w:val="00850046"/>
    <w:rsid w:val="00850087"/>
    <w:rsid w:val="008500F3"/>
    <w:rsid w:val="00850168"/>
    <w:rsid w:val="0085025D"/>
    <w:rsid w:val="008502D2"/>
    <w:rsid w:val="0085032D"/>
    <w:rsid w:val="008503ED"/>
    <w:rsid w:val="00850421"/>
    <w:rsid w:val="00850480"/>
    <w:rsid w:val="008504C4"/>
    <w:rsid w:val="00850511"/>
    <w:rsid w:val="00850541"/>
    <w:rsid w:val="008505D0"/>
    <w:rsid w:val="008505EC"/>
    <w:rsid w:val="00850607"/>
    <w:rsid w:val="008506BC"/>
    <w:rsid w:val="0085075E"/>
    <w:rsid w:val="008508F5"/>
    <w:rsid w:val="00850964"/>
    <w:rsid w:val="00850967"/>
    <w:rsid w:val="00850996"/>
    <w:rsid w:val="008509F7"/>
    <w:rsid w:val="00850A5A"/>
    <w:rsid w:val="00850A71"/>
    <w:rsid w:val="00850A87"/>
    <w:rsid w:val="00850ABC"/>
    <w:rsid w:val="00850C4F"/>
    <w:rsid w:val="00850CE6"/>
    <w:rsid w:val="00850D0F"/>
    <w:rsid w:val="00850D53"/>
    <w:rsid w:val="00850DC4"/>
    <w:rsid w:val="00850DFB"/>
    <w:rsid w:val="00850E22"/>
    <w:rsid w:val="00850E4C"/>
    <w:rsid w:val="00850E82"/>
    <w:rsid w:val="00850EC5"/>
    <w:rsid w:val="00850EDE"/>
    <w:rsid w:val="00850FC9"/>
    <w:rsid w:val="00850FD6"/>
    <w:rsid w:val="00851008"/>
    <w:rsid w:val="00851067"/>
    <w:rsid w:val="0085115C"/>
    <w:rsid w:val="00851280"/>
    <w:rsid w:val="008512B8"/>
    <w:rsid w:val="00851337"/>
    <w:rsid w:val="00851354"/>
    <w:rsid w:val="008513B1"/>
    <w:rsid w:val="008513B3"/>
    <w:rsid w:val="008514DC"/>
    <w:rsid w:val="00851516"/>
    <w:rsid w:val="00851534"/>
    <w:rsid w:val="0085166E"/>
    <w:rsid w:val="0085172B"/>
    <w:rsid w:val="00851733"/>
    <w:rsid w:val="0085173E"/>
    <w:rsid w:val="008517CB"/>
    <w:rsid w:val="00851810"/>
    <w:rsid w:val="008518E7"/>
    <w:rsid w:val="00851919"/>
    <w:rsid w:val="00851928"/>
    <w:rsid w:val="008519D0"/>
    <w:rsid w:val="00851B9F"/>
    <w:rsid w:val="00851C5A"/>
    <w:rsid w:val="00851C9C"/>
    <w:rsid w:val="00851D26"/>
    <w:rsid w:val="00851D9D"/>
    <w:rsid w:val="00851F33"/>
    <w:rsid w:val="00851F35"/>
    <w:rsid w:val="00851F48"/>
    <w:rsid w:val="00851F54"/>
    <w:rsid w:val="00852116"/>
    <w:rsid w:val="0085211D"/>
    <w:rsid w:val="0085229C"/>
    <w:rsid w:val="008522B1"/>
    <w:rsid w:val="0085233C"/>
    <w:rsid w:val="008524C3"/>
    <w:rsid w:val="008524DA"/>
    <w:rsid w:val="008525E5"/>
    <w:rsid w:val="008526E6"/>
    <w:rsid w:val="0085272C"/>
    <w:rsid w:val="008527F4"/>
    <w:rsid w:val="00852851"/>
    <w:rsid w:val="0085298D"/>
    <w:rsid w:val="008529A4"/>
    <w:rsid w:val="00852A08"/>
    <w:rsid w:val="00852A30"/>
    <w:rsid w:val="00852B25"/>
    <w:rsid w:val="00852CCE"/>
    <w:rsid w:val="00852E17"/>
    <w:rsid w:val="00852F10"/>
    <w:rsid w:val="00852F66"/>
    <w:rsid w:val="00852FEE"/>
    <w:rsid w:val="00853066"/>
    <w:rsid w:val="00853147"/>
    <w:rsid w:val="0085314F"/>
    <w:rsid w:val="008531E0"/>
    <w:rsid w:val="008531EF"/>
    <w:rsid w:val="00853378"/>
    <w:rsid w:val="0085338E"/>
    <w:rsid w:val="00853390"/>
    <w:rsid w:val="008533B3"/>
    <w:rsid w:val="00853419"/>
    <w:rsid w:val="0085341D"/>
    <w:rsid w:val="008534A3"/>
    <w:rsid w:val="0085359E"/>
    <w:rsid w:val="008535E0"/>
    <w:rsid w:val="0085361A"/>
    <w:rsid w:val="00853648"/>
    <w:rsid w:val="0085366C"/>
    <w:rsid w:val="008536B0"/>
    <w:rsid w:val="0085373B"/>
    <w:rsid w:val="008537B8"/>
    <w:rsid w:val="008537C2"/>
    <w:rsid w:val="008537D6"/>
    <w:rsid w:val="00853807"/>
    <w:rsid w:val="008538B6"/>
    <w:rsid w:val="008538D5"/>
    <w:rsid w:val="0085399C"/>
    <w:rsid w:val="008539DD"/>
    <w:rsid w:val="00853AB1"/>
    <w:rsid w:val="00853BC7"/>
    <w:rsid w:val="00853D19"/>
    <w:rsid w:val="00853D5B"/>
    <w:rsid w:val="00853D5F"/>
    <w:rsid w:val="00853E15"/>
    <w:rsid w:val="00853EB5"/>
    <w:rsid w:val="00853F95"/>
    <w:rsid w:val="00853FCA"/>
    <w:rsid w:val="00853FFD"/>
    <w:rsid w:val="00854004"/>
    <w:rsid w:val="0085405A"/>
    <w:rsid w:val="00854089"/>
    <w:rsid w:val="008540C5"/>
    <w:rsid w:val="00854140"/>
    <w:rsid w:val="00854208"/>
    <w:rsid w:val="0085422B"/>
    <w:rsid w:val="00854245"/>
    <w:rsid w:val="008542C8"/>
    <w:rsid w:val="008542DD"/>
    <w:rsid w:val="00854383"/>
    <w:rsid w:val="008543A5"/>
    <w:rsid w:val="00854400"/>
    <w:rsid w:val="00854494"/>
    <w:rsid w:val="008544DE"/>
    <w:rsid w:val="008544E9"/>
    <w:rsid w:val="0085453D"/>
    <w:rsid w:val="0085454D"/>
    <w:rsid w:val="008545C0"/>
    <w:rsid w:val="00854629"/>
    <w:rsid w:val="0085464C"/>
    <w:rsid w:val="008547A5"/>
    <w:rsid w:val="0085485E"/>
    <w:rsid w:val="00854897"/>
    <w:rsid w:val="0085491F"/>
    <w:rsid w:val="0085496F"/>
    <w:rsid w:val="0085497B"/>
    <w:rsid w:val="00854998"/>
    <w:rsid w:val="00854A51"/>
    <w:rsid w:val="00854AC1"/>
    <w:rsid w:val="00854AD1"/>
    <w:rsid w:val="00854AE8"/>
    <w:rsid w:val="00854AEC"/>
    <w:rsid w:val="00854B6A"/>
    <w:rsid w:val="00854BC2"/>
    <w:rsid w:val="00854C07"/>
    <w:rsid w:val="00854C4F"/>
    <w:rsid w:val="00854C8B"/>
    <w:rsid w:val="00854CA0"/>
    <w:rsid w:val="00854CB5"/>
    <w:rsid w:val="00854CED"/>
    <w:rsid w:val="00854D7D"/>
    <w:rsid w:val="00854DB9"/>
    <w:rsid w:val="00854DEE"/>
    <w:rsid w:val="00854DFD"/>
    <w:rsid w:val="00854EB0"/>
    <w:rsid w:val="00854F5F"/>
    <w:rsid w:val="00854FA3"/>
    <w:rsid w:val="00854FBE"/>
    <w:rsid w:val="00854FDB"/>
    <w:rsid w:val="00855046"/>
    <w:rsid w:val="00855093"/>
    <w:rsid w:val="008550C4"/>
    <w:rsid w:val="008550E2"/>
    <w:rsid w:val="00855189"/>
    <w:rsid w:val="008551CA"/>
    <w:rsid w:val="008552BF"/>
    <w:rsid w:val="00855324"/>
    <w:rsid w:val="0085537C"/>
    <w:rsid w:val="008553B6"/>
    <w:rsid w:val="008553BA"/>
    <w:rsid w:val="008554ED"/>
    <w:rsid w:val="00855635"/>
    <w:rsid w:val="00855636"/>
    <w:rsid w:val="00855667"/>
    <w:rsid w:val="00855696"/>
    <w:rsid w:val="00855721"/>
    <w:rsid w:val="0085573F"/>
    <w:rsid w:val="008557F9"/>
    <w:rsid w:val="008558DE"/>
    <w:rsid w:val="00855961"/>
    <w:rsid w:val="00855974"/>
    <w:rsid w:val="0085598F"/>
    <w:rsid w:val="008559AE"/>
    <w:rsid w:val="00855B1A"/>
    <w:rsid w:val="00855B36"/>
    <w:rsid w:val="00855B56"/>
    <w:rsid w:val="00855D65"/>
    <w:rsid w:val="00855E90"/>
    <w:rsid w:val="00855EA5"/>
    <w:rsid w:val="00855F68"/>
    <w:rsid w:val="00856118"/>
    <w:rsid w:val="00856184"/>
    <w:rsid w:val="008561AD"/>
    <w:rsid w:val="008561C3"/>
    <w:rsid w:val="0085626F"/>
    <w:rsid w:val="00856292"/>
    <w:rsid w:val="008562D4"/>
    <w:rsid w:val="0085630C"/>
    <w:rsid w:val="0085630E"/>
    <w:rsid w:val="00856321"/>
    <w:rsid w:val="0085635A"/>
    <w:rsid w:val="008563D8"/>
    <w:rsid w:val="008564A0"/>
    <w:rsid w:val="00856508"/>
    <w:rsid w:val="00856550"/>
    <w:rsid w:val="00856569"/>
    <w:rsid w:val="008566A4"/>
    <w:rsid w:val="00856705"/>
    <w:rsid w:val="0085670D"/>
    <w:rsid w:val="00856769"/>
    <w:rsid w:val="0085679E"/>
    <w:rsid w:val="0085680C"/>
    <w:rsid w:val="00856847"/>
    <w:rsid w:val="0085684D"/>
    <w:rsid w:val="008568AF"/>
    <w:rsid w:val="00856954"/>
    <w:rsid w:val="008569DD"/>
    <w:rsid w:val="00856AB7"/>
    <w:rsid w:val="00856ACE"/>
    <w:rsid w:val="00856AE9"/>
    <w:rsid w:val="00856B8C"/>
    <w:rsid w:val="00856BB0"/>
    <w:rsid w:val="00856BE7"/>
    <w:rsid w:val="00856C72"/>
    <w:rsid w:val="00856D9C"/>
    <w:rsid w:val="00856E0D"/>
    <w:rsid w:val="00856E4A"/>
    <w:rsid w:val="00856F2B"/>
    <w:rsid w:val="00856F49"/>
    <w:rsid w:val="00856F63"/>
    <w:rsid w:val="00856FEA"/>
    <w:rsid w:val="00857066"/>
    <w:rsid w:val="0085709C"/>
    <w:rsid w:val="008570B7"/>
    <w:rsid w:val="008570C1"/>
    <w:rsid w:val="008570CE"/>
    <w:rsid w:val="008570F6"/>
    <w:rsid w:val="00857143"/>
    <w:rsid w:val="00857177"/>
    <w:rsid w:val="00857342"/>
    <w:rsid w:val="00857361"/>
    <w:rsid w:val="008573BD"/>
    <w:rsid w:val="008573D6"/>
    <w:rsid w:val="008573E8"/>
    <w:rsid w:val="0085742A"/>
    <w:rsid w:val="00857514"/>
    <w:rsid w:val="00857573"/>
    <w:rsid w:val="0085763B"/>
    <w:rsid w:val="00857655"/>
    <w:rsid w:val="00857657"/>
    <w:rsid w:val="0085770B"/>
    <w:rsid w:val="00857761"/>
    <w:rsid w:val="0085779A"/>
    <w:rsid w:val="008577B3"/>
    <w:rsid w:val="008578E5"/>
    <w:rsid w:val="008579D2"/>
    <w:rsid w:val="00857A10"/>
    <w:rsid w:val="00857A1A"/>
    <w:rsid w:val="00857A5C"/>
    <w:rsid w:val="00857B09"/>
    <w:rsid w:val="00857B1A"/>
    <w:rsid w:val="00857B85"/>
    <w:rsid w:val="00857BF8"/>
    <w:rsid w:val="00857C1B"/>
    <w:rsid w:val="00857D5A"/>
    <w:rsid w:val="00857DB5"/>
    <w:rsid w:val="00857E15"/>
    <w:rsid w:val="00857E39"/>
    <w:rsid w:val="00857F2E"/>
    <w:rsid w:val="008600F9"/>
    <w:rsid w:val="00860117"/>
    <w:rsid w:val="0086018D"/>
    <w:rsid w:val="00860193"/>
    <w:rsid w:val="0086023D"/>
    <w:rsid w:val="0086033A"/>
    <w:rsid w:val="008603F2"/>
    <w:rsid w:val="008604D2"/>
    <w:rsid w:val="008604D7"/>
    <w:rsid w:val="00860531"/>
    <w:rsid w:val="00860560"/>
    <w:rsid w:val="008605CC"/>
    <w:rsid w:val="00860716"/>
    <w:rsid w:val="0086074B"/>
    <w:rsid w:val="008607EB"/>
    <w:rsid w:val="00860817"/>
    <w:rsid w:val="00860950"/>
    <w:rsid w:val="00860953"/>
    <w:rsid w:val="0086097F"/>
    <w:rsid w:val="008609DC"/>
    <w:rsid w:val="00860A2F"/>
    <w:rsid w:val="00860A31"/>
    <w:rsid w:val="00860AEC"/>
    <w:rsid w:val="00860B0E"/>
    <w:rsid w:val="00860B76"/>
    <w:rsid w:val="00860C3F"/>
    <w:rsid w:val="00860DC2"/>
    <w:rsid w:val="00860E16"/>
    <w:rsid w:val="00860E56"/>
    <w:rsid w:val="00860E7A"/>
    <w:rsid w:val="00860EFA"/>
    <w:rsid w:val="00860F71"/>
    <w:rsid w:val="0086102E"/>
    <w:rsid w:val="0086108B"/>
    <w:rsid w:val="008610BF"/>
    <w:rsid w:val="0086111C"/>
    <w:rsid w:val="00861135"/>
    <w:rsid w:val="0086113D"/>
    <w:rsid w:val="00861190"/>
    <w:rsid w:val="008611D8"/>
    <w:rsid w:val="00861260"/>
    <w:rsid w:val="008612A0"/>
    <w:rsid w:val="008612B2"/>
    <w:rsid w:val="008613B7"/>
    <w:rsid w:val="0086142B"/>
    <w:rsid w:val="00861485"/>
    <w:rsid w:val="008614B1"/>
    <w:rsid w:val="0086159D"/>
    <w:rsid w:val="00861623"/>
    <w:rsid w:val="0086165C"/>
    <w:rsid w:val="00861831"/>
    <w:rsid w:val="00861881"/>
    <w:rsid w:val="008618B7"/>
    <w:rsid w:val="00861CC1"/>
    <w:rsid w:val="00861CD4"/>
    <w:rsid w:val="00861D0E"/>
    <w:rsid w:val="00861D71"/>
    <w:rsid w:val="00861D9F"/>
    <w:rsid w:val="00861E02"/>
    <w:rsid w:val="00861E25"/>
    <w:rsid w:val="00861EE2"/>
    <w:rsid w:val="00861F0D"/>
    <w:rsid w:val="00861F81"/>
    <w:rsid w:val="00861F98"/>
    <w:rsid w:val="00862120"/>
    <w:rsid w:val="00862146"/>
    <w:rsid w:val="0086216F"/>
    <w:rsid w:val="008621CE"/>
    <w:rsid w:val="008621E4"/>
    <w:rsid w:val="00862238"/>
    <w:rsid w:val="00862263"/>
    <w:rsid w:val="0086227C"/>
    <w:rsid w:val="008622DC"/>
    <w:rsid w:val="008623D9"/>
    <w:rsid w:val="0086243D"/>
    <w:rsid w:val="00862485"/>
    <w:rsid w:val="00862554"/>
    <w:rsid w:val="008625CF"/>
    <w:rsid w:val="008625D7"/>
    <w:rsid w:val="008625E5"/>
    <w:rsid w:val="008625FF"/>
    <w:rsid w:val="008626AD"/>
    <w:rsid w:val="008626E2"/>
    <w:rsid w:val="00862770"/>
    <w:rsid w:val="0086288A"/>
    <w:rsid w:val="00862897"/>
    <w:rsid w:val="008628A7"/>
    <w:rsid w:val="008628AA"/>
    <w:rsid w:val="008628D4"/>
    <w:rsid w:val="00862913"/>
    <w:rsid w:val="00862991"/>
    <w:rsid w:val="008629C0"/>
    <w:rsid w:val="00862AD7"/>
    <w:rsid w:val="00862B35"/>
    <w:rsid w:val="00862B73"/>
    <w:rsid w:val="00862BC1"/>
    <w:rsid w:val="00862C87"/>
    <w:rsid w:val="00862CB3"/>
    <w:rsid w:val="00862E22"/>
    <w:rsid w:val="00862E3D"/>
    <w:rsid w:val="00862F8C"/>
    <w:rsid w:val="0086306C"/>
    <w:rsid w:val="008630F9"/>
    <w:rsid w:val="008630FA"/>
    <w:rsid w:val="0086310B"/>
    <w:rsid w:val="00863160"/>
    <w:rsid w:val="00863233"/>
    <w:rsid w:val="008632DE"/>
    <w:rsid w:val="0086330A"/>
    <w:rsid w:val="008633A4"/>
    <w:rsid w:val="008633CF"/>
    <w:rsid w:val="00863401"/>
    <w:rsid w:val="0086344A"/>
    <w:rsid w:val="0086360E"/>
    <w:rsid w:val="0086362E"/>
    <w:rsid w:val="00863678"/>
    <w:rsid w:val="00863742"/>
    <w:rsid w:val="00863792"/>
    <w:rsid w:val="008637E6"/>
    <w:rsid w:val="008638F8"/>
    <w:rsid w:val="00863958"/>
    <w:rsid w:val="00863A24"/>
    <w:rsid w:val="00863A5E"/>
    <w:rsid w:val="00863A78"/>
    <w:rsid w:val="00863BA3"/>
    <w:rsid w:val="00863BD8"/>
    <w:rsid w:val="00863BE1"/>
    <w:rsid w:val="00863BF2"/>
    <w:rsid w:val="00863BFB"/>
    <w:rsid w:val="00863BFD"/>
    <w:rsid w:val="00863C08"/>
    <w:rsid w:val="00863CBF"/>
    <w:rsid w:val="00863D42"/>
    <w:rsid w:val="00863E1A"/>
    <w:rsid w:val="00863E8F"/>
    <w:rsid w:val="00863EBB"/>
    <w:rsid w:val="00863ED5"/>
    <w:rsid w:val="00863F06"/>
    <w:rsid w:val="00863F2E"/>
    <w:rsid w:val="00863FC4"/>
    <w:rsid w:val="00864004"/>
    <w:rsid w:val="0086401E"/>
    <w:rsid w:val="00864092"/>
    <w:rsid w:val="008640A4"/>
    <w:rsid w:val="008641D4"/>
    <w:rsid w:val="0086425A"/>
    <w:rsid w:val="0086427E"/>
    <w:rsid w:val="008642C9"/>
    <w:rsid w:val="00864312"/>
    <w:rsid w:val="008643C7"/>
    <w:rsid w:val="0086457D"/>
    <w:rsid w:val="00864583"/>
    <w:rsid w:val="008645C9"/>
    <w:rsid w:val="00864682"/>
    <w:rsid w:val="008646EE"/>
    <w:rsid w:val="008646F1"/>
    <w:rsid w:val="008647C5"/>
    <w:rsid w:val="008647CE"/>
    <w:rsid w:val="008647D6"/>
    <w:rsid w:val="008647EE"/>
    <w:rsid w:val="0086481F"/>
    <w:rsid w:val="00864820"/>
    <w:rsid w:val="0086487F"/>
    <w:rsid w:val="0086491B"/>
    <w:rsid w:val="0086496C"/>
    <w:rsid w:val="00864A55"/>
    <w:rsid w:val="00864B10"/>
    <w:rsid w:val="00864BF1"/>
    <w:rsid w:val="00864D04"/>
    <w:rsid w:val="00864D79"/>
    <w:rsid w:val="00864E3F"/>
    <w:rsid w:val="00864F7B"/>
    <w:rsid w:val="00864FAE"/>
    <w:rsid w:val="00865010"/>
    <w:rsid w:val="0086507F"/>
    <w:rsid w:val="008650BA"/>
    <w:rsid w:val="008650BF"/>
    <w:rsid w:val="0086526F"/>
    <w:rsid w:val="008652B5"/>
    <w:rsid w:val="0086540F"/>
    <w:rsid w:val="00865460"/>
    <w:rsid w:val="008654AB"/>
    <w:rsid w:val="008654D7"/>
    <w:rsid w:val="00865512"/>
    <w:rsid w:val="00865584"/>
    <w:rsid w:val="008655DC"/>
    <w:rsid w:val="0086562E"/>
    <w:rsid w:val="008656DA"/>
    <w:rsid w:val="00865700"/>
    <w:rsid w:val="0086576C"/>
    <w:rsid w:val="00865814"/>
    <w:rsid w:val="0086583F"/>
    <w:rsid w:val="00865888"/>
    <w:rsid w:val="00865950"/>
    <w:rsid w:val="00865996"/>
    <w:rsid w:val="00865A25"/>
    <w:rsid w:val="00865A75"/>
    <w:rsid w:val="00865B63"/>
    <w:rsid w:val="00865B89"/>
    <w:rsid w:val="00865D9E"/>
    <w:rsid w:val="00865F23"/>
    <w:rsid w:val="00865F29"/>
    <w:rsid w:val="00865F4C"/>
    <w:rsid w:val="00865F6D"/>
    <w:rsid w:val="00865FDC"/>
    <w:rsid w:val="00865FFD"/>
    <w:rsid w:val="008660D2"/>
    <w:rsid w:val="008660F7"/>
    <w:rsid w:val="008661AB"/>
    <w:rsid w:val="0086622D"/>
    <w:rsid w:val="00866251"/>
    <w:rsid w:val="008662A6"/>
    <w:rsid w:val="00866304"/>
    <w:rsid w:val="0086630A"/>
    <w:rsid w:val="00866367"/>
    <w:rsid w:val="008663CC"/>
    <w:rsid w:val="008664C8"/>
    <w:rsid w:val="008664CD"/>
    <w:rsid w:val="008664FC"/>
    <w:rsid w:val="00866535"/>
    <w:rsid w:val="00866580"/>
    <w:rsid w:val="0086659F"/>
    <w:rsid w:val="0086673A"/>
    <w:rsid w:val="0086673F"/>
    <w:rsid w:val="008667C2"/>
    <w:rsid w:val="008667CF"/>
    <w:rsid w:val="008667D6"/>
    <w:rsid w:val="00866854"/>
    <w:rsid w:val="00866871"/>
    <w:rsid w:val="00866896"/>
    <w:rsid w:val="008668D6"/>
    <w:rsid w:val="008668DB"/>
    <w:rsid w:val="00866970"/>
    <w:rsid w:val="008669AF"/>
    <w:rsid w:val="00866A1C"/>
    <w:rsid w:val="00866A8A"/>
    <w:rsid w:val="00866B66"/>
    <w:rsid w:val="00866BEC"/>
    <w:rsid w:val="00866BFE"/>
    <w:rsid w:val="00866C2E"/>
    <w:rsid w:val="00866C58"/>
    <w:rsid w:val="00866CC6"/>
    <w:rsid w:val="00866E86"/>
    <w:rsid w:val="00866EED"/>
    <w:rsid w:val="00866F0C"/>
    <w:rsid w:val="00866F31"/>
    <w:rsid w:val="00866F33"/>
    <w:rsid w:val="00866F53"/>
    <w:rsid w:val="00866F6D"/>
    <w:rsid w:val="00866F87"/>
    <w:rsid w:val="00867005"/>
    <w:rsid w:val="008670E4"/>
    <w:rsid w:val="0086710D"/>
    <w:rsid w:val="00867232"/>
    <w:rsid w:val="00867270"/>
    <w:rsid w:val="008672B5"/>
    <w:rsid w:val="0086732A"/>
    <w:rsid w:val="00867428"/>
    <w:rsid w:val="00867439"/>
    <w:rsid w:val="008674C4"/>
    <w:rsid w:val="008674C6"/>
    <w:rsid w:val="008674FE"/>
    <w:rsid w:val="00867588"/>
    <w:rsid w:val="008675EE"/>
    <w:rsid w:val="0086763D"/>
    <w:rsid w:val="008676F4"/>
    <w:rsid w:val="00867777"/>
    <w:rsid w:val="00867883"/>
    <w:rsid w:val="00867896"/>
    <w:rsid w:val="008678BC"/>
    <w:rsid w:val="008679F6"/>
    <w:rsid w:val="00867A43"/>
    <w:rsid w:val="00867B54"/>
    <w:rsid w:val="00867BC5"/>
    <w:rsid w:val="00867BD4"/>
    <w:rsid w:val="00867C69"/>
    <w:rsid w:val="00867CA0"/>
    <w:rsid w:val="00867CBD"/>
    <w:rsid w:val="00867D2A"/>
    <w:rsid w:val="00867DC3"/>
    <w:rsid w:val="00867E2E"/>
    <w:rsid w:val="00867EAB"/>
    <w:rsid w:val="00867EF4"/>
    <w:rsid w:val="00867F40"/>
    <w:rsid w:val="00870162"/>
    <w:rsid w:val="00870181"/>
    <w:rsid w:val="00870216"/>
    <w:rsid w:val="00870257"/>
    <w:rsid w:val="00870310"/>
    <w:rsid w:val="00870431"/>
    <w:rsid w:val="008704A4"/>
    <w:rsid w:val="008704D8"/>
    <w:rsid w:val="00870626"/>
    <w:rsid w:val="008707E6"/>
    <w:rsid w:val="008707F4"/>
    <w:rsid w:val="00870806"/>
    <w:rsid w:val="00870846"/>
    <w:rsid w:val="00870872"/>
    <w:rsid w:val="008708A4"/>
    <w:rsid w:val="008708C6"/>
    <w:rsid w:val="008708D0"/>
    <w:rsid w:val="00870926"/>
    <w:rsid w:val="00870940"/>
    <w:rsid w:val="00870955"/>
    <w:rsid w:val="00870980"/>
    <w:rsid w:val="00870A47"/>
    <w:rsid w:val="00870A79"/>
    <w:rsid w:val="00870ADF"/>
    <w:rsid w:val="00870AEB"/>
    <w:rsid w:val="00870B3A"/>
    <w:rsid w:val="00870C36"/>
    <w:rsid w:val="00870C6D"/>
    <w:rsid w:val="00870C94"/>
    <w:rsid w:val="00870CAC"/>
    <w:rsid w:val="00870CCF"/>
    <w:rsid w:val="00870D2C"/>
    <w:rsid w:val="00870D86"/>
    <w:rsid w:val="00870DA2"/>
    <w:rsid w:val="00870DC1"/>
    <w:rsid w:val="00870E5C"/>
    <w:rsid w:val="00870E6E"/>
    <w:rsid w:val="00870E7E"/>
    <w:rsid w:val="00870F8A"/>
    <w:rsid w:val="00870FCA"/>
    <w:rsid w:val="00871028"/>
    <w:rsid w:val="00871048"/>
    <w:rsid w:val="0087110B"/>
    <w:rsid w:val="0087122F"/>
    <w:rsid w:val="00871271"/>
    <w:rsid w:val="00871297"/>
    <w:rsid w:val="008713BA"/>
    <w:rsid w:val="00871408"/>
    <w:rsid w:val="00871439"/>
    <w:rsid w:val="0087146E"/>
    <w:rsid w:val="0087151D"/>
    <w:rsid w:val="008715A9"/>
    <w:rsid w:val="008715B0"/>
    <w:rsid w:val="008715C7"/>
    <w:rsid w:val="00871602"/>
    <w:rsid w:val="0087168B"/>
    <w:rsid w:val="00871781"/>
    <w:rsid w:val="0087178D"/>
    <w:rsid w:val="008717AA"/>
    <w:rsid w:val="008717B0"/>
    <w:rsid w:val="008717DC"/>
    <w:rsid w:val="008717EB"/>
    <w:rsid w:val="008717F9"/>
    <w:rsid w:val="00871981"/>
    <w:rsid w:val="008719F0"/>
    <w:rsid w:val="008719FB"/>
    <w:rsid w:val="00871AAE"/>
    <w:rsid w:val="00871B0F"/>
    <w:rsid w:val="00871B27"/>
    <w:rsid w:val="00871BE4"/>
    <w:rsid w:val="00871C88"/>
    <w:rsid w:val="00871CC5"/>
    <w:rsid w:val="00871CD4"/>
    <w:rsid w:val="00871D2F"/>
    <w:rsid w:val="00871D8A"/>
    <w:rsid w:val="00871E5D"/>
    <w:rsid w:val="00871E66"/>
    <w:rsid w:val="00871EAD"/>
    <w:rsid w:val="00871EDE"/>
    <w:rsid w:val="00871FED"/>
    <w:rsid w:val="0087200C"/>
    <w:rsid w:val="00872098"/>
    <w:rsid w:val="00872106"/>
    <w:rsid w:val="0087211B"/>
    <w:rsid w:val="00872121"/>
    <w:rsid w:val="00872140"/>
    <w:rsid w:val="0087216A"/>
    <w:rsid w:val="00872217"/>
    <w:rsid w:val="00872240"/>
    <w:rsid w:val="00872245"/>
    <w:rsid w:val="00872347"/>
    <w:rsid w:val="008723C3"/>
    <w:rsid w:val="008723DB"/>
    <w:rsid w:val="00872472"/>
    <w:rsid w:val="00872475"/>
    <w:rsid w:val="00872494"/>
    <w:rsid w:val="008724A9"/>
    <w:rsid w:val="008724BA"/>
    <w:rsid w:val="008726B6"/>
    <w:rsid w:val="00872712"/>
    <w:rsid w:val="0087274D"/>
    <w:rsid w:val="00872753"/>
    <w:rsid w:val="008727FC"/>
    <w:rsid w:val="00872870"/>
    <w:rsid w:val="00872A84"/>
    <w:rsid w:val="00872B42"/>
    <w:rsid w:val="00872C01"/>
    <w:rsid w:val="00872C72"/>
    <w:rsid w:val="00872CB8"/>
    <w:rsid w:val="00872CDE"/>
    <w:rsid w:val="00872DC3"/>
    <w:rsid w:val="00872DFA"/>
    <w:rsid w:val="00872E0C"/>
    <w:rsid w:val="00872E1F"/>
    <w:rsid w:val="00872E66"/>
    <w:rsid w:val="00872E8B"/>
    <w:rsid w:val="00872E9B"/>
    <w:rsid w:val="00872ECF"/>
    <w:rsid w:val="00872FE0"/>
    <w:rsid w:val="00873016"/>
    <w:rsid w:val="0087302A"/>
    <w:rsid w:val="0087307E"/>
    <w:rsid w:val="00873098"/>
    <w:rsid w:val="008730E7"/>
    <w:rsid w:val="0087314A"/>
    <w:rsid w:val="0087315D"/>
    <w:rsid w:val="008731E1"/>
    <w:rsid w:val="0087324D"/>
    <w:rsid w:val="00873283"/>
    <w:rsid w:val="008732DF"/>
    <w:rsid w:val="00873335"/>
    <w:rsid w:val="0087338B"/>
    <w:rsid w:val="0087338E"/>
    <w:rsid w:val="008733B9"/>
    <w:rsid w:val="008733CD"/>
    <w:rsid w:val="008733F4"/>
    <w:rsid w:val="00873435"/>
    <w:rsid w:val="008735FF"/>
    <w:rsid w:val="0087371A"/>
    <w:rsid w:val="0087375F"/>
    <w:rsid w:val="0087379E"/>
    <w:rsid w:val="008737CA"/>
    <w:rsid w:val="0087385D"/>
    <w:rsid w:val="008738E1"/>
    <w:rsid w:val="0087395F"/>
    <w:rsid w:val="00873A5F"/>
    <w:rsid w:val="00873B56"/>
    <w:rsid w:val="00873BFF"/>
    <w:rsid w:val="00873C75"/>
    <w:rsid w:val="00873CFA"/>
    <w:rsid w:val="00873D8A"/>
    <w:rsid w:val="00873D97"/>
    <w:rsid w:val="00873DF7"/>
    <w:rsid w:val="00873E67"/>
    <w:rsid w:val="00873EBC"/>
    <w:rsid w:val="00873F35"/>
    <w:rsid w:val="00873F90"/>
    <w:rsid w:val="00874008"/>
    <w:rsid w:val="00874093"/>
    <w:rsid w:val="0087429E"/>
    <w:rsid w:val="008742AE"/>
    <w:rsid w:val="008742EC"/>
    <w:rsid w:val="0087430A"/>
    <w:rsid w:val="00874322"/>
    <w:rsid w:val="00874407"/>
    <w:rsid w:val="00874450"/>
    <w:rsid w:val="00874473"/>
    <w:rsid w:val="0087448B"/>
    <w:rsid w:val="008744E0"/>
    <w:rsid w:val="00874557"/>
    <w:rsid w:val="00874590"/>
    <w:rsid w:val="00874665"/>
    <w:rsid w:val="008747C8"/>
    <w:rsid w:val="008748C7"/>
    <w:rsid w:val="008749CB"/>
    <w:rsid w:val="00874A5F"/>
    <w:rsid w:val="00874A65"/>
    <w:rsid w:val="00874A7C"/>
    <w:rsid w:val="00874B0E"/>
    <w:rsid w:val="00874BB3"/>
    <w:rsid w:val="00874C09"/>
    <w:rsid w:val="00874C45"/>
    <w:rsid w:val="00874C8C"/>
    <w:rsid w:val="00874D24"/>
    <w:rsid w:val="00874DF4"/>
    <w:rsid w:val="00874E11"/>
    <w:rsid w:val="00874E69"/>
    <w:rsid w:val="00874EAE"/>
    <w:rsid w:val="00874ECD"/>
    <w:rsid w:val="00874EE8"/>
    <w:rsid w:val="00874F4F"/>
    <w:rsid w:val="00874F51"/>
    <w:rsid w:val="00874F59"/>
    <w:rsid w:val="00874F70"/>
    <w:rsid w:val="0087503A"/>
    <w:rsid w:val="00875082"/>
    <w:rsid w:val="008750BE"/>
    <w:rsid w:val="0087521D"/>
    <w:rsid w:val="00875318"/>
    <w:rsid w:val="008753E8"/>
    <w:rsid w:val="00875466"/>
    <w:rsid w:val="00875470"/>
    <w:rsid w:val="0087550D"/>
    <w:rsid w:val="008755BE"/>
    <w:rsid w:val="0087568B"/>
    <w:rsid w:val="008756AC"/>
    <w:rsid w:val="008756EB"/>
    <w:rsid w:val="008756EC"/>
    <w:rsid w:val="0087571F"/>
    <w:rsid w:val="008757D3"/>
    <w:rsid w:val="00875854"/>
    <w:rsid w:val="00875867"/>
    <w:rsid w:val="00875909"/>
    <w:rsid w:val="008759B0"/>
    <w:rsid w:val="00875A42"/>
    <w:rsid w:val="00875A51"/>
    <w:rsid w:val="00875A92"/>
    <w:rsid w:val="00875A9E"/>
    <w:rsid w:val="00875AA7"/>
    <w:rsid w:val="00875AA9"/>
    <w:rsid w:val="00875AEC"/>
    <w:rsid w:val="00875AF1"/>
    <w:rsid w:val="00875AFC"/>
    <w:rsid w:val="00875B3A"/>
    <w:rsid w:val="00875B67"/>
    <w:rsid w:val="00875BD1"/>
    <w:rsid w:val="00875C4A"/>
    <w:rsid w:val="00875C7A"/>
    <w:rsid w:val="00875C92"/>
    <w:rsid w:val="00875D05"/>
    <w:rsid w:val="00875D6F"/>
    <w:rsid w:val="00875E83"/>
    <w:rsid w:val="00875F19"/>
    <w:rsid w:val="00875F5E"/>
    <w:rsid w:val="00875F7A"/>
    <w:rsid w:val="00875F88"/>
    <w:rsid w:val="00875FA7"/>
    <w:rsid w:val="0087602E"/>
    <w:rsid w:val="008760CF"/>
    <w:rsid w:val="00876312"/>
    <w:rsid w:val="00876343"/>
    <w:rsid w:val="008763EB"/>
    <w:rsid w:val="0087642E"/>
    <w:rsid w:val="0087646B"/>
    <w:rsid w:val="00876472"/>
    <w:rsid w:val="008764D3"/>
    <w:rsid w:val="00876512"/>
    <w:rsid w:val="00876534"/>
    <w:rsid w:val="0087659B"/>
    <w:rsid w:val="008765D5"/>
    <w:rsid w:val="00876656"/>
    <w:rsid w:val="008766A9"/>
    <w:rsid w:val="008766DE"/>
    <w:rsid w:val="008766FA"/>
    <w:rsid w:val="00876751"/>
    <w:rsid w:val="008767F1"/>
    <w:rsid w:val="00876861"/>
    <w:rsid w:val="00876873"/>
    <w:rsid w:val="0087687A"/>
    <w:rsid w:val="008768E1"/>
    <w:rsid w:val="008769B1"/>
    <w:rsid w:val="008769CB"/>
    <w:rsid w:val="00876A97"/>
    <w:rsid w:val="00876AB9"/>
    <w:rsid w:val="00876ABB"/>
    <w:rsid w:val="00876ABC"/>
    <w:rsid w:val="00876C6A"/>
    <w:rsid w:val="00876C6E"/>
    <w:rsid w:val="00876D85"/>
    <w:rsid w:val="00876E6B"/>
    <w:rsid w:val="00876E79"/>
    <w:rsid w:val="00876F91"/>
    <w:rsid w:val="00876FAC"/>
    <w:rsid w:val="00876FF8"/>
    <w:rsid w:val="008770ED"/>
    <w:rsid w:val="008770F1"/>
    <w:rsid w:val="00877125"/>
    <w:rsid w:val="00877162"/>
    <w:rsid w:val="008771D4"/>
    <w:rsid w:val="008771EA"/>
    <w:rsid w:val="0087720D"/>
    <w:rsid w:val="008772A2"/>
    <w:rsid w:val="008772D9"/>
    <w:rsid w:val="008772E4"/>
    <w:rsid w:val="00877301"/>
    <w:rsid w:val="00877324"/>
    <w:rsid w:val="0087735C"/>
    <w:rsid w:val="008773F5"/>
    <w:rsid w:val="00877403"/>
    <w:rsid w:val="00877412"/>
    <w:rsid w:val="00877539"/>
    <w:rsid w:val="00877562"/>
    <w:rsid w:val="008775C5"/>
    <w:rsid w:val="008775C9"/>
    <w:rsid w:val="00877606"/>
    <w:rsid w:val="0087761B"/>
    <w:rsid w:val="00877687"/>
    <w:rsid w:val="0087769A"/>
    <w:rsid w:val="008776AD"/>
    <w:rsid w:val="0087771A"/>
    <w:rsid w:val="0087771F"/>
    <w:rsid w:val="00877780"/>
    <w:rsid w:val="008777EE"/>
    <w:rsid w:val="008777F9"/>
    <w:rsid w:val="008779C8"/>
    <w:rsid w:val="008779F0"/>
    <w:rsid w:val="00877A05"/>
    <w:rsid w:val="00877A30"/>
    <w:rsid w:val="00877A35"/>
    <w:rsid w:val="00877A74"/>
    <w:rsid w:val="00877B52"/>
    <w:rsid w:val="00877B99"/>
    <w:rsid w:val="00877C51"/>
    <w:rsid w:val="00877C6B"/>
    <w:rsid w:val="00877CB2"/>
    <w:rsid w:val="00877CEA"/>
    <w:rsid w:val="00877E27"/>
    <w:rsid w:val="00877E61"/>
    <w:rsid w:val="00877F20"/>
    <w:rsid w:val="00877F3A"/>
    <w:rsid w:val="00877F42"/>
    <w:rsid w:val="00877FB8"/>
    <w:rsid w:val="00877FF2"/>
    <w:rsid w:val="00880070"/>
    <w:rsid w:val="00880084"/>
    <w:rsid w:val="0088010E"/>
    <w:rsid w:val="00880165"/>
    <w:rsid w:val="0088017A"/>
    <w:rsid w:val="00880280"/>
    <w:rsid w:val="008802BE"/>
    <w:rsid w:val="008802D9"/>
    <w:rsid w:val="008802EC"/>
    <w:rsid w:val="0088039A"/>
    <w:rsid w:val="0088040B"/>
    <w:rsid w:val="0088042E"/>
    <w:rsid w:val="0088043E"/>
    <w:rsid w:val="00880442"/>
    <w:rsid w:val="0088046E"/>
    <w:rsid w:val="00880481"/>
    <w:rsid w:val="0088051A"/>
    <w:rsid w:val="008805EC"/>
    <w:rsid w:val="0088060B"/>
    <w:rsid w:val="0088066B"/>
    <w:rsid w:val="008806A1"/>
    <w:rsid w:val="00880733"/>
    <w:rsid w:val="008807ED"/>
    <w:rsid w:val="0088085A"/>
    <w:rsid w:val="0088091B"/>
    <w:rsid w:val="00880945"/>
    <w:rsid w:val="0088099E"/>
    <w:rsid w:val="00880AB8"/>
    <w:rsid w:val="00880B95"/>
    <w:rsid w:val="00880B96"/>
    <w:rsid w:val="00880BAA"/>
    <w:rsid w:val="00880BDC"/>
    <w:rsid w:val="00880C4E"/>
    <w:rsid w:val="00880C7D"/>
    <w:rsid w:val="00880CA3"/>
    <w:rsid w:val="00880CEE"/>
    <w:rsid w:val="00880E94"/>
    <w:rsid w:val="00880E9F"/>
    <w:rsid w:val="00880F44"/>
    <w:rsid w:val="00880FA3"/>
    <w:rsid w:val="00880FEA"/>
    <w:rsid w:val="008810B7"/>
    <w:rsid w:val="008810D7"/>
    <w:rsid w:val="00881128"/>
    <w:rsid w:val="00881170"/>
    <w:rsid w:val="008811A8"/>
    <w:rsid w:val="00881260"/>
    <w:rsid w:val="00881282"/>
    <w:rsid w:val="0088128C"/>
    <w:rsid w:val="00881419"/>
    <w:rsid w:val="008814A8"/>
    <w:rsid w:val="008814BA"/>
    <w:rsid w:val="00881594"/>
    <w:rsid w:val="008815AB"/>
    <w:rsid w:val="008815C5"/>
    <w:rsid w:val="008815E9"/>
    <w:rsid w:val="00881629"/>
    <w:rsid w:val="00881642"/>
    <w:rsid w:val="00881708"/>
    <w:rsid w:val="00881760"/>
    <w:rsid w:val="008817FA"/>
    <w:rsid w:val="00881909"/>
    <w:rsid w:val="0088192F"/>
    <w:rsid w:val="00881933"/>
    <w:rsid w:val="00881943"/>
    <w:rsid w:val="008819B8"/>
    <w:rsid w:val="008819D6"/>
    <w:rsid w:val="008819E9"/>
    <w:rsid w:val="00881A24"/>
    <w:rsid w:val="00881A31"/>
    <w:rsid w:val="00881A7C"/>
    <w:rsid w:val="00881B18"/>
    <w:rsid w:val="00881B51"/>
    <w:rsid w:val="00881BCE"/>
    <w:rsid w:val="00881CC7"/>
    <w:rsid w:val="00881D01"/>
    <w:rsid w:val="00881D12"/>
    <w:rsid w:val="00881D37"/>
    <w:rsid w:val="00881D39"/>
    <w:rsid w:val="00881D51"/>
    <w:rsid w:val="00881D67"/>
    <w:rsid w:val="00881DBA"/>
    <w:rsid w:val="00881E30"/>
    <w:rsid w:val="00881FC1"/>
    <w:rsid w:val="00882006"/>
    <w:rsid w:val="008820D3"/>
    <w:rsid w:val="00882124"/>
    <w:rsid w:val="0088212E"/>
    <w:rsid w:val="00882247"/>
    <w:rsid w:val="00882274"/>
    <w:rsid w:val="00882316"/>
    <w:rsid w:val="0088231E"/>
    <w:rsid w:val="008823D2"/>
    <w:rsid w:val="008823FD"/>
    <w:rsid w:val="00882504"/>
    <w:rsid w:val="008825B5"/>
    <w:rsid w:val="008825D4"/>
    <w:rsid w:val="008825EB"/>
    <w:rsid w:val="0088261E"/>
    <w:rsid w:val="0088266F"/>
    <w:rsid w:val="00882698"/>
    <w:rsid w:val="008826C7"/>
    <w:rsid w:val="0088275A"/>
    <w:rsid w:val="00882797"/>
    <w:rsid w:val="008827A8"/>
    <w:rsid w:val="008827EF"/>
    <w:rsid w:val="008827F0"/>
    <w:rsid w:val="008827FF"/>
    <w:rsid w:val="008828FF"/>
    <w:rsid w:val="0088298F"/>
    <w:rsid w:val="00882B34"/>
    <w:rsid w:val="00882E18"/>
    <w:rsid w:val="00882EB6"/>
    <w:rsid w:val="00882EE6"/>
    <w:rsid w:val="00882F5B"/>
    <w:rsid w:val="0088304B"/>
    <w:rsid w:val="0088309C"/>
    <w:rsid w:val="008832A1"/>
    <w:rsid w:val="0088338E"/>
    <w:rsid w:val="008833CA"/>
    <w:rsid w:val="0088341A"/>
    <w:rsid w:val="0088347C"/>
    <w:rsid w:val="008834A9"/>
    <w:rsid w:val="0088362A"/>
    <w:rsid w:val="00883696"/>
    <w:rsid w:val="008836E1"/>
    <w:rsid w:val="0088374E"/>
    <w:rsid w:val="0088374F"/>
    <w:rsid w:val="0088379D"/>
    <w:rsid w:val="008837AA"/>
    <w:rsid w:val="0088382F"/>
    <w:rsid w:val="0088386D"/>
    <w:rsid w:val="008838B3"/>
    <w:rsid w:val="008838F6"/>
    <w:rsid w:val="0088394F"/>
    <w:rsid w:val="00883981"/>
    <w:rsid w:val="008839D3"/>
    <w:rsid w:val="00883AB8"/>
    <w:rsid w:val="00883AF4"/>
    <w:rsid w:val="00883B88"/>
    <w:rsid w:val="00883C75"/>
    <w:rsid w:val="00883CDE"/>
    <w:rsid w:val="00883CF5"/>
    <w:rsid w:val="00883D31"/>
    <w:rsid w:val="00883D63"/>
    <w:rsid w:val="00883DD7"/>
    <w:rsid w:val="00883F43"/>
    <w:rsid w:val="00883F71"/>
    <w:rsid w:val="00883FEE"/>
    <w:rsid w:val="008840E6"/>
    <w:rsid w:val="0088420B"/>
    <w:rsid w:val="0088424E"/>
    <w:rsid w:val="0088428C"/>
    <w:rsid w:val="008842C9"/>
    <w:rsid w:val="00884324"/>
    <w:rsid w:val="00884461"/>
    <w:rsid w:val="00884493"/>
    <w:rsid w:val="008845D1"/>
    <w:rsid w:val="008845D9"/>
    <w:rsid w:val="0088466B"/>
    <w:rsid w:val="008846E6"/>
    <w:rsid w:val="00884831"/>
    <w:rsid w:val="0088490A"/>
    <w:rsid w:val="008849A4"/>
    <w:rsid w:val="008849CD"/>
    <w:rsid w:val="00884A28"/>
    <w:rsid w:val="00884A6F"/>
    <w:rsid w:val="00884B27"/>
    <w:rsid w:val="00884BC8"/>
    <w:rsid w:val="00884C52"/>
    <w:rsid w:val="00884CF6"/>
    <w:rsid w:val="00884D0C"/>
    <w:rsid w:val="00884D3F"/>
    <w:rsid w:val="00884D57"/>
    <w:rsid w:val="00884D61"/>
    <w:rsid w:val="00884DD2"/>
    <w:rsid w:val="00884E39"/>
    <w:rsid w:val="00884E52"/>
    <w:rsid w:val="00884EB8"/>
    <w:rsid w:val="00884ED9"/>
    <w:rsid w:val="00884F59"/>
    <w:rsid w:val="00884FA9"/>
    <w:rsid w:val="00884FD6"/>
    <w:rsid w:val="00885152"/>
    <w:rsid w:val="00885160"/>
    <w:rsid w:val="008851DC"/>
    <w:rsid w:val="008851FA"/>
    <w:rsid w:val="00885217"/>
    <w:rsid w:val="008852B3"/>
    <w:rsid w:val="00885400"/>
    <w:rsid w:val="0088542E"/>
    <w:rsid w:val="0088548D"/>
    <w:rsid w:val="008854BB"/>
    <w:rsid w:val="008854DC"/>
    <w:rsid w:val="008854ED"/>
    <w:rsid w:val="0088555D"/>
    <w:rsid w:val="008855A8"/>
    <w:rsid w:val="00885744"/>
    <w:rsid w:val="00885774"/>
    <w:rsid w:val="008857F5"/>
    <w:rsid w:val="00885878"/>
    <w:rsid w:val="00885907"/>
    <w:rsid w:val="0088591C"/>
    <w:rsid w:val="00885A54"/>
    <w:rsid w:val="00885A92"/>
    <w:rsid w:val="00885B5E"/>
    <w:rsid w:val="00885B73"/>
    <w:rsid w:val="00885C05"/>
    <w:rsid w:val="00885C43"/>
    <w:rsid w:val="00885C63"/>
    <w:rsid w:val="00885CE2"/>
    <w:rsid w:val="00885CE5"/>
    <w:rsid w:val="00885CF6"/>
    <w:rsid w:val="00885D6B"/>
    <w:rsid w:val="00885D83"/>
    <w:rsid w:val="00885DBA"/>
    <w:rsid w:val="00885DCA"/>
    <w:rsid w:val="00885E50"/>
    <w:rsid w:val="00885FDD"/>
    <w:rsid w:val="008860C6"/>
    <w:rsid w:val="00886149"/>
    <w:rsid w:val="00886168"/>
    <w:rsid w:val="00886250"/>
    <w:rsid w:val="0088630A"/>
    <w:rsid w:val="00886318"/>
    <w:rsid w:val="008863F6"/>
    <w:rsid w:val="008864E8"/>
    <w:rsid w:val="0088650C"/>
    <w:rsid w:val="00886592"/>
    <w:rsid w:val="008865F9"/>
    <w:rsid w:val="0088668F"/>
    <w:rsid w:val="00886699"/>
    <w:rsid w:val="008867EF"/>
    <w:rsid w:val="00886872"/>
    <w:rsid w:val="00886873"/>
    <w:rsid w:val="00886948"/>
    <w:rsid w:val="008869AC"/>
    <w:rsid w:val="008869D3"/>
    <w:rsid w:val="00886A5B"/>
    <w:rsid w:val="00886AA5"/>
    <w:rsid w:val="00886B4C"/>
    <w:rsid w:val="00886B9F"/>
    <w:rsid w:val="00886BD6"/>
    <w:rsid w:val="00886C15"/>
    <w:rsid w:val="00886C55"/>
    <w:rsid w:val="00886CBC"/>
    <w:rsid w:val="00886CDE"/>
    <w:rsid w:val="00886DA2"/>
    <w:rsid w:val="00886E5D"/>
    <w:rsid w:val="008870C8"/>
    <w:rsid w:val="008870FC"/>
    <w:rsid w:val="0088711E"/>
    <w:rsid w:val="008871D5"/>
    <w:rsid w:val="00887233"/>
    <w:rsid w:val="008872A1"/>
    <w:rsid w:val="0088731B"/>
    <w:rsid w:val="00887322"/>
    <w:rsid w:val="0088733E"/>
    <w:rsid w:val="00887353"/>
    <w:rsid w:val="008873F3"/>
    <w:rsid w:val="00887437"/>
    <w:rsid w:val="00887479"/>
    <w:rsid w:val="0088748F"/>
    <w:rsid w:val="00887560"/>
    <w:rsid w:val="00887590"/>
    <w:rsid w:val="008875CA"/>
    <w:rsid w:val="008875F4"/>
    <w:rsid w:val="00887646"/>
    <w:rsid w:val="00887691"/>
    <w:rsid w:val="008876F8"/>
    <w:rsid w:val="0088772D"/>
    <w:rsid w:val="00887775"/>
    <w:rsid w:val="008877B8"/>
    <w:rsid w:val="0088782A"/>
    <w:rsid w:val="008878B6"/>
    <w:rsid w:val="008878B8"/>
    <w:rsid w:val="008878C2"/>
    <w:rsid w:val="00887C59"/>
    <w:rsid w:val="00887D2E"/>
    <w:rsid w:val="00887DC4"/>
    <w:rsid w:val="00887DC8"/>
    <w:rsid w:val="00887DE0"/>
    <w:rsid w:val="00887E1E"/>
    <w:rsid w:val="00887F1D"/>
    <w:rsid w:val="00887F61"/>
    <w:rsid w:val="00887F67"/>
    <w:rsid w:val="00887FA4"/>
    <w:rsid w:val="00890091"/>
    <w:rsid w:val="00890115"/>
    <w:rsid w:val="0089013B"/>
    <w:rsid w:val="0089013F"/>
    <w:rsid w:val="008901AE"/>
    <w:rsid w:val="008901CB"/>
    <w:rsid w:val="008901EA"/>
    <w:rsid w:val="008902A6"/>
    <w:rsid w:val="0089039E"/>
    <w:rsid w:val="0089042B"/>
    <w:rsid w:val="008904D3"/>
    <w:rsid w:val="00890584"/>
    <w:rsid w:val="00890606"/>
    <w:rsid w:val="0089060A"/>
    <w:rsid w:val="00890633"/>
    <w:rsid w:val="0089067B"/>
    <w:rsid w:val="008906A9"/>
    <w:rsid w:val="00890725"/>
    <w:rsid w:val="00890731"/>
    <w:rsid w:val="008907B6"/>
    <w:rsid w:val="008907BF"/>
    <w:rsid w:val="00890863"/>
    <w:rsid w:val="0089087C"/>
    <w:rsid w:val="008908FE"/>
    <w:rsid w:val="0089099B"/>
    <w:rsid w:val="0089099E"/>
    <w:rsid w:val="00890A60"/>
    <w:rsid w:val="00890A7E"/>
    <w:rsid w:val="00890AC8"/>
    <w:rsid w:val="00890B87"/>
    <w:rsid w:val="00890B91"/>
    <w:rsid w:val="00890BD5"/>
    <w:rsid w:val="00890C83"/>
    <w:rsid w:val="00890D69"/>
    <w:rsid w:val="00890D76"/>
    <w:rsid w:val="00890DC1"/>
    <w:rsid w:val="00890E4F"/>
    <w:rsid w:val="00890F9C"/>
    <w:rsid w:val="00890FB2"/>
    <w:rsid w:val="00891064"/>
    <w:rsid w:val="008910E7"/>
    <w:rsid w:val="0089117E"/>
    <w:rsid w:val="00891193"/>
    <w:rsid w:val="008911BC"/>
    <w:rsid w:val="008912F5"/>
    <w:rsid w:val="008912FA"/>
    <w:rsid w:val="00891335"/>
    <w:rsid w:val="00891336"/>
    <w:rsid w:val="00891340"/>
    <w:rsid w:val="008914C0"/>
    <w:rsid w:val="00891536"/>
    <w:rsid w:val="0089160A"/>
    <w:rsid w:val="0089166C"/>
    <w:rsid w:val="0089172E"/>
    <w:rsid w:val="0089177B"/>
    <w:rsid w:val="0089184B"/>
    <w:rsid w:val="00891871"/>
    <w:rsid w:val="0089187F"/>
    <w:rsid w:val="008918EF"/>
    <w:rsid w:val="008919B8"/>
    <w:rsid w:val="00891A75"/>
    <w:rsid w:val="00891ADE"/>
    <w:rsid w:val="00891B5B"/>
    <w:rsid w:val="00891B6E"/>
    <w:rsid w:val="00891B97"/>
    <w:rsid w:val="00891BB9"/>
    <w:rsid w:val="00891C19"/>
    <w:rsid w:val="00891C37"/>
    <w:rsid w:val="00891CC3"/>
    <w:rsid w:val="00891CE3"/>
    <w:rsid w:val="00891E75"/>
    <w:rsid w:val="00891E9F"/>
    <w:rsid w:val="00891EC3"/>
    <w:rsid w:val="00891EC6"/>
    <w:rsid w:val="00891F27"/>
    <w:rsid w:val="00891FB7"/>
    <w:rsid w:val="00891FE4"/>
    <w:rsid w:val="008920BF"/>
    <w:rsid w:val="008920EC"/>
    <w:rsid w:val="00892136"/>
    <w:rsid w:val="00892157"/>
    <w:rsid w:val="008921BA"/>
    <w:rsid w:val="008922D1"/>
    <w:rsid w:val="008923A3"/>
    <w:rsid w:val="008923AC"/>
    <w:rsid w:val="008923B8"/>
    <w:rsid w:val="008923D0"/>
    <w:rsid w:val="008923E4"/>
    <w:rsid w:val="00892441"/>
    <w:rsid w:val="00892490"/>
    <w:rsid w:val="008924A3"/>
    <w:rsid w:val="008924F7"/>
    <w:rsid w:val="0089252C"/>
    <w:rsid w:val="00892542"/>
    <w:rsid w:val="0089264E"/>
    <w:rsid w:val="008927FA"/>
    <w:rsid w:val="00892850"/>
    <w:rsid w:val="008928BF"/>
    <w:rsid w:val="008928E2"/>
    <w:rsid w:val="008928ED"/>
    <w:rsid w:val="0089295A"/>
    <w:rsid w:val="008929C9"/>
    <w:rsid w:val="008929EB"/>
    <w:rsid w:val="008929FF"/>
    <w:rsid w:val="00892A9B"/>
    <w:rsid w:val="00892A9E"/>
    <w:rsid w:val="00892B4C"/>
    <w:rsid w:val="00892CBF"/>
    <w:rsid w:val="00892CC1"/>
    <w:rsid w:val="00892D0C"/>
    <w:rsid w:val="00892D11"/>
    <w:rsid w:val="00892DDA"/>
    <w:rsid w:val="00892EB7"/>
    <w:rsid w:val="00892EDB"/>
    <w:rsid w:val="00892F2A"/>
    <w:rsid w:val="00892F36"/>
    <w:rsid w:val="00892F71"/>
    <w:rsid w:val="00892FD0"/>
    <w:rsid w:val="00893030"/>
    <w:rsid w:val="008930C0"/>
    <w:rsid w:val="0089316F"/>
    <w:rsid w:val="008931D6"/>
    <w:rsid w:val="008931D7"/>
    <w:rsid w:val="00893261"/>
    <w:rsid w:val="00893292"/>
    <w:rsid w:val="00893312"/>
    <w:rsid w:val="00893352"/>
    <w:rsid w:val="00893419"/>
    <w:rsid w:val="00893422"/>
    <w:rsid w:val="00893436"/>
    <w:rsid w:val="00893480"/>
    <w:rsid w:val="008934CD"/>
    <w:rsid w:val="00893604"/>
    <w:rsid w:val="00893606"/>
    <w:rsid w:val="00893657"/>
    <w:rsid w:val="00893668"/>
    <w:rsid w:val="00893699"/>
    <w:rsid w:val="008936B5"/>
    <w:rsid w:val="00893737"/>
    <w:rsid w:val="008937A9"/>
    <w:rsid w:val="008937AF"/>
    <w:rsid w:val="008937FE"/>
    <w:rsid w:val="0089382B"/>
    <w:rsid w:val="00893848"/>
    <w:rsid w:val="00893979"/>
    <w:rsid w:val="00893983"/>
    <w:rsid w:val="00893A2D"/>
    <w:rsid w:val="00893AF3"/>
    <w:rsid w:val="00893BC2"/>
    <w:rsid w:val="00893C4E"/>
    <w:rsid w:val="00893CDA"/>
    <w:rsid w:val="00893E6D"/>
    <w:rsid w:val="00893F42"/>
    <w:rsid w:val="00893FA1"/>
    <w:rsid w:val="00894034"/>
    <w:rsid w:val="00894161"/>
    <w:rsid w:val="008941E4"/>
    <w:rsid w:val="008941EB"/>
    <w:rsid w:val="0089422B"/>
    <w:rsid w:val="00894369"/>
    <w:rsid w:val="0089439D"/>
    <w:rsid w:val="008943EE"/>
    <w:rsid w:val="00894457"/>
    <w:rsid w:val="00894472"/>
    <w:rsid w:val="0089447A"/>
    <w:rsid w:val="00894618"/>
    <w:rsid w:val="00894619"/>
    <w:rsid w:val="0089462C"/>
    <w:rsid w:val="0089465E"/>
    <w:rsid w:val="0089473D"/>
    <w:rsid w:val="0089475D"/>
    <w:rsid w:val="008947C9"/>
    <w:rsid w:val="008947D7"/>
    <w:rsid w:val="00894826"/>
    <w:rsid w:val="008948B3"/>
    <w:rsid w:val="008948ED"/>
    <w:rsid w:val="0089490C"/>
    <w:rsid w:val="008949A8"/>
    <w:rsid w:val="008949CC"/>
    <w:rsid w:val="008949F0"/>
    <w:rsid w:val="00894A13"/>
    <w:rsid w:val="00894AD2"/>
    <w:rsid w:val="00894C3C"/>
    <w:rsid w:val="00894C62"/>
    <w:rsid w:val="00894D18"/>
    <w:rsid w:val="00894DF0"/>
    <w:rsid w:val="00894E54"/>
    <w:rsid w:val="00894F5A"/>
    <w:rsid w:val="00895007"/>
    <w:rsid w:val="00895109"/>
    <w:rsid w:val="00895143"/>
    <w:rsid w:val="00895234"/>
    <w:rsid w:val="00895336"/>
    <w:rsid w:val="00895357"/>
    <w:rsid w:val="008953DD"/>
    <w:rsid w:val="00895437"/>
    <w:rsid w:val="00895440"/>
    <w:rsid w:val="00895586"/>
    <w:rsid w:val="008955B3"/>
    <w:rsid w:val="008955B8"/>
    <w:rsid w:val="008955D8"/>
    <w:rsid w:val="0089576C"/>
    <w:rsid w:val="00895797"/>
    <w:rsid w:val="008957AD"/>
    <w:rsid w:val="0089594B"/>
    <w:rsid w:val="00895962"/>
    <w:rsid w:val="00895970"/>
    <w:rsid w:val="0089598E"/>
    <w:rsid w:val="00895AEF"/>
    <w:rsid w:val="00895B94"/>
    <w:rsid w:val="00895BAC"/>
    <w:rsid w:val="00895BCF"/>
    <w:rsid w:val="00895C16"/>
    <w:rsid w:val="00895C90"/>
    <w:rsid w:val="00895DB2"/>
    <w:rsid w:val="00895DE5"/>
    <w:rsid w:val="00895E30"/>
    <w:rsid w:val="00895E8C"/>
    <w:rsid w:val="00895EC6"/>
    <w:rsid w:val="00895F1C"/>
    <w:rsid w:val="00895F59"/>
    <w:rsid w:val="00895FFE"/>
    <w:rsid w:val="00896128"/>
    <w:rsid w:val="00896161"/>
    <w:rsid w:val="00896162"/>
    <w:rsid w:val="00896249"/>
    <w:rsid w:val="00896305"/>
    <w:rsid w:val="00896340"/>
    <w:rsid w:val="008963A8"/>
    <w:rsid w:val="00896474"/>
    <w:rsid w:val="00896507"/>
    <w:rsid w:val="00896556"/>
    <w:rsid w:val="00896561"/>
    <w:rsid w:val="00896565"/>
    <w:rsid w:val="008965A4"/>
    <w:rsid w:val="008965F5"/>
    <w:rsid w:val="0089663F"/>
    <w:rsid w:val="00896689"/>
    <w:rsid w:val="0089674A"/>
    <w:rsid w:val="0089681F"/>
    <w:rsid w:val="00896896"/>
    <w:rsid w:val="00896897"/>
    <w:rsid w:val="00896A35"/>
    <w:rsid w:val="00896A3B"/>
    <w:rsid w:val="00896B13"/>
    <w:rsid w:val="00896BD9"/>
    <w:rsid w:val="00896C81"/>
    <w:rsid w:val="00896C9B"/>
    <w:rsid w:val="00896CD6"/>
    <w:rsid w:val="00896E1D"/>
    <w:rsid w:val="00896E6A"/>
    <w:rsid w:val="00896F65"/>
    <w:rsid w:val="008970BC"/>
    <w:rsid w:val="008971E0"/>
    <w:rsid w:val="008971ED"/>
    <w:rsid w:val="008971F3"/>
    <w:rsid w:val="0089726E"/>
    <w:rsid w:val="00897289"/>
    <w:rsid w:val="008974FD"/>
    <w:rsid w:val="0089759B"/>
    <w:rsid w:val="008975D3"/>
    <w:rsid w:val="00897673"/>
    <w:rsid w:val="0089776D"/>
    <w:rsid w:val="0089777B"/>
    <w:rsid w:val="008978D7"/>
    <w:rsid w:val="008978FC"/>
    <w:rsid w:val="008978FD"/>
    <w:rsid w:val="00897943"/>
    <w:rsid w:val="008979AD"/>
    <w:rsid w:val="008979DB"/>
    <w:rsid w:val="00897A91"/>
    <w:rsid w:val="00897B6F"/>
    <w:rsid w:val="00897C74"/>
    <w:rsid w:val="00897CA8"/>
    <w:rsid w:val="00897CB2"/>
    <w:rsid w:val="00897CC4"/>
    <w:rsid w:val="00897CE9"/>
    <w:rsid w:val="00897D16"/>
    <w:rsid w:val="00897D65"/>
    <w:rsid w:val="00897D84"/>
    <w:rsid w:val="00897DCF"/>
    <w:rsid w:val="00897E52"/>
    <w:rsid w:val="00897F08"/>
    <w:rsid w:val="00897F0B"/>
    <w:rsid w:val="00897F73"/>
    <w:rsid w:val="008A0110"/>
    <w:rsid w:val="008A012C"/>
    <w:rsid w:val="008A01C1"/>
    <w:rsid w:val="008A01D2"/>
    <w:rsid w:val="008A0221"/>
    <w:rsid w:val="008A046C"/>
    <w:rsid w:val="008A04E4"/>
    <w:rsid w:val="008A0515"/>
    <w:rsid w:val="008A054B"/>
    <w:rsid w:val="008A0764"/>
    <w:rsid w:val="008A07AE"/>
    <w:rsid w:val="008A07F7"/>
    <w:rsid w:val="008A0808"/>
    <w:rsid w:val="008A0828"/>
    <w:rsid w:val="008A0845"/>
    <w:rsid w:val="008A08E7"/>
    <w:rsid w:val="008A0923"/>
    <w:rsid w:val="008A096F"/>
    <w:rsid w:val="008A0999"/>
    <w:rsid w:val="008A0A1F"/>
    <w:rsid w:val="008A0A22"/>
    <w:rsid w:val="008A0AA9"/>
    <w:rsid w:val="008A0B09"/>
    <w:rsid w:val="008A0C3C"/>
    <w:rsid w:val="008A0C89"/>
    <w:rsid w:val="008A0E55"/>
    <w:rsid w:val="008A0E8B"/>
    <w:rsid w:val="008A0ECB"/>
    <w:rsid w:val="008A0EF3"/>
    <w:rsid w:val="008A0F1F"/>
    <w:rsid w:val="008A0F4A"/>
    <w:rsid w:val="008A0F55"/>
    <w:rsid w:val="008A0F8F"/>
    <w:rsid w:val="008A0FD9"/>
    <w:rsid w:val="008A10A4"/>
    <w:rsid w:val="008A10AE"/>
    <w:rsid w:val="008A117D"/>
    <w:rsid w:val="008A1182"/>
    <w:rsid w:val="008A126A"/>
    <w:rsid w:val="008A1348"/>
    <w:rsid w:val="008A1353"/>
    <w:rsid w:val="008A1400"/>
    <w:rsid w:val="008A1452"/>
    <w:rsid w:val="008A14A8"/>
    <w:rsid w:val="008A14E5"/>
    <w:rsid w:val="008A1552"/>
    <w:rsid w:val="008A1559"/>
    <w:rsid w:val="008A15B4"/>
    <w:rsid w:val="008A15CF"/>
    <w:rsid w:val="008A1608"/>
    <w:rsid w:val="008A1747"/>
    <w:rsid w:val="008A174C"/>
    <w:rsid w:val="008A1779"/>
    <w:rsid w:val="008A1822"/>
    <w:rsid w:val="008A1851"/>
    <w:rsid w:val="008A1897"/>
    <w:rsid w:val="008A18AB"/>
    <w:rsid w:val="008A18D1"/>
    <w:rsid w:val="008A1905"/>
    <w:rsid w:val="008A1A56"/>
    <w:rsid w:val="008A1AAA"/>
    <w:rsid w:val="008A1AC7"/>
    <w:rsid w:val="008A1B74"/>
    <w:rsid w:val="008A1B92"/>
    <w:rsid w:val="008A1BCB"/>
    <w:rsid w:val="008A1C0D"/>
    <w:rsid w:val="008A1CAC"/>
    <w:rsid w:val="008A1D09"/>
    <w:rsid w:val="008A1D14"/>
    <w:rsid w:val="008A1D42"/>
    <w:rsid w:val="008A1DC0"/>
    <w:rsid w:val="008A1DEE"/>
    <w:rsid w:val="008A1E70"/>
    <w:rsid w:val="008A1F6C"/>
    <w:rsid w:val="008A1FD7"/>
    <w:rsid w:val="008A2044"/>
    <w:rsid w:val="008A20A9"/>
    <w:rsid w:val="008A2144"/>
    <w:rsid w:val="008A221B"/>
    <w:rsid w:val="008A22CC"/>
    <w:rsid w:val="008A22F8"/>
    <w:rsid w:val="008A241F"/>
    <w:rsid w:val="008A24ED"/>
    <w:rsid w:val="008A2511"/>
    <w:rsid w:val="008A2545"/>
    <w:rsid w:val="008A25FD"/>
    <w:rsid w:val="008A2658"/>
    <w:rsid w:val="008A26CA"/>
    <w:rsid w:val="008A26DC"/>
    <w:rsid w:val="008A27E6"/>
    <w:rsid w:val="008A28CD"/>
    <w:rsid w:val="008A29E7"/>
    <w:rsid w:val="008A2AE4"/>
    <w:rsid w:val="008A2B22"/>
    <w:rsid w:val="008A2CDB"/>
    <w:rsid w:val="008A2D64"/>
    <w:rsid w:val="008A2DC4"/>
    <w:rsid w:val="008A2DCC"/>
    <w:rsid w:val="008A2F06"/>
    <w:rsid w:val="008A2F3B"/>
    <w:rsid w:val="008A2F78"/>
    <w:rsid w:val="008A2FC9"/>
    <w:rsid w:val="008A300B"/>
    <w:rsid w:val="008A310C"/>
    <w:rsid w:val="008A3173"/>
    <w:rsid w:val="008A31AA"/>
    <w:rsid w:val="008A32BD"/>
    <w:rsid w:val="008A33C3"/>
    <w:rsid w:val="008A34C8"/>
    <w:rsid w:val="008A34E4"/>
    <w:rsid w:val="008A352B"/>
    <w:rsid w:val="008A36CE"/>
    <w:rsid w:val="008A372D"/>
    <w:rsid w:val="008A3746"/>
    <w:rsid w:val="008A389F"/>
    <w:rsid w:val="008A3941"/>
    <w:rsid w:val="008A3995"/>
    <w:rsid w:val="008A39C5"/>
    <w:rsid w:val="008A3A6D"/>
    <w:rsid w:val="008A3A79"/>
    <w:rsid w:val="008A3A81"/>
    <w:rsid w:val="008A3B26"/>
    <w:rsid w:val="008A3B55"/>
    <w:rsid w:val="008A3B90"/>
    <w:rsid w:val="008A3BA9"/>
    <w:rsid w:val="008A3BC7"/>
    <w:rsid w:val="008A3C3C"/>
    <w:rsid w:val="008A3CF4"/>
    <w:rsid w:val="008A3D92"/>
    <w:rsid w:val="008A3E77"/>
    <w:rsid w:val="008A3E8B"/>
    <w:rsid w:val="008A3EC3"/>
    <w:rsid w:val="008A3EEB"/>
    <w:rsid w:val="008A3EF2"/>
    <w:rsid w:val="008A3F72"/>
    <w:rsid w:val="008A4116"/>
    <w:rsid w:val="008A413D"/>
    <w:rsid w:val="008A4209"/>
    <w:rsid w:val="008A4280"/>
    <w:rsid w:val="008A42C3"/>
    <w:rsid w:val="008A42D3"/>
    <w:rsid w:val="008A42D7"/>
    <w:rsid w:val="008A42D9"/>
    <w:rsid w:val="008A42DC"/>
    <w:rsid w:val="008A42E0"/>
    <w:rsid w:val="008A43EE"/>
    <w:rsid w:val="008A447F"/>
    <w:rsid w:val="008A448A"/>
    <w:rsid w:val="008A44B9"/>
    <w:rsid w:val="008A4527"/>
    <w:rsid w:val="008A4634"/>
    <w:rsid w:val="008A46EA"/>
    <w:rsid w:val="008A47F4"/>
    <w:rsid w:val="008A47FB"/>
    <w:rsid w:val="008A47FD"/>
    <w:rsid w:val="008A4872"/>
    <w:rsid w:val="008A489A"/>
    <w:rsid w:val="008A494A"/>
    <w:rsid w:val="008A4989"/>
    <w:rsid w:val="008A49C5"/>
    <w:rsid w:val="008A49F6"/>
    <w:rsid w:val="008A4A2D"/>
    <w:rsid w:val="008A4AD1"/>
    <w:rsid w:val="008A4AE5"/>
    <w:rsid w:val="008A4B08"/>
    <w:rsid w:val="008A4B3C"/>
    <w:rsid w:val="008A4BC6"/>
    <w:rsid w:val="008A4C1C"/>
    <w:rsid w:val="008A4CEE"/>
    <w:rsid w:val="008A4CFA"/>
    <w:rsid w:val="008A4DD6"/>
    <w:rsid w:val="008A4DF9"/>
    <w:rsid w:val="008A4E32"/>
    <w:rsid w:val="008A4E60"/>
    <w:rsid w:val="008A4F01"/>
    <w:rsid w:val="008A4F31"/>
    <w:rsid w:val="008A4F6D"/>
    <w:rsid w:val="008A500B"/>
    <w:rsid w:val="008A504B"/>
    <w:rsid w:val="008A515C"/>
    <w:rsid w:val="008A51C0"/>
    <w:rsid w:val="008A51C6"/>
    <w:rsid w:val="008A51F3"/>
    <w:rsid w:val="008A520F"/>
    <w:rsid w:val="008A5210"/>
    <w:rsid w:val="008A537D"/>
    <w:rsid w:val="008A546B"/>
    <w:rsid w:val="008A54B2"/>
    <w:rsid w:val="008A54F7"/>
    <w:rsid w:val="008A552D"/>
    <w:rsid w:val="008A5534"/>
    <w:rsid w:val="008A553C"/>
    <w:rsid w:val="008A5562"/>
    <w:rsid w:val="008A5582"/>
    <w:rsid w:val="008A55CE"/>
    <w:rsid w:val="008A55FD"/>
    <w:rsid w:val="008A561C"/>
    <w:rsid w:val="008A56A4"/>
    <w:rsid w:val="008A576C"/>
    <w:rsid w:val="008A5777"/>
    <w:rsid w:val="008A57A9"/>
    <w:rsid w:val="008A585A"/>
    <w:rsid w:val="008A5872"/>
    <w:rsid w:val="008A587A"/>
    <w:rsid w:val="008A58C5"/>
    <w:rsid w:val="008A5971"/>
    <w:rsid w:val="008A5977"/>
    <w:rsid w:val="008A59C2"/>
    <w:rsid w:val="008A59ED"/>
    <w:rsid w:val="008A5A28"/>
    <w:rsid w:val="008A5BA8"/>
    <w:rsid w:val="008A5C5B"/>
    <w:rsid w:val="008A5CCD"/>
    <w:rsid w:val="008A5CF0"/>
    <w:rsid w:val="008A5E17"/>
    <w:rsid w:val="008A5E35"/>
    <w:rsid w:val="008A5E9B"/>
    <w:rsid w:val="008A5F3D"/>
    <w:rsid w:val="008A5F80"/>
    <w:rsid w:val="008A5FB2"/>
    <w:rsid w:val="008A6145"/>
    <w:rsid w:val="008A61DA"/>
    <w:rsid w:val="008A6288"/>
    <w:rsid w:val="008A62BD"/>
    <w:rsid w:val="008A6311"/>
    <w:rsid w:val="008A6353"/>
    <w:rsid w:val="008A63E4"/>
    <w:rsid w:val="008A63F9"/>
    <w:rsid w:val="008A6413"/>
    <w:rsid w:val="008A6440"/>
    <w:rsid w:val="008A652C"/>
    <w:rsid w:val="008A65AE"/>
    <w:rsid w:val="008A6610"/>
    <w:rsid w:val="008A6653"/>
    <w:rsid w:val="008A66A2"/>
    <w:rsid w:val="008A66F7"/>
    <w:rsid w:val="008A6736"/>
    <w:rsid w:val="008A67CF"/>
    <w:rsid w:val="008A6887"/>
    <w:rsid w:val="008A68F9"/>
    <w:rsid w:val="008A6980"/>
    <w:rsid w:val="008A69C3"/>
    <w:rsid w:val="008A69EC"/>
    <w:rsid w:val="008A6A1D"/>
    <w:rsid w:val="008A6B7F"/>
    <w:rsid w:val="008A6C07"/>
    <w:rsid w:val="008A6C85"/>
    <w:rsid w:val="008A6CB5"/>
    <w:rsid w:val="008A6DAD"/>
    <w:rsid w:val="008A6E95"/>
    <w:rsid w:val="008A6EDF"/>
    <w:rsid w:val="008A6F9A"/>
    <w:rsid w:val="008A6FB2"/>
    <w:rsid w:val="008A7033"/>
    <w:rsid w:val="008A705B"/>
    <w:rsid w:val="008A7098"/>
    <w:rsid w:val="008A70BD"/>
    <w:rsid w:val="008A714A"/>
    <w:rsid w:val="008A71A7"/>
    <w:rsid w:val="008A7280"/>
    <w:rsid w:val="008A7312"/>
    <w:rsid w:val="008A733C"/>
    <w:rsid w:val="008A7356"/>
    <w:rsid w:val="008A735A"/>
    <w:rsid w:val="008A7423"/>
    <w:rsid w:val="008A7466"/>
    <w:rsid w:val="008A75A6"/>
    <w:rsid w:val="008A75AC"/>
    <w:rsid w:val="008A76E6"/>
    <w:rsid w:val="008A76F5"/>
    <w:rsid w:val="008A7705"/>
    <w:rsid w:val="008A781D"/>
    <w:rsid w:val="008A7944"/>
    <w:rsid w:val="008A7A18"/>
    <w:rsid w:val="008A7A4E"/>
    <w:rsid w:val="008A7A57"/>
    <w:rsid w:val="008A7A9B"/>
    <w:rsid w:val="008A7B29"/>
    <w:rsid w:val="008A7B7B"/>
    <w:rsid w:val="008A7C11"/>
    <w:rsid w:val="008A7CD0"/>
    <w:rsid w:val="008A7CD2"/>
    <w:rsid w:val="008A7DA2"/>
    <w:rsid w:val="008A7E01"/>
    <w:rsid w:val="008A7EC5"/>
    <w:rsid w:val="008A7F3D"/>
    <w:rsid w:val="008A7FFD"/>
    <w:rsid w:val="008B0001"/>
    <w:rsid w:val="008B0047"/>
    <w:rsid w:val="008B0135"/>
    <w:rsid w:val="008B0147"/>
    <w:rsid w:val="008B0238"/>
    <w:rsid w:val="008B041F"/>
    <w:rsid w:val="008B046E"/>
    <w:rsid w:val="008B050E"/>
    <w:rsid w:val="008B0672"/>
    <w:rsid w:val="008B069E"/>
    <w:rsid w:val="008B076E"/>
    <w:rsid w:val="008B0791"/>
    <w:rsid w:val="008B07CC"/>
    <w:rsid w:val="008B07ED"/>
    <w:rsid w:val="008B085C"/>
    <w:rsid w:val="008B0901"/>
    <w:rsid w:val="008B0910"/>
    <w:rsid w:val="008B0941"/>
    <w:rsid w:val="008B09D7"/>
    <w:rsid w:val="008B0A6D"/>
    <w:rsid w:val="008B0B05"/>
    <w:rsid w:val="008B0B58"/>
    <w:rsid w:val="008B0B7C"/>
    <w:rsid w:val="008B0BB1"/>
    <w:rsid w:val="008B0C90"/>
    <w:rsid w:val="008B0DD2"/>
    <w:rsid w:val="008B1041"/>
    <w:rsid w:val="008B10B2"/>
    <w:rsid w:val="008B10B9"/>
    <w:rsid w:val="008B1140"/>
    <w:rsid w:val="008B1148"/>
    <w:rsid w:val="008B11B3"/>
    <w:rsid w:val="008B11C8"/>
    <w:rsid w:val="008B12F9"/>
    <w:rsid w:val="008B131F"/>
    <w:rsid w:val="008B146C"/>
    <w:rsid w:val="008B15DF"/>
    <w:rsid w:val="008B163A"/>
    <w:rsid w:val="008B1680"/>
    <w:rsid w:val="008B16E6"/>
    <w:rsid w:val="008B17C3"/>
    <w:rsid w:val="008B186B"/>
    <w:rsid w:val="008B1B3F"/>
    <w:rsid w:val="008B1BAB"/>
    <w:rsid w:val="008B1D13"/>
    <w:rsid w:val="008B1D1C"/>
    <w:rsid w:val="008B1D69"/>
    <w:rsid w:val="008B1E64"/>
    <w:rsid w:val="008B1F9A"/>
    <w:rsid w:val="008B2021"/>
    <w:rsid w:val="008B206D"/>
    <w:rsid w:val="008B20F6"/>
    <w:rsid w:val="008B21EA"/>
    <w:rsid w:val="008B21FC"/>
    <w:rsid w:val="008B221C"/>
    <w:rsid w:val="008B224C"/>
    <w:rsid w:val="008B225E"/>
    <w:rsid w:val="008B22B1"/>
    <w:rsid w:val="008B22D7"/>
    <w:rsid w:val="008B234B"/>
    <w:rsid w:val="008B235B"/>
    <w:rsid w:val="008B243E"/>
    <w:rsid w:val="008B245D"/>
    <w:rsid w:val="008B2493"/>
    <w:rsid w:val="008B2586"/>
    <w:rsid w:val="008B25E9"/>
    <w:rsid w:val="008B270D"/>
    <w:rsid w:val="008B2748"/>
    <w:rsid w:val="008B2774"/>
    <w:rsid w:val="008B2792"/>
    <w:rsid w:val="008B27D1"/>
    <w:rsid w:val="008B281B"/>
    <w:rsid w:val="008B28AF"/>
    <w:rsid w:val="008B28C4"/>
    <w:rsid w:val="008B2A5A"/>
    <w:rsid w:val="008B2A6D"/>
    <w:rsid w:val="008B2B0B"/>
    <w:rsid w:val="008B2B33"/>
    <w:rsid w:val="008B2B51"/>
    <w:rsid w:val="008B2BD9"/>
    <w:rsid w:val="008B2C8F"/>
    <w:rsid w:val="008B2D3E"/>
    <w:rsid w:val="008B2D7C"/>
    <w:rsid w:val="008B2D93"/>
    <w:rsid w:val="008B2DC3"/>
    <w:rsid w:val="008B2E21"/>
    <w:rsid w:val="008B2E5E"/>
    <w:rsid w:val="008B2E88"/>
    <w:rsid w:val="008B2F77"/>
    <w:rsid w:val="008B2F94"/>
    <w:rsid w:val="008B3036"/>
    <w:rsid w:val="008B30C9"/>
    <w:rsid w:val="008B316C"/>
    <w:rsid w:val="008B31B2"/>
    <w:rsid w:val="008B3219"/>
    <w:rsid w:val="008B3275"/>
    <w:rsid w:val="008B327F"/>
    <w:rsid w:val="008B336E"/>
    <w:rsid w:val="008B33E9"/>
    <w:rsid w:val="008B341E"/>
    <w:rsid w:val="008B3451"/>
    <w:rsid w:val="008B3468"/>
    <w:rsid w:val="008B34AB"/>
    <w:rsid w:val="008B3578"/>
    <w:rsid w:val="008B35B0"/>
    <w:rsid w:val="008B3673"/>
    <w:rsid w:val="008B3688"/>
    <w:rsid w:val="008B3788"/>
    <w:rsid w:val="008B37A2"/>
    <w:rsid w:val="008B37FC"/>
    <w:rsid w:val="008B3861"/>
    <w:rsid w:val="008B38ED"/>
    <w:rsid w:val="008B393A"/>
    <w:rsid w:val="008B393E"/>
    <w:rsid w:val="008B3967"/>
    <w:rsid w:val="008B39CD"/>
    <w:rsid w:val="008B39D4"/>
    <w:rsid w:val="008B3BFF"/>
    <w:rsid w:val="008B3C03"/>
    <w:rsid w:val="008B3C0B"/>
    <w:rsid w:val="008B3C78"/>
    <w:rsid w:val="008B3C93"/>
    <w:rsid w:val="008B3DA2"/>
    <w:rsid w:val="008B3E04"/>
    <w:rsid w:val="008B3E48"/>
    <w:rsid w:val="008B3E93"/>
    <w:rsid w:val="008B3F04"/>
    <w:rsid w:val="008B3F2F"/>
    <w:rsid w:val="008B3FA2"/>
    <w:rsid w:val="008B4029"/>
    <w:rsid w:val="008B4033"/>
    <w:rsid w:val="008B4095"/>
    <w:rsid w:val="008B409A"/>
    <w:rsid w:val="008B40EE"/>
    <w:rsid w:val="008B4121"/>
    <w:rsid w:val="008B4150"/>
    <w:rsid w:val="008B421D"/>
    <w:rsid w:val="008B4221"/>
    <w:rsid w:val="008B4272"/>
    <w:rsid w:val="008B4287"/>
    <w:rsid w:val="008B42E0"/>
    <w:rsid w:val="008B42F6"/>
    <w:rsid w:val="008B4301"/>
    <w:rsid w:val="008B43DE"/>
    <w:rsid w:val="008B43F5"/>
    <w:rsid w:val="008B451A"/>
    <w:rsid w:val="008B4538"/>
    <w:rsid w:val="008B4623"/>
    <w:rsid w:val="008B4646"/>
    <w:rsid w:val="008B46DE"/>
    <w:rsid w:val="008B46E7"/>
    <w:rsid w:val="008B4745"/>
    <w:rsid w:val="008B4998"/>
    <w:rsid w:val="008B49FA"/>
    <w:rsid w:val="008B4A20"/>
    <w:rsid w:val="008B4A8F"/>
    <w:rsid w:val="008B4AAF"/>
    <w:rsid w:val="008B4AC2"/>
    <w:rsid w:val="008B4B22"/>
    <w:rsid w:val="008B4B67"/>
    <w:rsid w:val="008B4B7E"/>
    <w:rsid w:val="008B4BA4"/>
    <w:rsid w:val="008B4CB2"/>
    <w:rsid w:val="008B4DBB"/>
    <w:rsid w:val="008B4DD5"/>
    <w:rsid w:val="008B4F23"/>
    <w:rsid w:val="008B4FA2"/>
    <w:rsid w:val="008B5019"/>
    <w:rsid w:val="008B5048"/>
    <w:rsid w:val="008B50B1"/>
    <w:rsid w:val="008B5108"/>
    <w:rsid w:val="008B5137"/>
    <w:rsid w:val="008B513E"/>
    <w:rsid w:val="008B5222"/>
    <w:rsid w:val="008B527C"/>
    <w:rsid w:val="008B5369"/>
    <w:rsid w:val="008B53B1"/>
    <w:rsid w:val="008B540C"/>
    <w:rsid w:val="008B5496"/>
    <w:rsid w:val="008B54C0"/>
    <w:rsid w:val="008B5598"/>
    <w:rsid w:val="008B55B1"/>
    <w:rsid w:val="008B55E6"/>
    <w:rsid w:val="008B56B0"/>
    <w:rsid w:val="008B56F3"/>
    <w:rsid w:val="008B5718"/>
    <w:rsid w:val="008B5723"/>
    <w:rsid w:val="008B57F2"/>
    <w:rsid w:val="008B5813"/>
    <w:rsid w:val="008B5865"/>
    <w:rsid w:val="008B58AD"/>
    <w:rsid w:val="008B5958"/>
    <w:rsid w:val="008B5972"/>
    <w:rsid w:val="008B59AE"/>
    <w:rsid w:val="008B59F0"/>
    <w:rsid w:val="008B5A1C"/>
    <w:rsid w:val="008B5AA9"/>
    <w:rsid w:val="008B5AB6"/>
    <w:rsid w:val="008B5AB9"/>
    <w:rsid w:val="008B5B3E"/>
    <w:rsid w:val="008B5B77"/>
    <w:rsid w:val="008B5B83"/>
    <w:rsid w:val="008B5C65"/>
    <w:rsid w:val="008B5F61"/>
    <w:rsid w:val="008B5FFE"/>
    <w:rsid w:val="008B60E9"/>
    <w:rsid w:val="008B6146"/>
    <w:rsid w:val="008B61AA"/>
    <w:rsid w:val="008B61C3"/>
    <w:rsid w:val="008B61C7"/>
    <w:rsid w:val="008B6273"/>
    <w:rsid w:val="008B6335"/>
    <w:rsid w:val="008B634D"/>
    <w:rsid w:val="008B644A"/>
    <w:rsid w:val="008B650B"/>
    <w:rsid w:val="008B6697"/>
    <w:rsid w:val="008B66F1"/>
    <w:rsid w:val="008B670B"/>
    <w:rsid w:val="008B6917"/>
    <w:rsid w:val="008B69B0"/>
    <w:rsid w:val="008B6A1D"/>
    <w:rsid w:val="008B6A91"/>
    <w:rsid w:val="008B6AB4"/>
    <w:rsid w:val="008B6AE6"/>
    <w:rsid w:val="008B6C0D"/>
    <w:rsid w:val="008B6C1D"/>
    <w:rsid w:val="008B6C25"/>
    <w:rsid w:val="008B6D71"/>
    <w:rsid w:val="008B6DD6"/>
    <w:rsid w:val="008B6E28"/>
    <w:rsid w:val="008B6E8E"/>
    <w:rsid w:val="008B6E91"/>
    <w:rsid w:val="008B6ED2"/>
    <w:rsid w:val="008B6F1D"/>
    <w:rsid w:val="008B6FDB"/>
    <w:rsid w:val="008B6FFD"/>
    <w:rsid w:val="008B7096"/>
    <w:rsid w:val="008B70F2"/>
    <w:rsid w:val="008B718F"/>
    <w:rsid w:val="008B71BD"/>
    <w:rsid w:val="008B71EA"/>
    <w:rsid w:val="008B734A"/>
    <w:rsid w:val="008B734F"/>
    <w:rsid w:val="008B750F"/>
    <w:rsid w:val="008B757A"/>
    <w:rsid w:val="008B757B"/>
    <w:rsid w:val="008B759B"/>
    <w:rsid w:val="008B766A"/>
    <w:rsid w:val="008B76C7"/>
    <w:rsid w:val="008B76F2"/>
    <w:rsid w:val="008B7723"/>
    <w:rsid w:val="008B7898"/>
    <w:rsid w:val="008B78D5"/>
    <w:rsid w:val="008B79A5"/>
    <w:rsid w:val="008B7A9D"/>
    <w:rsid w:val="008B7AE9"/>
    <w:rsid w:val="008B7B60"/>
    <w:rsid w:val="008B7B6D"/>
    <w:rsid w:val="008B7B90"/>
    <w:rsid w:val="008B7C1F"/>
    <w:rsid w:val="008B7CA8"/>
    <w:rsid w:val="008B7DD1"/>
    <w:rsid w:val="008B7E18"/>
    <w:rsid w:val="008B7EA7"/>
    <w:rsid w:val="008B7FF6"/>
    <w:rsid w:val="008C00CE"/>
    <w:rsid w:val="008C0121"/>
    <w:rsid w:val="008C01C1"/>
    <w:rsid w:val="008C01ED"/>
    <w:rsid w:val="008C02B6"/>
    <w:rsid w:val="008C02DC"/>
    <w:rsid w:val="008C02E1"/>
    <w:rsid w:val="008C03D0"/>
    <w:rsid w:val="008C03D2"/>
    <w:rsid w:val="008C0434"/>
    <w:rsid w:val="008C0455"/>
    <w:rsid w:val="008C045C"/>
    <w:rsid w:val="008C055F"/>
    <w:rsid w:val="008C05A1"/>
    <w:rsid w:val="008C060D"/>
    <w:rsid w:val="008C061C"/>
    <w:rsid w:val="008C063D"/>
    <w:rsid w:val="008C06B4"/>
    <w:rsid w:val="008C06FA"/>
    <w:rsid w:val="008C075E"/>
    <w:rsid w:val="008C089F"/>
    <w:rsid w:val="008C08B6"/>
    <w:rsid w:val="008C0996"/>
    <w:rsid w:val="008C0A00"/>
    <w:rsid w:val="008C0A2D"/>
    <w:rsid w:val="008C0AAD"/>
    <w:rsid w:val="008C0BC1"/>
    <w:rsid w:val="008C0BDA"/>
    <w:rsid w:val="008C0C6B"/>
    <w:rsid w:val="008C0C73"/>
    <w:rsid w:val="008C0CA5"/>
    <w:rsid w:val="008C0CC7"/>
    <w:rsid w:val="008C0CD0"/>
    <w:rsid w:val="008C0D35"/>
    <w:rsid w:val="008C0D3B"/>
    <w:rsid w:val="008C0D5F"/>
    <w:rsid w:val="008C0E6B"/>
    <w:rsid w:val="008C0E7B"/>
    <w:rsid w:val="008C0EAF"/>
    <w:rsid w:val="008C0EDD"/>
    <w:rsid w:val="008C0FD4"/>
    <w:rsid w:val="008C0FDE"/>
    <w:rsid w:val="008C100F"/>
    <w:rsid w:val="008C104A"/>
    <w:rsid w:val="008C10C4"/>
    <w:rsid w:val="008C10CD"/>
    <w:rsid w:val="008C10E6"/>
    <w:rsid w:val="008C10F3"/>
    <w:rsid w:val="008C12FE"/>
    <w:rsid w:val="008C1392"/>
    <w:rsid w:val="008C1433"/>
    <w:rsid w:val="008C1473"/>
    <w:rsid w:val="008C14C8"/>
    <w:rsid w:val="008C14E0"/>
    <w:rsid w:val="008C1700"/>
    <w:rsid w:val="008C1714"/>
    <w:rsid w:val="008C177D"/>
    <w:rsid w:val="008C178F"/>
    <w:rsid w:val="008C17B8"/>
    <w:rsid w:val="008C17ED"/>
    <w:rsid w:val="008C19A7"/>
    <w:rsid w:val="008C19BB"/>
    <w:rsid w:val="008C1A30"/>
    <w:rsid w:val="008C1B86"/>
    <w:rsid w:val="008C1BB6"/>
    <w:rsid w:val="008C1C4E"/>
    <w:rsid w:val="008C1C86"/>
    <w:rsid w:val="008C1CD2"/>
    <w:rsid w:val="008C1CF8"/>
    <w:rsid w:val="008C1EC6"/>
    <w:rsid w:val="008C1F44"/>
    <w:rsid w:val="008C223B"/>
    <w:rsid w:val="008C2292"/>
    <w:rsid w:val="008C229F"/>
    <w:rsid w:val="008C22CD"/>
    <w:rsid w:val="008C2304"/>
    <w:rsid w:val="008C234D"/>
    <w:rsid w:val="008C235A"/>
    <w:rsid w:val="008C238A"/>
    <w:rsid w:val="008C23F5"/>
    <w:rsid w:val="008C246D"/>
    <w:rsid w:val="008C24E8"/>
    <w:rsid w:val="008C254E"/>
    <w:rsid w:val="008C2560"/>
    <w:rsid w:val="008C25C4"/>
    <w:rsid w:val="008C2652"/>
    <w:rsid w:val="008C273A"/>
    <w:rsid w:val="008C27F1"/>
    <w:rsid w:val="008C283C"/>
    <w:rsid w:val="008C28AA"/>
    <w:rsid w:val="008C28D3"/>
    <w:rsid w:val="008C28EE"/>
    <w:rsid w:val="008C28F3"/>
    <w:rsid w:val="008C29D8"/>
    <w:rsid w:val="008C2A4B"/>
    <w:rsid w:val="008C2A7C"/>
    <w:rsid w:val="008C2A80"/>
    <w:rsid w:val="008C2AD4"/>
    <w:rsid w:val="008C2AE0"/>
    <w:rsid w:val="008C2AEA"/>
    <w:rsid w:val="008C2B1D"/>
    <w:rsid w:val="008C2B2F"/>
    <w:rsid w:val="008C2B7D"/>
    <w:rsid w:val="008C2D19"/>
    <w:rsid w:val="008C2D68"/>
    <w:rsid w:val="008C2D8D"/>
    <w:rsid w:val="008C2E49"/>
    <w:rsid w:val="008C2EAB"/>
    <w:rsid w:val="008C2F16"/>
    <w:rsid w:val="008C2F63"/>
    <w:rsid w:val="008C2FFB"/>
    <w:rsid w:val="008C309E"/>
    <w:rsid w:val="008C317B"/>
    <w:rsid w:val="008C3197"/>
    <w:rsid w:val="008C31C8"/>
    <w:rsid w:val="008C31D9"/>
    <w:rsid w:val="008C3257"/>
    <w:rsid w:val="008C3283"/>
    <w:rsid w:val="008C34CB"/>
    <w:rsid w:val="008C352B"/>
    <w:rsid w:val="008C359D"/>
    <w:rsid w:val="008C35B2"/>
    <w:rsid w:val="008C35B8"/>
    <w:rsid w:val="008C3621"/>
    <w:rsid w:val="008C364B"/>
    <w:rsid w:val="008C3683"/>
    <w:rsid w:val="008C374E"/>
    <w:rsid w:val="008C3877"/>
    <w:rsid w:val="008C390C"/>
    <w:rsid w:val="008C3B08"/>
    <w:rsid w:val="008C3B2C"/>
    <w:rsid w:val="008C3C07"/>
    <w:rsid w:val="008C3CC4"/>
    <w:rsid w:val="008C3D0B"/>
    <w:rsid w:val="008C3DAC"/>
    <w:rsid w:val="008C3DEA"/>
    <w:rsid w:val="008C3E09"/>
    <w:rsid w:val="008C3E52"/>
    <w:rsid w:val="008C3E7E"/>
    <w:rsid w:val="008C3F0B"/>
    <w:rsid w:val="008C3FB1"/>
    <w:rsid w:val="008C3FD4"/>
    <w:rsid w:val="008C40DB"/>
    <w:rsid w:val="008C41CD"/>
    <w:rsid w:val="008C4232"/>
    <w:rsid w:val="008C42AA"/>
    <w:rsid w:val="008C4323"/>
    <w:rsid w:val="008C43DD"/>
    <w:rsid w:val="008C43F5"/>
    <w:rsid w:val="008C4452"/>
    <w:rsid w:val="008C4511"/>
    <w:rsid w:val="008C45DC"/>
    <w:rsid w:val="008C4657"/>
    <w:rsid w:val="008C46D9"/>
    <w:rsid w:val="008C4733"/>
    <w:rsid w:val="008C4792"/>
    <w:rsid w:val="008C487C"/>
    <w:rsid w:val="008C491C"/>
    <w:rsid w:val="008C497C"/>
    <w:rsid w:val="008C49A6"/>
    <w:rsid w:val="008C4A53"/>
    <w:rsid w:val="008C4ADC"/>
    <w:rsid w:val="008C4B1F"/>
    <w:rsid w:val="008C4B4F"/>
    <w:rsid w:val="008C4BC8"/>
    <w:rsid w:val="008C4BD0"/>
    <w:rsid w:val="008C4C11"/>
    <w:rsid w:val="008C4C35"/>
    <w:rsid w:val="008C4C4A"/>
    <w:rsid w:val="008C4C6B"/>
    <w:rsid w:val="008C4CC2"/>
    <w:rsid w:val="008C4D5A"/>
    <w:rsid w:val="008C4D97"/>
    <w:rsid w:val="008C4DAE"/>
    <w:rsid w:val="008C4DDD"/>
    <w:rsid w:val="008C4E45"/>
    <w:rsid w:val="008C4E5C"/>
    <w:rsid w:val="008C4E93"/>
    <w:rsid w:val="008C4F97"/>
    <w:rsid w:val="008C5023"/>
    <w:rsid w:val="008C50D6"/>
    <w:rsid w:val="008C50F7"/>
    <w:rsid w:val="008C5168"/>
    <w:rsid w:val="008C519E"/>
    <w:rsid w:val="008C51CC"/>
    <w:rsid w:val="008C5221"/>
    <w:rsid w:val="008C52B1"/>
    <w:rsid w:val="008C532E"/>
    <w:rsid w:val="008C5352"/>
    <w:rsid w:val="008C53CD"/>
    <w:rsid w:val="008C53D8"/>
    <w:rsid w:val="008C544A"/>
    <w:rsid w:val="008C54A9"/>
    <w:rsid w:val="008C54DD"/>
    <w:rsid w:val="008C551D"/>
    <w:rsid w:val="008C556A"/>
    <w:rsid w:val="008C5581"/>
    <w:rsid w:val="008C55CA"/>
    <w:rsid w:val="008C563D"/>
    <w:rsid w:val="008C5675"/>
    <w:rsid w:val="008C56D6"/>
    <w:rsid w:val="008C5804"/>
    <w:rsid w:val="008C5808"/>
    <w:rsid w:val="008C5810"/>
    <w:rsid w:val="008C582C"/>
    <w:rsid w:val="008C5834"/>
    <w:rsid w:val="008C5959"/>
    <w:rsid w:val="008C5A6D"/>
    <w:rsid w:val="008C5ABF"/>
    <w:rsid w:val="008C5AC0"/>
    <w:rsid w:val="008C5AC7"/>
    <w:rsid w:val="008C5BC2"/>
    <w:rsid w:val="008C5BDE"/>
    <w:rsid w:val="008C5C59"/>
    <w:rsid w:val="008C5C5B"/>
    <w:rsid w:val="008C5C89"/>
    <w:rsid w:val="008C5CF7"/>
    <w:rsid w:val="008C5D73"/>
    <w:rsid w:val="008C5DB0"/>
    <w:rsid w:val="008C5DDC"/>
    <w:rsid w:val="008C5E40"/>
    <w:rsid w:val="008C5E7B"/>
    <w:rsid w:val="008C5EC4"/>
    <w:rsid w:val="008C5F62"/>
    <w:rsid w:val="008C607C"/>
    <w:rsid w:val="008C615F"/>
    <w:rsid w:val="008C6176"/>
    <w:rsid w:val="008C62E9"/>
    <w:rsid w:val="008C6320"/>
    <w:rsid w:val="008C63E0"/>
    <w:rsid w:val="008C6591"/>
    <w:rsid w:val="008C65B6"/>
    <w:rsid w:val="008C65F8"/>
    <w:rsid w:val="008C66A2"/>
    <w:rsid w:val="008C6747"/>
    <w:rsid w:val="008C6773"/>
    <w:rsid w:val="008C677A"/>
    <w:rsid w:val="008C6891"/>
    <w:rsid w:val="008C68CB"/>
    <w:rsid w:val="008C690E"/>
    <w:rsid w:val="008C697E"/>
    <w:rsid w:val="008C6AC2"/>
    <w:rsid w:val="008C6ADD"/>
    <w:rsid w:val="008C6AEC"/>
    <w:rsid w:val="008C6AF4"/>
    <w:rsid w:val="008C6B02"/>
    <w:rsid w:val="008C6B5D"/>
    <w:rsid w:val="008C6BA1"/>
    <w:rsid w:val="008C6C37"/>
    <w:rsid w:val="008C6C50"/>
    <w:rsid w:val="008C6C7E"/>
    <w:rsid w:val="008C6DA0"/>
    <w:rsid w:val="008C6EBA"/>
    <w:rsid w:val="008C6F22"/>
    <w:rsid w:val="008C6F5A"/>
    <w:rsid w:val="008C6FDC"/>
    <w:rsid w:val="008C6FE3"/>
    <w:rsid w:val="008C706F"/>
    <w:rsid w:val="008C7197"/>
    <w:rsid w:val="008C720B"/>
    <w:rsid w:val="008C7278"/>
    <w:rsid w:val="008C727A"/>
    <w:rsid w:val="008C7311"/>
    <w:rsid w:val="008C734F"/>
    <w:rsid w:val="008C73EC"/>
    <w:rsid w:val="008C7455"/>
    <w:rsid w:val="008C74D9"/>
    <w:rsid w:val="008C75C7"/>
    <w:rsid w:val="008C75F5"/>
    <w:rsid w:val="008C7621"/>
    <w:rsid w:val="008C7648"/>
    <w:rsid w:val="008C7675"/>
    <w:rsid w:val="008C7693"/>
    <w:rsid w:val="008C769A"/>
    <w:rsid w:val="008C76F6"/>
    <w:rsid w:val="008C7738"/>
    <w:rsid w:val="008C77D8"/>
    <w:rsid w:val="008C77E0"/>
    <w:rsid w:val="008C77F5"/>
    <w:rsid w:val="008C7833"/>
    <w:rsid w:val="008C7890"/>
    <w:rsid w:val="008C7895"/>
    <w:rsid w:val="008C78E4"/>
    <w:rsid w:val="008C7934"/>
    <w:rsid w:val="008C79C0"/>
    <w:rsid w:val="008C79EC"/>
    <w:rsid w:val="008C79F8"/>
    <w:rsid w:val="008C7A01"/>
    <w:rsid w:val="008C7A6C"/>
    <w:rsid w:val="008C7A93"/>
    <w:rsid w:val="008C7AA4"/>
    <w:rsid w:val="008C7BDA"/>
    <w:rsid w:val="008C7BFE"/>
    <w:rsid w:val="008C7C7A"/>
    <w:rsid w:val="008C7CB3"/>
    <w:rsid w:val="008C7CC2"/>
    <w:rsid w:val="008C7DF8"/>
    <w:rsid w:val="008C7EF9"/>
    <w:rsid w:val="008C7EFB"/>
    <w:rsid w:val="008C7F9E"/>
    <w:rsid w:val="008C7FDC"/>
    <w:rsid w:val="008C7FDF"/>
    <w:rsid w:val="008C7FEC"/>
    <w:rsid w:val="008C7FFE"/>
    <w:rsid w:val="008D00E1"/>
    <w:rsid w:val="008D0127"/>
    <w:rsid w:val="008D0155"/>
    <w:rsid w:val="008D01F0"/>
    <w:rsid w:val="008D02CF"/>
    <w:rsid w:val="008D02D5"/>
    <w:rsid w:val="008D02F9"/>
    <w:rsid w:val="008D03BC"/>
    <w:rsid w:val="008D03EE"/>
    <w:rsid w:val="008D042F"/>
    <w:rsid w:val="008D043A"/>
    <w:rsid w:val="008D04F2"/>
    <w:rsid w:val="008D0521"/>
    <w:rsid w:val="008D056A"/>
    <w:rsid w:val="008D05F6"/>
    <w:rsid w:val="008D066B"/>
    <w:rsid w:val="008D06CD"/>
    <w:rsid w:val="008D0710"/>
    <w:rsid w:val="008D0744"/>
    <w:rsid w:val="008D0822"/>
    <w:rsid w:val="008D0915"/>
    <w:rsid w:val="008D09D1"/>
    <w:rsid w:val="008D0A02"/>
    <w:rsid w:val="008D0A49"/>
    <w:rsid w:val="008D0A81"/>
    <w:rsid w:val="008D0A9C"/>
    <w:rsid w:val="008D0AAC"/>
    <w:rsid w:val="008D0ADD"/>
    <w:rsid w:val="008D0AF9"/>
    <w:rsid w:val="008D0B3F"/>
    <w:rsid w:val="008D0C0D"/>
    <w:rsid w:val="008D0CA0"/>
    <w:rsid w:val="008D0CDD"/>
    <w:rsid w:val="008D0DC8"/>
    <w:rsid w:val="008D0DE0"/>
    <w:rsid w:val="008D0EA7"/>
    <w:rsid w:val="008D0EE2"/>
    <w:rsid w:val="008D0F27"/>
    <w:rsid w:val="008D0F4B"/>
    <w:rsid w:val="008D0F9B"/>
    <w:rsid w:val="008D0FE0"/>
    <w:rsid w:val="008D0FE2"/>
    <w:rsid w:val="008D0FF4"/>
    <w:rsid w:val="008D100F"/>
    <w:rsid w:val="008D1058"/>
    <w:rsid w:val="008D1072"/>
    <w:rsid w:val="008D112D"/>
    <w:rsid w:val="008D119D"/>
    <w:rsid w:val="008D11B0"/>
    <w:rsid w:val="008D11C2"/>
    <w:rsid w:val="008D1271"/>
    <w:rsid w:val="008D12EB"/>
    <w:rsid w:val="008D1317"/>
    <w:rsid w:val="008D13CA"/>
    <w:rsid w:val="008D13EB"/>
    <w:rsid w:val="008D13F4"/>
    <w:rsid w:val="008D1412"/>
    <w:rsid w:val="008D1428"/>
    <w:rsid w:val="008D1479"/>
    <w:rsid w:val="008D149B"/>
    <w:rsid w:val="008D14BE"/>
    <w:rsid w:val="008D14D5"/>
    <w:rsid w:val="008D15B4"/>
    <w:rsid w:val="008D15D6"/>
    <w:rsid w:val="008D175C"/>
    <w:rsid w:val="008D1857"/>
    <w:rsid w:val="008D1867"/>
    <w:rsid w:val="008D1872"/>
    <w:rsid w:val="008D1900"/>
    <w:rsid w:val="008D1950"/>
    <w:rsid w:val="008D1953"/>
    <w:rsid w:val="008D1972"/>
    <w:rsid w:val="008D19C7"/>
    <w:rsid w:val="008D1A0F"/>
    <w:rsid w:val="008D1A8B"/>
    <w:rsid w:val="008D1AD2"/>
    <w:rsid w:val="008D1AFC"/>
    <w:rsid w:val="008D1B07"/>
    <w:rsid w:val="008D1B42"/>
    <w:rsid w:val="008D1B54"/>
    <w:rsid w:val="008D1CD9"/>
    <w:rsid w:val="008D1D15"/>
    <w:rsid w:val="008D1D36"/>
    <w:rsid w:val="008D1DE6"/>
    <w:rsid w:val="008D1E18"/>
    <w:rsid w:val="008D1E2E"/>
    <w:rsid w:val="008D1E6E"/>
    <w:rsid w:val="008D1EA6"/>
    <w:rsid w:val="008D1ECB"/>
    <w:rsid w:val="008D1EDD"/>
    <w:rsid w:val="008D1FF8"/>
    <w:rsid w:val="008D20C3"/>
    <w:rsid w:val="008D21A3"/>
    <w:rsid w:val="008D226E"/>
    <w:rsid w:val="008D22E2"/>
    <w:rsid w:val="008D2370"/>
    <w:rsid w:val="008D23C7"/>
    <w:rsid w:val="008D240F"/>
    <w:rsid w:val="008D245F"/>
    <w:rsid w:val="008D24D9"/>
    <w:rsid w:val="008D260B"/>
    <w:rsid w:val="008D261D"/>
    <w:rsid w:val="008D266D"/>
    <w:rsid w:val="008D2708"/>
    <w:rsid w:val="008D270B"/>
    <w:rsid w:val="008D27D0"/>
    <w:rsid w:val="008D28FF"/>
    <w:rsid w:val="008D2983"/>
    <w:rsid w:val="008D2994"/>
    <w:rsid w:val="008D29A5"/>
    <w:rsid w:val="008D29AE"/>
    <w:rsid w:val="008D2A4D"/>
    <w:rsid w:val="008D2C27"/>
    <w:rsid w:val="008D2C2B"/>
    <w:rsid w:val="008D2C61"/>
    <w:rsid w:val="008D2D34"/>
    <w:rsid w:val="008D2D56"/>
    <w:rsid w:val="008D2D8F"/>
    <w:rsid w:val="008D2DBE"/>
    <w:rsid w:val="008D2E62"/>
    <w:rsid w:val="008D2F49"/>
    <w:rsid w:val="008D2FBE"/>
    <w:rsid w:val="008D30C9"/>
    <w:rsid w:val="008D30D0"/>
    <w:rsid w:val="008D30FD"/>
    <w:rsid w:val="008D32BE"/>
    <w:rsid w:val="008D32EF"/>
    <w:rsid w:val="008D34DA"/>
    <w:rsid w:val="008D3539"/>
    <w:rsid w:val="008D354D"/>
    <w:rsid w:val="008D3572"/>
    <w:rsid w:val="008D3626"/>
    <w:rsid w:val="008D363A"/>
    <w:rsid w:val="008D365C"/>
    <w:rsid w:val="008D366F"/>
    <w:rsid w:val="008D3725"/>
    <w:rsid w:val="008D3752"/>
    <w:rsid w:val="008D381B"/>
    <w:rsid w:val="008D3867"/>
    <w:rsid w:val="008D38EA"/>
    <w:rsid w:val="008D393B"/>
    <w:rsid w:val="008D3972"/>
    <w:rsid w:val="008D3999"/>
    <w:rsid w:val="008D39FF"/>
    <w:rsid w:val="008D3A16"/>
    <w:rsid w:val="008D3A21"/>
    <w:rsid w:val="008D3A4A"/>
    <w:rsid w:val="008D3AE4"/>
    <w:rsid w:val="008D3AF2"/>
    <w:rsid w:val="008D3B0D"/>
    <w:rsid w:val="008D3B17"/>
    <w:rsid w:val="008D3B9D"/>
    <w:rsid w:val="008D3BB3"/>
    <w:rsid w:val="008D3BB7"/>
    <w:rsid w:val="008D3BF0"/>
    <w:rsid w:val="008D3CCB"/>
    <w:rsid w:val="008D3D49"/>
    <w:rsid w:val="008D3DEE"/>
    <w:rsid w:val="008D3E03"/>
    <w:rsid w:val="008D3E0C"/>
    <w:rsid w:val="008D3E48"/>
    <w:rsid w:val="008D3ED7"/>
    <w:rsid w:val="008D3F2A"/>
    <w:rsid w:val="008D3F2B"/>
    <w:rsid w:val="008D3F2E"/>
    <w:rsid w:val="008D3F94"/>
    <w:rsid w:val="008D3FB5"/>
    <w:rsid w:val="008D3FCB"/>
    <w:rsid w:val="008D400A"/>
    <w:rsid w:val="008D4051"/>
    <w:rsid w:val="008D407B"/>
    <w:rsid w:val="008D40A5"/>
    <w:rsid w:val="008D40D0"/>
    <w:rsid w:val="008D41B2"/>
    <w:rsid w:val="008D41CA"/>
    <w:rsid w:val="008D4248"/>
    <w:rsid w:val="008D4252"/>
    <w:rsid w:val="008D42D4"/>
    <w:rsid w:val="008D42F9"/>
    <w:rsid w:val="008D433B"/>
    <w:rsid w:val="008D4357"/>
    <w:rsid w:val="008D4368"/>
    <w:rsid w:val="008D43A2"/>
    <w:rsid w:val="008D43C1"/>
    <w:rsid w:val="008D444D"/>
    <w:rsid w:val="008D44CA"/>
    <w:rsid w:val="008D4579"/>
    <w:rsid w:val="008D4641"/>
    <w:rsid w:val="008D4670"/>
    <w:rsid w:val="008D472A"/>
    <w:rsid w:val="008D4939"/>
    <w:rsid w:val="008D4A03"/>
    <w:rsid w:val="008D4A29"/>
    <w:rsid w:val="008D4A35"/>
    <w:rsid w:val="008D4B4E"/>
    <w:rsid w:val="008D4BB6"/>
    <w:rsid w:val="008D4C7A"/>
    <w:rsid w:val="008D4C90"/>
    <w:rsid w:val="008D4C9E"/>
    <w:rsid w:val="008D4D55"/>
    <w:rsid w:val="008D4DEB"/>
    <w:rsid w:val="008D4E0B"/>
    <w:rsid w:val="008D4E34"/>
    <w:rsid w:val="008D4E4F"/>
    <w:rsid w:val="008D4E59"/>
    <w:rsid w:val="008D4FB5"/>
    <w:rsid w:val="008D5055"/>
    <w:rsid w:val="008D5057"/>
    <w:rsid w:val="008D5174"/>
    <w:rsid w:val="008D519D"/>
    <w:rsid w:val="008D525E"/>
    <w:rsid w:val="008D5299"/>
    <w:rsid w:val="008D52AE"/>
    <w:rsid w:val="008D538D"/>
    <w:rsid w:val="008D53B8"/>
    <w:rsid w:val="008D541B"/>
    <w:rsid w:val="008D54F9"/>
    <w:rsid w:val="008D557D"/>
    <w:rsid w:val="008D5625"/>
    <w:rsid w:val="008D5651"/>
    <w:rsid w:val="008D574E"/>
    <w:rsid w:val="008D5755"/>
    <w:rsid w:val="008D5781"/>
    <w:rsid w:val="008D5789"/>
    <w:rsid w:val="008D57F0"/>
    <w:rsid w:val="008D583B"/>
    <w:rsid w:val="008D589F"/>
    <w:rsid w:val="008D58EB"/>
    <w:rsid w:val="008D58FA"/>
    <w:rsid w:val="008D5947"/>
    <w:rsid w:val="008D5978"/>
    <w:rsid w:val="008D5979"/>
    <w:rsid w:val="008D59B6"/>
    <w:rsid w:val="008D5A07"/>
    <w:rsid w:val="008D5A6D"/>
    <w:rsid w:val="008D5CAD"/>
    <w:rsid w:val="008D5CDE"/>
    <w:rsid w:val="008D5D29"/>
    <w:rsid w:val="008D5E9E"/>
    <w:rsid w:val="008D5EAC"/>
    <w:rsid w:val="008D5FA3"/>
    <w:rsid w:val="008D61B0"/>
    <w:rsid w:val="008D61B7"/>
    <w:rsid w:val="008D61C4"/>
    <w:rsid w:val="008D6250"/>
    <w:rsid w:val="008D62B9"/>
    <w:rsid w:val="008D6377"/>
    <w:rsid w:val="008D63FC"/>
    <w:rsid w:val="008D64B0"/>
    <w:rsid w:val="008D6691"/>
    <w:rsid w:val="008D66B3"/>
    <w:rsid w:val="008D66CA"/>
    <w:rsid w:val="008D682C"/>
    <w:rsid w:val="008D685D"/>
    <w:rsid w:val="008D688F"/>
    <w:rsid w:val="008D68C8"/>
    <w:rsid w:val="008D69A1"/>
    <w:rsid w:val="008D69C1"/>
    <w:rsid w:val="008D69EB"/>
    <w:rsid w:val="008D6A32"/>
    <w:rsid w:val="008D6A3A"/>
    <w:rsid w:val="008D6B10"/>
    <w:rsid w:val="008D6B1B"/>
    <w:rsid w:val="008D6BC6"/>
    <w:rsid w:val="008D6C7B"/>
    <w:rsid w:val="008D6DFB"/>
    <w:rsid w:val="008D6E2A"/>
    <w:rsid w:val="008D6EA7"/>
    <w:rsid w:val="008D6F4B"/>
    <w:rsid w:val="008D6FE2"/>
    <w:rsid w:val="008D700A"/>
    <w:rsid w:val="008D704F"/>
    <w:rsid w:val="008D71A0"/>
    <w:rsid w:val="008D71FA"/>
    <w:rsid w:val="008D7233"/>
    <w:rsid w:val="008D725A"/>
    <w:rsid w:val="008D72D8"/>
    <w:rsid w:val="008D7371"/>
    <w:rsid w:val="008D7479"/>
    <w:rsid w:val="008D74E3"/>
    <w:rsid w:val="008D7515"/>
    <w:rsid w:val="008D7599"/>
    <w:rsid w:val="008D75DE"/>
    <w:rsid w:val="008D7602"/>
    <w:rsid w:val="008D7621"/>
    <w:rsid w:val="008D7648"/>
    <w:rsid w:val="008D77CE"/>
    <w:rsid w:val="008D7813"/>
    <w:rsid w:val="008D78CE"/>
    <w:rsid w:val="008D7926"/>
    <w:rsid w:val="008D79C1"/>
    <w:rsid w:val="008D7B12"/>
    <w:rsid w:val="008D7CC7"/>
    <w:rsid w:val="008D7D27"/>
    <w:rsid w:val="008D7D87"/>
    <w:rsid w:val="008D7DC2"/>
    <w:rsid w:val="008D7DDA"/>
    <w:rsid w:val="008D7E2D"/>
    <w:rsid w:val="008D7E60"/>
    <w:rsid w:val="008D7EF4"/>
    <w:rsid w:val="008E0045"/>
    <w:rsid w:val="008E0071"/>
    <w:rsid w:val="008E0099"/>
    <w:rsid w:val="008E01CC"/>
    <w:rsid w:val="008E022E"/>
    <w:rsid w:val="008E026C"/>
    <w:rsid w:val="008E02AF"/>
    <w:rsid w:val="008E02B5"/>
    <w:rsid w:val="008E02D1"/>
    <w:rsid w:val="008E02D8"/>
    <w:rsid w:val="008E032A"/>
    <w:rsid w:val="008E0416"/>
    <w:rsid w:val="008E0505"/>
    <w:rsid w:val="008E060A"/>
    <w:rsid w:val="008E06D6"/>
    <w:rsid w:val="008E0701"/>
    <w:rsid w:val="008E076A"/>
    <w:rsid w:val="008E07A7"/>
    <w:rsid w:val="008E07EE"/>
    <w:rsid w:val="008E08C6"/>
    <w:rsid w:val="008E0929"/>
    <w:rsid w:val="008E09AA"/>
    <w:rsid w:val="008E09ED"/>
    <w:rsid w:val="008E0B11"/>
    <w:rsid w:val="008E0C75"/>
    <w:rsid w:val="008E0C8D"/>
    <w:rsid w:val="008E0C9A"/>
    <w:rsid w:val="008E0D8F"/>
    <w:rsid w:val="008E0DB0"/>
    <w:rsid w:val="008E0DB3"/>
    <w:rsid w:val="008E0E31"/>
    <w:rsid w:val="008E0E53"/>
    <w:rsid w:val="008E0E56"/>
    <w:rsid w:val="008E0E89"/>
    <w:rsid w:val="008E0EB0"/>
    <w:rsid w:val="008E0EB3"/>
    <w:rsid w:val="008E0EB8"/>
    <w:rsid w:val="008E0ECD"/>
    <w:rsid w:val="008E0F19"/>
    <w:rsid w:val="008E1009"/>
    <w:rsid w:val="008E10C8"/>
    <w:rsid w:val="008E10D4"/>
    <w:rsid w:val="008E12A8"/>
    <w:rsid w:val="008E12EE"/>
    <w:rsid w:val="008E135E"/>
    <w:rsid w:val="008E13D0"/>
    <w:rsid w:val="008E144C"/>
    <w:rsid w:val="008E147C"/>
    <w:rsid w:val="008E1520"/>
    <w:rsid w:val="008E1543"/>
    <w:rsid w:val="008E15BE"/>
    <w:rsid w:val="008E1664"/>
    <w:rsid w:val="008E16A0"/>
    <w:rsid w:val="008E1722"/>
    <w:rsid w:val="008E173A"/>
    <w:rsid w:val="008E1820"/>
    <w:rsid w:val="008E182E"/>
    <w:rsid w:val="008E1871"/>
    <w:rsid w:val="008E1915"/>
    <w:rsid w:val="008E1993"/>
    <w:rsid w:val="008E1AD3"/>
    <w:rsid w:val="008E1B4C"/>
    <w:rsid w:val="008E1DC4"/>
    <w:rsid w:val="008E1E8D"/>
    <w:rsid w:val="008E1EB6"/>
    <w:rsid w:val="008E1EBD"/>
    <w:rsid w:val="008E1FD7"/>
    <w:rsid w:val="008E1FE6"/>
    <w:rsid w:val="008E1FE9"/>
    <w:rsid w:val="008E20B0"/>
    <w:rsid w:val="008E2125"/>
    <w:rsid w:val="008E2132"/>
    <w:rsid w:val="008E2179"/>
    <w:rsid w:val="008E225B"/>
    <w:rsid w:val="008E2262"/>
    <w:rsid w:val="008E228B"/>
    <w:rsid w:val="008E22DF"/>
    <w:rsid w:val="008E23AC"/>
    <w:rsid w:val="008E23C0"/>
    <w:rsid w:val="008E241D"/>
    <w:rsid w:val="008E2498"/>
    <w:rsid w:val="008E24AF"/>
    <w:rsid w:val="008E2505"/>
    <w:rsid w:val="008E25AF"/>
    <w:rsid w:val="008E25D5"/>
    <w:rsid w:val="008E2612"/>
    <w:rsid w:val="008E26E4"/>
    <w:rsid w:val="008E2719"/>
    <w:rsid w:val="008E276C"/>
    <w:rsid w:val="008E280B"/>
    <w:rsid w:val="008E2829"/>
    <w:rsid w:val="008E288F"/>
    <w:rsid w:val="008E28A2"/>
    <w:rsid w:val="008E28E4"/>
    <w:rsid w:val="008E2966"/>
    <w:rsid w:val="008E29CE"/>
    <w:rsid w:val="008E2A5A"/>
    <w:rsid w:val="008E2A8C"/>
    <w:rsid w:val="008E2AE0"/>
    <w:rsid w:val="008E2B49"/>
    <w:rsid w:val="008E2C90"/>
    <w:rsid w:val="008E2CEF"/>
    <w:rsid w:val="008E2DA6"/>
    <w:rsid w:val="008E2DCE"/>
    <w:rsid w:val="008E2DEB"/>
    <w:rsid w:val="008E2E3B"/>
    <w:rsid w:val="008E2E8C"/>
    <w:rsid w:val="008E2EDE"/>
    <w:rsid w:val="008E2F7E"/>
    <w:rsid w:val="008E2FB9"/>
    <w:rsid w:val="008E2FD0"/>
    <w:rsid w:val="008E3046"/>
    <w:rsid w:val="008E305A"/>
    <w:rsid w:val="008E30F5"/>
    <w:rsid w:val="008E3161"/>
    <w:rsid w:val="008E3162"/>
    <w:rsid w:val="008E3236"/>
    <w:rsid w:val="008E325E"/>
    <w:rsid w:val="008E32D4"/>
    <w:rsid w:val="008E33D1"/>
    <w:rsid w:val="008E3409"/>
    <w:rsid w:val="008E340D"/>
    <w:rsid w:val="008E3431"/>
    <w:rsid w:val="008E3570"/>
    <w:rsid w:val="008E35AD"/>
    <w:rsid w:val="008E362E"/>
    <w:rsid w:val="008E3688"/>
    <w:rsid w:val="008E36D8"/>
    <w:rsid w:val="008E36FB"/>
    <w:rsid w:val="008E3778"/>
    <w:rsid w:val="008E377B"/>
    <w:rsid w:val="008E37AB"/>
    <w:rsid w:val="008E37AC"/>
    <w:rsid w:val="008E37D8"/>
    <w:rsid w:val="008E37DF"/>
    <w:rsid w:val="008E38C6"/>
    <w:rsid w:val="008E3997"/>
    <w:rsid w:val="008E39A8"/>
    <w:rsid w:val="008E3A12"/>
    <w:rsid w:val="008E3A21"/>
    <w:rsid w:val="008E3A92"/>
    <w:rsid w:val="008E3B65"/>
    <w:rsid w:val="008E3B96"/>
    <w:rsid w:val="008E3BEA"/>
    <w:rsid w:val="008E3C1E"/>
    <w:rsid w:val="008E3C63"/>
    <w:rsid w:val="008E3C70"/>
    <w:rsid w:val="008E3C9C"/>
    <w:rsid w:val="008E3DB7"/>
    <w:rsid w:val="008E3DDE"/>
    <w:rsid w:val="008E3DEE"/>
    <w:rsid w:val="008E3E4D"/>
    <w:rsid w:val="008E3E9F"/>
    <w:rsid w:val="008E3EF6"/>
    <w:rsid w:val="008E3F17"/>
    <w:rsid w:val="008E3F3C"/>
    <w:rsid w:val="008E3F4D"/>
    <w:rsid w:val="008E3F9A"/>
    <w:rsid w:val="008E40B1"/>
    <w:rsid w:val="008E40CD"/>
    <w:rsid w:val="008E40E9"/>
    <w:rsid w:val="008E416D"/>
    <w:rsid w:val="008E41B2"/>
    <w:rsid w:val="008E41DD"/>
    <w:rsid w:val="008E42B0"/>
    <w:rsid w:val="008E42F4"/>
    <w:rsid w:val="008E4398"/>
    <w:rsid w:val="008E43B7"/>
    <w:rsid w:val="008E4542"/>
    <w:rsid w:val="008E4556"/>
    <w:rsid w:val="008E457A"/>
    <w:rsid w:val="008E4683"/>
    <w:rsid w:val="008E4751"/>
    <w:rsid w:val="008E4763"/>
    <w:rsid w:val="008E47FB"/>
    <w:rsid w:val="008E489A"/>
    <w:rsid w:val="008E48A7"/>
    <w:rsid w:val="008E48FF"/>
    <w:rsid w:val="008E491D"/>
    <w:rsid w:val="008E4988"/>
    <w:rsid w:val="008E4A03"/>
    <w:rsid w:val="008E4A11"/>
    <w:rsid w:val="008E4A1E"/>
    <w:rsid w:val="008E4A30"/>
    <w:rsid w:val="008E4A8B"/>
    <w:rsid w:val="008E4BED"/>
    <w:rsid w:val="008E4C31"/>
    <w:rsid w:val="008E4D03"/>
    <w:rsid w:val="008E4D62"/>
    <w:rsid w:val="008E4DAC"/>
    <w:rsid w:val="008E4DDB"/>
    <w:rsid w:val="008E4DE9"/>
    <w:rsid w:val="008E4E08"/>
    <w:rsid w:val="008E4E0F"/>
    <w:rsid w:val="008E4EC8"/>
    <w:rsid w:val="008E5047"/>
    <w:rsid w:val="008E5100"/>
    <w:rsid w:val="008E51A1"/>
    <w:rsid w:val="008E51EF"/>
    <w:rsid w:val="008E5210"/>
    <w:rsid w:val="008E5361"/>
    <w:rsid w:val="008E53AC"/>
    <w:rsid w:val="008E53F7"/>
    <w:rsid w:val="008E54C3"/>
    <w:rsid w:val="008E54ED"/>
    <w:rsid w:val="008E5505"/>
    <w:rsid w:val="008E572B"/>
    <w:rsid w:val="008E5799"/>
    <w:rsid w:val="008E57FE"/>
    <w:rsid w:val="008E580B"/>
    <w:rsid w:val="008E5826"/>
    <w:rsid w:val="008E58C2"/>
    <w:rsid w:val="008E594E"/>
    <w:rsid w:val="008E5B8F"/>
    <w:rsid w:val="008E5BB6"/>
    <w:rsid w:val="008E5C77"/>
    <w:rsid w:val="008E5CC3"/>
    <w:rsid w:val="008E5D74"/>
    <w:rsid w:val="008E5E21"/>
    <w:rsid w:val="008E5E77"/>
    <w:rsid w:val="008E5EB4"/>
    <w:rsid w:val="008E5EDF"/>
    <w:rsid w:val="008E5EEA"/>
    <w:rsid w:val="008E5F0E"/>
    <w:rsid w:val="008E5F94"/>
    <w:rsid w:val="008E603A"/>
    <w:rsid w:val="008E6041"/>
    <w:rsid w:val="008E60D7"/>
    <w:rsid w:val="008E61C2"/>
    <w:rsid w:val="008E61DE"/>
    <w:rsid w:val="008E634C"/>
    <w:rsid w:val="008E6355"/>
    <w:rsid w:val="008E63AF"/>
    <w:rsid w:val="008E63C1"/>
    <w:rsid w:val="008E63F6"/>
    <w:rsid w:val="008E640B"/>
    <w:rsid w:val="008E6411"/>
    <w:rsid w:val="008E64D6"/>
    <w:rsid w:val="008E6597"/>
    <w:rsid w:val="008E6599"/>
    <w:rsid w:val="008E65CE"/>
    <w:rsid w:val="008E65D5"/>
    <w:rsid w:val="008E66B8"/>
    <w:rsid w:val="008E670B"/>
    <w:rsid w:val="008E671B"/>
    <w:rsid w:val="008E6749"/>
    <w:rsid w:val="008E6758"/>
    <w:rsid w:val="008E6781"/>
    <w:rsid w:val="008E67BC"/>
    <w:rsid w:val="008E67EC"/>
    <w:rsid w:val="008E6834"/>
    <w:rsid w:val="008E687C"/>
    <w:rsid w:val="008E68E5"/>
    <w:rsid w:val="008E68F1"/>
    <w:rsid w:val="008E6904"/>
    <w:rsid w:val="008E692C"/>
    <w:rsid w:val="008E69BB"/>
    <w:rsid w:val="008E6A9B"/>
    <w:rsid w:val="008E6B46"/>
    <w:rsid w:val="008E6BDA"/>
    <w:rsid w:val="008E6C1F"/>
    <w:rsid w:val="008E6DE2"/>
    <w:rsid w:val="008E6DE7"/>
    <w:rsid w:val="008E6E34"/>
    <w:rsid w:val="008E6F29"/>
    <w:rsid w:val="008E6F5A"/>
    <w:rsid w:val="008E6F77"/>
    <w:rsid w:val="008E6FBA"/>
    <w:rsid w:val="008E7003"/>
    <w:rsid w:val="008E702C"/>
    <w:rsid w:val="008E709D"/>
    <w:rsid w:val="008E70C3"/>
    <w:rsid w:val="008E70FC"/>
    <w:rsid w:val="008E7124"/>
    <w:rsid w:val="008E71D7"/>
    <w:rsid w:val="008E7299"/>
    <w:rsid w:val="008E72C6"/>
    <w:rsid w:val="008E72E0"/>
    <w:rsid w:val="008E7320"/>
    <w:rsid w:val="008E7354"/>
    <w:rsid w:val="008E737D"/>
    <w:rsid w:val="008E7396"/>
    <w:rsid w:val="008E73AC"/>
    <w:rsid w:val="008E73B3"/>
    <w:rsid w:val="008E73C1"/>
    <w:rsid w:val="008E73EA"/>
    <w:rsid w:val="008E740C"/>
    <w:rsid w:val="008E7411"/>
    <w:rsid w:val="008E747A"/>
    <w:rsid w:val="008E748B"/>
    <w:rsid w:val="008E74B3"/>
    <w:rsid w:val="008E74BB"/>
    <w:rsid w:val="008E74BD"/>
    <w:rsid w:val="008E7569"/>
    <w:rsid w:val="008E772B"/>
    <w:rsid w:val="008E7863"/>
    <w:rsid w:val="008E794C"/>
    <w:rsid w:val="008E795C"/>
    <w:rsid w:val="008E796A"/>
    <w:rsid w:val="008E7985"/>
    <w:rsid w:val="008E7A03"/>
    <w:rsid w:val="008E7A3A"/>
    <w:rsid w:val="008E7A60"/>
    <w:rsid w:val="008E7AB2"/>
    <w:rsid w:val="008E7AEA"/>
    <w:rsid w:val="008E7B55"/>
    <w:rsid w:val="008E7BAA"/>
    <w:rsid w:val="008E7BAC"/>
    <w:rsid w:val="008E7BE8"/>
    <w:rsid w:val="008E7C4A"/>
    <w:rsid w:val="008E7C61"/>
    <w:rsid w:val="008E7D06"/>
    <w:rsid w:val="008E7D0C"/>
    <w:rsid w:val="008E7D82"/>
    <w:rsid w:val="008E7DA9"/>
    <w:rsid w:val="008E7DD5"/>
    <w:rsid w:val="008E7E3D"/>
    <w:rsid w:val="008E7E4A"/>
    <w:rsid w:val="008E7E74"/>
    <w:rsid w:val="008E7F23"/>
    <w:rsid w:val="008E7F2A"/>
    <w:rsid w:val="008E7F41"/>
    <w:rsid w:val="008E7FF8"/>
    <w:rsid w:val="008F010E"/>
    <w:rsid w:val="008F0151"/>
    <w:rsid w:val="008F0170"/>
    <w:rsid w:val="008F01FA"/>
    <w:rsid w:val="008F0256"/>
    <w:rsid w:val="008F02A8"/>
    <w:rsid w:val="008F02C5"/>
    <w:rsid w:val="008F03B4"/>
    <w:rsid w:val="008F0408"/>
    <w:rsid w:val="008F042B"/>
    <w:rsid w:val="008F044C"/>
    <w:rsid w:val="008F04E3"/>
    <w:rsid w:val="008F0532"/>
    <w:rsid w:val="008F0548"/>
    <w:rsid w:val="008F0585"/>
    <w:rsid w:val="008F058F"/>
    <w:rsid w:val="008F05AF"/>
    <w:rsid w:val="008F05C0"/>
    <w:rsid w:val="008F064F"/>
    <w:rsid w:val="008F0653"/>
    <w:rsid w:val="008F06C0"/>
    <w:rsid w:val="008F06EF"/>
    <w:rsid w:val="008F071D"/>
    <w:rsid w:val="008F0734"/>
    <w:rsid w:val="008F0741"/>
    <w:rsid w:val="008F075C"/>
    <w:rsid w:val="008F0761"/>
    <w:rsid w:val="008F0896"/>
    <w:rsid w:val="008F093E"/>
    <w:rsid w:val="008F0A8C"/>
    <w:rsid w:val="008F0AAB"/>
    <w:rsid w:val="008F0AB3"/>
    <w:rsid w:val="008F0AF2"/>
    <w:rsid w:val="008F0B13"/>
    <w:rsid w:val="008F0C1B"/>
    <w:rsid w:val="008F0CE3"/>
    <w:rsid w:val="008F0DC9"/>
    <w:rsid w:val="008F0DDE"/>
    <w:rsid w:val="008F0E68"/>
    <w:rsid w:val="008F0E79"/>
    <w:rsid w:val="008F0E81"/>
    <w:rsid w:val="008F0F0E"/>
    <w:rsid w:val="008F0F35"/>
    <w:rsid w:val="008F0F3F"/>
    <w:rsid w:val="008F0F84"/>
    <w:rsid w:val="008F0FB4"/>
    <w:rsid w:val="008F0FBF"/>
    <w:rsid w:val="008F10D0"/>
    <w:rsid w:val="008F1120"/>
    <w:rsid w:val="008F112E"/>
    <w:rsid w:val="008F1152"/>
    <w:rsid w:val="008F11CF"/>
    <w:rsid w:val="008F1266"/>
    <w:rsid w:val="008F126E"/>
    <w:rsid w:val="008F129C"/>
    <w:rsid w:val="008F12D2"/>
    <w:rsid w:val="008F13E7"/>
    <w:rsid w:val="008F13EE"/>
    <w:rsid w:val="008F142C"/>
    <w:rsid w:val="008F14B3"/>
    <w:rsid w:val="008F169F"/>
    <w:rsid w:val="008F173D"/>
    <w:rsid w:val="008F17C2"/>
    <w:rsid w:val="008F17C8"/>
    <w:rsid w:val="008F1822"/>
    <w:rsid w:val="008F1838"/>
    <w:rsid w:val="008F1839"/>
    <w:rsid w:val="008F18AA"/>
    <w:rsid w:val="008F1974"/>
    <w:rsid w:val="008F1A7A"/>
    <w:rsid w:val="008F1AF1"/>
    <w:rsid w:val="008F1BD9"/>
    <w:rsid w:val="008F1CB0"/>
    <w:rsid w:val="008F1CEE"/>
    <w:rsid w:val="008F1D36"/>
    <w:rsid w:val="008F1D94"/>
    <w:rsid w:val="008F1DE4"/>
    <w:rsid w:val="008F1EBD"/>
    <w:rsid w:val="008F1ED9"/>
    <w:rsid w:val="008F1F4D"/>
    <w:rsid w:val="008F1F5E"/>
    <w:rsid w:val="008F20F0"/>
    <w:rsid w:val="008F2161"/>
    <w:rsid w:val="008F21C9"/>
    <w:rsid w:val="008F21D0"/>
    <w:rsid w:val="008F21DB"/>
    <w:rsid w:val="008F220B"/>
    <w:rsid w:val="008F2249"/>
    <w:rsid w:val="008F2324"/>
    <w:rsid w:val="008F23DF"/>
    <w:rsid w:val="008F2437"/>
    <w:rsid w:val="008F247E"/>
    <w:rsid w:val="008F248A"/>
    <w:rsid w:val="008F24E6"/>
    <w:rsid w:val="008F24E8"/>
    <w:rsid w:val="008F2500"/>
    <w:rsid w:val="008F253F"/>
    <w:rsid w:val="008F2604"/>
    <w:rsid w:val="008F26D2"/>
    <w:rsid w:val="008F2700"/>
    <w:rsid w:val="008F279A"/>
    <w:rsid w:val="008F27A9"/>
    <w:rsid w:val="008F2817"/>
    <w:rsid w:val="008F282B"/>
    <w:rsid w:val="008F2833"/>
    <w:rsid w:val="008F28A6"/>
    <w:rsid w:val="008F293E"/>
    <w:rsid w:val="008F2976"/>
    <w:rsid w:val="008F2998"/>
    <w:rsid w:val="008F29B8"/>
    <w:rsid w:val="008F29DF"/>
    <w:rsid w:val="008F2AA6"/>
    <w:rsid w:val="008F2ACD"/>
    <w:rsid w:val="008F2C10"/>
    <w:rsid w:val="008F2C65"/>
    <w:rsid w:val="008F2C66"/>
    <w:rsid w:val="008F2D73"/>
    <w:rsid w:val="008F2D90"/>
    <w:rsid w:val="008F2DF5"/>
    <w:rsid w:val="008F2E3E"/>
    <w:rsid w:val="008F2EC3"/>
    <w:rsid w:val="008F2FAB"/>
    <w:rsid w:val="008F3060"/>
    <w:rsid w:val="008F30A2"/>
    <w:rsid w:val="008F30E2"/>
    <w:rsid w:val="008F3398"/>
    <w:rsid w:val="008F3406"/>
    <w:rsid w:val="008F343F"/>
    <w:rsid w:val="008F34BE"/>
    <w:rsid w:val="008F354C"/>
    <w:rsid w:val="008F359D"/>
    <w:rsid w:val="008F35E8"/>
    <w:rsid w:val="008F3684"/>
    <w:rsid w:val="008F368A"/>
    <w:rsid w:val="008F36BE"/>
    <w:rsid w:val="008F36F4"/>
    <w:rsid w:val="008F3863"/>
    <w:rsid w:val="008F3933"/>
    <w:rsid w:val="008F394A"/>
    <w:rsid w:val="008F39AF"/>
    <w:rsid w:val="008F3A3A"/>
    <w:rsid w:val="008F3AA1"/>
    <w:rsid w:val="008F3AA6"/>
    <w:rsid w:val="008F3BB4"/>
    <w:rsid w:val="008F3C9B"/>
    <w:rsid w:val="008F3D36"/>
    <w:rsid w:val="008F3D99"/>
    <w:rsid w:val="008F3E5B"/>
    <w:rsid w:val="008F3F2A"/>
    <w:rsid w:val="008F3FDA"/>
    <w:rsid w:val="008F3FFA"/>
    <w:rsid w:val="008F4168"/>
    <w:rsid w:val="008F4193"/>
    <w:rsid w:val="008F42BA"/>
    <w:rsid w:val="008F43FD"/>
    <w:rsid w:val="008F4468"/>
    <w:rsid w:val="008F44DD"/>
    <w:rsid w:val="008F4503"/>
    <w:rsid w:val="008F4579"/>
    <w:rsid w:val="008F4606"/>
    <w:rsid w:val="008F4632"/>
    <w:rsid w:val="008F48CD"/>
    <w:rsid w:val="008F48D5"/>
    <w:rsid w:val="008F4998"/>
    <w:rsid w:val="008F4A34"/>
    <w:rsid w:val="008F4AB7"/>
    <w:rsid w:val="008F4B05"/>
    <w:rsid w:val="008F4C03"/>
    <w:rsid w:val="008F4C27"/>
    <w:rsid w:val="008F4C40"/>
    <w:rsid w:val="008F4C50"/>
    <w:rsid w:val="008F4C63"/>
    <w:rsid w:val="008F4CF9"/>
    <w:rsid w:val="008F4D14"/>
    <w:rsid w:val="008F4DFE"/>
    <w:rsid w:val="008F4EFB"/>
    <w:rsid w:val="008F4FE5"/>
    <w:rsid w:val="008F4FFF"/>
    <w:rsid w:val="008F50CA"/>
    <w:rsid w:val="008F511B"/>
    <w:rsid w:val="008F5149"/>
    <w:rsid w:val="008F51B0"/>
    <w:rsid w:val="008F526B"/>
    <w:rsid w:val="008F52C9"/>
    <w:rsid w:val="008F534F"/>
    <w:rsid w:val="008F5389"/>
    <w:rsid w:val="008F540A"/>
    <w:rsid w:val="008F54E3"/>
    <w:rsid w:val="008F55B2"/>
    <w:rsid w:val="008F55FB"/>
    <w:rsid w:val="008F568B"/>
    <w:rsid w:val="008F579A"/>
    <w:rsid w:val="008F57CA"/>
    <w:rsid w:val="008F5885"/>
    <w:rsid w:val="008F58CE"/>
    <w:rsid w:val="008F58E4"/>
    <w:rsid w:val="008F592E"/>
    <w:rsid w:val="008F5941"/>
    <w:rsid w:val="008F594D"/>
    <w:rsid w:val="008F59BD"/>
    <w:rsid w:val="008F5A4D"/>
    <w:rsid w:val="008F5C29"/>
    <w:rsid w:val="008F5C3C"/>
    <w:rsid w:val="008F5C75"/>
    <w:rsid w:val="008F5CAD"/>
    <w:rsid w:val="008F5D13"/>
    <w:rsid w:val="008F5D2D"/>
    <w:rsid w:val="008F5D6E"/>
    <w:rsid w:val="008F5E59"/>
    <w:rsid w:val="008F5EC8"/>
    <w:rsid w:val="008F5F7F"/>
    <w:rsid w:val="008F5FA5"/>
    <w:rsid w:val="008F5FD6"/>
    <w:rsid w:val="008F5FED"/>
    <w:rsid w:val="008F60C5"/>
    <w:rsid w:val="008F6106"/>
    <w:rsid w:val="008F61C1"/>
    <w:rsid w:val="008F6212"/>
    <w:rsid w:val="008F6250"/>
    <w:rsid w:val="008F6465"/>
    <w:rsid w:val="008F64F8"/>
    <w:rsid w:val="008F6544"/>
    <w:rsid w:val="008F669C"/>
    <w:rsid w:val="008F66F6"/>
    <w:rsid w:val="008F6777"/>
    <w:rsid w:val="008F6857"/>
    <w:rsid w:val="008F6912"/>
    <w:rsid w:val="008F6930"/>
    <w:rsid w:val="008F693E"/>
    <w:rsid w:val="008F6A0B"/>
    <w:rsid w:val="008F6A17"/>
    <w:rsid w:val="008F6A54"/>
    <w:rsid w:val="008F6B1D"/>
    <w:rsid w:val="008F6B2C"/>
    <w:rsid w:val="008F6B48"/>
    <w:rsid w:val="008F6CA9"/>
    <w:rsid w:val="008F6E17"/>
    <w:rsid w:val="008F6EFD"/>
    <w:rsid w:val="008F6F6F"/>
    <w:rsid w:val="008F705C"/>
    <w:rsid w:val="008F7100"/>
    <w:rsid w:val="008F717E"/>
    <w:rsid w:val="008F721A"/>
    <w:rsid w:val="008F72B3"/>
    <w:rsid w:val="008F72B7"/>
    <w:rsid w:val="008F72FD"/>
    <w:rsid w:val="008F73D5"/>
    <w:rsid w:val="008F7412"/>
    <w:rsid w:val="008F7440"/>
    <w:rsid w:val="008F7474"/>
    <w:rsid w:val="008F749D"/>
    <w:rsid w:val="008F74A6"/>
    <w:rsid w:val="008F74FA"/>
    <w:rsid w:val="008F751E"/>
    <w:rsid w:val="008F757A"/>
    <w:rsid w:val="008F757C"/>
    <w:rsid w:val="008F7594"/>
    <w:rsid w:val="008F75F4"/>
    <w:rsid w:val="008F774E"/>
    <w:rsid w:val="008F77F2"/>
    <w:rsid w:val="008F7819"/>
    <w:rsid w:val="008F7858"/>
    <w:rsid w:val="008F785A"/>
    <w:rsid w:val="008F787B"/>
    <w:rsid w:val="008F7940"/>
    <w:rsid w:val="008F7A49"/>
    <w:rsid w:val="008F7AF6"/>
    <w:rsid w:val="008F7B07"/>
    <w:rsid w:val="008F7BC9"/>
    <w:rsid w:val="008F7BD6"/>
    <w:rsid w:val="008F7D6E"/>
    <w:rsid w:val="008F7DA5"/>
    <w:rsid w:val="008F7E07"/>
    <w:rsid w:val="008F7E17"/>
    <w:rsid w:val="008F7E55"/>
    <w:rsid w:val="008F7E9A"/>
    <w:rsid w:val="008F7EC3"/>
    <w:rsid w:val="008F7EE1"/>
    <w:rsid w:val="008F7EF7"/>
    <w:rsid w:val="008F7FBD"/>
    <w:rsid w:val="0090005C"/>
    <w:rsid w:val="009000B3"/>
    <w:rsid w:val="00900165"/>
    <w:rsid w:val="00900175"/>
    <w:rsid w:val="009001F7"/>
    <w:rsid w:val="009002F6"/>
    <w:rsid w:val="00900306"/>
    <w:rsid w:val="00900417"/>
    <w:rsid w:val="0090047C"/>
    <w:rsid w:val="0090047F"/>
    <w:rsid w:val="009004A0"/>
    <w:rsid w:val="009006C7"/>
    <w:rsid w:val="009006D8"/>
    <w:rsid w:val="009006FB"/>
    <w:rsid w:val="009007C0"/>
    <w:rsid w:val="00900879"/>
    <w:rsid w:val="0090088B"/>
    <w:rsid w:val="009008C8"/>
    <w:rsid w:val="009009B5"/>
    <w:rsid w:val="00900A1D"/>
    <w:rsid w:val="00900AE7"/>
    <w:rsid w:val="00900B5F"/>
    <w:rsid w:val="00900B66"/>
    <w:rsid w:val="00900C41"/>
    <w:rsid w:val="00900C6F"/>
    <w:rsid w:val="00900CC5"/>
    <w:rsid w:val="00900D41"/>
    <w:rsid w:val="00900DD8"/>
    <w:rsid w:val="00900E17"/>
    <w:rsid w:val="00900E18"/>
    <w:rsid w:val="00900E68"/>
    <w:rsid w:val="00900E6F"/>
    <w:rsid w:val="00900EAA"/>
    <w:rsid w:val="00900ED2"/>
    <w:rsid w:val="00900F87"/>
    <w:rsid w:val="00900FEA"/>
    <w:rsid w:val="009010D0"/>
    <w:rsid w:val="0090113A"/>
    <w:rsid w:val="00901146"/>
    <w:rsid w:val="00901192"/>
    <w:rsid w:val="0090121B"/>
    <w:rsid w:val="00901275"/>
    <w:rsid w:val="009012F8"/>
    <w:rsid w:val="009013EF"/>
    <w:rsid w:val="009014FE"/>
    <w:rsid w:val="00901527"/>
    <w:rsid w:val="009015E4"/>
    <w:rsid w:val="009016A2"/>
    <w:rsid w:val="009016EA"/>
    <w:rsid w:val="00901786"/>
    <w:rsid w:val="009017CB"/>
    <w:rsid w:val="009017F8"/>
    <w:rsid w:val="009017FC"/>
    <w:rsid w:val="009019ED"/>
    <w:rsid w:val="00901A6C"/>
    <w:rsid w:val="00901ADD"/>
    <w:rsid w:val="00901AF3"/>
    <w:rsid w:val="00901B16"/>
    <w:rsid w:val="00901B45"/>
    <w:rsid w:val="00901B8D"/>
    <w:rsid w:val="00901BA6"/>
    <w:rsid w:val="00901BDE"/>
    <w:rsid w:val="00901CFE"/>
    <w:rsid w:val="00901D1A"/>
    <w:rsid w:val="00901D5D"/>
    <w:rsid w:val="00901E16"/>
    <w:rsid w:val="00901E97"/>
    <w:rsid w:val="00901EF4"/>
    <w:rsid w:val="00901F2A"/>
    <w:rsid w:val="0090200A"/>
    <w:rsid w:val="0090211F"/>
    <w:rsid w:val="0090216D"/>
    <w:rsid w:val="0090227E"/>
    <w:rsid w:val="00902304"/>
    <w:rsid w:val="009023BA"/>
    <w:rsid w:val="009023D7"/>
    <w:rsid w:val="009023E7"/>
    <w:rsid w:val="00902413"/>
    <w:rsid w:val="00902447"/>
    <w:rsid w:val="0090246A"/>
    <w:rsid w:val="00902476"/>
    <w:rsid w:val="0090248D"/>
    <w:rsid w:val="009025A6"/>
    <w:rsid w:val="00902643"/>
    <w:rsid w:val="0090265E"/>
    <w:rsid w:val="0090274F"/>
    <w:rsid w:val="0090276A"/>
    <w:rsid w:val="00902815"/>
    <w:rsid w:val="0090287B"/>
    <w:rsid w:val="009028C7"/>
    <w:rsid w:val="0090299F"/>
    <w:rsid w:val="009029B5"/>
    <w:rsid w:val="009029BC"/>
    <w:rsid w:val="00902A1D"/>
    <w:rsid w:val="00902A81"/>
    <w:rsid w:val="00902A98"/>
    <w:rsid w:val="00902A9B"/>
    <w:rsid w:val="00902B09"/>
    <w:rsid w:val="00902C1A"/>
    <w:rsid w:val="00902C2F"/>
    <w:rsid w:val="00902C6F"/>
    <w:rsid w:val="00902CFB"/>
    <w:rsid w:val="00902EFD"/>
    <w:rsid w:val="00902F8C"/>
    <w:rsid w:val="00902F96"/>
    <w:rsid w:val="00902F9F"/>
    <w:rsid w:val="00902FC0"/>
    <w:rsid w:val="00902FC2"/>
    <w:rsid w:val="0090303D"/>
    <w:rsid w:val="00903095"/>
    <w:rsid w:val="009030B8"/>
    <w:rsid w:val="0090314C"/>
    <w:rsid w:val="00903151"/>
    <w:rsid w:val="00903193"/>
    <w:rsid w:val="00903271"/>
    <w:rsid w:val="0090328F"/>
    <w:rsid w:val="00903381"/>
    <w:rsid w:val="00903396"/>
    <w:rsid w:val="0090342C"/>
    <w:rsid w:val="0090348D"/>
    <w:rsid w:val="009034C5"/>
    <w:rsid w:val="0090359A"/>
    <w:rsid w:val="00903636"/>
    <w:rsid w:val="0090370B"/>
    <w:rsid w:val="0090371E"/>
    <w:rsid w:val="0090372C"/>
    <w:rsid w:val="0090380B"/>
    <w:rsid w:val="00903842"/>
    <w:rsid w:val="009038E6"/>
    <w:rsid w:val="00903974"/>
    <w:rsid w:val="00903999"/>
    <w:rsid w:val="00903ABE"/>
    <w:rsid w:val="00903AC7"/>
    <w:rsid w:val="00903B28"/>
    <w:rsid w:val="00903B4E"/>
    <w:rsid w:val="00903B84"/>
    <w:rsid w:val="00903C02"/>
    <w:rsid w:val="00903C8C"/>
    <w:rsid w:val="00903D90"/>
    <w:rsid w:val="00903DD4"/>
    <w:rsid w:val="00903ECE"/>
    <w:rsid w:val="00903F20"/>
    <w:rsid w:val="00903F6E"/>
    <w:rsid w:val="00903F7C"/>
    <w:rsid w:val="00903F90"/>
    <w:rsid w:val="00903FBF"/>
    <w:rsid w:val="00903FFC"/>
    <w:rsid w:val="00904029"/>
    <w:rsid w:val="00904135"/>
    <w:rsid w:val="00904141"/>
    <w:rsid w:val="00904193"/>
    <w:rsid w:val="009041D4"/>
    <w:rsid w:val="0090423B"/>
    <w:rsid w:val="0090423D"/>
    <w:rsid w:val="00904247"/>
    <w:rsid w:val="009042BF"/>
    <w:rsid w:val="00904334"/>
    <w:rsid w:val="009043B2"/>
    <w:rsid w:val="009043E8"/>
    <w:rsid w:val="00904467"/>
    <w:rsid w:val="00904523"/>
    <w:rsid w:val="009045B7"/>
    <w:rsid w:val="009045D2"/>
    <w:rsid w:val="009045EB"/>
    <w:rsid w:val="009045F4"/>
    <w:rsid w:val="00904654"/>
    <w:rsid w:val="00904664"/>
    <w:rsid w:val="0090467C"/>
    <w:rsid w:val="009046C0"/>
    <w:rsid w:val="00904784"/>
    <w:rsid w:val="009048A3"/>
    <w:rsid w:val="009048B7"/>
    <w:rsid w:val="00904941"/>
    <w:rsid w:val="009049B4"/>
    <w:rsid w:val="009049C6"/>
    <w:rsid w:val="00904A5E"/>
    <w:rsid w:val="00904ABF"/>
    <w:rsid w:val="00904B0C"/>
    <w:rsid w:val="00904B56"/>
    <w:rsid w:val="00904BD8"/>
    <w:rsid w:val="00904BF6"/>
    <w:rsid w:val="00904BF9"/>
    <w:rsid w:val="00904C0B"/>
    <w:rsid w:val="00904C1E"/>
    <w:rsid w:val="00904C75"/>
    <w:rsid w:val="00904CB6"/>
    <w:rsid w:val="00904D0F"/>
    <w:rsid w:val="00904D50"/>
    <w:rsid w:val="00904D79"/>
    <w:rsid w:val="00904EBD"/>
    <w:rsid w:val="00904F16"/>
    <w:rsid w:val="00904F61"/>
    <w:rsid w:val="0090503D"/>
    <w:rsid w:val="00905082"/>
    <w:rsid w:val="009050B7"/>
    <w:rsid w:val="009050BC"/>
    <w:rsid w:val="009050E1"/>
    <w:rsid w:val="009050FD"/>
    <w:rsid w:val="00905125"/>
    <w:rsid w:val="00905209"/>
    <w:rsid w:val="00905310"/>
    <w:rsid w:val="009053B1"/>
    <w:rsid w:val="009053C6"/>
    <w:rsid w:val="009053D3"/>
    <w:rsid w:val="00905405"/>
    <w:rsid w:val="00905529"/>
    <w:rsid w:val="00905552"/>
    <w:rsid w:val="00905689"/>
    <w:rsid w:val="00905697"/>
    <w:rsid w:val="00905724"/>
    <w:rsid w:val="00905810"/>
    <w:rsid w:val="0090581A"/>
    <w:rsid w:val="009058F1"/>
    <w:rsid w:val="00905966"/>
    <w:rsid w:val="0090599F"/>
    <w:rsid w:val="009059A4"/>
    <w:rsid w:val="009059F3"/>
    <w:rsid w:val="00905A2D"/>
    <w:rsid w:val="00905A47"/>
    <w:rsid w:val="00905AC7"/>
    <w:rsid w:val="00905B8C"/>
    <w:rsid w:val="00905C30"/>
    <w:rsid w:val="00905CB2"/>
    <w:rsid w:val="00905D17"/>
    <w:rsid w:val="00905D41"/>
    <w:rsid w:val="00905E84"/>
    <w:rsid w:val="00906069"/>
    <w:rsid w:val="009060DA"/>
    <w:rsid w:val="00906112"/>
    <w:rsid w:val="0090616B"/>
    <w:rsid w:val="009061AD"/>
    <w:rsid w:val="009061D6"/>
    <w:rsid w:val="00906203"/>
    <w:rsid w:val="00906212"/>
    <w:rsid w:val="00906225"/>
    <w:rsid w:val="0090624E"/>
    <w:rsid w:val="00906331"/>
    <w:rsid w:val="00906362"/>
    <w:rsid w:val="00906387"/>
    <w:rsid w:val="0090638B"/>
    <w:rsid w:val="0090638D"/>
    <w:rsid w:val="009063AD"/>
    <w:rsid w:val="0090644C"/>
    <w:rsid w:val="00906554"/>
    <w:rsid w:val="00906584"/>
    <w:rsid w:val="0090661B"/>
    <w:rsid w:val="0090663C"/>
    <w:rsid w:val="00906657"/>
    <w:rsid w:val="0090689F"/>
    <w:rsid w:val="009068DF"/>
    <w:rsid w:val="0090691E"/>
    <w:rsid w:val="009069DB"/>
    <w:rsid w:val="009069F4"/>
    <w:rsid w:val="00906A62"/>
    <w:rsid w:val="00906AB0"/>
    <w:rsid w:val="00906AC9"/>
    <w:rsid w:val="00906ADE"/>
    <w:rsid w:val="00906B2B"/>
    <w:rsid w:val="00906B31"/>
    <w:rsid w:val="00906C86"/>
    <w:rsid w:val="00906C93"/>
    <w:rsid w:val="00906CB3"/>
    <w:rsid w:val="00906D3C"/>
    <w:rsid w:val="00906DEF"/>
    <w:rsid w:val="00906DFF"/>
    <w:rsid w:val="00906EAA"/>
    <w:rsid w:val="00906EB0"/>
    <w:rsid w:val="00906F34"/>
    <w:rsid w:val="00906F38"/>
    <w:rsid w:val="00906F5C"/>
    <w:rsid w:val="00906FDD"/>
    <w:rsid w:val="00906FFE"/>
    <w:rsid w:val="00907062"/>
    <w:rsid w:val="0090710F"/>
    <w:rsid w:val="0090711E"/>
    <w:rsid w:val="00907172"/>
    <w:rsid w:val="009071AF"/>
    <w:rsid w:val="009071C5"/>
    <w:rsid w:val="009071F2"/>
    <w:rsid w:val="00907290"/>
    <w:rsid w:val="009072AF"/>
    <w:rsid w:val="009072C5"/>
    <w:rsid w:val="00907355"/>
    <w:rsid w:val="009073D2"/>
    <w:rsid w:val="009073D6"/>
    <w:rsid w:val="009073E3"/>
    <w:rsid w:val="00907405"/>
    <w:rsid w:val="0090742F"/>
    <w:rsid w:val="00907452"/>
    <w:rsid w:val="00907461"/>
    <w:rsid w:val="00907490"/>
    <w:rsid w:val="009074B8"/>
    <w:rsid w:val="009074DF"/>
    <w:rsid w:val="009074F4"/>
    <w:rsid w:val="00907535"/>
    <w:rsid w:val="00907555"/>
    <w:rsid w:val="0090758C"/>
    <w:rsid w:val="009075C7"/>
    <w:rsid w:val="00907608"/>
    <w:rsid w:val="00907692"/>
    <w:rsid w:val="00907694"/>
    <w:rsid w:val="00907826"/>
    <w:rsid w:val="00907868"/>
    <w:rsid w:val="00907872"/>
    <w:rsid w:val="00907873"/>
    <w:rsid w:val="00907896"/>
    <w:rsid w:val="009078BA"/>
    <w:rsid w:val="00907903"/>
    <w:rsid w:val="009079A1"/>
    <w:rsid w:val="00907BB1"/>
    <w:rsid w:val="00907C85"/>
    <w:rsid w:val="00907CCE"/>
    <w:rsid w:val="00907DDE"/>
    <w:rsid w:val="00907E63"/>
    <w:rsid w:val="00907E78"/>
    <w:rsid w:val="00907EAC"/>
    <w:rsid w:val="00907EDA"/>
    <w:rsid w:val="00907EE9"/>
    <w:rsid w:val="00907F33"/>
    <w:rsid w:val="00907F60"/>
    <w:rsid w:val="00907F6A"/>
    <w:rsid w:val="00907FC1"/>
    <w:rsid w:val="00910079"/>
    <w:rsid w:val="0091017F"/>
    <w:rsid w:val="0091022B"/>
    <w:rsid w:val="0091025B"/>
    <w:rsid w:val="009102FC"/>
    <w:rsid w:val="0091041D"/>
    <w:rsid w:val="0091048E"/>
    <w:rsid w:val="009105A7"/>
    <w:rsid w:val="00910646"/>
    <w:rsid w:val="0091069E"/>
    <w:rsid w:val="009106D4"/>
    <w:rsid w:val="00910779"/>
    <w:rsid w:val="00910922"/>
    <w:rsid w:val="009109E8"/>
    <w:rsid w:val="00910B23"/>
    <w:rsid w:val="00910B80"/>
    <w:rsid w:val="00910C3B"/>
    <w:rsid w:val="00910C59"/>
    <w:rsid w:val="00910D36"/>
    <w:rsid w:val="00910E0C"/>
    <w:rsid w:val="00910E54"/>
    <w:rsid w:val="00910EBF"/>
    <w:rsid w:val="00910EE2"/>
    <w:rsid w:val="00910FB7"/>
    <w:rsid w:val="00910FC1"/>
    <w:rsid w:val="00910FDC"/>
    <w:rsid w:val="00910FE0"/>
    <w:rsid w:val="00910FED"/>
    <w:rsid w:val="00911083"/>
    <w:rsid w:val="00911090"/>
    <w:rsid w:val="009110A1"/>
    <w:rsid w:val="00911111"/>
    <w:rsid w:val="0091113A"/>
    <w:rsid w:val="009111AC"/>
    <w:rsid w:val="009112E1"/>
    <w:rsid w:val="009113A5"/>
    <w:rsid w:val="0091145D"/>
    <w:rsid w:val="009114DE"/>
    <w:rsid w:val="0091152E"/>
    <w:rsid w:val="009115D6"/>
    <w:rsid w:val="009115F0"/>
    <w:rsid w:val="00911619"/>
    <w:rsid w:val="00911630"/>
    <w:rsid w:val="00911666"/>
    <w:rsid w:val="0091168D"/>
    <w:rsid w:val="00911790"/>
    <w:rsid w:val="009117AB"/>
    <w:rsid w:val="00911867"/>
    <w:rsid w:val="009119BD"/>
    <w:rsid w:val="00911A06"/>
    <w:rsid w:val="00911A27"/>
    <w:rsid w:val="00911A4B"/>
    <w:rsid w:val="00911ABF"/>
    <w:rsid w:val="00911AC5"/>
    <w:rsid w:val="00911ACD"/>
    <w:rsid w:val="00911B31"/>
    <w:rsid w:val="00911B7A"/>
    <w:rsid w:val="00911BA2"/>
    <w:rsid w:val="00911BD5"/>
    <w:rsid w:val="00911C80"/>
    <w:rsid w:val="00911CAB"/>
    <w:rsid w:val="00911D36"/>
    <w:rsid w:val="00911D52"/>
    <w:rsid w:val="00911D5F"/>
    <w:rsid w:val="00911D9A"/>
    <w:rsid w:val="00911DC7"/>
    <w:rsid w:val="00911E30"/>
    <w:rsid w:val="00911E45"/>
    <w:rsid w:val="00911E4C"/>
    <w:rsid w:val="00911EA8"/>
    <w:rsid w:val="00911EE1"/>
    <w:rsid w:val="00911F01"/>
    <w:rsid w:val="00911F95"/>
    <w:rsid w:val="00911FC7"/>
    <w:rsid w:val="0091202C"/>
    <w:rsid w:val="0091205A"/>
    <w:rsid w:val="00912161"/>
    <w:rsid w:val="00912231"/>
    <w:rsid w:val="009122FF"/>
    <w:rsid w:val="00912385"/>
    <w:rsid w:val="0091247B"/>
    <w:rsid w:val="0091247D"/>
    <w:rsid w:val="0091266A"/>
    <w:rsid w:val="00912671"/>
    <w:rsid w:val="00912695"/>
    <w:rsid w:val="0091269F"/>
    <w:rsid w:val="009126A4"/>
    <w:rsid w:val="009126F1"/>
    <w:rsid w:val="00912776"/>
    <w:rsid w:val="00912796"/>
    <w:rsid w:val="00912822"/>
    <w:rsid w:val="00912846"/>
    <w:rsid w:val="009128C4"/>
    <w:rsid w:val="00912AB3"/>
    <w:rsid w:val="00912AC6"/>
    <w:rsid w:val="00912B30"/>
    <w:rsid w:val="00912B83"/>
    <w:rsid w:val="00912C5E"/>
    <w:rsid w:val="00912C66"/>
    <w:rsid w:val="00912C9C"/>
    <w:rsid w:val="00912CD9"/>
    <w:rsid w:val="00912DC1"/>
    <w:rsid w:val="00912E87"/>
    <w:rsid w:val="00912E9B"/>
    <w:rsid w:val="00912F71"/>
    <w:rsid w:val="00912F8D"/>
    <w:rsid w:val="0091308B"/>
    <w:rsid w:val="00913098"/>
    <w:rsid w:val="00913127"/>
    <w:rsid w:val="0091316F"/>
    <w:rsid w:val="00913170"/>
    <w:rsid w:val="009131A5"/>
    <w:rsid w:val="009131B8"/>
    <w:rsid w:val="0091329F"/>
    <w:rsid w:val="0091330D"/>
    <w:rsid w:val="00913354"/>
    <w:rsid w:val="0091345A"/>
    <w:rsid w:val="009134B5"/>
    <w:rsid w:val="009134BF"/>
    <w:rsid w:val="009134FE"/>
    <w:rsid w:val="0091351B"/>
    <w:rsid w:val="009135B2"/>
    <w:rsid w:val="009135FF"/>
    <w:rsid w:val="00913619"/>
    <w:rsid w:val="0091362B"/>
    <w:rsid w:val="00913669"/>
    <w:rsid w:val="009136E3"/>
    <w:rsid w:val="009136EA"/>
    <w:rsid w:val="00913824"/>
    <w:rsid w:val="00913867"/>
    <w:rsid w:val="00913873"/>
    <w:rsid w:val="00913876"/>
    <w:rsid w:val="009138A1"/>
    <w:rsid w:val="009138D0"/>
    <w:rsid w:val="00913A30"/>
    <w:rsid w:val="00913A97"/>
    <w:rsid w:val="00913B67"/>
    <w:rsid w:val="00913BB3"/>
    <w:rsid w:val="00913C1D"/>
    <w:rsid w:val="00913C4E"/>
    <w:rsid w:val="00913CA7"/>
    <w:rsid w:val="00913CB4"/>
    <w:rsid w:val="00913EEE"/>
    <w:rsid w:val="00913FA1"/>
    <w:rsid w:val="00913FBF"/>
    <w:rsid w:val="00913FD6"/>
    <w:rsid w:val="00913FE7"/>
    <w:rsid w:val="009140E8"/>
    <w:rsid w:val="0091417C"/>
    <w:rsid w:val="0091418C"/>
    <w:rsid w:val="009142DC"/>
    <w:rsid w:val="00914439"/>
    <w:rsid w:val="00914452"/>
    <w:rsid w:val="0091450C"/>
    <w:rsid w:val="00914521"/>
    <w:rsid w:val="0091456F"/>
    <w:rsid w:val="00914588"/>
    <w:rsid w:val="009146C7"/>
    <w:rsid w:val="0091472B"/>
    <w:rsid w:val="009147AE"/>
    <w:rsid w:val="009147C3"/>
    <w:rsid w:val="00914861"/>
    <w:rsid w:val="009148A7"/>
    <w:rsid w:val="00914982"/>
    <w:rsid w:val="009149F8"/>
    <w:rsid w:val="00914A16"/>
    <w:rsid w:val="00914AA0"/>
    <w:rsid w:val="00914ADC"/>
    <w:rsid w:val="00914D21"/>
    <w:rsid w:val="00914D9A"/>
    <w:rsid w:val="00914E6E"/>
    <w:rsid w:val="00914EBE"/>
    <w:rsid w:val="00914EF7"/>
    <w:rsid w:val="00914F21"/>
    <w:rsid w:val="00914F4C"/>
    <w:rsid w:val="0091501E"/>
    <w:rsid w:val="0091518C"/>
    <w:rsid w:val="009152BD"/>
    <w:rsid w:val="009152F7"/>
    <w:rsid w:val="009152F9"/>
    <w:rsid w:val="00915302"/>
    <w:rsid w:val="0091536B"/>
    <w:rsid w:val="00915462"/>
    <w:rsid w:val="009154C5"/>
    <w:rsid w:val="009154EC"/>
    <w:rsid w:val="00915549"/>
    <w:rsid w:val="00915596"/>
    <w:rsid w:val="00915627"/>
    <w:rsid w:val="00915640"/>
    <w:rsid w:val="00915655"/>
    <w:rsid w:val="0091577E"/>
    <w:rsid w:val="009157B8"/>
    <w:rsid w:val="0091580C"/>
    <w:rsid w:val="009158AC"/>
    <w:rsid w:val="009158C3"/>
    <w:rsid w:val="00915903"/>
    <w:rsid w:val="00915919"/>
    <w:rsid w:val="009159C4"/>
    <w:rsid w:val="00915AC4"/>
    <w:rsid w:val="00915B1B"/>
    <w:rsid w:val="00915BD6"/>
    <w:rsid w:val="00915C67"/>
    <w:rsid w:val="00915C91"/>
    <w:rsid w:val="00915CC6"/>
    <w:rsid w:val="00915D24"/>
    <w:rsid w:val="00915DB7"/>
    <w:rsid w:val="00915E12"/>
    <w:rsid w:val="00915E57"/>
    <w:rsid w:val="00915E68"/>
    <w:rsid w:val="00915E91"/>
    <w:rsid w:val="00915EC1"/>
    <w:rsid w:val="00915FD0"/>
    <w:rsid w:val="0091602D"/>
    <w:rsid w:val="009160BE"/>
    <w:rsid w:val="009160F7"/>
    <w:rsid w:val="009160FC"/>
    <w:rsid w:val="00916237"/>
    <w:rsid w:val="0091629D"/>
    <w:rsid w:val="0091634B"/>
    <w:rsid w:val="009163EF"/>
    <w:rsid w:val="0091642F"/>
    <w:rsid w:val="00916539"/>
    <w:rsid w:val="009165EB"/>
    <w:rsid w:val="00916693"/>
    <w:rsid w:val="009166B9"/>
    <w:rsid w:val="00916737"/>
    <w:rsid w:val="00916748"/>
    <w:rsid w:val="00916782"/>
    <w:rsid w:val="009168BA"/>
    <w:rsid w:val="0091693B"/>
    <w:rsid w:val="00916990"/>
    <w:rsid w:val="009169CF"/>
    <w:rsid w:val="00916ADA"/>
    <w:rsid w:val="00916AED"/>
    <w:rsid w:val="00916BD3"/>
    <w:rsid w:val="00916CA9"/>
    <w:rsid w:val="00916E77"/>
    <w:rsid w:val="00917022"/>
    <w:rsid w:val="00917085"/>
    <w:rsid w:val="0091709A"/>
    <w:rsid w:val="009170D5"/>
    <w:rsid w:val="009170E9"/>
    <w:rsid w:val="009170FA"/>
    <w:rsid w:val="00917109"/>
    <w:rsid w:val="009171A3"/>
    <w:rsid w:val="009171D2"/>
    <w:rsid w:val="009171D5"/>
    <w:rsid w:val="00917231"/>
    <w:rsid w:val="0091727D"/>
    <w:rsid w:val="00917332"/>
    <w:rsid w:val="00917343"/>
    <w:rsid w:val="00917349"/>
    <w:rsid w:val="009173BA"/>
    <w:rsid w:val="00917429"/>
    <w:rsid w:val="0091743B"/>
    <w:rsid w:val="0091747A"/>
    <w:rsid w:val="00917583"/>
    <w:rsid w:val="009175E3"/>
    <w:rsid w:val="00917618"/>
    <w:rsid w:val="009176A9"/>
    <w:rsid w:val="00917790"/>
    <w:rsid w:val="0091781E"/>
    <w:rsid w:val="00917833"/>
    <w:rsid w:val="00917842"/>
    <w:rsid w:val="009178ED"/>
    <w:rsid w:val="00917A25"/>
    <w:rsid w:val="00917A35"/>
    <w:rsid w:val="00917ADA"/>
    <w:rsid w:val="00917BB4"/>
    <w:rsid w:val="00917BC5"/>
    <w:rsid w:val="00917C6F"/>
    <w:rsid w:val="00917C80"/>
    <w:rsid w:val="00917CE4"/>
    <w:rsid w:val="00917DFD"/>
    <w:rsid w:val="00917E13"/>
    <w:rsid w:val="00917F11"/>
    <w:rsid w:val="00917F2A"/>
    <w:rsid w:val="00917FA3"/>
    <w:rsid w:val="00917FBF"/>
    <w:rsid w:val="00917FC7"/>
    <w:rsid w:val="00920002"/>
    <w:rsid w:val="0092000A"/>
    <w:rsid w:val="009200E6"/>
    <w:rsid w:val="00920112"/>
    <w:rsid w:val="0092014D"/>
    <w:rsid w:val="00920160"/>
    <w:rsid w:val="0092016B"/>
    <w:rsid w:val="009201CA"/>
    <w:rsid w:val="00920240"/>
    <w:rsid w:val="0092029C"/>
    <w:rsid w:val="009202DC"/>
    <w:rsid w:val="009203E1"/>
    <w:rsid w:val="0092046D"/>
    <w:rsid w:val="009204AE"/>
    <w:rsid w:val="009204F0"/>
    <w:rsid w:val="00920500"/>
    <w:rsid w:val="009205CF"/>
    <w:rsid w:val="0092061D"/>
    <w:rsid w:val="00920656"/>
    <w:rsid w:val="00920724"/>
    <w:rsid w:val="0092075D"/>
    <w:rsid w:val="00920922"/>
    <w:rsid w:val="0092094E"/>
    <w:rsid w:val="00920997"/>
    <w:rsid w:val="00920B6C"/>
    <w:rsid w:val="00920B9D"/>
    <w:rsid w:val="00920BC7"/>
    <w:rsid w:val="00920BDB"/>
    <w:rsid w:val="00920C1E"/>
    <w:rsid w:val="00920D04"/>
    <w:rsid w:val="00920D13"/>
    <w:rsid w:val="00920D6C"/>
    <w:rsid w:val="00920DA3"/>
    <w:rsid w:val="00920DAC"/>
    <w:rsid w:val="00920DCC"/>
    <w:rsid w:val="00920DF9"/>
    <w:rsid w:val="00920E2F"/>
    <w:rsid w:val="00920F66"/>
    <w:rsid w:val="00920FFC"/>
    <w:rsid w:val="009211AF"/>
    <w:rsid w:val="009211B9"/>
    <w:rsid w:val="009212A0"/>
    <w:rsid w:val="009212D4"/>
    <w:rsid w:val="0092132E"/>
    <w:rsid w:val="0092136A"/>
    <w:rsid w:val="009213CA"/>
    <w:rsid w:val="009213F1"/>
    <w:rsid w:val="009214D5"/>
    <w:rsid w:val="00921546"/>
    <w:rsid w:val="0092158B"/>
    <w:rsid w:val="009215B5"/>
    <w:rsid w:val="009215B8"/>
    <w:rsid w:val="009215D0"/>
    <w:rsid w:val="0092164B"/>
    <w:rsid w:val="009216CE"/>
    <w:rsid w:val="009216EF"/>
    <w:rsid w:val="0092170A"/>
    <w:rsid w:val="0092177F"/>
    <w:rsid w:val="009217DB"/>
    <w:rsid w:val="0092187D"/>
    <w:rsid w:val="009218D7"/>
    <w:rsid w:val="00921974"/>
    <w:rsid w:val="00921977"/>
    <w:rsid w:val="0092197F"/>
    <w:rsid w:val="00921A39"/>
    <w:rsid w:val="00921AA3"/>
    <w:rsid w:val="00921B48"/>
    <w:rsid w:val="00921B85"/>
    <w:rsid w:val="00921C07"/>
    <w:rsid w:val="00921CA5"/>
    <w:rsid w:val="00921CE6"/>
    <w:rsid w:val="00921D2E"/>
    <w:rsid w:val="00921E3E"/>
    <w:rsid w:val="00921EC4"/>
    <w:rsid w:val="00921EC5"/>
    <w:rsid w:val="00921EF1"/>
    <w:rsid w:val="00921F41"/>
    <w:rsid w:val="00921F72"/>
    <w:rsid w:val="00921F7F"/>
    <w:rsid w:val="00921F81"/>
    <w:rsid w:val="00921FA4"/>
    <w:rsid w:val="00922010"/>
    <w:rsid w:val="00922030"/>
    <w:rsid w:val="00922048"/>
    <w:rsid w:val="00922057"/>
    <w:rsid w:val="0092209B"/>
    <w:rsid w:val="009220F1"/>
    <w:rsid w:val="009220FA"/>
    <w:rsid w:val="00922114"/>
    <w:rsid w:val="009221A7"/>
    <w:rsid w:val="009221B8"/>
    <w:rsid w:val="009221E1"/>
    <w:rsid w:val="00922258"/>
    <w:rsid w:val="0092227E"/>
    <w:rsid w:val="00922288"/>
    <w:rsid w:val="0092229A"/>
    <w:rsid w:val="009222A8"/>
    <w:rsid w:val="009222D7"/>
    <w:rsid w:val="009222E6"/>
    <w:rsid w:val="0092240A"/>
    <w:rsid w:val="0092244A"/>
    <w:rsid w:val="009224DC"/>
    <w:rsid w:val="009225B6"/>
    <w:rsid w:val="009225C2"/>
    <w:rsid w:val="00922601"/>
    <w:rsid w:val="0092267B"/>
    <w:rsid w:val="0092269C"/>
    <w:rsid w:val="009226E7"/>
    <w:rsid w:val="00922804"/>
    <w:rsid w:val="009228F9"/>
    <w:rsid w:val="00922904"/>
    <w:rsid w:val="0092291F"/>
    <w:rsid w:val="00922968"/>
    <w:rsid w:val="00922A5A"/>
    <w:rsid w:val="00922B1C"/>
    <w:rsid w:val="00922B83"/>
    <w:rsid w:val="00922B8B"/>
    <w:rsid w:val="00922BD8"/>
    <w:rsid w:val="00922BFF"/>
    <w:rsid w:val="00922C71"/>
    <w:rsid w:val="00922CBA"/>
    <w:rsid w:val="00922CD2"/>
    <w:rsid w:val="00922D4E"/>
    <w:rsid w:val="00922D64"/>
    <w:rsid w:val="00922D77"/>
    <w:rsid w:val="00922DB4"/>
    <w:rsid w:val="00922E0C"/>
    <w:rsid w:val="00922EBF"/>
    <w:rsid w:val="00922F47"/>
    <w:rsid w:val="00922F48"/>
    <w:rsid w:val="00922F70"/>
    <w:rsid w:val="00922F80"/>
    <w:rsid w:val="00922F82"/>
    <w:rsid w:val="00922F87"/>
    <w:rsid w:val="00922F99"/>
    <w:rsid w:val="00922FDB"/>
    <w:rsid w:val="009230ED"/>
    <w:rsid w:val="009230F3"/>
    <w:rsid w:val="0092317B"/>
    <w:rsid w:val="00923188"/>
    <w:rsid w:val="009231BE"/>
    <w:rsid w:val="0092320E"/>
    <w:rsid w:val="009232A1"/>
    <w:rsid w:val="009232D0"/>
    <w:rsid w:val="00923320"/>
    <w:rsid w:val="00923338"/>
    <w:rsid w:val="00923352"/>
    <w:rsid w:val="00923362"/>
    <w:rsid w:val="009233DA"/>
    <w:rsid w:val="009233FF"/>
    <w:rsid w:val="00923403"/>
    <w:rsid w:val="0092348E"/>
    <w:rsid w:val="009234EC"/>
    <w:rsid w:val="00923522"/>
    <w:rsid w:val="0092352D"/>
    <w:rsid w:val="00923612"/>
    <w:rsid w:val="00923659"/>
    <w:rsid w:val="00923703"/>
    <w:rsid w:val="00923708"/>
    <w:rsid w:val="0092372E"/>
    <w:rsid w:val="0092375C"/>
    <w:rsid w:val="009237A4"/>
    <w:rsid w:val="009237BD"/>
    <w:rsid w:val="009237CA"/>
    <w:rsid w:val="00923960"/>
    <w:rsid w:val="009239A6"/>
    <w:rsid w:val="009239D5"/>
    <w:rsid w:val="00923A29"/>
    <w:rsid w:val="00923C05"/>
    <w:rsid w:val="00923DAD"/>
    <w:rsid w:val="00923DF3"/>
    <w:rsid w:val="00923E7C"/>
    <w:rsid w:val="00923ED9"/>
    <w:rsid w:val="00923F1F"/>
    <w:rsid w:val="00923F7D"/>
    <w:rsid w:val="00923FF0"/>
    <w:rsid w:val="0092404F"/>
    <w:rsid w:val="00924110"/>
    <w:rsid w:val="00924124"/>
    <w:rsid w:val="00924196"/>
    <w:rsid w:val="00924312"/>
    <w:rsid w:val="0092436C"/>
    <w:rsid w:val="0092439E"/>
    <w:rsid w:val="009243F3"/>
    <w:rsid w:val="0092441A"/>
    <w:rsid w:val="0092444A"/>
    <w:rsid w:val="009244D3"/>
    <w:rsid w:val="00924523"/>
    <w:rsid w:val="00924684"/>
    <w:rsid w:val="009246BD"/>
    <w:rsid w:val="00924828"/>
    <w:rsid w:val="009249C4"/>
    <w:rsid w:val="00924A96"/>
    <w:rsid w:val="00924B17"/>
    <w:rsid w:val="00924BC8"/>
    <w:rsid w:val="00924CC8"/>
    <w:rsid w:val="00924CD3"/>
    <w:rsid w:val="00924CE1"/>
    <w:rsid w:val="00924CE6"/>
    <w:rsid w:val="00924D41"/>
    <w:rsid w:val="00924DA0"/>
    <w:rsid w:val="00924DF6"/>
    <w:rsid w:val="00924E02"/>
    <w:rsid w:val="00924E60"/>
    <w:rsid w:val="00924E66"/>
    <w:rsid w:val="00924E84"/>
    <w:rsid w:val="00924EB6"/>
    <w:rsid w:val="00924EF5"/>
    <w:rsid w:val="00924EF6"/>
    <w:rsid w:val="00924F27"/>
    <w:rsid w:val="00924F52"/>
    <w:rsid w:val="00924F79"/>
    <w:rsid w:val="00924FF5"/>
    <w:rsid w:val="0092511A"/>
    <w:rsid w:val="00925228"/>
    <w:rsid w:val="0092525E"/>
    <w:rsid w:val="0092529F"/>
    <w:rsid w:val="0092540F"/>
    <w:rsid w:val="0092549F"/>
    <w:rsid w:val="00925549"/>
    <w:rsid w:val="00925636"/>
    <w:rsid w:val="0092564D"/>
    <w:rsid w:val="00925693"/>
    <w:rsid w:val="00925710"/>
    <w:rsid w:val="009258A7"/>
    <w:rsid w:val="00925965"/>
    <w:rsid w:val="00925969"/>
    <w:rsid w:val="009259A0"/>
    <w:rsid w:val="009259C6"/>
    <w:rsid w:val="00925A5F"/>
    <w:rsid w:val="00925AC3"/>
    <w:rsid w:val="00925AD1"/>
    <w:rsid w:val="00925B0B"/>
    <w:rsid w:val="00925B46"/>
    <w:rsid w:val="00925B5E"/>
    <w:rsid w:val="00925BDC"/>
    <w:rsid w:val="00925C97"/>
    <w:rsid w:val="00925CE5"/>
    <w:rsid w:val="00925D0A"/>
    <w:rsid w:val="00925DBC"/>
    <w:rsid w:val="00925DC2"/>
    <w:rsid w:val="00925DCD"/>
    <w:rsid w:val="00925DD6"/>
    <w:rsid w:val="00925E0E"/>
    <w:rsid w:val="00925E9D"/>
    <w:rsid w:val="00925F0F"/>
    <w:rsid w:val="00926122"/>
    <w:rsid w:val="0092612E"/>
    <w:rsid w:val="00926192"/>
    <w:rsid w:val="0092619D"/>
    <w:rsid w:val="00926217"/>
    <w:rsid w:val="0092652E"/>
    <w:rsid w:val="00926552"/>
    <w:rsid w:val="00926579"/>
    <w:rsid w:val="00926589"/>
    <w:rsid w:val="009265C0"/>
    <w:rsid w:val="009265C2"/>
    <w:rsid w:val="009265CD"/>
    <w:rsid w:val="00926739"/>
    <w:rsid w:val="009267A8"/>
    <w:rsid w:val="009267D8"/>
    <w:rsid w:val="0092689E"/>
    <w:rsid w:val="00926A18"/>
    <w:rsid w:val="00926A40"/>
    <w:rsid w:val="00926A6A"/>
    <w:rsid w:val="00926AE1"/>
    <w:rsid w:val="00926AE8"/>
    <w:rsid w:val="00926B24"/>
    <w:rsid w:val="00926B46"/>
    <w:rsid w:val="00926D13"/>
    <w:rsid w:val="00926D28"/>
    <w:rsid w:val="00926EF2"/>
    <w:rsid w:val="00926F0A"/>
    <w:rsid w:val="00926F24"/>
    <w:rsid w:val="00926FED"/>
    <w:rsid w:val="00926FFC"/>
    <w:rsid w:val="009270A2"/>
    <w:rsid w:val="009270C2"/>
    <w:rsid w:val="00927259"/>
    <w:rsid w:val="009272AE"/>
    <w:rsid w:val="00927352"/>
    <w:rsid w:val="0092736F"/>
    <w:rsid w:val="0092739D"/>
    <w:rsid w:val="00927433"/>
    <w:rsid w:val="00927455"/>
    <w:rsid w:val="009274B6"/>
    <w:rsid w:val="009276AC"/>
    <w:rsid w:val="009276D8"/>
    <w:rsid w:val="00927700"/>
    <w:rsid w:val="00927724"/>
    <w:rsid w:val="009277B7"/>
    <w:rsid w:val="0092784A"/>
    <w:rsid w:val="00927875"/>
    <w:rsid w:val="0092787A"/>
    <w:rsid w:val="0092793D"/>
    <w:rsid w:val="0092799C"/>
    <w:rsid w:val="009279D4"/>
    <w:rsid w:val="00927A9B"/>
    <w:rsid w:val="00927ACF"/>
    <w:rsid w:val="00927B9C"/>
    <w:rsid w:val="00927BD3"/>
    <w:rsid w:val="00927BE3"/>
    <w:rsid w:val="00927BFB"/>
    <w:rsid w:val="00927C40"/>
    <w:rsid w:val="00927CAB"/>
    <w:rsid w:val="00927CDD"/>
    <w:rsid w:val="00927D52"/>
    <w:rsid w:val="00927DC6"/>
    <w:rsid w:val="00927E16"/>
    <w:rsid w:val="00927E6C"/>
    <w:rsid w:val="00927F36"/>
    <w:rsid w:val="00927F62"/>
    <w:rsid w:val="00927FF7"/>
    <w:rsid w:val="0093002C"/>
    <w:rsid w:val="009300DD"/>
    <w:rsid w:val="009300FB"/>
    <w:rsid w:val="00930115"/>
    <w:rsid w:val="0093011A"/>
    <w:rsid w:val="009301F3"/>
    <w:rsid w:val="00930275"/>
    <w:rsid w:val="00930305"/>
    <w:rsid w:val="00930321"/>
    <w:rsid w:val="0093034F"/>
    <w:rsid w:val="009304A5"/>
    <w:rsid w:val="009304A7"/>
    <w:rsid w:val="009304D7"/>
    <w:rsid w:val="009304DE"/>
    <w:rsid w:val="00930551"/>
    <w:rsid w:val="009305C4"/>
    <w:rsid w:val="009305F8"/>
    <w:rsid w:val="00930663"/>
    <w:rsid w:val="0093066F"/>
    <w:rsid w:val="009306BB"/>
    <w:rsid w:val="009306E9"/>
    <w:rsid w:val="00930744"/>
    <w:rsid w:val="00930748"/>
    <w:rsid w:val="009307A0"/>
    <w:rsid w:val="009307B6"/>
    <w:rsid w:val="009307E4"/>
    <w:rsid w:val="00930808"/>
    <w:rsid w:val="00930842"/>
    <w:rsid w:val="00930868"/>
    <w:rsid w:val="009308B6"/>
    <w:rsid w:val="009309B8"/>
    <w:rsid w:val="009309FF"/>
    <w:rsid w:val="00930A98"/>
    <w:rsid w:val="00930AE0"/>
    <w:rsid w:val="00930AF5"/>
    <w:rsid w:val="00930B6D"/>
    <w:rsid w:val="00930BDE"/>
    <w:rsid w:val="00930BE4"/>
    <w:rsid w:val="00930BF9"/>
    <w:rsid w:val="00930C62"/>
    <w:rsid w:val="00930C84"/>
    <w:rsid w:val="00930CCF"/>
    <w:rsid w:val="00930D46"/>
    <w:rsid w:val="00930D7A"/>
    <w:rsid w:val="00930DA3"/>
    <w:rsid w:val="00930DD8"/>
    <w:rsid w:val="00930E65"/>
    <w:rsid w:val="00930F53"/>
    <w:rsid w:val="00930FED"/>
    <w:rsid w:val="00930FFD"/>
    <w:rsid w:val="00931099"/>
    <w:rsid w:val="00931395"/>
    <w:rsid w:val="0093145C"/>
    <w:rsid w:val="009314C4"/>
    <w:rsid w:val="009314C7"/>
    <w:rsid w:val="009314EA"/>
    <w:rsid w:val="009314EF"/>
    <w:rsid w:val="009314FE"/>
    <w:rsid w:val="009315DF"/>
    <w:rsid w:val="00931602"/>
    <w:rsid w:val="00931635"/>
    <w:rsid w:val="009316E4"/>
    <w:rsid w:val="0093172F"/>
    <w:rsid w:val="00931754"/>
    <w:rsid w:val="00931776"/>
    <w:rsid w:val="009317AD"/>
    <w:rsid w:val="009317FE"/>
    <w:rsid w:val="00931858"/>
    <w:rsid w:val="0093185F"/>
    <w:rsid w:val="00931A1E"/>
    <w:rsid w:val="00931A95"/>
    <w:rsid w:val="00931C06"/>
    <w:rsid w:val="00931D4C"/>
    <w:rsid w:val="00931DCE"/>
    <w:rsid w:val="00931DDB"/>
    <w:rsid w:val="00931DDD"/>
    <w:rsid w:val="00931E19"/>
    <w:rsid w:val="00931E5C"/>
    <w:rsid w:val="00931EBC"/>
    <w:rsid w:val="00931FED"/>
    <w:rsid w:val="00931FF1"/>
    <w:rsid w:val="00932032"/>
    <w:rsid w:val="0093205B"/>
    <w:rsid w:val="009320C7"/>
    <w:rsid w:val="009320F4"/>
    <w:rsid w:val="009321C3"/>
    <w:rsid w:val="0093220E"/>
    <w:rsid w:val="0093228D"/>
    <w:rsid w:val="009322B0"/>
    <w:rsid w:val="00932367"/>
    <w:rsid w:val="009323BF"/>
    <w:rsid w:val="009323D0"/>
    <w:rsid w:val="009323F6"/>
    <w:rsid w:val="00932412"/>
    <w:rsid w:val="00932450"/>
    <w:rsid w:val="0093246A"/>
    <w:rsid w:val="009324E4"/>
    <w:rsid w:val="00932506"/>
    <w:rsid w:val="00932550"/>
    <w:rsid w:val="00932560"/>
    <w:rsid w:val="009325DA"/>
    <w:rsid w:val="009325DE"/>
    <w:rsid w:val="0093263A"/>
    <w:rsid w:val="0093267B"/>
    <w:rsid w:val="0093270F"/>
    <w:rsid w:val="00932714"/>
    <w:rsid w:val="00932886"/>
    <w:rsid w:val="00932896"/>
    <w:rsid w:val="009328B0"/>
    <w:rsid w:val="00932932"/>
    <w:rsid w:val="00932939"/>
    <w:rsid w:val="0093295F"/>
    <w:rsid w:val="00932AE4"/>
    <w:rsid w:val="00932BF5"/>
    <w:rsid w:val="00932C1E"/>
    <w:rsid w:val="00932CB5"/>
    <w:rsid w:val="00932CCD"/>
    <w:rsid w:val="00932DC3"/>
    <w:rsid w:val="00932DE3"/>
    <w:rsid w:val="00932E09"/>
    <w:rsid w:val="00932E29"/>
    <w:rsid w:val="00932E4F"/>
    <w:rsid w:val="00932E9B"/>
    <w:rsid w:val="00932EA9"/>
    <w:rsid w:val="00932EC4"/>
    <w:rsid w:val="00932EFE"/>
    <w:rsid w:val="00932FD2"/>
    <w:rsid w:val="00932FE4"/>
    <w:rsid w:val="00933036"/>
    <w:rsid w:val="00933046"/>
    <w:rsid w:val="0093311B"/>
    <w:rsid w:val="0093325C"/>
    <w:rsid w:val="009332D7"/>
    <w:rsid w:val="009332D9"/>
    <w:rsid w:val="00933339"/>
    <w:rsid w:val="009333BC"/>
    <w:rsid w:val="009333F4"/>
    <w:rsid w:val="0093343A"/>
    <w:rsid w:val="009334FD"/>
    <w:rsid w:val="0093353B"/>
    <w:rsid w:val="0093354B"/>
    <w:rsid w:val="0093359D"/>
    <w:rsid w:val="0093365A"/>
    <w:rsid w:val="0093374A"/>
    <w:rsid w:val="00933797"/>
    <w:rsid w:val="0093384B"/>
    <w:rsid w:val="00933865"/>
    <w:rsid w:val="0093392C"/>
    <w:rsid w:val="009339C2"/>
    <w:rsid w:val="009339C8"/>
    <w:rsid w:val="00933A1A"/>
    <w:rsid w:val="00933AB4"/>
    <w:rsid w:val="00933B50"/>
    <w:rsid w:val="00933B63"/>
    <w:rsid w:val="00933C52"/>
    <w:rsid w:val="00933C81"/>
    <w:rsid w:val="00933CE5"/>
    <w:rsid w:val="00933D1A"/>
    <w:rsid w:val="00933D92"/>
    <w:rsid w:val="00933E0B"/>
    <w:rsid w:val="00933F02"/>
    <w:rsid w:val="00933F0C"/>
    <w:rsid w:val="00933F3A"/>
    <w:rsid w:val="00933F9A"/>
    <w:rsid w:val="00933FCA"/>
    <w:rsid w:val="0093401F"/>
    <w:rsid w:val="00934025"/>
    <w:rsid w:val="009340A4"/>
    <w:rsid w:val="009341AD"/>
    <w:rsid w:val="00934313"/>
    <w:rsid w:val="0093432F"/>
    <w:rsid w:val="00934421"/>
    <w:rsid w:val="00934607"/>
    <w:rsid w:val="00934673"/>
    <w:rsid w:val="00934690"/>
    <w:rsid w:val="009346B3"/>
    <w:rsid w:val="00934766"/>
    <w:rsid w:val="0093478E"/>
    <w:rsid w:val="0093487E"/>
    <w:rsid w:val="00934886"/>
    <w:rsid w:val="0093491E"/>
    <w:rsid w:val="0093495A"/>
    <w:rsid w:val="0093496F"/>
    <w:rsid w:val="00934992"/>
    <w:rsid w:val="009349B0"/>
    <w:rsid w:val="00934A40"/>
    <w:rsid w:val="00934AC0"/>
    <w:rsid w:val="00934B6A"/>
    <w:rsid w:val="00934B6C"/>
    <w:rsid w:val="00934B72"/>
    <w:rsid w:val="00934CE4"/>
    <w:rsid w:val="00934D9E"/>
    <w:rsid w:val="00934ECB"/>
    <w:rsid w:val="00934F31"/>
    <w:rsid w:val="00934F3A"/>
    <w:rsid w:val="00934FC0"/>
    <w:rsid w:val="00935042"/>
    <w:rsid w:val="0093504B"/>
    <w:rsid w:val="009351D3"/>
    <w:rsid w:val="009351EB"/>
    <w:rsid w:val="00935377"/>
    <w:rsid w:val="00935411"/>
    <w:rsid w:val="009354EE"/>
    <w:rsid w:val="009355C9"/>
    <w:rsid w:val="009355D8"/>
    <w:rsid w:val="00935616"/>
    <w:rsid w:val="00935666"/>
    <w:rsid w:val="00935692"/>
    <w:rsid w:val="009357D8"/>
    <w:rsid w:val="00935807"/>
    <w:rsid w:val="009358AF"/>
    <w:rsid w:val="0093598D"/>
    <w:rsid w:val="009359A9"/>
    <w:rsid w:val="00935A2B"/>
    <w:rsid w:val="00935A49"/>
    <w:rsid w:val="00935AD1"/>
    <w:rsid w:val="00935B53"/>
    <w:rsid w:val="00935CE1"/>
    <w:rsid w:val="00935CF7"/>
    <w:rsid w:val="00935D10"/>
    <w:rsid w:val="00935D1A"/>
    <w:rsid w:val="00935D4E"/>
    <w:rsid w:val="00935DEB"/>
    <w:rsid w:val="00935E7B"/>
    <w:rsid w:val="00935E8C"/>
    <w:rsid w:val="00935F04"/>
    <w:rsid w:val="00935F28"/>
    <w:rsid w:val="00935F32"/>
    <w:rsid w:val="00935F4D"/>
    <w:rsid w:val="00935F4F"/>
    <w:rsid w:val="00935F88"/>
    <w:rsid w:val="00935FE8"/>
    <w:rsid w:val="00936005"/>
    <w:rsid w:val="009360A7"/>
    <w:rsid w:val="009360E4"/>
    <w:rsid w:val="009360E5"/>
    <w:rsid w:val="0093617F"/>
    <w:rsid w:val="00936194"/>
    <w:rsid w:val="00936264"/>
    <w:rsid w:val="009362BC"/>
    <w:rsid w:val="00936342"/>
    <w:rsid w:val="00936350"/>
    <w:rsid w:val="0093637E"/>
    <w:rsid w:val="009363A4"/>
    <w:rsid w:val="009363BD"/>
    <w:rsid w:val="00936438"/>
    <w:rsid w:val="00936505"/>
    <w:rsid w:val="009365F1"/>
    <w:rsid w:val="0093660A"/>
    <w:rsid w:val="00936674"/>
    <w:rsid w:val="009366D7"/>
    <w:rsid w:val="00936828"/>
    <w:rsid w:val="0093686F"/>
    <w:rsid w:val="009368A3"/>
    <w:rsid w:val="00936917"/>
    <w:rsid w:val="0093699A"/>
    <w:rsid w:val="00936AFC"/>
    <w:rsid w:val="00936B1F"/>
    <w:rsid w:val="00936B29"/>
    <w:rsid w:val="00936B53"/>
    <w:rsid w:val="00936B69"/>
    <w:rsid w:val="00936BA5"/>
    <w:rsid w:val="00936BFA"/>
    <w:rsid w:val="00936C65"/>
    <w:rsid w:val="00936C71"/>
    <w:rsid w:val="00936CA4"/>
    <w:rsid w:val="00936CF2"/>
    <w:rsid w:val="00936D0F"/>
    <w:rsid w:val="00936DC4"/>
    <w:rsid w:val="00936DDD"/>
    <w:rsid w:val="00936E37"/>
    <w:rsid w:val="00936EC3"/>
    <w:rsid w:val="00936ED1"/>
    <w:rsid w:val="00936FEC"/>
    <w:rsid w:val="00937054"/>
    <w:rsid w:val="009370D4"/>
    <w:rsid w:val="0093714E"/>
    <w:rsid w:val="0093727C"/>
    <w:rsid w:val="0093736C"/>
    <w:rsid w:val="009373FD"/>
    <w:rsid w:val="00937470"/>
    <w:rsid w:val="009374E3"/>
    <w:rsid w:val="009376FD"/>
    <w:rsid w:val="00937814"/>
    <w:rsid w:val="0093784C"/>
    <w:rsid w:val="009378BF"/>
    <w:rsid w:val="009378CF"/>
    <w:rsid w:val="009378D3"/>
    <w:rsid w:val="00937921"/>
    <w:rsid w:val="00937950"/>
    <w:rsid w:val="00937967"/>
    <w:rsid w:val="00937979"/>
    <w:rsid w:val="00937981"/>
    <w:rsid w:val="00937A1C"/>
    <w:rsid w:val="00937A54"/>
    <w:rsid w:val="00937AA0"/>
    <w:rsid w:val="00937AA5"/>
    <w:rsid w:val="00937C0E"/>
    <w:rsid w:val="00937C96"/>
    <w:rsid w:val="00937CBE"/>
    <w:rsid w:val="00937D1B"/>
    <w:rsid w:val="00937E06"/>
    <w:rsid w:val="00937FC8"/>
    <w:rsid w:val="00937FE2"/>
    <w:rsid w:val="00940025"/>
    <w:rsid w:val="00940065"/>
    <w:rsid w:val="00940171"/>
    <w:rsid w:val="009401F9"/>
    <w:rsid w:val="0094024B"/>
    <w:rsid w:val="00940290"/>
    <w:rsid w:val="00940371"/>
    <w:rsid w:val="009403A0"/>
    <w:rsid w:val="009403F7"/>
    <w:rsid w:val="00940513"/>
    <w:rsid w:val="0094051A"/>
    <w:rsid w:val="00940583"/>
    <w:rsid w:val="0094069F"/>
    <w:rsid w:val="0094074A"/>
    <w:rsid w:val="00940759"/>
    <w:rsid w:val="00940768"/>
    <w:rsid w:val="0094080F"/>
    <w:rsid w:val="00940983"/>
    <w:rsid w:val="00940AFB"/>
    <w:rsid w:val="00940BB9"/>
    <w:rsid w:val="00940C3F"/>
    <w:rsid w:val="00940C9D"/>
    <w:rsid w:val="00940D6A"/>
    <w:rsid w:val="00940E18"/>
    <w:rsid w:val="00940E63"/>
    <w:rsid w:val="00940EF1"/>
    <w:rsid w:val="00940F10"/>
    <w:rsid w:val="0094115D"/>
    <w:rsid w:val="00941170"/>
    <w:rsid w:val="0094118F"/>
    <w:rsid w:val="009411E0"/>
    <w:rsid w:val="009412B5"/>
    <w:rsid w:val="009412D0"/>
    <w:rsid w:val="00941366"/>
    <w:rsid w:val="009413AC"/>
    <w:rsid w:val="009413ED"/>
    <w:rsid w:val="00941484"/>
    <w:rsid w:val="009414D2"/>
    <w:rsid w:val="0094151D"/>
    <w:rsid w:val="0094152E"/>
    <w:rsid w:val="00941566"/>
    <w:rsid w:val="00941654"/>
    <w:rsid w:val="00941688"/>
    <w:rsid w:val="00941691"/>
    <w:rsid w:val="0094175C"/>
    <w:rsid w:val="0094176E"/>
    <w:rsid w:val="009417EE"/>
    <w:rsid w:val="0094187E"/>
    <w:rsid w:val="009418B8"/>
    <w:rsid w:val="00941934"/>
    <w:rsid w:val="00941945"/>
    <w:rsid w:val="00941968"/>
    <w:rsid w:val="00941980"/>
    <w:rsid w:val="009419C5"/>
    <w:rsid w:val="00941A16"/>
    <w:rsid w:val="00941A4E"/>
    <w:rsid w:val="00941AAF"/>
    <w:rsid w:val="00941BF8"/>
    <w:rsid w:val="00941CA7"/>
    <w:rsid w:val="00941CCE"/>
    <w:rsid w:val="00941D6F"/>
    <w:rsid w:val="00941D7A"/>
    <w:rsid w:val="00941D9A"/>
    <w:rsid w:val="00941DE5"/>
    <w:rsid w:val="00941E2A"/>
    <w:rsid w:val="00941F27"/>
    <w:rsid w:val="00941F67"/>
    <w:rsid w:val="009420AF"/>
    <w:rsid w:val="009420B6"/>
    <w:rsid w:val="00942105"/>
    <w:rsid w:val="0094215E"/>
    <w:rsid w:val="0094215F"/>
    <w:rsid w:val="0094216B"/>
    <w:rsid w:val="009421B5"/>
    <w:rsid w:val="009421C4"/>
    <w:rsid w:val="009421E2"/>
    <w:rsid w:val="009421FB"/>
    <w:rsid w:val="0094224F"/>
    <w:rsid w:val="009422B4"/>
    <w:rsid w:val="009422F2"/>
    <w:rsid w:val="00942318"/>
    <w:rsid w:val="009423A9"/>
    <w:rsid w:val="009423E8"/>
    <w:rsid w:val="00942619"/>
    <w:rsid w:val="0094262C"/>
    <w:rsid w:val="009426F0"/>
    <w:rsid w:val="009427F7"/>
    <w:rsid w:val="00942829"/>
    <w:rsid w:val="00942835"/>
    <w:rsid w:val="00942904"/>
    <w:rsid w:val="009429AB"/>
    <w:rsid w:val="00942A06"/>
    <w:rsid w:val="00942A0B"/>
    <w:rsid w:val="00942AC3"/>
    <w:rsid w:val="00942B30"/>
    <w:rsid w:val="00942BAE"/>
    <w:rsid w:val="00942C3B"/>
    <w:rsid w:val="00942CB5"/>
    <w:rsid w:val="00942CD3"/>
    <w:rsid w:val="00942D10"/>
    <w:rsid w:val="00942D30"/>
    <w:rsid w:val="00942E3A"/>
    <w:rsid w:val="00942E3B"/>
    <w:rsid w:val="00942EA2"/>
    <w:rsid w:val="00942ED6"/>
    <w:rsid w:val="00942EF7"/>
    <w:rsid w:val="00942FB0"/>
    <w:rsid w:val="00943036"/>
    <w:rsid w:val="00943075"/>
    <w:rsid w:val="009431E5"/>
    <w:rsid w:val="00943281"/>
    <w:rsid w:val="009432B2"/>
    <w:rsid w:val="0094330B"/>
    <w:rsid w:val="009433A2"/>
    <w:rsid w:val="009433A5"/>
    <w:rsid w:val="009433D5"/>
    <w:rsid w:val="00943438"/>
    <w:rsid w:val="009434C3"/>
    <w:rsid w:val="009436D2"/>
    <w:rsid w:val="009436EB"/>
    <w:rsid w:val="00943713"/>
    <w:rsid w:val="0094383F"/>
    <w:rsid w:val="00943843"/>
    <w:rsid w:val="00943863"/>
    <w:rsid w:val="0094389C"/>
    <w:rsid w:val="00943926"/>
    <w:rsid w:val="00943957"/>
    <w:rsid w:val="00943AF4"/>
    <w:rsid w:val="00943C5E"/>
    <w:rsid w:val="00943C7D"/>
    <w:rsid w:val="00943D37"/>
    <w:rsid w:val="00943D58"/>
    <w:rsid w:val="00943D6F"/>
    <w:rsid w:val="00943DC5"/>
    <w:rsid w:val="00943DF1"/>
    <w:rsid w:val="00943DF2"/>
    <w:rsid w:val="00943E3C"/>
    <w:rsid w:val="00943ED6"/>
    <w:rsid w:val="00943FD7"/>
    <w:rsid w:val="00944082"/>
    <w:rsid w:val="00944087"/>
    <w:rsid w:val="009440B4"/>
    <w:rsid w:val="009440DA"/>
    <w:rsid w:val="009441C9"/>
    <w:rsid w:val="0094424A"/>
    <w:rsid w:val="0094425F"/>
    <w:rsid w:val="0094426E"/>
    <w:rsid w:val="0094434A"/>
    <w:rsid w:val="00944374"/>
    <w:rsid w:val="009443B3"/>
    <w:rsid w:val="009443BA"/>
    <w:rsid w:val="0094441D"/>
    <w:rsid w:val="0094446C"/>
    <w:rsid w:val="00944474"/>
    <w:rsid w:val="009444CC"/>
    <w:rsid w:val="009444F3"/>
    <w:rsid w:val="00944516"/>
    <w:rsid w:val="0094458C"/>
    <w:rsid w:val="00944678"/>
    <w:rsid w:val="00944767"/>
    <w:rsid w:val="0094479E"/>
    <w:rsid w:val="00944843"/>
    <w:rsid w:val="00944845"/>
    <w:rsid w:val="00944855"/>
    <w:rsid w:val="009448B2"/>
    <w:rsid w:val="009448BB"/>
    <w:rsid w:val="009448E2"/>
    <w:rsid w:val="00944924"/>
    <w:rsid w:val="0094492B"/>
    <w:rsid w:val="009449DB"/>
    <w:rsid w:val="00944A9F"/>
    <w:rsid w:val="00944B5E"/>
    <w:rsid w:val="00944BCB"/>
    <w:rsid w:val="00944BCE"/>
    <w:rsid w:val="00944BED"/>
    <w:rsid w:val="00944C1E"/>
    <w:rsid w:val="00944C28"/>
    <w:rsid w:val="00944C9E"/>
    <w:rsid w:val="00944CF6"/>
    <w:rsid w:val="00944D2D"/>
    <w:rsid w:val="00944DDA"/>
    <w:rsid w:val="00944E19"/>
    <w:rsid w:val="00944F8A"/>
    <w:rsid w:val="00944FD2"/>
    <w:rsid w:val="009450C3"/>
    <w:rsid w:val="009450EC"/>
    <w:rsid w:val="009451A3"/>
    <w:rsid w:val="009451B0"/>
    <w:rsid w:val="009451D5"/>
    <w:rsid w:val="009451F4"/>
    <w:rsid w:val="0094523B"/>
    <w:rsid w:val="0094535C"/>
    <w:rsid w:val="00945369"/>
    <w:rsid w:val="00945436"/>
    <w:rsid w:val="0094544C"/>
    <w:rsid w:val="009454A2"/>
    <w:rsid w:val="009454E5"/>
    <w:rsid w:val="00945502"/>
    <w:rsid w:val="009455D1"/>
    <w:rsid w:val="009455E3"/>
    <w:rsid w:val="009455F1"/>
    <w:rsid w:val="009455FC"/>
    <w:rsid w:val="0094562E"/>
    <w:rsid w:val="0094567B"/>
    <w:rsid w:val="00945754"/>
    <w:rsid w:val="0094576C"/>
    <w:rsid w:val="00945846"/>
    <w:rsid w:val="00945851"/>
    <w:rsid w:val="009458B9"/>
    <w:rsid w:val="009458C5"/>
    <w:rsid w:val="00945921"/>
    <w:rsid w:val="00945995"/>
    <w:rsid w:val="009459DA"/>
    <w:rsid w:val="00945AAF"/>
    <w:rsid w:val="00945B0D"/>
    <w:rsid w:val="00945B39"/>
    <w:rsid w:val="00945BB3"/>
    <w:rsid w:val="00945C39"/>
    <w:rsid w:val="00945DCE"/>
    <w:rsid w:val="00945E5D"/>
    <w:rsid w:val="00945E7E"/>
    <w:rsid w:val="00945FA7"/>
    <w:rsid w:val="00945FD9"/>
    <w:rsid w:val="00946040"/>
    <w:rsid w:val="0094604E"/>
    <w:rsid w:val="0094617D"/>
    <w:rsid w:val="00946298"/>
    <w:rsid w:val="009462A1"/>
    <w:rsid w:val="009462D7"/>
    <w:rsid w:val="00946349"/>
    <w:rsid w:val="0094640E"/>
    <w:rsid w:val="0094644A"/>
    <w:rsid w:val="0094647E"/>
    <w:rsid w:val="009464C2"/>
    <w:rsid w:val="00946564"/>
    <w:rsid w:val="009465A5"/>
    <w:rsid w:val="00946664"/>
    <w:rsid w:val="0094669A"/>
    <w:rsid w:val="009466C9"/>
    <w:rsid w:val="0094677A"/>
    <w:rsid w:val="00946787"/>
    <w:rsid w:val="0094680D"/>
    <w:rsid w:val="0094689E"/>
    <w:rsid w:val="009468D6"/>
    <w:rsid w:val="009468F6"/>
    <w:rsid w:val="0094691C"/>
    <w:rsid w:val="009469BB"/>
    <w:rsid w:val="00946A4B"/>
    <w:rsid w:val="00946A62"/>
    <w:rsid w:val="00946AF7"/>
    <w:rsid w:val="00946AFE"/>
    <w:rsid w:val="00946BB3"/>
    <w:rsid w:val="00946C19"/>
    <w:rsid w:val="00946CB5"/>
    <w:rsid w:val="00946D68"/>
    <w:rsid w:val="00946E3D"/>
    <w:rsid w:val="00946EAA"/>
    <w:rsid w:val="00946EBF"/>
    <w:rsid w:val="00946F52"/>
    <w:rsid w:val="00946F7F"/>
    <w:rsid w:val="00946FCF"/>
    <w:rsid w:val="00946FE7"/>
    <w:rsid w:val="00946FF9"/>
    <w:rsid w:val="00947023"/>
    <w:rsid w:val="00947033"/>
    <w:rsid w:val="0094703B"/>
    <w:rsid w:val="00947203"/>
    <w:rsid w:val="00947227"/>
    <w:rsid w:val="0094731A"/>
    <w:rsid w:val="009473E8"/>
    <w:rsid w:val="009474B8"/>
    <w:rsid w:val="0094753E"/>
    <w:rsid w:val="009475A4"/>
    <w:rsid w:val="009475D9"/>
    <w:rsid w:val="009475EC"/>
    <w:rsid w:val="009477CA"/>
    <w:rsid w:val="009477F2"/>
    <w:rsid w:val="00947815"/>
    <w:rsid w:val="0094784D"/>
    <w:rsid w:val="009478D9"/>
    <w:rsid w:val="00947A3D"/>
    <w:rsid w:val="00947A65"/>
    <w:rsid w:val="00947C26"/>
    <w:rsid w:val="00947C4E"/>
    <w:rsid w:val="00947C83"/>
    <w:rsid w:val="00947D1B"/>
    <w:rsid w:val="00947D31"/>
    <w:rsid w:val="00947FB5"/>
    <w:rsid w:val="00950074"/>
    <w:rsid w:val="00950086"/>
    <w:rsid w:val="00950088"/>
    <w:rsid w:val="00950118"/>
    <w:rsid w:val="0095013F"/>
    <w:rsid w:val="00950210"/>
    <w:rsid w:val="00950223"/>
    <w:rsid w:val="00950227"/>
    <w:rsid w:val="009502FA"/>
    <w:rsid w:val="0095038B"/>
    <w:rsid w:val="00950394"/>
    <w:rsid w:val="0095043F"/>
    <w:rsid w:val="00950482"/>
    <w:rsid w:val="0095049E"/>
    <w:rsid w:val="009504D1"/>
    <w:rsid w:val="009504F7"/>
    <w:rsid w:val="00950521"/>
    <w:rsid w:val="0095055B"/>
    <w:rsid w:val="00950562"/>
    <w:rsid w:val="009505B6"/>
    <w:rsid w:val="009505BA"/>
    <w:rsid w:val="009506B6"/>
    <w:rsid w:val="009506E2"/>
    <w:rsid w:val="009506FF"/>
    <w:rsid w:val="0095075D"/>
    <w:rsid w:val="00950858"/>
    <w:rsid w:val="00950895"/>
    <w:rsid w:val="009508D7"/>
    <w:rsid w:val="009509A5"/>
    <w:rsid w:val="009509CB"/>
    <w:rsid w:val="009509F1"/>
    <w:rsid w:val="00950BD4"/>
    <w:rsid w:val="00950BF2"/>
    <w:rsid w:val="00950D0F"/>
    <w:rsid w:val="00950D5F"/>
    <w:rsid w:val="00950DEF"/>
    <w:rsid w:val="00950E0B"/>
    <w:rsid w:val="00950E18"/>
    <w:rsid w:val="00950F08"/>
    <w:rsid w:val="00950F38"/>
    <w:rsid w:val="00950FED"/>
    <w:rsid w:val="009510DF"/>
    <w:rsid w:val="00951163"/>
    <w:rsid w:val="009511EC"/>
    <w:rsid w:val="00951221"/>
    <w:rsid w:val="00951238"/>
    <w:rsid w:val="009514F5"/>
    <w:rsid w:val="00951515"/>
    <w:rsid w:val="0095160A"/>
    <w:rsid w:val="0095175E"/>
    <w:rsid w:val="00951780"/>
    <w:rsid w:val="009518FE"/>
    <w:rsid w:val="00951915"/>
    <w:rsid w:val="0095197C"/>
    <w:rsid w:val="0095198C"/>
    <w:rsid w:val="00951A01"/>
    <w:rsid w:val="00951C21"/>
    <w:rsid w:val="00951D7A"/>
    <w:rsid w:val="00951D81"/>
    <w:rsid w:val="00951EEC"/>
    <w:rsid w:val="00951FDC"/>
    <w:rsid w:val="0095204D"/>
    <w:rsid w:val="00952052"/>
    <w:rsid w:val="009520C9"/>
    <w:rsid w:val="009520DE"/>
    <w:rsid w:val="009521A0"/>
    <w:rsid w:val="009521A4"/>
    <w:rsid w:val="00952222"/>
    <w:rsid w:val="00952231"/>
    <w:rsid w:val="009522C9"/>
    <w:rsid w:val="009522D9"/>
    <w:rsid w:val="009523AA"/>
    <w:rsid w:val="00952423"/>
    <w:rsid w:val="00952449"/>
    <w:rsid w:val="009524F6"/>
    <w:rsid w:val="00952547"/>
    <w:rsid w:val="00952564"/>
    <w:rsid w:val="00952595"/>
    <w:rsid w:val="009525CD"/>
    <w:rsid w:val="00952607"/>
    <w:rsid w:val="0095262A"/>
    <w:rsid w:val="0095262B"/>
    <w:rsid w:val="009527EE"/>
    <w:rsid w:val="00952844"/>
    <w:rsid w:val="00952875"/>
    <w:rsid w:val="009528FA"/>
    <w:rsid w:val="0095292A"/>
    <w:rsid w:val="00952BC1"/>
    <w:rsid w:val="00952BE6"/>
    <w:rsid w:val="00952DA6"/>
    <w:rsid w:val="00952DBD"/>
    <w:rsid w:val="00952E04"/>
    <w:rsid w:val="00952E64"/>
    <w:rsid w:val="00952EF0"/>
    <w:rsid w:val="00952F27"/>
    <w:rsid w:val="00952FB3"/>
    <w:rsid w:val="00952FC5"/>
    <w:rsid w:val="009530AE"/>
    <w:rsid w:val="009530DE"/>
    <w:rsid w:val="009530F4"/>
    <w:rsid w:val="00953125"/>
    <w:rsid w:val="00953172"/>
    <w:rsid w:val="00953175"/>
    <w:rsid w:val="009531B6"/>
    <w:rsid w:val="009531FD"/>
    <w:rsid w:val="00953202"/>
    <w:rsid w:val="009532B2"/>
    <w:rsid w:val="009532DA"/>
    <w:rsid w:val="0095330D"/>
    <w:rsid w:val="00953311"/>
    <w:rsid w:val="00953419"/>
    <w:rsid w:val="009534EC"/>
    <w:rsid w:val="00953511"/>
    <w:rsid w:val="00953559"/>
    <w:rsid w:val="00953580"/>
    <w:rsid w:val="00953626"/>
    <w:rsid w:val="0095362A"/>
    <w:rsid w:val="0095363C"/>
    <w:rsid w:val="0095367E"/>
    <w:rsid w:val="0095369D"/>
    <w:rsid w:val="00953855"/>
    <w:rsid w:val="009538F1"/>
    <w:rsid w:val="009539BE"/>
    <w:rsid w:val="00953A0C"/>
    <w:rsid w:val="00953A15"/>
    <w:rsid w:val="00953AE3"/>
    <w:rsid w:val="00953AF6"/>
    <w:rsid w:val="00953B2E"/>
    <w:rsid w:val="00953BAC"/>
    <w:rsid w:val="00953BBF"/>
    <w:rsid w:val="00953C0B"/>
    <w:rsid w:val="00953C3E"/>
    <w:rsid w:val="00953C4B"/>
    <w:rsid w:val="00953CCE"/>
    <w:rsid w:val="00953D69"/>
    <w:rsid w:val="00953DBF"/>
    <w:rsid w:val="00953DF5"/>
    <w:rsid w:val="00953E63"/>
    <w:rsid w:val="00953E78"/>
    <w:rsid w:val="00953EA3"/>
    <w:rsid w:val="00953EF7"/>
    <w:rsid w:val="00953F13"/>
    <w:rsid w:val="00953F7C"/>
    <w:rsid w:val="009540BF"/>
    <w:rsid w:val="00954132"/>
    <w:rsid w:val="0095427D"/>
    <w:rsid w:val="009542FA"/>
    <w:rsid w:val="00954300"/>
    <w:rsid w:val="00954377"/>
    <w:rsid w:val="0095438A"/>
    <w:rsid w:val="009543C8"/>
    <w:rsid w:val="009543DD"/>
    <w:rsid w:val="009543DF"/>
    <w:rsid w:val="0095442D"/>
    <w:rsid w:val="00954539"/>
    <w:rsid w:val="00954698"/>
    <w:rsid w:val="009546E4"/>
    <w:rsid w:val="00954757"/>
    <w:rsid w:val="00954768"/>
    <w:rsid w:val="00954780"/>
    <w:rsid w:val="009547DD"/>
    <w:rsid w:val="009549B5"/>
    <w:rsid w:val="00954A1A"/>
    <w:rsid w:val="00954A84"/>
    <w:rsid w:val="00954AA6"/>
    <w:rsid w:val="00954B7E"/>
    <w:rsid w:val="00954BC8"/>
    <w:rsid w:val="00954BFC"/>
    <w:rsid w:val="00954C1A"/>
    <w:rsid w:val="00954C5F"/>
    <w:rsid w:val="00954C62"/>
    <w:rsid w:val="00954C67"/>
    <w:rsid w:val="00954D0C"/>
    <w:rsid w:val="00954D36"/>
    <w:rsid w:val="00954D78"/>
    <w:rsid w:val="00954DFA"/>
    <w:rsid w:val="00954DFB"/>
    <w:rsid w:val="00954F06"/>
    <w:rsid w:val="00954F5C"/>
    <w:rsid w:val="00954F60"/>
    <w:rsid w:val="00954FA8"/>
    <w:rsid w:val="0095505C"/>
    <w:rsid w:val="00955199"/>
    <w:rsid w:val="009551E9"/>
    <w:rsid w:val="00955215"/>
    <w:rsid w:val="00955234"/>
    <w:rsid w:val="009552B4"/>
    <w:rsid w:val="009552EB"/>
    <w:rsid w:val="00955349"/>
    <w:rsid w:val="00955378"/>
    <w:rsid w:val="009553F7"/>
    <w:rsid w:val="0095541E"/>
    <w:rsid w:val="00955497"/>
    <w:rsid w:val="009554D9"/>
    <w:rsid w:val="0095552F"/>
    <w:rsid w:val="009555F0"/>
    <w:rsid w:val="00955607"/>
    <w:rsid w:val="00955615"/>
    <w:rsid w:val="00955653"/>
    <w:rsid w:val="009556A7"/>
    <w:rsid w:val="009556C4"/>
    <w:rsid w:val="00955729"/>
    <w:rsid w:val="009557D1"/>
    <w:rsid w:val="0095581C"/>
    <w:rsid w:val="009558F8"/>
    <w:rsid w:val="00955971"/>
    <w:rsid w:val="00955983"/>
    <w:rsid w:val="00955B29"/>
    <w:rsid w:val="00955B53"/>
    <w:rsid w:val="00955BEC"/>
    <w:rsid w:val="00955BF3"/>
    <w:rsid w:val="00955C83"/>
    <w:rsid w:val="00955D24"/>
    <w:rsid w:val="00955D44"/>
    <w:rsid w:val="00955D61"/>
    <w:rsid w:val="00955D6A"/>
    <w:rsid w:val="00955E5C"/>
    <w:rsid w:val="00955EB1"/>
    <w:rsid w:val="00955FFD"/>
    <w:rsid w:val="00956298"/>
    <w:rsid w:val="009562C0"/>
    <w:rsid w:val="009562C7"/>
    <w:rsid w:val="009562F8"/>
    <w:rsid w:val="00956361"/>
    <w:rsid w:val="009563BE"/>
    <w:rsid w:val="00956428"/>
    <w:rsid w:val="009564A3"/>
    <w:rsid w:val="00956506"/>
    <w:rsid w:val="0095656C"/>
    <w:rsid w:val="00956705"/>
    <w:rsid w:val="0095675E"/>
    <w:rsid w:val="0095676A"/>
    <w:rsid w:val="009567D1"/>
    <w:rsid w:val="00956827"/>
    <w:rsid w:val="00956893"/>
    <w:rsid w:val="0095697B"/>
    <w:rsid w:val="009569EA"/>
    <w:rsid w:val="00956ACE"/>
    <w:rsid w:val="00956AE3"/>
    <w:rsid w:val="00956AE7"/>
    <w:rsid w:val="00956AFF"/>
    <w:rsid w:val="00956B0A"/>
    <w:rsid w:val="00956C3A"/>
    <w:rsid w:val="00956C3F"/>
    <w:rsid w:val="00956D3B"/>
    <w:rsid w:val="00956EB0"/>
    <w:rsid w:val="00956ED4"/>
    <w:rsid w:val="00956FA0"/>
    <w:rsid w:val="009570BE"/>
    <w:rsid w:val="0095714C"/>
    <w:rsid w:val="0095718F"/>
    <w:rsid w:val="009571AC"/>
    <w:rsid w:val="009571DC"/>
    <w:rsid w:val="009571E1"/>
    <w:rsid w:val="0095725D"/>
    <w:rsid w:val="0095729D"/>
    <w:rsid w:val="009572F3"/>
    <w:rsid w:val="009573CA"/>
    <w:rsid w:val="009573F4"/>
    <w:rsid w:val="00957497"/>
    <w:rsid w:val="009574E7"/>
    <w:rsid w:val="00957536"/>
    <w:rsid w:val="00957551"/>
    <w:rsid w:val="0095778C"/>
    <w:rsid w:val="009577FD"/>
    <w:rsid w:val="00957828"/>
    <w:rsid w:val="009578F5"/>
    <w:rsid w:val="00957916"/>
    <w:rsid w:val="00957969"/>
    <w:rsid w:val="009579BB"/>
    <w:rsid w:val="009579DD"/>
    <w:rsid w:val="00957AA4"/>
    <w:rsid w:val="00957B0A"/>
    <w:rsid w:val="00957B3F"/>
    <w:rsid w:val="00957B80"/>
    <w:rsid w:val="00957B86"/>
    <w:rsid w:val="00957CAD"/>
    <w:rsid w:val="00957CD6"/>
    <w:rsid w:val="00957CF1"/>
    <w:rsid w:val="00957DB9"/>
    <w:rsid w:val="00957DEF"/>
    <w:rsid w:val="00957E3E"/>
    <w:rsid w:val="00957E8B"/>
    <w:rsid w:val="00957F67"/>
    <w:rsid w:val="0096000E"/>
    <w:rsid w:val="0096000F"/>
    <w:rsid w:val="00960010"/>
    <w:rsid w:val="00960028"/>
    <w:rsid w:val="00960043"/>
    <w:rsid w:val="00960049"/>
    <w:rsid w:val="0096004C"/>
    <w:rsid w:val="0096014E"/>
    <w:rsid w:val="00960203"/>
    <w:rsid w:val="0096020D"/>
    <w:rsid w:val="009602CA"/>
    <w:rsid w:val="009602D2"/>
    <w:rsid w:val="009602E2"/>
    <w:rsid w:val="0096038F"/>
    <w:rsid w:val="009603AA"/>
    <w:rsid w:val="009603AF"/>
    <w:rsid w:val="0096040A"/>
    <w:rsid w:val="009604A8"/>
    <w:rsid w:val="009604B2"/>
    <w:rsid w:val="0096050A"/>
    <w:rsid w:val="0096051A"/>
    <w:rsid w:val="00960558"/>
    <w:rsid w:val="009605CE"/>
    <w:rsid w:val="00960745"/>
    <w:rsid w:val="00960869"/>
    <w:rsid w:val="00960957"/>
    <w:rsid w:val="00960971"/>
    <w:rsid w:val="00960AAB"/>
    <w:rsid w:val="00960C3A"/>
    <w:rsid w:val="00960CE7"/>
    <w:rsid w:val="00960D34"/>
    <w:rsid w:val="00960D49"/>
    <w:rsid w:val="00960D8D"/>
    <w:rsid w:val="00960D9B"/>
    <w:rsid w:val="00960DC3"/>
    <w:rsid w:val="00960DEC"/>
    <w:rsid w:val="00960F10"/>
    <w:rsid w:val="00960F33"/>
    <w:rsid w:val="00960F6B"/>
    <w:rsid w:val="00960F8B"/>
    <w:rsid w:val="00960FB0"/>
    <w:rsid w:val="00961102"/>
    <w:rsid w:val="00961130"/>
    <w:rsid w:val="00961164"/>
    <w:rsid w:val="009611E5"/>
    <w:rsid w:val="009613FB"/>
    <w:rsid w:val="0096146F"/>
    <w:rsid w:val="009614D2"/>
    <w:rsid w:val="009614EB"/>
    <w:rsid w:val="0096157D"/>
    <w:rsid w:val="0096160E"/>
    <w:rsid w:val="009616EE"/>
    <w:rsid w:val="00961708"/>
    <w:rsid w:val="00961795"/>
    <w:rsid w:val="00961806"/>
    <w:rsid w:val="00961825"/>
    <w:rsid w:val="0096185E"/>
    <w:rsid w:val="009618AE"/>
    <w:rsid w:val="00961922"/>
    <w:rsid w:val="00961966"/>
    <w:rsid w:val="00961988"/>
    <w:rsid w:val="009619CB"/>
    <w:rsid w:val="009619DD"/>
    <w:rsid w:val="00961A91"/>
    <w:rsid w:val="00961AF7"/>
    <w:rsid w:val="00961B2D"/>
    <w:rsid w:val="00961BC2"/>
    <w:rsid w:val="00961BD2"/>
    <w:rsid w:val="00961BE2"/>
    <w:rsid w:val="00961BE3"/>
    <w:rsid w:val="00961C2A"/>
    <w:rsid w:val="00961C2C"/>
    <w:rsid w:val="00961D33"/>
    <w:rsid w:val="00961DA8"/>
    <w:rsid w:val="00961E1F"/>
    <w:rsid w:val="00961E22"/>
    <w:rsid w:val="00961E81"/>
    <w:rsid w:val="00961ED1"/>
    <w:rsid w:val="00961F77"/>
    <w:rsid w:val="00962085"/>
    <w:rsid w:val="009620F8"/>
    <w:rsid w:val="00962117"/>
    <w:rsid w:val="0096211B"/>
    <w:rsid w:val="00962179"/>
    <w:rsid w:val="009621E9"/>
    <w:rsid w:val="009621F8"/>
    <w:rsid w:val="00962228"/>
    <w:rsid w:val="009622C1"/>
    <w:rsid w:val="00962306"/>
    <w:rsid w:val="00962309"/>
    <w:rsid w:val="0096231B"/>
    <w:rsid w:val="009623FC"/>
    <w:rsid w:val="00962413"/>
    <w:rsid w:val="00962485"/>
    <w:rsid w:val="009624E2"/>
    <w:rsid w:val="0096254A"/>
    <w:rsid w:val="00962563"/>
    <w:rsid w:val="009625FA"/>
    <w:rsid w:val="009627A7"/>
    <w:rsid w:val="00962844"/>
    <w:rsid w:val="0096297A"/>
    <w:rsid w:val="009629E8"/>
    <w:rsid w:val="00962B23"/>
    <w:rsid w:val="00962B73"/>
    <w:rsid w:val="00962BB1"/>
    <w:rsid w:val="00962BD7"/>
    <w:rsid w:val="00962BDD"/>
    <w:rsid w:val="00962BE0"/>
    <w:rsid w:val="00962C46"/>
    <w:rsid w:val="00962C7F"/>
    <w:rsid w:val="00962CE5"/>
    <w:rsid w:val="00962D41"/>
    <w:rsid w:val="00962E3F"/>
    <w:rsid w:val="00962E45"/>
    <w:rsid w:val="00962E4D"/>
    <w:rsid w:val="00962F28"/>
    <w:rsid w:val="00963066"/>
    <w:rsid w:val="00963084"/>
    <w:rsid w:val="009630F6"/>
    <w:rsid w:val="009630F7"/>
    <w:rsid w:val="00963147"/>
    <w:rsid w:val="00963211"/>
    <w:rsid w:val="0096332A"/>
    <w:rsid w:val="0096338D"/>
    <w:rsid w:val="009633BC"/>
    <w:rsid w:val="009633F7"/>
    <w:rsid w:val="0096341F"/>
    <w:rsid w:val="0096342C"/>
    <w:rsid w:val="0096342D"/>
    <w:rsid w:val="00963431"/>
    <w:rsid w:val="00963481"/>
    <w:rsid w:val="00963523"/>
    <w:rsid w:val="00963582"/>
    <w:rsid w:val="009636D4"/>
    <w:rsid w:val="009637CE"/>
    <w:rsid w:val="00963823"/>
    <w:rsid w:val="0096383E"/>
    <w:rsid w:val="00963876"/>
    <w:rsid w:val="00963904"/>
    <w:rsid w:val="0096396B"/>
    <w:rsid w:val="009639B2"/>
    <w:rsid w:val="009639C5"/>
    <w:rsid w:val="00963AE8"/>
    <w:rsid w:val="00963B01"/>
    <w:rsid w:val="00963BB9"/>
    <w:rsid w:val="00963C6E"/>
    <w:rsid w:val="00963E08"/>
    <w:rsid w:val="00963EFB"/>
    <w:rsid w:val="00963F0E"/>
    <w:rsid w:val="00963F60"/>
    <w:rsid w:val="00963FC8"/>
    <w:rsid w:val="0096426C"/>
    <w:rsid w:val="00964289"/>
    <w:rsid w:val="00964313"/>
    <w:rsid w:val="00964327"/>
    <w:rsid w:val="00964347"/>
    <w:rsid w:val="00964408"/>
    <w:rsid w:val="009644B6"/>
    <w:rsid w:val="0096458C"/>
    <w:rsid w:val="00964597"/>
    <w:rsid w:val="009645C1"/>
    <w:rsid w:val="00964609"/>
    <w:rsid w:val="0096469E"/>
    <w:rsid w:val="009646A3"/>
    <w:rsid w:val="009646ED"/>
    <w:rsid w:val="009647E3"/>
    <w:rsid w:val="009647E7"/>
    <w:rsid w:val="009647F7"/>
    <w:rsid w:val="00964808"/>
    <w:rsid w:val="009648A0"/>
    <w:rsid w:val="00964919"/>
    <w:rsid w:val="0096494B"/>
    <w:rsid w:val="00964A54"/>
    <w:rsid w:val="00964ACC"/>
    <w:rsid w:val="00964AEB"/>
    <w:rsid w:val="00964BAD"/>
    <w:rsid w:val="00964C2F"/>
    <w:rsid w:val="00964C3D"/>
    <w:rsid w:val="00964C49"/>
    <w:rsid w:val="00964CA8"/>
    <w:rsid w:val="00964CCB"/>
    <w:rsid w:val="00964D30"/>
    <w:rsid w:val="00964D83"/>
    <w:rsid w:val="00964D97"/>
    <w:rsid w:val="00964E29"/>
    <w:rsid w:val="00964E34"/>
    <w:rsid w:val="00964ECC"/>
    <w:rsid w:val="00964F20"/>
    <w:rsid w:val="00965015"/>
    <w:rsid w:val="00965046"/>
    <w:rsid w:val="00965082"/>
    <w:rsid w:val="009651C9"/>
    <w:rsid w:val="00965202"/>
    <w:rsid w:val="009652C6"/>
    <w:rsid w:val="00965375"/>
    <w:rsid w:val="009653BE"/>
    <w:rsid w:val="009654D7"/>
    <w:rsid w:val="009654FF"/>
    <w:rsid w:val="0096550A"/>
    <w:rsid w:val="00965657"/>
    <w:rsid w:val="009656C2"/>
    <w:rsid w:val="0096578D"/>
    <w:rsid w:val="0096579F"/>
    <w:rsid w:val="00965864"/>
    <w:rsid w:val="009658E6"/>
    <w:rsid w:val="009659A6"/>
    <w:rsid w:val="00965A38"/>
    <w:rsid w:val="00965AB6"/>
    <w:rsid w:val="00965B07"/>
    <w:rsid w:val="00965CB8"/>
    <w:rsid w:val="00965CD1"/>
    <w:rsid w:val="00965CEF"/>
    <w:rsid w:val="00965D3F"/>
    <w:rsid w:val="00965D5C"/>
    <w:rsid w:val="00965D93"/>
    <w:rsid w:val="00965DCE"/>
    <w:rsid w:val="00965F9D"/>
    <w:rsid w:val="00965FD5"/>
    <w:rsid w:val="009660D1"/>
    <w:rsid w:val="009661D2"/>
    <w:rsid w:val="00966277"/>
    <w:rsid w:val="009662FF"/>
    <w:rsid w:val="00966333"/>
    <w:rsid w:val="009663C7"/>
    <w:rsid w:val="00966408"/>
    <w:rsid w:val="009664D4"/>
    <w:rsid w:val="009664F7"/>
    <w:rsid w:val="009664F9"/>
    <w:rsid w:val="009665E8"/>
    <w:rsid w:val="00966792"/>
    <w:rsid w:val="009667D5"/>
    <w:rsid w:val="009667DD"/>
    <w:rsid w:val="009667ED"/>
    <w:rsid w:val="009668CF"/>
    <w:rsid w:val="0096695E"/>
    <w:rsid w:val="009669E1"/>
    <w:rsid w:val="00966A05"/>
    <w:rsid w:val="00966A0A"/>
    <w:rsid w:val="00966A39"/>
    <w:rsid w:val="00966B51"/>
    <w:rsid w:val="00966BC0"/>
    <w:rsid w:val="00966BF8"/>
    <w:rsid w:val="00966C64"/>
    <w:rsid w:val="00966DAD"/>
    <w:rsid w:val="00966DB2"/>
    <w:rsid w:val="00966E56"/>
    <w:rsid w:val="00966E99"/>
    <w:rsid w:val="00966FBD"/>
    <w:rsid w:val="00967059"/>
    <w:rsid w:val="00967068"/>
    <w:rsid w:val="009670A4"/>
    <w:rsid w:val="009670DB"/>
    <w:rsid w:val="009670EB"/>
    <w:rsid w:val="00967141"/>
    <w:rsid w:val="00967147"/>
    <w:rsid w:val="00967158"/>
    <w:rsid w:val="0096718E"/>
    <w:rsid w:val="009671C9"/>
    <w:rsid w:val="009671D0"/>
    <w:rsid w:val="009671F5"/>
    <w:rsid w:val="00967200"/>
    <w:rsid w:val="00967349"/>
    <w:rsid w:val="009673BF"/>
    <w:rsid w:val="009673DF"/>
    <w:rsid w:val="00967470"/>
    <w:rsid w:val="00967486"/>
    <w:rsid w:val="009674B8"/>
    <w:rsid w:val="00967508"/>
    <w:rsid w:val="00967564"/>
    <w:rsid w:val="0096756C"/>
    <w:rsid w:val="0096757A"/>
    <w:rsid w:val="00967597"/>
    <w:rsid w:val="009675D1"/>
    <w:rsid w:val="009677BF"/>
    <w:rsid w:val="0096780F"/>
    <w:rsid w:val="00967822"/>
    <w:rsid w:val="00967830"/>
    <w:rsid w:val="00967838"/>
    <w:rsid w:val="009678EA"/>
    <w:rsid w:val="009678F7"/>
    <w:rsid w:val="00967936"/>
    <w:rsid w:val="00967994"/>
    <w:rsid w:val="009679A8"/>
    <w:rsid w:val="009679F7"/>
    <w:rsid w:val="00967A03"/>
    <w:rsid w:val="00967A08"/>
    <w:rsid w:val="00967C19"/>
    <w:rsid w:val="00967C3B"/>
    <w:rsid w:val="00967C75"/>
    <w:rsid w:val="00967D0A"/>
    <w:rsid w:val="00967D2A"/>
    <w:rsid w:val="00967F6A"/>
    <w:rsid w:val="00967FE6"/>
    <w:rsid w:val="0097008F"/>
    <w:rsid w:val="00970102"/>
    <w:rsid w:val="00970164"/>
    <w:rsid w:val="0097016C"/>
    <w:rsid w:val="009701E8"/>
    <w:rsid w:val="009702C5"/>
    <w:rsid w:val="00970358"/>
    <w:rsid w:val="009703FE"/>
    <w:rsid w:val="00970423"/>
    <w:rsid w:val="00970482"/>
    <w:rsid w:val="009704DE"/>
    <w:rsid w:val="009704F8"/>
    <w:rsid w:val="0097052B"/>
    <w:rsid w:val="00970553"/>
    <w:rsid w:val="009706FD"/>
    <w:rsid w:val="00970872"/>
    <w:rsid w:val="0097087A"/>
    <w:rsid w:val="009708AB"/>
    <w:rsid w:val="00970924"/>
    <w:rsid w:val="00970963"/>
    <w:rsid w:val="009709E2"/>
    <w:rsid w:val="00970A91"/>
    <w:rsid w:val="00970BF5"/>
    <w:rsid w:val="00970C02"/>
    <w:rsid w:val="00970C34"/>
    <w:rsid w:val="00970C5F"/>
    <w:rsid w:val="00970C77"/>
    <w:rsid w:val="00970C7E"/>
    <w:rsid w:val="00970CB8"/>
    <w:rsid w:val="00970CD9"/>
    <w:rsid w:val="00970CFB"/>
    <w:rsid w:val="00970D6A"/>
    <w:rsid w:val="00970DE3"/>
    <w:rsid w:val="00970DEE"/>
    <w:rsid w:val="00970E1D"/>
    <w:rsid w:val="00970E3C"/>
    <w:rsid w:val="00970E44"/>
    <w:rsid w:val="00970E5D"/>
    <w:rsid w:val="00970E96"/>
    <w:rsid w:val="00970EF7"/>
    <w:rsid w:val="00970F60"/>
    <w:rsid w:val="00971022"/>
    <w:rsid w:val="009710D9"/>
    <w:rsid w:val="009710E3"/>
    <w:rsid w:val="00971113"/>
    <w:rsid w:val="00971140"/>
    <w:rsid w:val="00971215"/>
    <w:rsid w:val="009712CD"/>
    <w:rsid w:val="00971395"/>
    <w:rsid w:val="009713FD"/>
    <w:rsid w:val="00971423"/>
    <w:rsid w:val="00971453"/>
    <w:rsid w:val="00971494"/>
    <w:rsid w:val="009714C5"/>
    <w:rsid w:val="00971525"/>
    <w:rsid w:val="0097152A"/>
    <w:rsid w:val="0097152B"/>
    <w:rsid w:val="00971552"/>
    <w:rsid w:val="0097166F"/>
    <w:rsid w:val="00971670"/>
    <w:rsid w:val="00971779"/>
    <w:rsid w:val="00971807"/>
    <w:rsid w:val="00971866"/>
    <w:rsid w:val="0097187B"/>
    <w:rsid w:val="009718B8"/>
    <w:rsid w:val="00971927"/>
    <w:rsid w:val="00971947"/>
    <w:rsid w:val="009719DC"/>
    <w:rsid w:val="00971B2F"/>
    <w:rsid w:val="00971B3D"/>
    <w:rsid w:val="00971BD8"/>
    <w:rsid w:val="00971C99"/>
    <w:rsid w:val="00971CC5"/>
    <w:rsid w:val="00971CD5"/>
    <w:rsid w:val="00971D68"/>
    <w:rsid w:val="00971D6F"/>
    <w:rsid w:val="00971DD8"/>
    <w:rsid w:val="00971EAF"/>
    <w:rsid w:val="00972077"/>
    <w:rsid w:val="009720D1"/>
    <w:rsid w:val="0097210A"/>
    <w:rsid w:val="00972180"/>
    <w:rsid w:val="009721EF"/>
    <w:rsid w:val="009721F4"/>
    <w:rsid w:val="0097223D"/>
    <w:rsid w:val="00972284"/>
    <w:rsid w:val="009722AA"/>
    <w:rsid w:val="009723C4"/>
    <w:rsid w:val="009723FB"/>
    <w:rsid w:val="00972435"/>
    <w:rsid w:val="00972494"/>
    <w:rsid w:val="00972555"/>
    <w:rsid w:val="00972580"/>
    <w:rsid w:val="009725D9"/>
    <w:rsid w:val="00972827"/>
    <w:rsid w:val="009728A0"/>
    <w:rsid w:val="00972995"/>
    <w:rsid w:val="00972A97"/>
    <w:rsid w:val="00972A9E"/>
    <w:rsid w:val="00972B78"/>
    <w:rsid w:val="00972B81"/>
    <w:rsid w:val="00972C00"/>
    <w:rsid w:val="00972C2A"/>
    <w:rsid w:val="00972C64"/>
    <w:rsid w:val="00972D67"/>
    <w:rsid w:val="00972DCD"/>
    <w:rsid w:val="00972DE3"/>
    <w:rsid w:val="00972E3B"/>
    <w:rsid w:val="00972E71"/>
    <w:rsid w:val="00972F57"/>
    <w:rsid w:val="00972FB8"/>
    <w:rsid w:val="0097300D"/>
    <w:rsid w:val="0097305F"/>
    <w:rsid w:val="0097307D"/>
    <w:rsid w:val="00973109"/>
    <w:rsid w:val="00973205"/>
    <w:rsid w:val="00973352"/>
    <w:rsid w:val="00973398"/>
    <w:rsid w:val="009733A6"/>
    <w:rsid w:val="0097345E"/>
    <w:rsid w:val="0097347C"/>
    <w:rsid w:val="0097352F"/>
    <w:rsid w:val="00973630"/>
    <w:rsid w:val="0097364B"/>
    <w:rsid w:val="00973891"/>
    <w:rsid w:val="0097396A"/>
    <w:rsid w:val="009739BB"/>
    <w:rsid w:val="009739C0"/>
    <w:rsid w:val="00973B46"/>
    <w:rsid w:val="00973BAF"/>
    <w:rsid w:val="00973C24"/>
    <w:rsid w:val="00973CE9"/>
    <w:rsid w:val="00973D05"/>
    <w:rsid w:val="00973F37"/>
    <w:rsid w:val="00973F54"/>
    <w:rsid w:val="00973F8F"/>
    <w:rsid w:val="00973F94"/>
    <w:rsid w:val="00973FB5"/>
    <w:rsid w:val="00973FEA"/>
    <w:rsid w:val="00974034"/>
    <w:rsid w:val="0097405E"/>
    <w:rsid w:val="009740E6"/>
    <w:rsid w:val="0097415F"/>
    <w:rsid w:val="0097417A"/>
    <w:rsid w:val="009741A6"/>
    <w:rsid w:val="00974226"/>
    <w:rsid w:val="0097422A"/>
    <w:rsid w:val="0097425F"/>
    <w:rsid w:val="0097426F"/>
    <w:rsid w:val="009742B1"/>
    <w:rsid w:val="009742C1"/>
    <w:rsid w:val="009742ED"/>
    <w:rsid w:val="0097435C"/>
    <w:rsid w:val="00974385"/>
    <w:rsid w:val="009743C6"/>
    <w:rsid w:val="009743EE"/>
    <w:rsid w:val="00974443"/>
    <w:rsid w:val="00974465"/>
    <w:rsid w:val="00974482"/>
    <w:rsid w:val="00974490"/>
    <w:rsid w:val="009744C8"/>
    <w:rsid w:val="00974502"/>
    <w:rsid w:val="00974522"/>
    <w:rsid w:val="00974596"/>
    <w:rsid w:val="00974716"/>
    <w:rsid w:val="0097473C"/>
    <w:rsid w:val="00974747"/>
    <w:rsid w:val="0097478E"/>
    <w:rsid w:val="0097488A"/>
    <w:rsid w:val="00974929"/>
    <w:rsid w:val="0097492B"/>
    <w:rsid w:val="00974995"/>
    <w:rsid w:val="009749A9"/>
    <w:rsid w:val="009749B7"/>
    <w:rsid w:val="00974A03"/>
    <w:rsid w:val="00974AA8"/>
    <w:rsid w:val="00974B00"/>
    <w:rsid w:val="00974B0D"/>
    <w:rsid w:val="00974B34"/>
    <w:rsid w:val="00974B65"/>
    <w:rsid w:val="00974BBB"/>
    <w:rsid w:val="00974CB9"/>
    <w:rsid w:val="00974CFD"/>
    <w:rsid w:val="00974D15"/>
    <w:rsid w:val="00974D42"/>
    <w:rsid w:val="00974DDC"/>
    <w:rsid w:val="00974E3A"/>
    <w:rsid w:val="00974E6C"/>
    <w:rsid w:val="00974F43"/>
    <w:rsid w:val="00974FE7"/>
    <w:rsid w:val="0097510E"/>
    <w:rsid w:val="0097518A"/>
    <w:rsid w:val="009751EC"/>
    <w:rsid w:val="0097523D"/>
    <w:rsid w:val="0097525B"/>
    <w:rsid w:val="009752ED"/>
    <w:rsid w:val="0097530D"/>
    <w:rsid w:val="009753CC"/>
    <w:rsid w:val="009753D4"/>
    <w:rsid w:val="00975433"/>
    <w:rsid w:val="009754B7"/>
    <w:rsid w:val="00975530"/>
    <w:rsid w:val="00975561"/>
    <w:rsid w:val="00975576"/>
    <w:rsid w:val="0097575B"/>
    <w:rsid w:val="0097596F"/>
    <w:rsid w:val="00975A16"/>
    <w:rsid w:val="00975A23"/>
    <w:rsid w:val="00975AA1"/>
    <w:rsid w:val="00975AC6"/>
    <w:rsid w:val="00975ADD"/>
    <w:rsid w:val="00975AFC"/>
    <w:rsid w:val="00975C00"/>
    <w:rsid w:val="00975C4C"/>
    <w:rsid w:val="00975E30"/>
    <w:rsid w:val="00975EB4"/>
    <w:rsid w:val="00975EDC"/>
    <w:rsid w:val="00975F05"/>
    <w:rsid w:val="00975F58"/>
    <w:rsid w:val="0097602B"/>
    <w:rsid w:val="00976030"/>
    <w:rsid w:val="00976042"/>
    <w:rsid w:val="00976054"/>
    <w:rsid w:val="00976097"/>
    <w:rsid w:val="00976111"/>
    <w:rsid w:val="00976175"/>
    <w:rsid w:val="0097619A"/>
    <w:rsid w:val="00976460"/>
    <w:rsid w:val="00976472"/>
    <w:rsid w:val="009764CA"/>
    <w:rsid w:val="00976534"/>
    <w:rsid w:val="0097653F"/>
    <w:rsid w:val="009765D6"/>
    <w:rsid w:val="009765E2"/>
    <w:rsid w:val="00976689"/>
    <w:rsid w:val="0097673B"/>
    <w:rsid w:val="009767BC"/>
    <w:rsid w:val="009767DA"/>
    <w:rsid w:val="0097695F"/>
    <w:rsid w:val="0097698C"/>
    <w:rsid w:val="009769AC"/>
    <w:rsid w:val="00976A57"/>
    <w:rsid w:val="00976A5C"/>
    <w:rsid w:val="00976B2D"/>
    <w:rsid w:val="00976B83"/>
    <w:rsid w:val="00976C0F"/>
    <w:rsid w:val="00976C3D"/>
    <w:rsid w:val="00976C65"/>
    <w:rsid w:val="00976C9D"/>
    <w:rsid w:val="00976CB1"/>
    <w:rsid w:val="00976D3A"/>
    <w:rsid w:val="00976E21"/>
    <w:rsid w:val="00976F83"/>
    <w:rsid w:val="00976FDF"/>
    <w:rsid w:val="00977003"/>
    <w:rsid w:val="00977043"/>
    <w:rsid w:val="009770DF"/>
    <w:rsid w:val="009770EB"/>
    <w:rsid w:val="0097710F"/>
    <w:rsid w:val="00977153"/>
    <w:rsid w:val="0097715C"/>
    <w:rsid w:val="00977197"/>
    <w:rsid w:val="0097719D"/>
    <w:rsid w:val="009771E3"/>
    <w:rsid w:val="00977360"/>
    <w:rsid w:val="0097738A"/>
    <w:rsid w:val="00977391"/>
    <w:rsid w:val="009774F5"/>
    <w:rsid w:val="009776B9"/>
    <w:rsid w:val="009776CC"/>
    <w:rsid w:val="0097770E"/>
    <w:rsid w:val="00977717"/>
    <w:rsid w:val="00977755"/>
    <w:rsid w:val="0097777E"/>
    <w:rsid w:val="009777CD"/>
    <w:rsid w:val="00977809"/>
    <w:rsid w:val="00977919"/>
    <w:rsid w:val="0097791A"/>
    <w:rsid w:val="0097791B"/>
    <w:rsid w:val="009779BD"/>
    <w:rsid w:val="00977A26"/>
    <w:rsid w:val="00977A4D"/>
    <w:rsid w:val="00977A74"/>
    <w:rsid w:val="00977AC9"/>
    <w:rsid w:val="00977C91"/>
    <w:rsid w:val="00977D5F"/>
    <w:rsid w:val="00977DB6"/>
    <w:rsid w:val="00977E0E"/>
    <w:rsid w:val="00977E48"/>
    <w:rsid w:val="00977E5B"/>
    <w:rsid w:val="00977EE3"/>
    <w:rsid w:val="00977F3D"/>
    <w:rsid w:val="00977F71"/>
    <w:rsid w:val="00980071"/>
    <w:rsid w:val="00980074"/>
    <w:rsid w:val="009800FD"/>
    <w:rsid w:val="009800FF"/>
    <w:rsid w:val="009801A8"/>
    <w:rsid w:val="009801AE"/>
    <w:rsid w:val="009803CC"/>
    <w:rsid w:val="00980435"/>
    <w:rsid w:val="00980451"/>
    <w:rsid w:val="00980476"/>
    <w:rsid w:val="00980498"/>
    <w:rsid w:val="00980571"/>
    <w:rsid w:val="00980598"/>
    <w:rsid w:val="009806AA"/>
    <w:rsid w:val="00980854"/>
    <w:rsid w:val="0098088E"/>
    <w:rsid w:val="0098094F"/>
    <w:rsid w:val="0098097A"/>
    <w:rsid w:val="009809D3"/>
    <w:rsid w:val="009809F0"/>
    <w:rsid w:val="00980A19"/>
    <w:rsid w:val="00980B4F"/>
    <w:rsid w:val="00980BC7"/>
    <w:rsid w:val="00980C8D"/>
    <w:rsid w:val="00980CA5"/>
    <w:rsid w:val="00980CC7"/>
    <w:rsid w:val="00980CC9"/>
    <w:rsid w:val="00980D32"/>
    <w:rsid w:val="00980D71"/>
    <w:rsid w:val="00980E22"/>
    <w:rsid w:val="00980EF6"/>
    <w:rsid w:val="0098101B"/>
    <w:rsid w:val="0098103D"/>
    <w:rsid w:val="00981046"/>
    <w:rsid w:val="00981077"/>
    <w:rsid w:val="009810A6"/>
    <w:rsid w:val="009810AF"/>
    <w:rsid w:val="009810F5"/>
    <w:rsid w:val="009810F6"/>
    <w:rsid w:val="00981120"/>
    <w:rsid w:val="00981154"/>
    <w:rsid w:val="0098128E"/>
    <w:rsid w:val="009812DF"/>
    <w:rsid w:val="00981359"/>
    <w:rsid w:val="00981369"/>
    <w:rsid w:val="009813BC"/>
    <w:rsid w:val="00981472"/>
    <w:rsid w:val="0098148B"/>
    <w:rsid w:val="009814A6"/>
    <w:rsid w:val="009814FE"/>
    <w:rsid w:val="0098151E"/>
    <w:rsid w:val="0098155E"/>
    <w:rsid w:val="00981618"/>
    <w:rsid w:val="009816FA"/>
    <w:rsid w:val="0098171F"/>
    <w:rsid w:val="0098174F"/>
    <w:rsid w:val="00981762"/>
    <w:rsid w:val="009817ED"/>
    <w:rsid w:val="00981917"/>
    <w:rsid w:val="0098196C"/>
    <w:rsid w:val="009819A6"/>
    <w:rsid w:val="009819C7"/>
    <w:rsid w:val="00981A71"/>
    <w:rsid w:val="00981C01"/>
    <w:rsid w:val="00981C37"/>
    <w:rsid w:val="00981CDE"/>
    <w:rsid w:val="00981D32"/>
    <w:rsid w:val="00981D62"/>
    <w:rsid w:val="00981DC6"/>
    <w:rsid w:val="00981E9A"/>
    <w:rsid w:val="00981EB7"/>
    <w:rsid w:val="00981F97"/>
    <w:rsid w:val="00981FDF"/>
    <w:rsid w:val="00982097"/>
    <w:rsid w:val="009820B5"/>
    <w:rsid w:val="00982177"/>
    <w:rsid w:val="00982186"/>
    <w:rsid w:val="009821FC"/>
    <w:rsid w:val="0098229B"/>
    <w:rsid w:val="009822C4"/>
    <w:rsid w:val="009823BF"/>
    <w:rsid w:val="009824E4"/>
    <w:rsid w:val="0098252A"/>
    <w:rsid w:val="00982597"/>
    <w:rsid w:val="009825DE"/>
    <w:rsid w:val="009825DF"/>
    <w:rsid w:val="009826A2"/>
    <w:rsid w:val="0098287E"/>
    <w:rsid w:val="0098291C"/>
    <w:rsid w:val="009829AC"/>
    <w:rsid w:val="00982AA0"/>
    <w:rsid w:val="00982AAD"/>
    <w:rsid w:val="00982B40"/>
    <w:rsid w:val="00982B54"/>
    <w:rsid w:val="00982BA5"/>
    <w:rsid w:val="00982D21"/>
    <w:rsid w:val="00982D33"/>
    <w:rsid w:val="00982DEE"/>
    <w:rsid w:val="00982EA9"/>
    <w:rsid w:val="00982EAE"/>
    <w:rsid w:val="00982ED9"/>
    <w:rsid w:val="00982F21"/>
    <w:rsid w:val="00982FDD"/>
    <w:rsid w:val="00983055"/>
    <w:rsid w:val="00983096"/>
    <w:rsid w:val="009830B3"/>
    <w:rsid w:val="009830F4"/>
    <w:rsid w:val="00983141"/>
    <w:rsid w:val="009831E2"/>
    <w:rsid w:val="0098337E"/>
    <w:rsid w:val="009833AB"/>
    <w:rsid w:val="009834B8"/>
    <w:rsid w:val="00983523"/>
    <w:rsid w:val="00983620"/>
    <w:rsid w:val="009836C2"/>
    <w:rsid w:val="0098370C"/>
    <w:rsid w:val="00983740"/>
    <w:rsid w:val="00983757"/>
    <w:rsid w:val="0098382C"/>
    <w:rsid w:val="009838A6"/>
    <w:rsid w:val="00983909"/>
    <w:rsid w:val="00983952"/>
    <w:rsid w:val="00983A2B"/>
    <w:rsid w:val="00983B27"/>
    <w:rsid w:val="00983B93"/>
    <w:rsid w:val="00983C3E"/>
    <w:rsid w:val="00983CE4"/>
    <w:rsid w:val="00983D93"/>
    <w:rsid w:val="00983DA0"/>
    <w:rsid w:val="00983DFF"/>
    <w:rsid w:val="00983E3C"/>
    <w:rsid w:val="00983F06"/>
    <w:rsid w:val="00983F18"/>
    <w:rsid w:val="00983F9A"/>
    <w:rsid w:val="0098400C"/>
    <w:rsid w:val="0098404C"/>
    <w:rsid w:val="009841DE"/>
    <w:rsid w:val="009841FB"/>
    <w:rsid w:val="0098426C"/>
    <w:rsid w:val="00984278"/>
    <w:rsid w:val="009844C4"/>
    <w:rsid w:val="009844C5"/>
    <w:rsid w:val="00984573"/>
    <w:rsid w:val="00984606"/>
    <w:rsid w:val="0098460B"/>
    <w:rsid w:val="0098461A"/>
    <w:rsid w:val="0098463E"/>
    <w:rsid w:val="00984673"/>
    <w:rsid w:val="009848A2"/>
    <w:rsid w:val="009848A6"/>
    <w:rsid w:val="009848FA"/>
    <w:rsid w:val="00984975"/>
    <w:rsid w:val="0098499B"/>
    <w:rsid w:val="00984A3E"/>
    <w:rsid w:val="00984A5E"/>
    <w:rsid w:val="00984B3D"/>
    <w:rsid w:val="00984C25"/>
    <w:rsid w:val="00984C31"/>
    <w:rsid w:val="00984CE7"/>
    <w:rsid w:val="00984D19"/>
    <w:rsid w:val="00984D1D"/>
    <w:rsid w:val="00984D6B"/>
    <w:rsid w:val="00984F0F"/>
    <w:rsid w:val="00984F2E"/>
    <w:rsid w:val="00984F51"/>
    <w:rsid w:val="00984F57"/>
    <w:rsid w:val="00985006"/>
    <w:rsid w:val="00985012"/>
    <w:rsid w:val="009850B0"/>
    <w:rsid w:val="0098528A"/>
    <w:rsid w:val="009852AE"/>
    <w:rsid w:val="00985373"/>
    <w:rsid w:val="00985389"/>
    <w:rsid w:val="009853CA"/>
    <w:rsid w:val="00985510"/>
    <w:rsid w:val="00985555"/>
    <w:rsid w:val="00985599"/>
    <w:rsid w:val="009855F6"/>
    <w:rsid w:val="0098568B"/>
    <w:rsid w:val="0098569B"/>
    <w:rsid w:val="00985726"/>
    <w:rsid w:val="00985734"/>
    <w:rsid w:val="0098585E"/>
    <w:rsid w:val="00985923"/>
    <w:rsid w:val="00985992"/>
    <w:rsid w:val="009859F8"/>
    <w:rsid w:val="00985C55"/>
    <w:rsid w:val="00985C74"/>
    <w:rsid w:val="00985D07"/>
    <w:rsid w:val="00985D2B"/>
    <w:rsid w:val="00985F07"/>
    <w:rsid w:val="00986139"/>
    <w:rsid w:val="0098619E"/>
    <w:rsid w:val="00986289"/>
    <w:rsid w:val="009862E6"/>
    <w:rsid w:val="009862E8"/>
    <w:rsid w:val="00986421"/>
    <w:rsid w:val="009865ED"/>
    <w:rsid w:val="00986672"/>
    <w:rsid w:val="00986692"/>
    <w:rsid w:val="0098670C"/>
    <w:rsid w:val="0098675C"/>
    <w:rsid w:val="00986836"/>
    <w:rsid w:val="00986951"/>
    <w:rsid w:val="009869CC"/>
    <w:rsid w:val="00986A37"/>
    <w:rsid w:val="00986A7C"/>
    <w:rsid w:val="00986BBA"/>
    <w:rsid w:val="00986C23"/>
    <w:rsid w:val="00986C41"/>
    <w:rsid w:val="00986C42"/>
    <w:rsid w:val="00986CB4"/>
    <w:rsid w:val="00986D10"/>
    <w:rsid w:val="00986D3F"/>
    <w:rsid w:val="00986DE4"/>
    <w:rsid w:val="00986E21"/>
    <w:rsid w:val="00986E70"/>
    <w:rsid w:val="00986F04"/>
    <w:rsid w:val="00986FC5"/>
    <w:rsid w:val="00987140"/>
    <w:rsid w:val="00987189"/>
    <w:rsid w:val="009871E5"/>
    <w:rsid w:val="0098726A"/>
    <w:rsid w:val="00987279"/>
    <w:rsid w:val="00987302"/>
    <w:rsid w:val="00987341"/>
    <w:rsid w:val="0098747A"/>
    <w:rsid w:val="009874AA"/>
    <w:rsid w:val="00987629"/>
    <w:rsid w:val="00987639"/>
    <w:rsid w:val="0098764C"/>
    <w:rsid w:val="0098764F"/>
    <w:rsid w:val="00987678"/>
    <w:rsid w:val="009876DB"/>
    <w:rsid w:val="0098783C"/>
    <w:rsid w:val="0098787B"/>
    <w:rsid w:val="009878BB"/>
    <w:rsid w:val="009878FD"/>
    <w:rsid w:val="00987933"/>
    <w:rsid w:val="009879A9"/>
    <w:rsid w:val="009879E6"/>
    <w:rsid w:val="00987AD4"/>
    <w:rsid w:val="00987AD5"/>
    <w:rsid w:val="00987B65"/>
    <w:rsid w:val="00987C05"/>
    <w:rsid w:val="00987C59"/>
    <w:rsid w:val="00987C6D"/>
    <w:rsid w:val="00987CE1"/>
    <w:rsid w:val="00987D01"/>
    <w:rsid w:val="00987D09"/>
    <w:rsid w:val="00987D30"/>
    <w:rsid w:val="00987E23"/>
    <w:rsid w:val="00987E2E"/>
    <w:rsid w:val="00987E91"/>
    <w:rsid w:val="00987F5B"/>
    <w:rsid w:val="0099001A"/>
    <w:rsid w:val="009900C6"/>
    <w:rsid w:val="009901F7"/>
    <w:rsid w:val="00990234"/>
    <w:rsid w:val="0099028C"/>
    <w:rsid w:val="009902BF"/>
    <w:rsid w:val="009903EE"/>
    <w:rsid w:val="009903F6"/>
    <w:rsid w:val="00990438"/>
    <w:rsid w:val="009904A6"/>
    <w:rsid w:val="009904DE"/>
    <w:rsid w:val="009904E3"/>
    <w:rsid w:val="00990562"/>
    <w:rsid w:val="00990593"/>
    <w:rsid w:val="009905B6"/>
    <w:rsid w:val="009905E1"/>
    <w:rsid w:val="00990616"/>
    <w:rsid w:val="009906F3"/>
    <w:rsid w:val="00990743"/>
    <w:rsid w:val="0099074A"/>
    <w:rsid w:val="00990763"/>
    <w:rsid w:val="009907A7"/>
    <w:rsid w:val="0099087C"/>
    <w:rsid w:val="009908B9"/>
    <w:rsid w:val="00990A6D"/>
    <w:rsid w:val="00990A6E"/>
    <w:rsid w:val="00990AC0"/>
    <w:rsid w:val="00990B4A"/>
    <w:rsid w:val="00990B74"/>
    <w:rsid w:val="00990CA5"/>
    <w:rsid w:val="00990CE2"/>
    <w:rsid w:val="00990D57"/>
    <w:rsid w:val="00990E45"/>
    <w:rsid w:val="00990E76"/>
    <w:rsid w:val="00990E92"/>
    <w:rsid w:val="00990E96"/>
    <w:rsid w:val="00990EA9"/>
    <w:rsid w:val="009911E7"/>
    <w:rsid w:val="0099124C"/>
    <w:rsid w:val="0099126A"/>
    <w:rsid w:val="00991300"/>
    <w:rsid w:val="00991459"/>
    <w:rsid w:val="00991524"/>
    <w:rsid w:val="0099157C"/>
    <w:rsid w:val="009915AD"/>
    <w:rsid w:val="009915F9"/>
    <w:rsid w:val="0099160F"/>
    <w:rsid w:val="0099177D"/>
    <w:rsid w:val="00991793"/>
    <w:rsid w:val="00991892"/>
    <w:rsid w:val="009918A1"/>
    <w:rsid w:val="009918B3"/>
    <w:rsid w:val="009918C8"/>
    <w:rsid w:val="009918FB"/>
    <w:rsid w:val="0099198A"/>
    <w:rsid w:val="00991994"/>
    <w:rsid w:val="009919E2"/>
    <w:rsid w:val="009919F1"/>
    <w:rsid w:val="00991B05"/>
    <w:rsid w:val="00991B18"/>
    <w:rsid w:val="00991B43"/>
    <w:rsid w:val="00991BFA"/>
    <w:rsid w:val="00991C6E"/>
    <w:rsid w:val="00991CD7"/>
    <w:rsid w:val="00991D5E"/>
    <w:rsid w:val="00991D69"/>
    <w:rsid w:val="00991D6A"/>
    <w:rsid w:val="00991DE6"/>
    <w:rsid w:val="00991DFF"/>
    <w:rsid w:val="00991E46"/>
    <w:rsid w:val="00991E5F"/>
    <w:rsid w:val="00991EA9"/>
    <w:rsid w:val="00991F91"/>
    <w:rsid w:val="00991FE0"/>
    <w:rsid w:val="00991FFF"/>
    <w:rsid w:val="0099205E"/>
    <w:rsid w:val="00992078"/>
    <w:rsid w:val="009920A9"/>
    <w:rsid w:val="009920F6"/>
    <w:rsid w:val="009920FC"/>
    <w:rsid w:val="0099216C"/>
    <w:rsid w:val="0099221B"/>
    <w:rsid w:val="00992252"/>
    <w:rsid w:val="00992256"/>
    <w:rsid w:val="00992294"/>
    <w:rsid w:val="009922AB"/>
    <w:rsid w:val="009922F8"/>
    <w:rsid w:val="00992339"/>
    <w:rsid w:val="00992480"/>
    <w:rsid w:val="009924BA"/>
    <w:rsid w:val="00992551"/>
    <w:rsid w:val="00992669"/>
    <w:rsid w:val="009926EC"/>
    <w:rsid w:val="0099271C"/>
    <w:rsid w:val="00992780"/>
    <w:rsid w:val="009927A2"/>
    <w:rsid w:val="0099286F"/>
    <w:rsid w:val="00992990"/>
    <w:rsid w:val="00992B15"/>
    <w:rsid w:val="00992BB8"/>
    <w:rsid w:val="00992CA5"/>
    <w:rsid w:val="00992CB4"/>
    <w:rsid w:val="00992D88"/>
    <w:rsid w:val="00992D9F"/>
    <w:rsid w:val="00992DCE"/>
    <w:rsid w:val="00992DEA"/>
    <w:rsid w:val="00992DF4"/>
    <w:rsid w:val="00992E4F"/>
    <w:rsid w:val="00992F2B"/>
    <w:rsid w:val="00992F89"/>
    <w:rsid w:val="00992F96"/>
    <w:rsid w:val="0099303B"/>
    <w:rsid w:val="009930BC"/>
    <w:rsid w:val="009930EC"/>
    <w:rsid w:val="009930F3"/>
    <w:rsid w:val="0099318B"/>
    <w:rsid w:val="009931C4"/>
    <w:rsid w:val="009931D0"/>
    <w:rsid w:val="009932AC"/>
    <w:rsid w:val="009932C1"/>
    <w:rsid w:val="00993337"/>
    <w:rsid w:val="00993387"/>
    <w:rsid w:val="0099338F"/>
    <w:rsid w:val="009933A7"/>
    <w:rsid w:val="0099342B"/>
    <w:rsid w:val="009934C0"/>
    <w:rsid w:val="00993597"/>
    <w:rsid w:val="009935A8"/>
    <w:rsid w:val="00993679"/>
    <w:rsid w:val="009936FE"/>
    <w:rsid w:val="0099376A"/>
    <w:rsid w:val="00993775"/>
    <w:rsid w:val="009937AC"/>
    <w:rsid w:val="009937B5"/>
    <w:rsid w:val="009937BF"/>
    <w:rsid w:val="00993A06"/>
    <w:rsid w:val="00993A48"/>
    <w:rsid w:val="00993BC1"/>
    <w:rsid w:val="00993BE5"/>
    <w:rsid w:val="00993C0A"/>
    <w:rsid w:val="00993C55"/>
    <w:rsid w:val="00993CBF"/>
    <w:rsid w:val="00993D0A"/>
    <w:rsid w:val="00993D1B"/>
    <w:rsid w:val="00993D79"/>
    <w:rsid w:val="00993DFA"/>
    <w:rsid w:val="00993F24"/>
    <w:rsid w:val="00994024"/>
    <w:rsid w:val="0099402D"/>
    <w:rsid w:val="00994051"/>
    <w:rsid w:val="00994083"/>
    <w:rsid w:val="009940FB"/>
    <w:rsid w:val="00994153"/>
    <w:rsid w:val="009941AD"/>
    <w:rsid w:val="0099429C"/>
    <w:rsid w:val="009942B2"/>
    <w:rsid w:val="009942E2"/>
    <w:rsid w:val="00994349"/>
    <w:rsid w:val="00994429"/>
    <w:rsid w:val="00994499"/>
    <w:rsid w:val="009944D3"/>
    <w:rsid w:val="00994597"/>
    <w:rsid w:val="00994617"/>
    <w:rsid w:val="00994780"/>
    <w:rsid w:val="00994797"/>
    <w:rsid w:val="00994809"/>
    <w:rsid w:val="009948AC"/>
    <w:rsid w:val="00994932"/>
    <w:rsid w:val="00994974"/>
    <w:rsid w:val="00994A1C"/>
    <w:rsid w:val="00994AAD"/>
    <w:rsid w:val="00994ABA"/>
    <w:rsid w:val="00994D46"/>
    <w:rsid w:val="00994D5B"/>
    <w:rsid w:val="00994D9A"/>
    <w:rsid w:val="00994E19"/>
    <w:rsid w:val="00994EEA"/>
    <w:rsid w:val="00994F09"/>
    <w:rsid w:val="00994F77"/>
    <w:rsid w:val="00994FE1"/>
    <w:rsid w:val="00995001"/>
    <w:rsid w:val="0099503F"/>
    <w:rsid w:val="00995043"/>
    <w:rsid w:val="0099504E"/>
    <w:rsid w:val="00995077"/>
    <w:rsid w:val="00995115"/>
    <w:rsid w:val="009951AB"/>
    <w:rsid w:val="009951E2"/>
    <w:rsid w:val="00995243"/>
    <w:rsid w:val="00995273"/>
    <w:rsid w:val="009952F1"/>
    <w:rsid w:val="00995366"/>
    <w:rsid w:val="00995376"/>
    <w:rsid w:val="009953B7"/>
    <w:rsid w:val="009953F3"/>
    <w:rsid w:val="00995416"/>
    <w:rsid w:val="00995450"/>
    <w:rsid w:val="0099551B"/>
    <w:rsid w:val="00995702"/>
    <w:rsid w:val="009957EC"/>
    <w:rsid w:val="0099586B"/>
    <w:rsid w:val="009958AC"/>
    <w:rsid w:val="009958D8"/>
    <w:rsid w:val="009958DB"/>
    <w:rsid w:val="00995938"/>
    <w:rsid w:val="009959B0"/>
    <w:rsid w:val="009959F2"/>
    <w:rsid w:val="00995A7D"/>
    <w:rsid w:val="00995B2B"/>
    <w:rsid w:val="00995BBF"/>
    <w:rsid w:val="00995C03"/>
    <w:rsid w:val="00995C4D"/>
    <w:rsid w:val="00995CB6"/>
    <w:rsid w:val="00995D1B"/>
    <w:rsid w:val="00995D20"/>
    <w:rsid w:val="00995DC3"/>
    <w:rsid w:val="00995E4A"/>
    <w:rsid w:val="00995F98"/>
    <w:rsid w:val="00995FF6"/>
    <w:rsid w:val="0099605A"/>
    <w:rsid w:val="0099608E"/>
    <w:rsid w:val="0099612A"/>
    <w:rsid w:val="0099612E"/>
    <w:rsid w:val="00996197"/>
    <w:rsid w:val="0099619D"/>
    <w:rsid w:val="009961C6"/>
    <w:rsid w:val="009962DC"/>
    <w:rsid w:val="0099633C"/>
    <w:rsid w:val="009964A1"/>
    <w:rsid w:val="009964E9"/>
    <w:rsid w:val="00996517"/>
    <w:rsid w:val="009965D6"/>
    <w:rsid w:val="00996654"/>
    <w:rsid w:val="00996703"/>
    <w:rsid w:val="00996741"/>
    <w:rsid w:val="00996820"/>
    <w:rsid w:val="00996862"/>
    <w:rsid w:val="009968F4"/>
    <w:rsid w:val="00996964"/>
    <w:rsid w:val="0099696C"/>
    <w:rsid w:val="00996988"/>
    <w:rsid w:val="009969B1"/>
    <w:rsid w:val="009969B4"/>
    <w:rsid w:val="009969DE"/>
    <w:rsid w:val="00996A45"/>
    <w:rsid w:val="00996A70"/>
    <w:rsid w:val="00996AE1"/>
    <w:rsid w:val="00996AF0"/>
    <w:rsid w:val="00996B29"/>
    <w:rsid w:val="00996B61"/>
    <w:rsid w:val="00996C0B"/>
    <w:rsid w:val="00996C77"/>
    <w:rsid w:val="00996CEB"/>
    <w:rsid w:val="00996CF9"/>
    <w:rsid w:val="00996D32"/>
    <w:rsid w:val="00996EA7"/>
    <w:rsid w:val="00996EAA"/>
    <w:rsid w:val="00996EE8"/>
    <w:rsid w:val="00996FBB"/>
    <w:rsid w:val="009970EB"/>
    <w:rsid w:val="00997113"/>
    <w:rsid w:val="0099714C"/>
    <w:rsid w:val="00997158"/>
    <w:rsid w:val="0099724D"/>
    <w:rsid w:val="00997259"/>
    <w:rsid w:val="0099726A"/>
    <w:rsid w:val="00997292"/>
    <w:rsid w:val="009972DB"/>
    <w:rsid w:val="00997328"/>
    <w:rsid w:val="00997340"/>
    <w:rsid w:val="009973B8"/>
    <w:rsid w:val="00997441"/>
    <w:rsid w:val="00997461"/>
    <w:rsid w:val="00997479"/>
    <w:rsid w:val="0099751D"/>
    <w:rsid w:val="00997552"/>
    <w:rsid w:val="009975D7"/>
    <w:rsid w:val="00997632"/>
    <w:rsid w:val="00997709"/>
    <w:rsid w:val="0099773A"/>
    <w:rsid w:val="00997749"/>
    <w:rsid w:val="00997762"/>
    <w:rsid w:val="009977A4"/>
    <w:rsid w:val="0099799B"/>
    <w:rsid w:val="009979AA"/>
    <w:rsid w:val="009979EA"/>
    <w:rsid w:val="00997A08"/>
    <w:rsid w:val="00997BAB"/>
    <w:rsid w:val="00997C60"/>
    <w:rsid w:val="00997CE0"/>
    <w:rsid w:val="00997D37"/>
    <w:rsid w:val="00997DA0"/>
    <w:rsid w:val="00997DA3"/>
    <w:rsid w:val="00997DA6"/>
    <w:rsid w:val="00997F6E"/>
    <w:rsid w:val="00997F7E"/>
    <w:rsid w:val="009A0066"/>
    <w:rsid w:val="009A0074"/>
    <w:rsid w:val="009A00BB"/>
    <w:rsid w:val="009A013D"/>
    <w:rsid w:val="009A01C2"/>
    <w:rsid w:val="009A01D9"/>
    <w:rsid w:val="009A0240"/>
    <w:rsid w:val="009A03C7"/>
    <w:rsid w:val="009A03E3"/>
    <w:rsid w:val="009A03F2"/>
    <w:rsid w:val="009A048F"/>
    <w:rsid w:val="009A0517"/>
    <w:rsid w:val="009A05B1"/>
    <w:rsid w:val="009A05EB"/>
    <w:rsid w:val="009A075F"/>
    <w:rsid w:val="009A07B6"/>
    <w:rsid w:val="009A0806"/>
    <w:rsid w:val="009A080F"/>
    <w:rsid w:val="009A08DC"/>
    <w:rsid w:val="009A08F1"/>
    <w:rsid w:val="009A0A0D"/>
    <w:rsid w:val="009A0A2F"/>
    <w:rsid w:val="009A0A68"/>
    <w:rsid w:val="009A0BDE"/>
    <w:rsid w:val="009A0CB7"/>
    <w:rsid w:val="009A0DA6"/>
    <w:rsid w:val="009A0DA9"/>
    <w:rsid w:val="009A0DED"/>
    <w:rsid w:val="009A0E10"/>
    <w:rsid w:val="009A0E55"/>
    <w:rsid w:val="009A0E95"/>
    <w:rsid w:val="009A0EDF"/>
    <w:rsid w:val="009A0F23"/>
    <w:rsid w:val="009A0FB2"/>
    <w:rsid w:val="009A0FEC"/>
    <w:rsid w:val="009A1019"/>
    <w:rsid w:val="009A104A"/>
    <w:rsid w:val="009A105E"/>
    <w:rsid w:val="009A107C"/>
    <w:rsid w:val="009A10D6"/>
    <w:rsid w:val="009A1105"/>
    <w:rsid w:val="009A113F"/>
    <w:rsid w:val="009A117C"/>
    <w:rsid w:val="009A11A7"/>
    <w:rsid w:val="009A12B0"/>
    <w:rsid w:val="009A12C2"/>
    <w:rsid w:val="009A12E9"/>
    <w:rsid w:val="009A1316"/>
    <w:rsid w:val="009A135F"/>
    <w:rsid w:val="009A13A0"/>
    <w:rsid w:val="009A13A6"/>
    <w:rsid w:val="009A13FF"/>
    <w:rsid w:val="009A1456"/>
    <w:rsid w:val="009A14AE"/>
    <w:rsid w:val="009A1511"/>
    <w:rsid w:val="009A151C"/>
    <w:rsid w:val="009A15F1"/>
    <w:rsid w:val="009A1631"/>
    <w:rsid w:val="009A16BC"/>
    <w:rsid w:val="009A16E6"/>
    <w:rsid w:val="009A16F0"/>
    <w:rsid w:val="009A1726"/>
    <w:rsid w:val="009A1781"/>
    <w:rsid w:val="009A17AE"/>
    <w:rsid w:val="009A17F5"/>
    <w:rsid w:val="009A18AF"/>
    <w:rsid w:val="009A19E6"/>
    <w:rsid w:val="009A19F0"/>
    <w:rsid w:val="009A1A57"/>
    <w:rsid w:val="009A1A92"/>
    <w:rsid w:val="009A1B31"/>
    <w:rsid w:val="009A1B93"/>
    <w:rsid w:val="009A1C46"/>
    <w:rsid w:val="009A1C4E"/>
    <w:rsid w:val="009A1CA6"/>
    <w:rsid w:val="009A1CBE"/>
    <w:rsid w:val="009A1D52"/>
    <w:rsid w:val="009A1D55"/>
    <w:rsid w:val="009A1D79"/>
    <w:rsid w:val="009A1DC3"/>
    <w:rsid w:val="009A1DFE"/>
    <w:rsid w:val="009A1E7A"/>
    <w:rsid w:val="009A1EB0"/>
    <w:rsid w:val="009A1EEE"/>
    <w:rsid w:val="009A1F14"/>
    <w:rsid w:val="009A1F1D"/>
    <w:rsid w:val="009A1F3B"/>
    <w:rsid w:val="009A1FE6"/>
    <w:rsid w:val="009A20B6"/>
    <w:rsid w:val="009A2186"/>
    <w:rsid w:val="009A21C9"/>
    <w:rsid w:val="009A22C1"/>
    <w:rsid w:val="009A2316"/>
    <w:rsid w:val="009A23AA"/>
    <w:rsid w:val="009A2406"/>
    <w:rsid w:val="009A243B"/>
    <w:rsid w:val="009A2461"/>
    <w:rsid w:val="009A2470"/>
    <w:rsid w:val="009A24B2"/>
    <w:rsid w:val="009A24F0"/>
    <w:rsid w:val="009A2511"/>
    <w:rsid w:val="009A25D6"/>
    <w:rsid w:val="009A2786"/>
    <w:rsid w:val="009A2798"/>
    <w:rsid w:val="009A27A0"/>
    <w:rsid w:val="009A27D6"/>
    <w:rsid w:val="009A2819"/>
    <w:rsid w:val="009A2892"/>
    <w:rsid w:val="009A2B4E"/>
    <w:rsid w:val="009A2B79"/>
    <w:rsid w:val="009A2BFE"/>
    <w:rsid w:val="009A2C03"/>
    <w:rsid w:val="009A2D68"/>
    <w:rsid w:val="009A2D7B"/>
    <w:rsid w:val="009A2DD1"/>
    <w:rsid w:val="009A2FC3"/>
    <w:rsid w:val="009A3050"/>
    <w:rsid w:val="009A30FC"/>
    <w:rsid w:val="009A32E8"/>
    <w:rsid w:val="009A3311"/>
    <w:rsid w:val="009A337D"/>
    <w:rsid w:val="009A33AD"/>
    <w:rsid w:val="009A33AF"/>
    <w:rsid w:val="009A33D7"/>
    <w:rsid w:val="009A33E6"/>
    <w:rsid w:val="009A3407"/>
    <w:rsid w:val="009A3493"/>
    <w:rsid w:val="009A34A9"/>
    <w:rsid w:val="009A3513"/>
    <w:rsid w:val="009A3526"/>
    <w:rsid w:val="009A3589"/>
    <w:rsid w:val="009A3610"/>
    <w:rsid w:val="009A3612"/>
    <w:rsid w:val="009A36AD"/>
    <w:rsid w:val="009A370C"/>
    <w:rsid w:val="009A371C"/>
    <w:rsid w:val="009A3725"/>
    <w:rsid w:val="009A3824"/>
    <w:rsid w:val="009A394E"/>
    <w:rsid w:val="009A398F"/>
    <w:rsid w:val="009A39B1"/>
    <w:rsid w:val="009A39B2"/>
    <w:rsid w:val="009A39D2"/>
    <w:rsid w:val="009A3A8E"/>
    <w:rsid w:val="009A3BA0"/>
    <w:rsid w:val="009A3BDB"/>
    <w:rsid w:val="009A3CBB"/>
    <w:rsid w:val="009A3CCF"/>
    <w:rsid w:val="009A3D5F"/>
    <w:rsid w:val="009A3D78"/>
    <w:rsid w:val="009A3D7C"/>
    <w:rsid w:val="009A3E81"/>
    <w:rsid w:val="009A3ECE"/>
    <w:rsid w:val="009A3EE0"/>
    <w:rsid w:val="009A3F07"/>
    <w:rsid w:val="009A3F4B"/>
    <w:rsid w:val="009A401D"/>
    <w:rsid w:val="009A403F"/>
    <w:rsid w:val="009A4049"/>
    <w:rsid w:val="009A4090"/>
    <w:rsid w:val="009A4096"/>
    <w:rsid w:val="009A40AE"/>
    <w:rsid w:val="009A414F"/>
    <w:rsid w:val="009A4158"/>
    <w:rsid w:val="009A4177"/>
    <w:rsid w:val="009A42B5"/>
    <w:rsid w:val="009A4397"/>
    <w:rsid w:val="009A4398"/>
    <w:rsid w:val="009A43CA"/>
    <w:rsid w:val="009A44DB"/>
    <w:rsid w:val="009A45EB"/>
    <w:rsid w:val="009A45FE"/>
    <w:rsid w:val="009A4640"/>
    <w:rsid w:val="009A4675"/>
    <w:rsid w:val="009A4685"/>
    <w:rsid w:val="009A4698"/>
    <w:rsid w:val="009A46C2"/>
    <w:rsid w:val="009A470E"/>
    <w:rsid w:val="009A477B"/>
    <w:rsid w:val="009A47BE"/>
    <w:rsid w:val="009A48A7"/>
    <w:rsid w:val="009A4A60"/>
    <w:rsid w:val="009A4A7C"/>
    <w:rsid w:val="009A4A9E"/>
    <w:rsid w:val="009A4AB1"/>
    <w:rsid w:val="009A4B4C"/>
    <w:rsid w:val="009A4BAB"/>
    <w:rsid w:val="009A4CD4"/>
    <w:rsid w:val="009A4E27"/>
    <w:rsid w:val="009A4E53"/>
    <w:rsid w:val="009A4E80"/>
    <w:rsid w:val="009A4F54"/>
    <w:rsid w:val="009A4FDD"/>
    <w:rsid w:val="009A4FDE"/>
    <w:rsid w:val="009A503E"/>
    <w:rsid w:val="009A50A5"/>
    <w:rsid w:val="009A5210"/>
    <w:rsid w:val="009A52B6"/>
    <w:rsid w:val="009A52F1"/>
    <w:rsid w:val="009A53AF"/>
    <w:rsid w:val="009A53F0"/>
    <w:rsid w:val="009A5556"/>
    <w:rsid w:val="009A5569"/>
    <w:rsid w:val="009A5592"/>
    <w:rsid w:val="009A55BD"/>
    <w:rsid w:val="009A56DF"/>
    <w:rsid w:val="009A56EE"/>
    <w:rsid w:val="009A5700"/>
    <w:rsid w:val="009A572A"/>
    <w:rsid w:val="009A57C0"/>
    <w:rsid w:val="009A58EF"/>
    <w:rsid w:val="009A59CF"/>
    <w:rsid w:val="009A59D3"/>
    <w:rsid w:val="009A5A11"/>
    <w:rsid w:val="009A5A3C"/>
    <w:rsid w:val="009A5ACB"/>
    <w:rsid w:val="009A5B2A"/>
    <w:rsid w:val="009A5B8C"/>
    <w:rsid w:val="009A5BA3"/>
    <w:rsid w:val="009A5C50"/>
    <w:rsid w:val="009A5D0A"/>
    <w:rsid w:val="009A5DD6"/>
    <w:rsid w:val="009A5DF7"/>
    <w:rsid w:val="009A5F32"/>
    <w:rsid w:val="009A5F85"/>
    <w:rsid w:val="009A5FB7"/>
    <w:rsid w:val="009A606F"/>
    <w:rsid w:val="009A61BD"/>
    <w:rsid w:val="009A61F5"/>
    <w:rsid w:val="009A61FD"/>
    <w:rsid w:val="009A6259"/>
    <w:rsid w:val="009A6355"/>
    <w:rsid w:val="009A6435"/>
    <w:rsid w:val="009A6491"/>
    <w:rsid w:val="009A64F6"/>
    <w:rsid w:val="009A6586"/>
    <w:rsid w:val="009A65F4"/>
    <w:rsid w:val="009A6617"/>
    <w:rsid w:val="009A6679"/>
    <w:rsid w:val="009A66AC"/>
    <w:rsid w:val="009A6728"/>
    <w:rsid w:val="009A6794"/>
    <w:rsid w:val="009A6867"/>
    <w:rsid w:val="009A6891"/>
    <w:rsid w:val="009A6A06"/>
    <w:rsid w:val="009A6A98"/>
    <w:rsid w:val="009A6AA5"/>
    <w:rsid w:val="009A6B58"/>
    <w:rsid w:val="009A6CD9"/>
    <w:rsid w:val="009A6D20"/>
    <w:rsid w:val="009A6D9A"/>
    <w:rsid w:val="009A6DA1"/>
    <w:rsid w:val="009A6E2C"/>
    <w:rsid w:val="009A6EB0"/>
    <w:rsid w:val="009A6F46"/>
    <w:rsid w:val="009A6F6E"/>
    <w:rsid w:val="009A7008"/>
    <w:rsid w:val="009A7049"/>
    <w:rsid w:val="009A7051"/>
    <w:rsid w:val="009A7084"/>
    <w:rsid w:val="009A7171"/>
    <w:rsid w:val="009A7224"/>
    <w:rsid w:val="009A72DB"/>
    <w:rsid w:val="009A74A1"/>
    <w:rsid w:val="009A74FC"/>
    <w:rsid w:val="009A7548"/>
    <w:rsid w:val="009A75F0"/>
    <w:rsid w:val="009A7656"/>
    <w:rsid w:val="009A76CD"/>
    <w:rsid w:val="009A77E3"/>
    <w:rsid w:val="009A78E3"/>
    <w:rsid w:val="009A7936"/>
    <w:rsid w:val="009A7994"/>
    <w:rsid w:val="009A7AD0"/>
    <w:rsid w:val="009A7BCC"/>
    <w:rsid w:val="009A7BDB"/>
    <w:rsid w:val="009A7C01"/>
    <w:rsid w:val="009A7CF9"/>
    <w:rsid w:val="009A7D16"/>
    <w:rsid w:val="009A7DD1"/>
    <w:rsid w:val="009A7E2A"/>
    <w:rsid w:val="009A7EDB"/>
    <w:rsid w:val="009A7F46"/>
    <w:rsid w:val="009A7FA4"/>
    <w:rsid w:val="009B00FA"/>
    <w:rsid w:val="009B01CD"/>
    <w:rsid w:val="009B0217"/>
    <w:rsid w:val="009B024B"/>
    <w:rsid w:val="009B02CB"/>
    <w:rsid w:val="009B02FF"/>
    <w:rsid w:val="009B043A"/>
    <w:rsid w:val="009B044C"/>
    <w:rsid w:val="009B045F"/>
    <w:rsid w:val="009B0529"/>
    <w:rsid w:val="009B054B"/>
    <w:rsid w:val="009B05F4"/>
    <w:rsid w:val="009B065D"/>
    <w:rsid w:val="009B0719"/>
    <w:rsid w:val="009B072B"/>
    <w:rsid w:val="009B0736"/>
    <w:rsid w:val="009B0752"/>
    <w:rsid w:val="009B07A7"/>
    <w:rsid w:val="009B0868"/>
    <w:rsid w:val="009B0882"/>
    <w:rsid w:val="009B089D"/>
    <w:rsid w:val="009B0954"/>
    <w:rsid w:val="009B0AB5"/>
    <w:rsid w:val="009B0AD7"/>
    <w:rsid w:val="009B0B25"/>
    <w:rsid w:val="009B0BF1"/>
    <w:rsid w:val="009B0C67"/>
    <w:rsid w:val="009B0CCF"/>
    <w:rsid w:val="009B0CE4"/>
    <w:rsid w:val="009B0CFD"/>
    <w:rsid w:val="009B0DE3"/>
    <w:rsid w:val="009B0E89"/>
    <w:rsid w:val="009B0F21"/>
    <w:rsid w:val="009B0F50"/>
    <w:rsid w:val="009B10C3"/>
    <w:rsid w:val="009B10DF"/>
    <w:rsid w:val="009B10EF"/>
    <w:rsid w:val="009B115A"/>
    <w:rsid w:val="009B143A"/>
    <w:rsid w:val="009B153C"/>
    <w:rsid w:val="009B155D"/>
    <w:rsid w:val="009B1648"/>
    <w:rsid w:val="009B169E"/>
    <w:rsid w:val="009B1713"/>
    <w:rsid w:val="009B173F"/>
    <w:rsid w:val="009B1770"/>
    <w:rsid w:val="009B178E"/>
    <w:rsid w:val="009B1863"/>
    <w:rsid w:val="009B18B8"/>
    <w:rsid w:val="009B18DD"/>
    <w:rsid w:val="009B194B"/>
    <w:rsid w:val="009B1981"/>
    <w:rsid w:val="009B1A21"/>
    <w:rsid w:val="009B1A26"/>
    <w:rsid w:val="009B1A6F"/>
    <w:rsid w:val="009B1B15"/>
    <w:rsid w:val="009B1B3E"/>
    <w:rsid w:val="009B1BF4"/>
    <w:rsid w:val="009B1C36"/>
    <w:rsid w:val="009B1CCA"/>
    <w:rsid w:val="009B1CCC"/>
    <w:rsid w:val="009B1DCB"/>
    <w:rsid w:val="009B1E7C"/>
    <w:rsid w:val="009B1E8E"/>
    <w:rsid w:val="009B1EA4"/>
    <w:rsid w:val="009B1F15"/>
    <w:rsid w:val="009B1F38"/>
    <w:rsid w:val="009B1F74"/>
    <w:rsid w:val="009B1FE7"/>
    <w:rsid w:val="009B2080"/>
    <w:rsid w:val="009B22C3"/>
    <w:rsid w:val="009B232C"/>
    <w:rsid w:val="009B2404"/>
    <w:rsid w:val="009B24D7"/>
    <w:rsid w:val="009B2648"/>
    <w:rsid w:val="009B2689"/>
    <w:rsid w:val="009B269E"/>
    <w:rsid w:val="009B2733"/>
    <w:rsid w:val="009B27B7"/>
    <w:rsid w:val="009B27DB"/>
    <w:rsid w:val="009B2882"/>
    <w:rsid w:val="009B2908"/>
    <w:rsid w:val="009B291A"/>
    <w:rsid w:val="009B2961"/>
    <w:rsid w:val="009B2970"/>
    <w:rsid w:val="009B29A0"/>
    <w:rsid w:val="009B2A99"/>
    <w:rsid w:val="009B2C5A"/>
    <w:rsid w:val="009B2C5E"/>
    <w:rsid w:val="009B2C6D"/>
    <w:rsid w:val="009B2CBA"/>
    <w:rsid w:val="009B2D80"/>
    <w:rsid w:val="009B2DE1"/>
    <w:rsid w:val="009B2DFD"/>
    <w:rsid w:val="009B2F0F"/>
    <w:rsid w:val="009B2F31"/>
    <w:rsid w:val="009B2F33"/>
    <w:rsid w:val="009B2FAC"/>
    <w:rsid w:val="009B2FE1"/>
    <w:rsid w:val="009B302C"/>
    <w:rsid w:val="009B30F4"/>
    <w:rsid w:val="009B30FC"/>
    <w:rsid w:val="009B3153"/>
    <w:rsid w:val="009B319D"/>
    <w:rsid w:val="009B31E8"/>
    <w:rsid w:val="009B31FE"/>
    <w:rsid w:val="009B330D"/>
    <w:rsid w:val="009B334C"/>
    <w:rsid w:val="009B33DD"/>
    <w:rsid w:val="009B33ED"/>
    <w:rsid w:val="009B33F8"/>
    <w:rsid w:val="009B3444"/>
    <w:rsid w:val="009B349A"/>
    <w:rsid w:val="009B34C6"/>
    <w:rsid w:val="009B3500"/>
    <w:rsid w:val="009B3535"/>
    <w:rsid w:val="009B3602"/>
    <w:rsid w:val="009B365F"/>
    <w:rsid w:val="009B36D0"/>
    <w:rsid w:val="009B38BB"/>
    <w:rsid w:val="009B38F6"/>
    <w:rsid w:val="009B38F7"/>
    <w:rsid w:val="009B3935"/>
    <w:rsid w:val="009B394D"/>
    <w:rsid w:val="009B39BF"/>
    <w:rsid w:val="009B3A15"/>
    <w:rsid w:val="009B3A89"/>
    <w:rsid w:val="009B3AD0"/>
    <w:rsid w:val="009B3AD3"/>
    <w:rsid w:val="009B3B09"/>
    <w:rsid w:val="009B3B13"/>
    <w:rsid w:val="009B3B25"/>
    <w:rsid w:val="009B3B40"/>
    <w:rsid w:val="009B3BFB"/>
    <w:rsid w:val="009B3CDB"/>
    <w:rsid w:val="009B3E21"/>
    <w:rsid w:val="009B3ED9"/>
    <w:rsid w:val="009B3F26"/>
    <w:rsid w:val="009B3F92"/>
    <w:rsid w:val="009B40ED"/>
    <w:rsid w:val="009B4106"/>
    <w:rsid w:val="009B411D"/>
    <w:rsid w:val="009B4218"/>
    <w:rsid w:val="009B426A"/>
    <w:rsid w:val="009B4314"/>
    <w:rsid w:val="009B4331"/>
    <w:rsid w:val="009B43B6"/>
    <w:rsid w:val="009B4499"/>
    <w:rsid w:val="009B454B"/>
    <w:rsid w:val="009B4597"/>
    <w:rsid w:val="009B4655"/>
    <w:rsid w:val="009B4656"/>
    <w:rsid w:val="009B4657"/>
    <w:rsid w:val="009B4666"/>
    <w:rsid w:val="009B476B"/>
    <w:rsid w:val="009B4889"/>
    <w:rsid w:val="009B48DD"/>
    <w:rsid w:val="009B4936"/>
    <w:rsid w:val="009B49BA"/>
    <w:rsid w:val="009B49E5"/>
    <w:rsid w:val="009B4A20"/>
    <w:rsid w:val="009B4A5E"/>
    <w:rsid w:val="009B4ABA"/>
    <w:rsid w:val="009B4AFB"/>
    <w:rsid w:val="009B4BA8"/>
    <w:rsid w:val="009B4BCC"/>
    <w:rsid w:val="009B4C41"/>
    <w:rsid w:val="009B4C46"/>
    <w:rsid w:val="009B4C9F"/>
    <w:rsid w:val="009B4CBB"/>
    <w:rsid w:val="009B4CD4"/>
    <w:rsid w:val="009B4CD7"/>
    <w:rsid w:val="009B4D5F"/>
    <w:rsid w:val="009B4D77"/>
    <w:rsid w:val="009B4EF9"/>
    <w:rsid w:val="009B4FC1"/>
    <w:rsid w:val="009B5029"/>
    <w:rsid w:val="009B50DC"/>
    <w:rsid w:val="009B50E0"/>
    <w:rsid w:val="009B512E"/>
    <w:rsid w:val="009B523A"/>
    <w:rsid w:val="009B5259"/>
    <w:rsid w:val="009B5274"/>
    <w:rsid w:val="009B527B"/>
    <w:rsid w:val="009B52A8"/>
    <w:rsid w:val="009B5360"/>
    <w:rsid w:val="009B53E4"/>
    <w:rsid w:val="009B5416"/>
    <w:rsid w:val="009B5446"/>
    <w:rsid w:val="009B549C"/>
    <w:rsid w:val="009B552B"/>
    <w:rsid w:val="009B55BB"/>
    <w:rsid w:val="009B55E7"/>
    <w:rsid w:val="009B567E"/>
    <w:rsid w:val="009B567F"/>
    <w:rsid w:val="009B5739"/>
    <w:rsid w:val="009B578F"/>
    <w:rsid w:val="009B57AB"/>
    <w:rsid w:val="009B58D3"/>
    <w:rsid w:val="009B58E9"/>
    <w:rsid w:val="009B59CF"/>
    <w:rsid w:val="009B5A03"/>
    <w:rsid w:val="009B5A2E"/>
    <w:rsid w:val="009B5A61"/>
    <w:rsid w:val="009B5A66"/>
    <w:rsid w:val="009B5ABD"/>
    <w:rsid w:val="009B5AFA"/>
    <w:rsid w:val="009B5B25"/>
    <w:rsid w:val="009B5B36"/>
    <w:rsid w:val="009B5E2C"/>
    <w:rsid w:val="009B5E30"/>
    <w:rsid w:val="009B5E35"/>
    <w:rsid w:val="009B5E3E"/>
    <w:rsid w:val="009B5EC8"/>
    <w:rsid w:val="009B5EDC"/>
    <w:rsid w:val="009B5F03"/>
    <w:rsid w:val="009B5F66"/>
    <w:rsid w:val="009B607C"/>
    <w:rsid w:val="009B614A"/>
    <w:rsid w:val="009B62B9"/>
    <w:rsid w:val="009B639D"/>
    <w:rsid w:val="009B6439"/>
    <w:rsid w:val="009B6445"/>
    <w:rsid w:val="009B645E"/>
    <w:rsid w:val="009B648F"/>
    <w:rsid w:val="009B657D"/>
    <w:rsid w:val="009B6602"/>
    <w:rsid w:val="009B663D"/>
    <w:rsid w:val="009B665D"/>
    <w:rsid w:val="009B66AD"/>
    <w:rsid w:val="009B6709"/>
    <w:rsid w:val="009B67A3"/>
    <w:rsid w:val="009B6830"/>
    <w:rsid w:val="009B6899"/>
    <w:rsid w:val="009B689D"/>
    <w:rsid w:val="009B6931"/>
    <w:rsid w:val="009B69C9"/>
    <w:rsid w:val="009B6B50"/>
    <w:rsid w:val="009B6BC5"/>
    <w:rsid w:val="009B6D62"/>
    <w:rsid w:val="009B6E14"/>
    <w:rsid w:val="009B6EE0"/>
    <w:rsid w:val="009B7093"/>
    <w:rsid w:val="009B70B3"/>
    <w:rsid w:val="009B70C6"/>
    <w:rsid w:val="009B7113"/>
    <w:rsid w:val="009B7170"/>
    <w:rsid w:val="009B7185"/>
    <w:rsid w:val="009B7214"/>
    <w:rsid w:val="009B72CA"/>
    <w:rsid w:val="009B7340"/>
    <w:rsid w:val="009B7413"/>
    <w:rsid w:val="009B747C"/>
    <w:rsid w:val="009B7530"/>
    <w:rsid w:val="009B7534"/>
    <w:rsid w:val="009B7784"/>
    <w:rsid w:val="009B77DB"/>
    <w:rsid w:val="009B78F3"/>
    <w:rsid w:val="009B7910"/>
    <w:rsid w:val="009B796B"/>
    <w:rsid w:val="009B797F"/>
    <w:rsid w:val="009B79E2"/>
    <w:rsid w:val="009B7ACA"/>
    <w:rsid w:val="009B7B2E"/>
    <w:rsid w:val="009B7B7E"/>
    <w:rsid w:val="009B7BFB"/>
    <w:rsid w:val="009B7C2B"/>
    <w:rsid w:val="009B7C76"/>
    <w:rsid w:val="009B7F33"/>
    <w:rsid w:val="009B7F54"/>
    <w:rsid w:val="009B7F8D"/>
    <w:rsid w:val="009B7F96"/>
    <w:rsid w:val="009C004B"/>
    <w:rsid w:val="009C008D"/>
    <w:rsid w:val="009C0195"/>
    <w:rsid w:val="009C01BA"/>
    <w:rsid w:val="009C01EE"/>
    <w:rsid w:val="009C0219"/>
    <w:rsid w:val="009C0260"/>
    <w:rsid w:val="009C0272"/>
    <w:rsid w:val="009C02E5"/>
    <w:rsid w:val="009C02E9"/>
    <w:rsid w:val="009C0319"/>
    <w:rsid w:val="009C0392"/>
    <w:rsid w:val="009C0400"/>
    <w:rsid w:val="009C051B"/>
    <w:rsid w:val="009C0574"/>
    <w:rsid w:val="009C05EE"/>
    <w:rsid w:val="009C0632"/>
    <w:rsid w:val="009C06A7"/>
    <w:rsid w:val="009C06BF"/>
    <w:rsid w:val="009C0731"/>
    <w:rsid w:val="009C0799"/>
    <w:rsid w:val="009C079F"/>
    <w:rsid w:val="009C07FE"/>
    <w:rsid w:val="009C0871"/>
    <w:rsid w:val="009C087D"/>
    <w:rsid w:val="009C092D"/>
    <w:rsid w:val="009C09C7"/>
    <w:rsid w:val="009C0A1F"/>
    <w:rsid w:val="009C0BE9"/>
    <w:rsid w:val="009C0C3C"/>
    <w:rsid w:val="009C0CBA"/>
    <w:rsid w:val="009C0CE5"/>
    <w:rsid w:val="009C0D75"/>
    <w:rsid w:val="009C0E4A"/>
    <w:rsid w:val="009C0EEE"/>
    <w:rsid w:val="009C0FCD"/>
    <w:rsid w:val="009C0FD5"/>
    <w:rsid w:val="009C1111"/>
    <w:rsid w:val="009C114C"/>
    <w:rsid w:val="009C117D"/>
    <w:rsid w:val="009C128B"/>
    <w:rsid w:val="009C12B4"/>
    <w:rsid w:val="009C1320"/>
    <w:rsid w:val="009C1353"/>
    <w:rsid w:val="009C137C"/>
    <w:rsid w:val="009C13AB"/>
    <w:rsid w:val="009C141F"/>
    <w:rsid w:val="009C1467"/>
    <w:rsid w:val="009C14BC"/>
    <w:rsid w:val="009C1548"/>
    <w:rsid w:val="009C16C2"/>
    <w:rsid w:val="009C16FE"/>
    <w:rsid w:val="009C174B"/>
    <w:rsid w:val="009C1846"/>
    <w:rsid w:val="009C186D"/>
    <w:rsid w:val="009C187E"/>
    <w:rsid w:val="009C18A3"/>
    <w:rsid w:val="009C18C6"/>
    <w:rsid w:val="009C18D3"/>
    <w:rsid w:val="009C1956"/>
    <w:rsid w:val="009C1974"/>
    <w:rsid w:val="009C1995"/>
    <w:rsid w:val="009C1A74"/>
    <w:rsid w:val="009C1B0E"/>
    <w:rsid w:val="009C1B5C"/>
    <w:rsid w:val="009C1BAD"/>
    <w:rsid w:val="009C1C0C"/>
    <w:rsid w:val="009C1C17"/>
    <w:rsid w:val="009C1C1C"/>
    <w:rsid w:val="009C1CF8"/>
    <w:rsid w:val="009C1DD4"/>
    <w:rsid w:val="009C1E3A"/>
    <w:rsid w:val="009C1E4D"/>
    <w:rsid w:val="009C1E58"/>
    <w:rsid w:val="009C1F70"/>
    <w:rsid w:val="009C2015"/>
    <w:rsid w:val="009C208B"/>
    <w:rsid w:val="009C20A3"/>
    <w:rsid w:val="009C2120"/>
    <w:rsid w:val="009C21BF"/>
    <w:rsid w:val="009C21C1"/>
    <w:rsid w:val="009C21D1"/>
    <w:rsid w:val="009C21E4"/>
    <w:rsid w:val="009C2214"/>
    <w:rsid w:val="009C2296"/>
    <w:rsid w:val="009C229F"/>
    <w:rsid w:val="009C22D0"/>
    <w:rsid w:val="009C230E"/>
    <w:rsid w:val="009C2386"/>
    <w:rsid w:val="009C23D2"/>
    <w:rsid w:val="009C23D7"/>
    <w:rsid w:val="009C241A"/>
    <w:rsid w:val="009C253F"/>
    <w:rsid w:val="009C2613"/>
    <w:rsid w:val="009C26A9"/>
    <w:rsid w:val="009C26BD"/>
    <w:rsid w:val="009C2705"/>
    <w:rsid w:val="009C2746"/>
    <w:rsid w:val="009C283C"/>
    <w:rsid w:val="009C2877"/>
    <w:rsid w:val="009C2919"/>
    <w:rsid w:val="009C2A4C"/>
    <w:rsid w:val="009C2B86"/>
    <w:rsid w:val="009C2C0F"/>
    <w:rsid w:val="009C2C94"/>
    <w:rsid w:val="009C2CB7"/>
    <w:rsid w:val="009C2CC8"/>
    <w:rsid w:val="009C2D0D"/>
    <w:rsid w:val="009C2DA4"/>
    <w:rsid w:val="009C2DDC"/>
    <w:rsid w:val="009C2DEC"/>
    <w:rsid w:val="009C2E1A"/>
    <w:rsid w:val="009C2E30"/>
    <w:rsid w:val="009C2E5D"/>
    <w:rsid w:val="009C2EDF"/>
    <w:rsid w:val="009C2EE7"/>
    <w:rsid w:val="009C2F7E"/>
    <w:rsid w:val="009C2FBF"/>
    <w:rsid w:val="009C2FF1"/>
    <w:rsid w:val="009C3003"/>
    <w:rsid w:val="009C3054"/>
    <w:rsid w:val="009C30C9"/>
    <w:rsid w:val="009C311C"/>
    <w:rsid w:val="009C314D"/>
    <w:rsid w:val="009C3192"/>
    <w:rsid w:val="009C31B8"/>
    <w:rsid w:val="009C31D6"/>
    <w:rsid w:val="009C3257"/>
    <w:rsid w:val="009C32D8"/>
    <w:rsid w:val="009C334A"/>
    <w:rsid w:val="009C33D1"/>
    <w:rsid w:val="009C33FC"/>
    <w:rsid w:val="009C3459"/>
    <w:rsid w:val="009C3463"/>
    <w:rsid w:val="009C347B"/>
    <w:rsid w:val="009C3486"/>
    <w:rsid w:val="009C3669"/>
    <w:rsid w:val="009C378F"/>
    <w:rsid w:val="009C37D0"/>
    <w:rsid w:val="009C386C"/>
    <w:rsid w:val="009C38A4"/>
    <w:rsid w:val="009C39AD"/>
    <w:rsid w:val="009C39B3"/>
    <w:rsid w:val="009C3A33"/>
    <w:rsid w:val="009C3A9D"/>
    <w:rsid w:val="009C3C7C"/>
    <w:rsid w:val="009C3CD4"/>
    <w:rsid w:val="009C3D1D"/>
    <w:rsid w:val="009C3EB2"/>
    <w:rsid w:val="009C3EC2"/>
    <w:rsid w:val="009C3EEA"/>
    <w:rsid w:val="009C3F15"/>
    <w:rsid w:val="009C3FAD"/>
    <w:rsid w:val="009C400B"/>
    <w:rsid w:val="009C4025"/>
    <w:rsid w:val="009C405D"/>
    <w:rsid w:val="009C40E7"/>
    <w:rsid w:val="009C4105"/>
    <w:rsid w:val="009C41FC"/>
    <w:rsid w:val="009C423D"/>
    <w:rsid w:val="009C42F1"/>
    <w:rsid w:val="009C4411"/>
    <w:rsid w:val="009C441B"/>
    <w:rsid w:val="009C4453"/>
    <w:rsid w:val="009C44A1"/>
    <w:rsid w:val="009C46D5"/>
    <w:rsid w:val="009C475B"/>
    <w:rsid w:val="009C47C1"/>
    <w:rsid w:val="009C47EC"/>
    <w:rsid w:val="009C47F2"/>
    <w:rsid w:val="009C481D"/>
    <w:rsid w:val="009C487A"/>
    <w:rsid w:val="009C491F"/>
    <w:rsid w:val="009C4950"/>
    <w:rsid w:val="009C4975"/>
    <w:rsid w:val="009C4984"/>
    <w:rsid w:val="009C4B27"/>
    <w:rsid w:val="009C4B69"/>
    <w:rsid w:val="009C4B95"/>
    <w:rsid w:val="009C4C4D"/>
    <w:rsid w:val="009C4D1C"/>
    <w:rsid w:val="009C4D2C"/>
    <w:rsid w:val="009C4D4A"/>
    <w:rsid w:val="009C4F24"/>
    <w:rsid w:val="009C4F65"/>
    <w:rsid w:val="009C4FDB"/>
    <w:rsid w:val="009C4FF1"/>
    <w:rsid w:val="009C5014"/>
    <w:rsid w:val="009C5048"/>
    <w:rsid w:val="009C5056"/>
    <w:rsid w:val="009C50B3"/>
    <w:rsid w:val="009C5148"/>
    <w:rsid w:val="009C51C7"/>
    <w:rsid w:val="009C524C"/>
    <w:rsid w:val="009C529A"/>
    <w:rsid w:val="009C5375"/>
    <w:rsid w:val="009C53F3"/>
    <w:rsid w:val="009C5441"/>
    <w:rsid w:val="009C54D3"/>
    <w:rsid w:val="009C550D"/>
    <w:rsid w:val="009C557D"/>
    <w:rsid w:val="009C55A2"/>
    <w:rsid w:val="009C5651"/>
    <w:rsid w:val="009C568F"/>
    <w:rsid w:val="009C56A1"/>
    <w:rsid w:val="009C56BF"/>
    <w:rsid w:val="009C5711"/>
    <w:rsid w:val="009C5792"/>
    <w:rsid w:val="009C57A9"/>
    <w:rsid w:val="009C57CB"/>
    <w:rsid w:val="009C582E"/>
    <w:rsid w:val="009C5843"/>
    <w:rsid w:val="009C589F"/>
    <w:rsid w:val="009C58A3"/>
    <w:rsid w:val="009C595C"/>
    <w:rsid w:val="009C596D"/>
    <w:rsid w:val="009C599E"/>
    <w:rsid w:val="009C5A8D"/>
    <w:rsid w:val="009C5BB4"/>
    <w:rsid w:val="009C5BB9"/>
    <w:rsid w:val="009C5C64"/>
    <w:rsid w:val="009C5D0E"/>
    <w:rsid w:val="009C5D0F"/>
    <w:rsid w:val="009C5DA3"/>
    <w:rsid w:val="009C5DAE"/>
    <w:rsid w:val="009C5DBA"/>
    <w:rsid w:val="009C5E61"/>
    <w:rsid w:val="009C5F68"/>
    <w:rsid w:val="009C6037"/>
    <w:rsid w:val="009C60A1"/>
    <w:rsid w:val="009C60B2"/>
    <w:rsid w:val="009C60FC"/>
    <w:rsid w:val="009C6269"/>
    <w:rsid w:val="009C62B0"/>
    <w:rsid w:val="009C633C"/>
    <w:rsid w:val="009C633D"/>
    <w:rsid w:val="009C6362"/>
    <w:rsid w:val="009C6399"/>
    <w:rsid w:val="009C63FD"/>
    <w:rsid w:val="009C64EE"/>
    <w:rsid w:val="009C6526"/>
    <w:rsid w:val="009C6534"/>
    <w:rsid w:val="009C6561"/>
    <w:rsid w:val="009C6687"/>
    <w:rsid w:val="009C66C1"/>
    <w:rsid w:val="009C674F"/>
    <w:rsid w:val="009C6769"/>
    <w:rsid w:val="009C677C"/>
    <w:rsid w:val="009C67AC"/>
    <w:rsid w:val="009C68C1"/>
    <w:rsid w:val="009C68D3"/>
    <w:rsid w:val="009C6956"/>
    <w:rsid w:val="009C69CF"/>
    <w:rsid w:val="009C6AE3"/>
    <w:rsid w:val="009C6AF7"/>
    <w:rsid w:val="009C6B66"/>
    <w:rsid w:val="009C6BB2"/>
    <w:rsid w:val="009C6BE0"/>
    <w:rsid w:val="009C6E0F"/>
    <w:rsid w:val="009C6ECF"/>
    <w:rsid w:val="009C6FAC"/>
    <w:rsid w:val="009C7047"/>
    <w:rsid w:val="009C71AF"/>
    <w:rsid w:val="009C71B5"/>
    <w:rsid w:val="009C71E7"/>
    <w:rsid w:val="009C724F"/>
    <w:rsid w:val="009C72AE"/>
    <w:rsid w:val="009C72ED"/>
    <w:rsid w:val="009C7302"/>
    <w:rsid w:val="009C7374"/>
    <w:rsid w:val="009C73C0"/>
    <w:rsid w:val="009C7401"/>
    <w:rsid w:val="009C746D"/>
    <w:rsid w:val="009C7534"/>
    <w:rsid w:val="009C7536"/>
    <w:rsid w:val="009C7550"/>
    <w:rsid w:val="009C75B4"/>
    <w:rsid w:val="009C75B6"/>
    <w:rsid w:val="009C75CF"/>
    <w:rsid w:val="009C75F6"/>
    <w:rsid w:val="009C7753"/>
    <w:rsid w:val="009C7788"/>
    <w:rsid w:val="009C77F5"/>
    <w:rsid w:val="009C7805"/>
    <w:rsid w:val="009C7887"/>
    <w:rsid w:val="009C78C7"/>
    <w:rsid w:val="009C79AD"/>
    <w:rsid w:val="009C79CE"/>
    <w:rsid w:val="009C7A0E"/>
    <w:rsid w:val="009C7A40"/>
    <w:rsid w:val="009C7A55"/>
    <w:rsid w:val="009C7A5C"/>
    <w:rsid w:val="009C7AC3"/>
    <w:rsid w:val="009C7BD1"/>
    <w:rsid w:val="009C7C59"/>
    <w:rsid w:val="009C7C5B"/>
    <w:rsid w:val="009C7C92"/>
    <w:rsid w:val="009C7CBA"/>
    <w:rsid w:val="009C7CD1"/>
    <w:rsid w:val="009D009F"/>
    <w:rsid w:val="009D014F"/>
    <w:rsid w:val="009D0222"/>
    <w:rsid w:val="009D0342"/>
    <w:rsid w:val="009D03E0"/>
    <w:rsid w:val="009D050D"/>
    <w:rsid w:val="009D053A"/>
    <w:rsid w:val="009D068C"/>
    <w:rsid w:val="009D06C9"/>
    <w:rsid w:val="009D077F"/>
    <w:rsid w:val="009D07B9"/>
    <w:rsid w:val="009D0902"/>
    <w:rsid w:val="009D09D3"/>
    <w:rsid w:val="009D09EB"/>
    <w:rsid w:val="009D0A06"/>
    <w:rsid w:val="009D0B23"/>
    <w:rsid w:val="009D0B30"/>
    <w:rsid w:val="009D0B41"/>
    <w:rsid w:val="009D0BA2"/>
    <w:rsid w:val="009D0BC5"/>
    <w:rsid w:val="009D0D0C"/>
    <w:rsid w:val="009D0D2E"/>
    <w:rsid w:val="009D0DC6"/>
    <w:rsid w:val="009D0E26"/>
    <w:rsid w:val="009D0EA1"/>
    <w:rsid w:val="009D0F48"/>
    <w:rsid w:val="009D0F6C"/>
    <w:rsid w:val="009D1048"/>
    <w:rsid w:val="009D10A4"/>
    <w:rsid w:val="009D1144"/>
    <w:rsid w:val="009D11EE"/>
    <w:rsid w:val="009D11FB"/>
    <w:rsid w:val="009D12DA"/>
    <w:rsid w:val="009D132D"/>
    <w:rsid w:val="009D13F4"/>
    <w:rsid w:val="009D1447"/>
    <w:rsid w:val="009D146B"/>
    <w:rsid w:val="009D14E5"/>
    <w:rsid w:val="009D154F"/>
    <w:rsid w:val="009D1554"/>
    <w:rsid w:val="009D1581"/>
    <w:rsid w:val="009D164F"/>
    <w:rsid w:val="009D1681"/>
    <w:rsid w:val="009D1721"/>
    <w:rsid w:val="009D1771"/>
    <w:rsid w:val="009D17ED"/>
    <w:rsid w:val="009D1804"/>
    <w:rsid w:val="009D186C"/>
    <w:rsid w:val="009D1889"/>
    <w:rsid w:val="009D1890"/>
    <w:rsid w:val="009D1A71"/>
    <w:rsid w:val="009D1B23"/>
    <w:rsid w:val="009D1B37"/>
    <w:rsid w:val="009D1B57"/>
    <w:rsid w:val="009D1C3A"/>
    <w:rsid w:val="009D1C45"/>
    <w:rsid w:val="009D1C70"/>
    <w:rsid w:val="009D1D22"/>
    <w:rsid w:val="009D1D56"/>
    <w:rsid w:val="009D1E09"/>
    <w:rsid w:val="009D1E35"/>
    <w:rsid w:val="009D1E65"/>
    <w:rsid w:val="009D202D"/>
    <w:rsid w:val="009D202E"/>
    <w:rsid w:val="009D20A8"/>
    <w:rsid w:val="009D20E1"/>
    <w:rsid w:val="009D2107"/>
    <w:rsid w:val="009D2129"/>
    <w:rsid w:val="009D218C"/>
    <w:rsid w:val="009D21D6"/>
    <w:rsid w:val="009D2271"/>
    <w:rsid w:val="009D237F"/>
    <w:rsid w:val="009D2396"/>
    <w:rsid w:val="009D23A5"/>
    <w:rsid w:val="009D23EC"/>
    <w:rsid w:val="009D2406"/>
    <w:rsid w:val="009D2410"/>
    <w:rsid w:val="009D24A9"/>
    <w:rsid w:val="009D2524"/>
    <w:rsid w:val="009D2558"/>
    <w:rsid w:val="009D260C"/>
    <w:rsid w:val="009D26C6"/>
    <w:rsid w:val="009D26CB"/>
    <w:rsid w:val="009D2717"/>
    <w:rsid w:val="009D28BF"/>
    <w:rsid w:val="009D292D"/>
    <w:rsid w:val="009D2A01"/>
    <w:rsid w:val="009D2A49"/>
    <w:rsid w:val="009D2B03"/>
    <w:rsid w:val="009D2B18"/>
    <w:rsid w:val="009D2B66"/>
    <w:rsid w:val="009D2B80"/>
    <w:rsid w:val="009D2C25"/>
    <w:rsid w:val="009D2CB7"/>
    <w:rsid w:val="009D2CF3"/>
    <w:rsid w:val="009D2D84"/>
    <w:rsid w:val="009D2DDF"/>
    <w:rsid w:val="009D2F47"/>
    <w:rsid w:val="009D2F4C"/>
    <w:rsid w:val="009D3079"/>
    <w:rsid w:val="009D318A"/>
    <w:rsid w:val="009D31B9"/>
    <w:rsid w:val="009D31F1"/>
    <w:rsid w:val="009D31F7"/>
    <w:rsid w:val="009D323A"/>
    <w:rsid w:val="009D3247"/>
    <w:rsid w:val="009D3261"/>
    <w:rsid w:val="009D3267"/>
    <w:rsid w:val="009D333A"/>
    <w:rsid w:val="009D33DF"/>
    <w:rsid w:val="009D34B8"/>
    <w:rsid w:val="009D356A"/>
    <w:rsid w:val="009D357B"/>
    <w:rsid w:val="009D35C2"/>
    <w:rsid w:val="009D35ED"/>
    <w:rsid w:val="009D36CD"/>
    <w:rsid w:val="009D37F1"/>
    <w:rsid w:val="009D381C"/>
    <w:rsid w:val="009D387D"/>
    <w:rsid w:val="009D38ED"/>
    <w:rsid w:val="009D38FA"/>
    <w:rsid w:val="009D3A74"/>
    <w:rsid w:val="009D3AB9"/>
    <w:rsid w:val="009D3AE2"/>
    <w:rsid w:val="009D3AF5"/>
    <w:rsid w:val="009D3B38"/>
    <w:rsid w:val="009D3C09"/>
    <w:rsid w:val="009D3D26"/>
    <w:rsid w:val="009D3D9A"/>
    <w:rsid w:val="009D3D9D"/>
    <w:rsid w:val="009D3F5C"/>
    <w:rsid w:val="009D3FDA"/>
    <w:rsid w:val="009D4025"/>
    <w:rsid w:val="009D40AD"/>
    <w:rsid w:val="009D41EE"/>
    <w:rsid w:val="009D4236"/>
    <w:rsid w:val="009D4237"/>
    <w:rsid w:val="009D4353"/>
    <w:rsid w:val="009D435A"/>
    <w:rsid w:val="009D43A1"/>
    <w:rsid w:val="009D43DF"/>
    <w:rsid w:val="009D44A6"/>
    <w:rsid w:val="009D44FD"/>
    <w:rsid w:val="009D4569"/>
    <w:rsid w:val="009D45AF"/>
    <w:rsid w:val="009D4623"/>
    <w:rsid w:val="009D46A7"/>
    <w:rsid w:val="009D46B7"/>
    <w:rsid w:val="009D47C0"/>
    <w:rsid w:val="009D480D"/>
    <w:rsid w:val="009D48CF"/>
    <w:rsid w:val="009D49A7"/>
    <w:rsid w:val="009D49D9"/>
    <w:rsid w:val="009D49EC"/>
    <w:rsid w:val="009D4A21"/>
    <w:rsid w:val="009D4A5E"/>
    <w:rsid w:val="009D4B66"/>
    <w:rsid w:val="009D4C36"/>
    <w:rsid w:val="009D4E39"/>
    <w:rsid w:val="009D4E59"/>
    <w:rsid w:val="009D4F4D"/>
    <w:rsid w:val="009D4FA4"/>
    <w:rsid w:val="009D50AE"/>
    <w:rsid w:val="009D51B2"/>
    <w:rsid w:val="009D51E4"/>
    <w:rsid w:val="009D523F"/>
    <w:rsid w:val="009D5289"/>
    <w:rsid w:val="009D534C"/>
    <w:rsid w:val="009D5398"/>
    <w:rsid w:val="009D53D1"/>
    <w:rsid w:val="009D5419"/>
    <w:rsid w:val="009D54B5"/>
    <w:rsid w:val="009D54C2"/>
    <w:rsid w:val="009D55B5"/>
    <w:rsid w:val="009D56A8"/>
    <w:rsid w:val="009D5793"/>
    <w:rsid w:val="009D58DA"/>
    <w:rsid w:val="009D5924"/>
    <w:rsid w:val="009D596F"/>
    <w:rsid w:val="009D5AE4"/>
    <w:rsid w:val="009D5B18"/>
    <w:rsid w:val="009D5B97"/>
    <w:rsid w:val="009D5BF1"/>
    <w:rsid w:val="009D5BF3"/>
    <w:rsid w:val="009D5CAE"/>
    <w:rsid w:val="009D5CF4"/>
    <w:rsid w:val="009D5D99"/>
    <w:rsid w:val="009D5DB4"/>
    <w:rsid w:val="009D5E64"/>
    <w:rsid w:val="009D5FA2"/>
    <w:rsid w:val="009D5FBC"/>
    <w:rsid w:val="009D6015"/>
    <w:rsid w:val="009D6018"/>
    <w:rsid w:val="009D60DC"/>
    <w:rsid w:val="009D622C"/>
    <w:rsid w:val="009D6340"/>
    <w:rsid w:val="009D64FD"/>
    <w:rsid w:val="009D6515"/>
    <w:rsid w:val="009D6610"/>
    <w:rsid w:val="009D661C"/>
    <w:rsid w:val="009D661D"/>
    <w:rsid w:val="009D6692"/>
    <w:rsid w:val="009D66B0"/>
    <w:rsid w:val="009D66C5"/>
    <w:rsid w:val="009D6817"/>
    <w:rsid w:val="009D6858"/>
    <w:rsid w:val="009D68A0"/>
    <w:rsid w:val="009D68A1"/>
    <w:rsid w:val="009D68AD"/>
    <w:rsid w:val="009D696D"/>
    <w:rsid w:val="009D69A5"/>
    <w:rsid w:val="009D69CC"/>
    <w:rsid w:val="009D69E1"/>
    <w:rsid w:val="009D69E8"/>
    <w:rsid w:val="009D6A42"/>
    <w:rsid w:val="009D6A58"/>
    <w:rsid w:val="009D6AE2"/>
    <w:rsid w:val="009D6B02"/>
    <w:rsid w:val="009D6B43"/>
    <w:rsid w:val="009D6B78"/>
    <w:rsid w:val="009D6BC8"/>
    <w:rsid w:val="009D6BD9"/>
    <w:rsid w:val="009D6BDE"/>
    <w:rsid w:val="009D6C95"/>
    <w:rsid w:val="009D6CB9"/>
    <w:rsid w:val="009D6CDE"/>
    <w:rsid w:val="009D6CE8"/>
    <w:rsid w:val="009D6D09"/>
    <w:rsid w:val="009D6DB7"/>
    <w:rsid w:val="009D6E56"/>
    <w:rsid w:val="009D6E5E"/>
    <w:rsid w:val="009D6E98"/>
    <w:rsid w:val="009D6EDA"/>
    <w:rsid w:val="009D6F54"/>
    <w:rsid w:val="009D6F7C"/>
    <w:rsid w:val="009D6FA0"/>
    <w:rsid w:val="009D6FF2"/>
    <w:rsid w:val="009D7033"/>
    <w:rsid w:val="009D70BB"/>
    <w:rsid w:val="009D70D8"/>
    <w:rsid w:val="009D719E"/>
    <w:rsid w:val="009D71AB"/>
    <w:rsid w:val="009D71AD"/>
    <w:rsid w:val="009D721C"/>
    <w:rsid w:val="009D73E9"/>
    <w:rsid w:val="009D743C"/>
    <w:rsid w:val="009D7487"/>
    <w:rsid w:val="009D74D9"/>
    <w:rsid w:val="009D758D"/>
    <w:rsid w:val="009D75E5"/>
    <w:rsid w:val="009D75F2"/>
    <w:rsid w:val="009D762B"/>
    <w:rsid w:val="009D7633"/>
    <w:rsid w:val="009D76DA"/>
    <w:rsid w:val="009D76DF"/>
    <w:rsid w:val="009D771C"/>
    <w:rsid w:val="009D776A"/>
    <w:rsid w:val="009D7832"/>
    <w:rsid w:val="009D7843"/>
    <w:rsid w:val="009D7853"/>
    <w:rsid w:val="009D785B"/>
    <w:rsid w:val="009D78CA"/>
    <w:rsid w:val="009D7934"/>
    <w:rsid w:val="009D797A"/>
    <w:rsid w:val="009D79A6"/>
    <w:rsid w:val="009D7A08"/>
    <w:rsid w:val="009D7B5D"/>
    <w:rsid w:val="009D7BEF"/>
    <w:rsid w:val="009D7D53"/>
    <w:rsid w:val="009D7D9C"/>
    <w:rsid w:val="009D7D9E"/>
    <w:rsid w:val="009D7DC4"/>
    <w:rsid w:val="009D7DEE"/>
    <w:rsid w:val="009D7E0C"/>
    <w:rsid w:val="009D7E52"/>
    <w:rsid w:val="009D7E58"/>
    <w:rsid w:val="009D7EC6"/>
    <w:rsid w:val="009D7F96"/>
    <w:rsid w:val="009E0047"/>
    <w:rsid w:val="009E00F6"/>
    <w:rsid w:val="009E0153"/>
    <w:rsid w:val="009E0286"/>
    <w:rsid w:val="009E0298"/>
    <w:rsid w:val="009E0397"/>
    <w:rsid w:val="009E03EB"/>
    <w:rsid w:val="009E0401"/>
    <w:rsid w:val="009E041D"/>
    <w:rsid w:val="009E06BC"/>
    <w:rsid w:val="009E075D"/>
    <w:rsid w:val="009E0779"/>
    <w:rsid w:val="009E07B1"/>
    <w:rsid w:val="009E07D3"/>
    <w:rsid w:val="009E0834"/>
    <w:rsid w:val="009E087F"/>
    <w:rsid w:val="009E09D4"/>
    <w:rsid w:val="009E0A64"/>
    <w:rsid w:val="009E0B40"/>
    <w:rsid w:val="009E0BA1"/>
    <w:rsid w:val="009E0C43"/>
    <w:rsid w:val="009E0CA8"/>
    <w:rsid w:val="009E0DE8"/>
    <w:rsid w:val="009E0EA0"/>
    <w:rsid w:val="009E0F0A"/>
    <w:rsid w:val="009E0F4B"/>
    <w:rsid w:val="009E0F94"/>
    <w:rsid w:val="009E100A"/>
    <w:rsid w:val="009E103A"/>
    <w:rsid w:val="009E107A"/>
    <w:rsid w:val="009E10FC"/>
    <w:rsid w:val="009E1141"/>
    <w:rsid w:val="009E1385"/>
    <w:rsid w:val="009E14CC"/>
    <w:rsid w:val="009E1511"/>
    <w:rsid w:val="009E151B"/>
    <w:rsid w:val="009E15AD"/>
    <w:rsid w:val="009E15E1"/>
    <w:rsid w:val="009E16E7"/>
    <w:rsid w:val="009E16F4"/>
    <w:rsid w:val="009E172E"/>
    <w:rsid w:val="009E1841"/>
    <w:rsid w:val="009E1862"/>
    <w:rsid w:val="009E188D"/>
    <w:rsid w:val="009E1900"/>
    <w:rsid w:val="009E191C"/>
    <w:rsid w:val="009E19B2"/>
    <w:rsid w:val="009E1AA0"/>
    <w:rsid w:val="009E1AC9"/>
    <w:rsid w:val="009E1AF1"/>
    <w:rsid w:val="009E1B1E"/>
    <w:rsid w:val="009E1B35"/>
    <w:rsid w:val="009E1BA4"/>
    <w:rsid w:val="009E1BE5"/>
    <w:rsid w:val="009E1CB0"/>
    <w:rsid w:val="009E1CB8"/>
    <w:rsid w:val="009E1D2C"/>
    <w:rsid w:val="009E1D67"/>
    <w:rsid w:val="009E1E2F"/>
    <w:rsid w:val="009E1E6C"/>
    <w:rsid w:val="009E1F28"/>
    <w:rsid w:val="009E1FFB"/>
    <w:rsid w:val="009E2002"/>
    <w:rsid w:val="009E20E3"/>
    <w:rsid w:val="009E213C"/>
    <w:rsid w:val="009E2185"/>
    <w:rsid w:val="009E21C0"/>
    <w:rsid w:val="009E2222"/>
    <w:rsid w:val="009E2265"/>
    <w:rsid w:val="009E23B1"/>
    <w:rsid w:val="009E2428"/>
    <w:rsid w:val="009E2462"/>
    <w:rsid w:val="009E2547"/>
    <w:rsid w:val="009E2594"/>
    <w:rsid w:val="009E2608"/>
    <w:rsid w:val="009E26BB"/>
    <w:rsid w:val="009E26F0"/>
    <w:rsid w:val="009E278B"/>
    <w:rsid w:val="009E27C7"/>
    <w:rsid w:val="009E2811"/>
    <w:rsid w:val="009E281A"/>
    <w:rsid w:val="009E2844"/>
    <w:rsid w:val="009E28C4"/>
    <w:rsid w:val="009E2903"/>
    <w:rsid w:val="009E2AAC"/>
    <w:rsid w:val="009E2B1A"/>
    <w:rsid w:val="009E2B4C"/>
    <w:rsid w:val="009E2BA1"/>
    <w:rsid w:val="009E2BA6"/>
    <w:rsid w:val="009E2CD3"/>
    <w:rsid w:val="009E2CEE"/>
    <w:rsid w:val="009E2E02"/>
    <w:rsid w:val="009E2F21"/>
    <w:rsid w:val="009E2F2B"/>
    <w:rsid w:val="009E2F76"/>
    <w:rsid w:val="009E2F96"/>
    <w:rsid w:val="009E2F97"/>
    <w:rsid w:val="009E3105"/>
    <w:rsid w:val="009E31E1"/>
    <w:rsid w:val="009E3238"/>
    <w:rsid w:val="009E3392"/>
    <w:rsid w:val="009E34AC"/>
    <w:rsid w:val="009E354B"/>
    <w:rsid w:val="009E3619"/>
    <w:rsid w:val="009E367B"/>
    <w:rsid w:val="009E378C"/>
    <w:rsid w:val="009E38DA"/>
    <w:rsid w:val="009E38FE"/>
    <w:rsid w:val="009E3958"/>
    <w:rsid w:val="009E395E"/>
    <w:rsid w:val="009E3AA6"/>
    <w:rsid w:val="009E3AE7"/>
    <w:rsid w:val="009E3B13"/>
    <w:rsid w:val="009E3C61"/>
    <w:rsid w:val="009E3C9F"/>
    <w:rsid w:val="009E3CF7"/>
    <w:rsid w:val="009E3D67"/>
    <w:rsid w:val="009E3D95"/>
    <w:rsid w:val="009E3DBC"/>
    <w:rsid w:val="009E3E13"/>
    <w:rsid w:val="009E404C"/>
    <w:rsid w:val="009E4119"/>
    <w:rsid w:val="009E41B0"/>
    <w:rsid w:val="009E4240"/>
    <w:rsid w:val="009E432A"/>
    <w:rsid w:val="009E43E7"/>
    <w:rsid w:val="009E4407"/>
    <w:rsid w:val="009E44BE"/>
    <w:rsid w:val="009E44E4"/>
    <w:rsid w:val="009E451A"/>
    <w:rsid w:val="009E45F0"/>
    <w:rsid w:val="009E465D"/>
    <w:rsid w:val="009E4672"/>
    <w:rsid w:val="009E467A"/>
    <w:rsid w:val="009E4776"/>
    <w:rsid w:val="009E480A"/>
    <w:rsid w:val="009E482C"/>
    <w:rsid w:val="009E4981"/>
    <w:rsid w:val="009E49E8"/>
    <w:rsid w:val="009E49F7"/>
    <w:rsid w:val="009E4B39"/>
    <w:rsid w:val="009E4BCA"/>
    <w:rsid w:val="009E4BDF"/>
    <w:rsid w:val="009E4C7D"/>
    <w:rsid w:val="009E4E48"/>
    <w:rsid w:val="009E4EAC"/>
    <w:rsid w:val="009E4EC0"/>
    <w:rsid w:val="009E4EC2"/>
    <w:rsid w:val="009E4EEC"/>
    <w:rsid w:val="009E4F01"/>
    <w:rsid w:val="009E4F02"/>
    <w:rsid w:val="009E5056"/>
    <w:rsid w:val="009E5069"/>
    <w:rsid w:val="009E50AB"/>
    <w:rsid w:val="009E50BA"/>
    <w:rsid w:val="009E50BB"/>
    <w:rsid w:val="009E510B"/>
    <w:rsid w:val="009E510E"/>
    <w:rsid w:val="009E51D3"/>
    <w:rsid w:val="009E51F0"/>
    <w:rsid w:val="009E52A5"/>
    <w:rsid w:val="009E5349"/>
    <w:rsid w:val="009E53FA"/>
    <w:rsid w:val="009E5500"/>
    <w:rsid w:val="009E557B"/>
    <w:rsid w:val="009E55A7"/>
    <w:rsid w:val="009E5618"/>
    <w:rsid w:val="009E565E"/>
    <w:rsid w:val="009E5774"/>
    <w:rsid w:val="009E5785"/>
    <w:rsid w:val="009E57E3"/>
    <w:rsid w:val="009E588A"/>
    <w:rsid w:val="009E58CA"/>
    <w:rsid w:val="009E5967"/>
    <w:rsid w:val="009E5A2F"/>
    <w:rsid w:val="009E5A55"/>
    <w:rsid w:val="009E5AB5"/>
    <w:rsid w:val="009E5ADD"/>
    <w:rsid w:val="009E5B66"/>
    <w:rsid w:val="009E5C68"/>
    <w:rsid w:val="009E5C84"/>
    <w:rsid w:val="009E5D4F"/>
    <w:rsid w:val="009E5D55"/>
    <w:rsid w:val="009E5D8D"/>
    <w:rsid w:val="009E5E79"/>
    <w:rsid w:val="009E5F60"/>
    <w:rsid w:val="009E6045"/>
    <w:rsid w:val="009E6047"/>
    <w:rsid w:val="009E6349"/>
    <w:rsid w:val="009E6376"/>
    <w:rsid w:val="009E63A7"/>
    <w:rsid w:val="009E63FE"/>
    <w:rsid w:val="009E643F"/>
    <w:rsid w:val="009E6446"/>
    <w:rsid w:val="009E6531"/>
    <w:rsid w:val="009E6538"/>
    <w:rsid w:val="009E6547"/>
    <w:rsid w:val="009E6591"/>
    <w:rsid w:val="009E6617"/>
    <w:rsid w:val="009E66A8"/>
    <w:rsid w:val="009E66B0"/>
    <w:rsid w:val="009E66EA"/>
    <w:rsid w:val="009E6793"/>
    <w:rsid w:val="009E685C"/>
    <w:rsid w:val="009E68C9"/>
    <w:rsid w:val="009E692B"/>
    <w:rsid w:val="009E695F"/>
    <w:rsid w:val="009E69EA"/>
    <w:rsid w:val="009E6A1F"/>
    <w:rsid w:val="009E6A7C"/>
    <w:rsid w:val="009E6ACC"/>
    <w:rsid w:val="009E6ADF"/>
    <w:rsid w:val="009E6CCC"/>
    <w:rsid w:val="009E6CF9"/>
    <w:rsid w:val="009E6D81"/>
    <w:rsid w:val="009E6E53"/>
    <w:rsid w:val="009E6EEB"/>
    <w:rsid w:val="009E6EEF"/>
    <w:rsid w:val="009E70E0"/>
    <w:rsid w:val="009E71A4"/>
    <w:rsid w:val="009E72BE"/>
    <w:rsid w:val="009E7339"/>
    <w:rsid w:val="009E7489"/>
    <w:rsid w:val="009E74BD"/>
    <w:rsid w:val="009E75E2"/>
    <w:rsid w:val="009E762B"/>
    <w:rsid w:val="009E762C"/>
    <w:rsid w:val="009E7700"/>
    <w:rsid w:val="009E771D"/>
    <w:rsid w:val="009E78E4"/>
    <w:rsid w:val="009E795F"/>
    <w:rsid w:val="009E7A41"/>
    <w:rsid w:val="009E7A6D"/>
    <w:rsid w:val="009E7A96"/>
    <w:rsid w:val="009E7AA3"/>
    <w:rsid w:val="009E7AF5"/>
    <w:rsid w:val="009E7B61"/>
    <w:rsid w:val="009E7C5F"/>
    <w:rsid w:val="009E7CA3"/>
    <w:rsid w:val="009E7CB3"/>
    <w:rsid w:val="009E7CB5"/>
    <w:rsid w:val="009E7D41"/>
    <w:rsid w:val="009E7D6D"/>
    <w:rsid w:val="009E7DDB"/>
    <w:rsid w:val="009E7EA1"/>
    <w:rsid w:val="009E7F35"/>
    <w:rsid w:val="009E7F3B"/>
    <w:rsid w:val="009F0014"/>
    <w:rsid w:val="009F0059"/>
    <w:rsid w:val="009F00B5"/>
    <w:rsid w:val="009F00E9"/>
    <w:rsid w:val="009F014A"/>
    <w:rsid w:val="009F0173"/>
    <w:rsid w:val="009F02A4"/>
    <w:rsid w:val="009F02D2"/>
    <w:rsid w:val="009F0382"/>
    <w:rsid w:val="009F03C8"/>
    <w:rsid w:val="009F03E9"/>
    <w:rsid w:val="009F0402"/>
    <w:rsid w:val="009F0422"/>
    <w:rsid w:val="009F044A"/>
    <w:rsid w:val="009F04D3"/>
    <w:rsid w:val="009F05DD"/>
    <w:rsid w:val="009F068F"/>
    <w:rsid w:val="009F06A1"/>
    <w:rsid w:val="009F06B3"/>
    <w:rsid w:val="009F0716"/>
    <w:rsid w:val="009F0722"/>
    <w:rsid w:val="009F07C0"/>
    <w:rsid w:val="009F07CB"/>
    <w:rsid w:val="009F07F0"/>
    <w:rsid w:val="009F083B"/>
    <w:rsid w:val="009F0865"/>
    <w:rsid w:val="009F087A"/>
    <w:rsid w:val="009F088E"/>
    <w:rsid w:val="009F0915"/>
    <w:rsid w:val="009F0959"/>
    <w:rsid w:val="009F09C8"/>
    <w:rsid w:val="009F0AA7"/>
    <w:rsid w:val="009F0AD0"/>
    <w:rsid w:val="009F0AD4"/>
    <w:rsid w:val="009F0B3B"/>
    <w:rsid w:val="009F0B6F"/>
    <w:rsid w:val="009F0D35"/>
    <w:rsid w:val="009F0D6F"/>
    <w:rsid w:val="009F0DCE"/>
    <w:rsid w:val="009F0DDA"/>
    <w:rsid w:val="009F0E06"/>
    <w:rsid w:val="009F0EAA"/>
    <w:rsid w:val="009F0F76"/>
    <w:rsid w:val="009F0FCA"/>
    <w:rsid w:val="009F0FE4"/>
    <w:rsid w:val="009F0FFB"/>
    <w:rsid w:val="009F1006"/>
    <w:rsid w:val="009F10D8"/>
    <w:rsid w:val="009F10E7"/>
    <w:rsid w:val="009F1125"/>
    <w:rsid w:val="009F1154"/>
    <w:rsid w:val="009F1158"/>
    <w:rsid w:val="009F115E"/>
    <w:rsid w:val="009F1365"/>
    <w:rsid w:val="009F1465"/>
    <w:rsid w:val="009F1471"/>
    <w:rsid w:val="009F14B1"/>
    <w:rsid w:val="009F14B2"/>
    <w:rsid w:val="009F14BE"/>
    <w:rsid w:val="009F14D0"/>
    <w:rsid w:val="009F14F2"/>
    <w:rsid w:val="009F154B"/>
    <w:rsid w:val="009F156A"/>
    <w:rsid w:val="009F15C7"/>
    <w:rsid w:val="009F15F0"/>
    <w:rsid w:val="009F15FF"/>
    <w:rsid w:val="009F1621"/>
    <w:rsid w:val="009F16BD"/>
    <w:rsid w:val="009F1724"/>
    <w:rsid w:val="009F1754"/>
    <w:rsid w:val="009F17CD"/>
    <w:rsid w:val="009F189E"/>
    <w:rsid w:val="009F1983"/>
    <w:rsid w:val="009F19D9"/>
    <w:rsid w:val="009F1A12"/>
    <w:rsid w:val="009F1AF3"/>
    <w:rsid w:val="009F1B08"/>
    <w:rsid w:val="009F1CB9"/>
    <w:rsid w:val="009F1D04"/>
    <w:rsid w:val="009F1D77"/>
    <w:rsid w:val="009F1DBB"/>
    <w:rsid w:val="009F1DE5"/>
    <w:rsid w:val="009F1E90"/>
    <w:rsid w:val="009F1EE9"/>
    <w:rsid w:val="009F1F92"/>
    <w:rsid w:val="009F1FA2"/>
    <w:rsid w:val="009F20A0"/>
    <w:rsid w:val="009F20A7"/>
    <w:rsid w:val="009F213E"/>
    <w:rsid w:val="009F2163"/>
    <w:rsid w:val="009F21A6"/>
    <w:rsid w:val="009F21A8"/>
    <w:rsid w:val="009F2335"/>
    <w:rsid w:val="009F242E"/>
    <w:rsid w:val="009F24CA"/>
    <w:rsid w:val="009F24ED"/>
    <w:rsid w:val="009F25E9"/>
    <w:rsid w:val="009F2630"/>
    <w:rsid w:val="009F2646"/>
    <w:rsid w:val="009F26A7"/>
    <w:rsid w:val="009F2709"/>
    <w:rsid w:val="009F2725"/>
    <w:rsid w:val="009F2726"/>
    <w:rsid w:val="009F27C4"/>
    <w:rsid w:val="009F27ED"/>
    <w:rsid w:val="009F282A"/>
    <w:rsid w:val="009F2843"/>
    <w:rsid w:val="009F2854"/>
    <w:rsid w:val="009F285B"/>
    <w:rsid w:val="009F287A"/>
    <w:rsid w:val="009F289E"/>
    <w:rsid w:val="009F29E2"/>
    <w:rsid w:val="009F29E3"/>
    <w:rsid w:val="009F2A43"/>
    <w:rsid w:val="009F2A69"/>
    <w:rsid w:val="009F2A70"/>
    <w:rsid w:val="009F2AC0"/>
    <w:rsid w:val="009F2AF3"/>
    <w:rsid w:val="009F2B64"/>
    <w:rsid w:val="009F2C0F"/>
    <w:rsid w:val="009F2C84"/>
    <w:rsid w:val="009F2CBF"/>
    <w:rsid w:val="009F2CF8"/>
    <w:rsid w:val="009F2E44"/>
    <w:rsid w:val="009F2E73"/>
    <w:rsid w:val="009F2EA2"/>
    <w:rsid w:val="009F2F35"/>
    <w:rsid w:val="009F2F79"/>
    <w:rsid w:val="009F2FD0"/>
    <w:rsid w:val="009F2FF0"/>
    <w:rsid w:val="009F3021"/>
    <w:rsid w:val="009F30D1"/>
    <w:rsid w:val="009F30FC"/>
    <w:rsid w:val="009F3187"/>
    <w:rsid w:val="009F31E3"/>
    <w:rsid w:val="009F3228"/>
    <w:rsid w:val="009F3298"/>
    <w:rsid w:val="009F33C1"/>
    <w:rsid w:val="009F344B"/>
    <w:rsid w:val="009F346C"/>
    <w:rsid w:val="009F34A6"/>
    <w:rsid w:val="009F352E"/>
    <w:rsid w:val="009F3645"/>
    <w:rsid w:val="009F3652"/>
    <w:rsid w:val="009F36E7"/>
    <w:rsid w:val="009F387C"/>
    <w:rsid w:val="009F3912"/>
    <w:rsid w:val="009F39BD"/>
    <w:rsid w:val="009F39CE"/>
    <w:rsid w:val="009F3A19"/>
    <w:rsid w:val="009F3B0A"/>
    <w:rsid w:val="009F3B75"/>
    <w:rsid w:val="009F3C10"/>
    <w:rsid w:val="009F3C35"/>
    <w:rsid w:val="009F3C77"/>
    <w:rsid w:val="009F3C8A"/>
    <w:rsid w:val="009F3CCE"/>
    <w:rsid w:val="009F3D7F"/>
    <w:rsid w:val="009F3D85"/>
    <w:rsid w:val="009F3EAE"/>
    <w:rsid w:val="009F3ED8"/>
    <w:rsid w:val="009F3F11"/>
    <w:rsid w:val="009F3F19"/>
    <w:rsid w:val="009F3F3F"/>
    <w:rsid w:val="009F3F57"/>
    <w:rsid w:val="009F4005"/>
    <w:rsid w:val="009F4091"/>
    <w:rsid w:val="009F40E5"/>
    <w:rsid w:val="009F40E9"/>
    <w:rsid w:val="009F412D"/>
    <w:rsid w:val="009F417D"/>
    <w:rsid w:val="009F41A4"/>
    <w:rsid w:val="009F41BA"/>
    <w:rsid w:val="009F42BA"/>
    <w:rsid w:val="009F432C"/>
    <w:rsid w:val="009F43A3"/>
    <w:rsid w:val="009F43DD"/>
    <w:rsid w:val="009F4435"/>
    <w:rsid w:val="009F4443"/>
    <w:rsid w:val="009F4521"/>
    <w:rsid w:val="009F453B"/>
    <w:rsid w:val="009F4543"/>
    <w:rsid w:val="009F4575"/>
    <w:rsid w:val="009F4684"/>
    <w:rsid w:val="009F46DE"/>
    <w:rsid w:val="009F46F1"/>
    <w:rsid w:val="009F47EA"/>
    <w:rsid w:val="009F4899"/>
    <w:rsid w:val="009F4918"/>
    <w:rsid w:val="009F4929"/>
    <w:rsid w:val="009F492B"/>
    <w:rsid w:val="009F49DE"/>
    <w:rsid w:val="009F4A0C"/>
    <w:rsid w:val="009F4A46"/>
    <w:rsid w:val="009F4A98"/>
    <w:rsid w:val="009F4AA8"/>
    <w:rsid w:val="009F4B7C"/>
    <w:rsid w:val="009F4B97"/>
    <w:rsid w:val="009F4BBE"/>
    <w:rsid w:val="009F4BC8"/>
    <w:rsid w:val="009F4BD7"/>
    <w:rsid w:val="009F4C0F"/>
    <w:rsid w:val="009F4C11"/>
    <w:rsid w:val="009F4C16"/>
    <w:rsid w:val="009F4C48"/>
    <w:rsid w:val="009F4CB4"/>
    <w:rsid w:val="009F4D9C"/>
    <w:rsid w:val="009F4DF9"/>
    <w:rsid w:val="009F4E0E"/>
    <w:rsid w:val="009F4EB1"/>
    <w:rsid w:val="009F4EC9"/>
    <w:rsid w:val="009F4EDA"/>
    <w:rsid w:val="009F4F41"/>
    <w:rsid w:val="009F503F"/>
    <w:rsid w:val="009F5093"/>
    <w:rsid w:val="009F50AC"/>
    <w:rsid w:val="009F50FE"/>
    <w:rsid w:val="009F513D"/>
    <w:rsid w:val="009F5162"/>
    <w:rsid w:val="009F519A"/>
    <w:rsid w:val="009F519B"/>
    <w:rsid w:val="009F51A3"/>
    <w:rsid w:val="009F51DD"/>
    <w:rsid w:val="009F521D"/>
    <w:rsid w:val="009F5301"/>
    <w:rsid w:val="009F5319"/>
    <w:rsid w:val="009F5386"/>
    <w:rsid w:val="009F541F"/>
    <w:rsid w:val="009F54EA"/>
    <w:rsid w:val="009F54FA"/>
    <w:rsid w:val="009F5583"/>
    <w:rsid w:val="009F558B"/>
    <w:rsid w:val="009F55AF"/>
    <w:rsid w:val="009F5614"/>
    <w:rsid w:val="009F5681"/>
    <w:rsid w:val="009F571C"/>
    <w:rsid w:val="009F57F9"/>
    <w:rsid w:val="009F59E8"/>
    <w:rsid w:val="009F5A68"/>
    <w:rsid w:val="009F5A7C"/>
    <w:rsid w:val="009F5A83"/>
    <w:rsid w:val="009F5B05"/>
    <w:rsid w:val="009F5B8C"/>
    <w:rsid w:val="009F5BAF"/>
    <w:rsid w:val="009F5CAB"/>
    <w:rsid w:val="009F5DE5"/>
    <w:rsid w:val="009F5E1B"/>
    <w:rsid w:val="009F5E99"/>
    <w:rsid w:val="009F5F55"/>
    <w:rsid w:val="009F5FCB"/>
    <w:rsid w:val="009F6001"/>
    <w:rsid w:val="009F6013"/>
    <w:rsid w:val="009F6021"/>
    <w:rsid w:val="009F6056"/>
    <w:rsid w:val="009F613A"/>
    <w:rsid w:val="009F63CC"/>
    <w:rsid w:val="009F63ED"/>
    <w:rsid w:val="009F6416"/>
    <w:rsid w:val="009F6428"/>
    <w:rsid w:val="009F6488"/>
    <w:rsid w:val="009F655A"/>
    <w:rsid w:val="009F65AF"/>
    <w:rsid w:val="009F65B1"/>
    <w:rsid w:val="009F65DA"/>
    <w:rsid w:val="009F668B"/>
    <w:rsid w:val="009F66AC"/>
    <w:rsid w:val="009F66C4"/>
    <w:rsid w:val="009F67BF"/>
    <w:rsid w:val="009F6909"/>
    <w:rsid w:val="009F6972"/>
    <w:rsid w:val="009F69C5"/>
    <w:rsid w:val="009F6A76"/>
    <w:rsid w:val="009F6B16"/>
    <w:rsid w:val="009F6B1D"/>
    <w:rsid w:val="009F6B1F"/>
    <w:rsid w:val="009F6BB8"/>
    <w:rsid w:val="009F6BC6"/>
    <w:rsid w:val="009F6BCD"/>
    <w:rsid w:val="009F6C44"/>
    <w:rsid w:val="009F6C9B"/>
    <w:rsid w:val="009F6D18"/>
    <w:rsid w:val="009F6E02"/>
    <w:rsid w:val="009F6E73"/>
    <w:rsid w:val="009F6F63"/>
    <w:rsid w:val="009F7074"/>
    <w:rsid w:val="009F7081"/>
    <w:rsid w:val="009F70E8"/>
    <w:rsid w:val="009F7283"/>
    <w:rsid w:val="009F736B"/>
    <w:rsid w:val="009F7374"/>
    <w:rsid w:val="009F73C5"/>
    <w:rsid w:val="009F740E"/>
    <w:rsid w:val="009F7417"/>
    <w:rsid w:val="009F74D1"/>
    <w:rsid w:val="009F7569"/>
    <w:rsid w:val="009F7571"/>
    <w:rsid w:val="009F7599"/>
    <w:rsid w:val="009F75C7"/>
    <w:rsid w:val="009F75E2"/>
    <w:rsid w:val="009F75FC"/>
    <w:rsid w:val="009F7622"/>
    <w:rsid w:val="009F7667"/>
    <w:rsid w:val="009F766F"/>
    <w:rsid w:val="009F76A2"/>
    <w:rsid w:val="009F76D0"/>
    <w:rsid w:val="009F7773"/>
    <w:rsid w:val="009F77EE"/>
    <w:rsid w:val="009F7808"/>
    <w:rsid w:val="009F786F"/>
    <w:rsid w:val="009F788C"/>
    <w:rsid w:val="009F78C1"/>
    <w:rsid w:val="009F7AA1"/>
    <w:rsid w:val="009F7AD5"/>
    <w:rsid w:val="009F7B07"/>
    <w:rsid w:val="009F7B57"/>
    <w:rsid w:val="009F7B8E"/>
    <w:rsid w:val="009F7B9A"/>
    <w:rsid w:val="009F7BC0"/>
    <w:rsid w:val="009F7C2B"/>
    <w:rsid w:val="009F7C60"/>
    <w:rsid w:val="009F7C93"/>
    <w:rsid w:val="009F7D75"/>
    <w:rsid w:val="009F7E05"/>
    <w:rsid w:val="009F7ED3"/>
    <w:rsid w:val="009F7F10"/>
    <w:rsid w:val="009F7F7A"/>
    <w:rsid w:val="009F7F9C"/>
    <w:rsid w:val="00A00042"/>
    <w:rsid w:val="00A00154"/>
    <w:rsid w:val="00A00222"/>
    <w:rsid w:val="00A002D0"/>
    <w:rsid w:val="00A00396"/>
    <w:rsid w:val="00A003A1"/>
    <w:rsid w:val="00A004D9"/>
    <w:rsid w:val="00A004EA"/>
    <w:rsid w:val="00A00562"/>
    <w:rsid w:val="00A00610"/>
    <w:rsid w:val="00A0063A"/>
    <w:rsid w:val="00A0066F"/>
    <w:rsid w:val="00A006A3"/>
    <w:rsid w:val="00A00800"/>
    <w:rsid w:val="00A0080B"/>
    <w:rsid w:val="00A00840"/>
    <w:rsid w:val="00A00841"/>
    <w:rsid w:val="00A0086F"/>
    <w:rsid w:val="00A0091A"/>
    <w:rsid w:val="00A009A2"/>
    <w:rsid w:val="00A009D6"/>
    <w:rsid w:val="00A009DE"/>
    <w:rsid w:val="00A00A1C"/>
    <w:rsid w:val="00A00B3A"/>
    <w:rsid w:val="00A00B3B"/>
    <w:rsid w:val="00A00C36"/>
    <w:rsid w:val="00A00C3A"/>
    <w:rsid w:val="00A00C88"/>
    <w:rsid w:val="00A00D33"/>
    <w:rsid w:val="00A00DF7"/>
    <w:rsid w:val="00A00E33"/>
    <w:rsid w:val="00A00EAF"/>
    <w:rsid w:val="00A00EBA"/>
    <w:rsid w:val="00A00EE8"/>
    <w:rsid w:val="00A00F98"/>
    <w:rsid w:val="00A0118C"/>
    <w:rsid w:val="00A0122C"/>
    <w:rsid w:val="00A0122E"/>
    <w:rsid w:val="00A0124E"/>
    <w:rsid w:val="00A01276"/>
    <w:rsid w:val="00A01304"/>
    <w:rsid w:val="00A013AE"/>
    <w:rsid w:val="00A013CF"/>
    <w:rsid w:val="00A013D7"/>
    <w:rsid w:val="00A015F3"/>
    <w:rsid w:val="00A01629"/>
    <w:rsid w:val="00A01686"/>
    <w:rsid w:val="00A01713"/>
    <w:rsid w:val="00A01716"/>
    <w:rsid w:val="00A01723"/>
    <w:rsid w:val="00A01763"/>
    <w:rsid w:val="00A01783"/>
    <w:rsid w:val="00A0178C"/>
    <w:rsid w:val="00A017F0"/>
    <w:rsid w:val="00A0186A"/>
    <w:rsid w:val="00A018BD"/>
    <w:rsid w:val="00A018C4"/>
    <w:rsid w:val="00A0191F"/>
    <w:rsid w:val="00A01944"/>
    <w:rsid w:val="00A0194A"/>
    <w:rsid w:val="00A019EC"/>
    <w:rsid w:val="00A019F3"/>
    <w:rsid w:val="00A01A36"/>
    <w:rsid w:val="00A01A98"/>
    <w:rsid w:val="00A01AD3"/>
    <w:rsid w:val="00A01B4D"/>
    <w:rsid w:val="00A01CB6"/>
    <w:rsid w:val="00A01CB7"/>
    <w:rsid w:val="00A01D49"/>
    <w:rsid w:val="00A01DEB"/>
    <w:rsid w:val="00A01F01"/>
    <w:rsid w:val="00A01F74"/>
    <w:rsid w:val="00A01F9B"/>
    <w:rsid w:val="00A02041"/>
    <w:rsid w:val="00A020EC"/>
    <w:rsid w:val="00A021AF"/>
    <w:rsid w:val="00A02396"/>
    <w:rsid w:val="00A024DA"/>
    <w:rsid w:val="00A025D5"/>
    <w:rsid w:val="00A0260E"/>
    <w:rsid w:val="00A02631"/>
    <w:rsid w:val="00A026CB"/>
    <w:rsid w:val="00A02811"/>
    <w:rsid w:val="00A0285E"/>
    <w:rsid w:val="00A028F2"/>
    <w:rsid w:val="00A0293F"/>
    <w:rsid w:val="00A02944"/>
    <w:rsid w:val="00A02A33"/>
    <w:rsid w:val="00A02A58"/>
    <w:rsid w:val="00A02B0F"/>
    <w:rsid w:val="00A02B32"/>
    <w:rsid w:val="00A02B69"/>
    <w:rsid w:val="00A02BA2"/>
    <w:rsid w:val="00A02C42"/>
    <w:rsid w:val="00A02C44"/>
    <w:rsid w:val="00A02CBC"/>
    <w:rsid w:val="00A02DFB"/>
    <w:rsid w:val="00A02E5B"/>
    <w:rsid w:val="00A02E84"/>
    <w:rsid w:val="00A02F24"/>
    <w:rsid w:val="00A02F7A"/>
    <w:rsid w:val="00A03140"/>
    <w:rsid w:val="00A032D3"/>
    <w:rsid w:val="00A033D4"/>
    <w:rsid w:val="00A0355B"/>
    <w:rsid w:val="00A0358F"/>
    <w:rsid w:val="00A0359F"/>
    <w:rsid w:val="00A03617"/>
    <w:rsid w:val="00A0363E"/>
    <w:rsid w:val="00A036D1"/>
    <w:rsid w:val="00A03814"/>
    <w:rsid w:val="00A03859"/>
    <w:rsid w:val="00A0385A"/>
    <w:rsid w:val="00A0385D"/>
    <w:rsid w:val="00A038C4"/>
    <w:rsid w:val="00A039E3"/>
    <w:rsid w:val="00A03B17"/>
    <w:rsid w:val="00A03C42"/>
    <w:rsid w:val="00A03E20"/>
    <w:rsid w:val="00A03E51"/>
    <w:rsid w:val="00A03E8F"/>
    <w:rsid w:val="00A03EA6"/>
    <w:rsid w:val="00A03F6E"/>
    <w:rsid w:val="00A03FEA"/>
    <w:rsid w:val="00A04042"/>
    <w:rsid w:val="00A04124"/>
    <w:rsid w:val="00A0414C"/>
    <w:rsid w:val="00A0419A"/>
    <w:rsid w:val="00A041A2"/>
    <w:rsid w:val="00A041A6"/>
    <w:rsid w:val="00A0421E"/>
    <w:rsid w:val="00A04229"/>
    <w:rsid w:val="00A042AB"/>
    <w:rsid w:val="00A0432D"/>
    <w:rsid w:val="00A04347"/>
    <w:rsid w:val="00A04348"/>
    <w:rsid w:val="00A04391"/>
    <w:rsid w:val="00A0453F"/>
    <w:rsid w:val="00A045C7"/>
    <w:rsid w:val="00A045D1"/>
    <w:rsid w:val="00A045DB"/>
    <w:rsid w:val="00A04644"/>
    <w:rsid w:val="00A046D0"/>
    <w:rsid w:val="00A046EE"/>
    <w:rsid w:val="00A0471E"/>
    <w:rsid w:val="00A04724"/>
    <w:rsid w:val="00A0475C"/>
    <w:rsid w:val="00A0476A"/>
    <w:rsid w:val="00A047BD"/>
    <w:rsid w:val="00A048ED"/>
    <w:rsid w:val="00A049C5"/>
    <w:rsid w:val="00A049FC"/>
    <w:rsid w:val="00A04A25"/>
    <w:rsid w:val="00A04A3F"/>
    <w:rsid w:val="00A04AB5"/>
    <w:rsid w:val="00A04B0D"/>
    <w:rsid w:val="00A04B16"/>
    <w:rsid w:val="00A04B41"/>
    <w:rsid w:val="00A04B52"/>
    <w:rsid w:val="00A04BB2"/>
    <w:rsid w:val="00A04C06"/>
    <w:rsid w:val="00A04C3D"/>
    <w:rsid w:val="00A04CA6"/>
    <w:rsid w:val="00A04CDD"/>
    <w:rsid w:val="00A04D17"/>
    <w:rsid w:val="00A04D30"/>
    <w:rsid w:val="00A04D9F"/>
    <w:rsid w:val="00A04E05"/>
    <w:rsid w:val="00A04EAB"/>
    <w:rsid w:val="00A04F08"/>
    <w:rsid w:val="00A04FE9"/>
    <w:rsid w:val="00A05097"/>
    <w:rsid w:val="00A05123"/>
    <w:rsid w:val="00A05138"/>
    <w:rsid w:val="00A0514E"/>
    <w:rsid w:val="00A0516E"/>
    <w:rsid w:val="00A051B1"/>
    <w:rsid w:val="00A052E1"/>
    <w:rsid w:val="00A052FA"/>
    <w:rsid w:val="00A0540C"/>
    <w:rsid w:val="00A05422"/>
    <w:rsid w:val="00A0555D"/>
    <w:rsid w:val="00A0556A"/>
    <w:rsid w:val="00A055BF"/>
    <w:rsid w:val="00A055F2"/>
    <w:rsid w:val="00A05618"/>
    <w:rsid w:val="00A056ED"/>
    <w:rsid w:val="00A0573C"/>
    <w:rsid w:val="00A05765"/>
    <w:rsid w:val="00A057B9"/>
    <w:rsid w:val="00A058CB"/>
    <w:rsid w:val="00A058F8"/>
    <w:rsid w:val="00A059C3"/>
    <w:rsid w:val="00A05A5E"/>
    <w:rsid w:val="00A05B98"/>
    <w:rsid w:val="00A05B99"/>
    <w:rsid w:val="00A05C12"/>
    <w:rsid w:val="00A05C69"/>
    <w:rsid w:val="00A05CF4"/>
    <w:rsid w:val="00A05D30"/>
    <w:rsid w:val="00A05D39"/>
    <w:rsid w:val="00A05DAE"/>
    <w:rsid w:val="00A05E11"/>
    <w:rsid w:val="00A05F05"/>
    <w:rsid w:val="00A05FBA"/>
    <w:rsid w:val="00A05FBF"/>
    <w:rsid w:val="00A05FF7"/>
    <w:rsid w:val="00A06095"/>
    <w:rsid w:val="00A060F7"/>
    <w:rsid w:val="00A06182"/>
    <w:rsid w:val="00A061F1"/>
    <w:rsid w:val="00A06253"/>
    <w:rsid w:val="00A06291"/>
    <w:rsid w:val="00A063B4"/>
    <w:rsid w:val="00A06403"/>
    <w:rsid w:val="00A0649C"/>
    <w:rsid w:val="00A06514"/>
    <w:rsid w:val="00A06559"/>
    <w:rsid w:val="00A06595"/>
    <w:rsid w:val="00A065AC"/>
    <w:rsid w:val="00A06668"/>
    <w:rsid w:val="00A066B2"/>
    <w:rsid w:val="00A06749"/>
    <w:rsid w:val="00A067C1"/>
    <w:rsid w:val="00A06830"/>
    <w:rsid w:val="00A068EE"/>
    <w:rsid w:val="00A068FA"/>
    <w:rsid w:val="00A06B5A"/>
    <w:rsid w:val="00A06B99"/>
    <w:rsid w:val="00A06BD6"/>
    <w:rsid w:val="00A06C36"/>
    <w:rsid w:val="00A06CDC"/>
    <w:rsid w:val="00A06E02"/>
    <w:rsid w:val="00A06E03"/>
    <w:rsid w:val="00A06F8A"/>
    <w:rsid w:val="00A06FEE"/>
    <w:rsid w:val="00A06FF1"/>
    <w:rsid w:val="00A07021"/>
    <w:rsid w:val="00A070F5"/>
    <w:rsid w:val="00A072A7"/>
    <w:rsid w:val="00A072F6"/>
    <w:rsid w:val="00A07322"/>
    <w:rsid w:val="00A073F4"/>
    <w:rsid w:val="00A0743F"/>
    <w:rsid w:val="00A074AF"/>
    <w:rsid w:val="00A07598"/>
    <w:rsid w:val="00A0759D"/>
    <w:rsid w:val="00A075FF"/>
    <w:rsid w:val="00A0767D"/>
    <w:rsid w:val="00A0768E"/>
    <w:rsid w:val="00A07691"/>
    <w:rsid w:val="00A076AE"/>
    <w:rsid w:val="00A0776D"/>
    <w:rsid w:val="00A07793"/>
    <w:rsid w:val="00A0796C"/>
    <w:rsid w:val="00A0798C"/>
    <w:rsid w:val="00A079C8"/>
    <w:rsid w:val="00A079F0"/>
    <w:rsid w:val="00A07A2B"/>
    <w:rsid w:val="00A07AD8"/>
    <w:rsid w:val="00A07B32"/>
    <w:rsid w:val="00A07BC6"/>
    <w:rsid w:val="00A07C93"/>
    <w:rsid w:val="00A07C9E"/>
    <w:rsid w:val="00A07DCE"/>
    <w:rsid w:val="00A07E35"/>
    <w:rsid w:val="00A07E39"/>
    <w:rsid w:val="00A07E47"/>
    <w:rsid w:val="00A07E4D"/>
    <w:rsid w:val="00A07E58"/>
    <w:rsid w:val="00A07E9C"/>
    <w:rsid w:val="00A07F54"/>
    <w:rsid w:val="00A07FB6"/>
    <w:rsid w:val="00A10003"/>
    <w:rsid w:val="00A10040"/>
    <w:rsid w:val="00A10058"/>
    <w:rsid w:val="00A100A8"/>
    <w:rsid w:val="00A100C5"/>
    <w:rsid w:val="00A100D6"/>
    <w:rsid w:val="00A100EA"/>
    <w:rsid w:val="00A10120"/>
    <w:rsid w:val="00A1018A"/>
    <w:rsid w:val="00A101A0"/>
    <w:rsid w:val="00A101EF"/>
    <w:rsid w:val="00A10260"/>
    <w:rsid w:val="00A1027F"/>
    <w:rsid w:val="00A10290"/>
    <w:rsid w:val="00A102A2"/>
    <w:rsid w:val="00A102C3"/>
    <w:rsid w:val="00A102F1"/>
    <w:rsid w:val="00A10364"/>
    <w:rsid w:val="00A10367"/>
    <w:rsid w:val="00A1039B"/>
    <w:rsid w:val="00A103A1"/>
    <w:rsid w:val="00A103B8"/>
    <w:rsid w:val="00A104D5"/>
    <w:rsid w:val="00A10527"/>
    <w:rsid w:val="00A10531"/>
    <w:rsid w:val="00A1056B"/>
    <w:rsid w:val="00A105B0"/>
    <w:rsid w:val="00A10661"/>
    <w:rsid w:val="00A106B4"/>
    <w:rsid w:val="00A106D9"/>
    <w:rsid w:val="00A1076E"/>
    <w:rsid w:val="00A10853"/>
    <w:rsid w:val="00A108A7"/>
    <w:rsid w:val="00A108BA"/>
    <w:rsid w:val="00A10914"/>
    <w:rsid w:val="00A10A66"/>
    <w:rsid w:val="00A10A6A"/>
    <w:rsid w:val="00A10A97"/>
    <w:rsid w:val="00A10B3A"/>
    <w:rsid w:val="00A10B48"/>
    <w:rsid w:val="00A10C23"/>
    <w:rsid w:val="00A10C57"/>
    <w:rsid w:val="00A10CD8"/>
    <w:rsid w:val="00A10CF4"/>
    <w:rsid w:val="00A10DAC"/>
    <w:rsid w:val="00A10E68"/>
    <w:rsid w:val="00A10E99"/>
    <w:rsid w:val="00A11259"/>
    <w:rsid w:val="00A1126B"/>
    <w:rsid w:val="00A112E5"/>
    <w:rsid w:val="00A112F7"/>
    <w:rsid w:val="00A1130C"/>
    <w:rsid w:val="00A11331"/>
    <w:rsid w:val="00A113BD"/>
    <w:rsid w:val="00A11459"/>
    <w:rsid w:val="00A114FB"/>
    <w:rsid w:val="00A11543"/>
    <w:rsid w:val="00A11566"/>
    <w:rsid w:val="00A1157A"/>
    <w:rsid w:val="00A115BD"/>
    <w:rsid w:val="00A115E3"/>
    <w:rsid w:val="00A11635"/>
    <w:rsid w:val="00A1169D"/>
    <w:rsid w:val="00A1169E"/>
    <w:rsid w:val="00A116AF"/>
    <w:rsid w:val="00A116D3"/>
    <w:rsid w:val="00A116EB"/>
    <w:rsid w:val="00A117F7"/>
    <w:rsid w:val="00A11939"/>
    <w:rsid w:val="00A11AB3"/>
    <w:rsid w:val="00A11AB8"/>
    <w:rsid w:val="00A11AD2"/>
    <w:rsid w:val="00A11B18"/>
    <w:rsid w:val="00A11BE0"/>
    <w:rsid w:val="00A11C30"/>
    <w:rsid w:val="00A11C79"/>
    <w:rsid w:val="00A11CD7"/>
    <w:rsid w:val="00A11D59"/>
    <w:rsid w:val="00A11D5D"/>
    <w:rsid w:val="00A11D62"/>
    <w:rsid w:val="00A11F11"/>
    <w:rsid w:val="00A11F62"/>
    <w:rsid w:val="00A1203E"/>
    <w:rsid w:val="00A12058"/>
    <w:rsid w:val="00A12089"/>
    <w:rsid w:val="00A120EF"/>
    <w:rsid w:val="00A12110"/>
    <w:rsid w:val="00A1214C"/>
    <w:rsid w:val="00A12176"/>
    <w:rsid w:val="00A12180"/>
    <w:rsid w:val="00A12251"/>
    <w:rsid w:val="00A122C9"/>
    <w:rsid w:val="00A122CA"/>
    <w:rsid w:val="00A122D2"/>
    <w:rsid w:val="00A122D6"/>
    <w:rsid w:val="00A122E9"/>
    <w:rsid w:val="00A12388"/>
    <w:rsid w:val="00A1245F"/>
    <w:rsid w:val="00A12525"/>
    <w:rsid w:val="00A12544"/>
    <w:rsid w:val="00A12578"/>
    <w:rsid w:val="00A125C8"/>
    <w:rsid w:val="00A1264E"/>
    <w:rsid w:val="00A12686"/>
    <w:rsid w:val="00A126CE"/>
    <w:rsid w:val="00A12736"/>
    <w:rsid w:val="00A12752"/>
    <w:rsid w:val="00A12937"/>
    <w:rsid w:val="00A129DF"/>
    <w:rsid w:val="00A12A20"/>
    <w:rsid w:val="00A12A36"/>
    <w:rsid w:val="00A12A46"/>
    <w:rsid w:val="00A12ABF"/>
    <w:rsid w:val="00A12B90"/>
    <w:rsid w:val="00A12C25"/>
    <w:rsid w:val="00A12CA0"/>
    <w:rsid w:val="00A12D01"/>
    <w:rsid w:val="00A12D3E"/>
    <w:rsid w:val="00A12D44"/>
    <w:rsid w:val="00A12E4F"/>
    <w:rsid w:val="00A12EB2"/>
    <w:rsid w:val="00A12EB6"/>
    <w:rsid w:val="00A12F2F"/>
    <w:rsid w:val="00A12FA7"/>
    <w:rsid w:val="00A12FFF"/>
    <w:rsid w:val="00A130D1"/>
    <w:rsid w:val="00A1316A"/>
    <w:rsid w:val="00A1317E"/>
    <w:rsid w:val="00A131E6"/>
    <w:rsid w:val="00A13206"/>
    <w:rsid w:val="00A13224"/>
    <w:rsid w:val="00A132CC"/>
    <w:rsid w:val="00A132F8"/>
    <w:rsid w:val="00A13334"/>
    <w:rsid w:val="00A13344"/>
    <w:rsid w:val="00A1337F"/>
    <w:rsid w:val="00A133AD"/>
    <w:rsid w:val="00A13449"/>
    <w:rsid w:val="00A134B6"/>
    <w:rsid w:val="00A134C4"/>
    <w:rsid w:val="00A134CB"/>
    <w:rsid w:val="00A13506"/>
    <w:rsid w:val="00A13558"/>
    <w:rsid w:val="00A1357A"/>
    <w:rsid w:val="00A1358F"/>
    <w:rsid w:val="00A136E6"/>
    <w:rsid w:val="00A13722"/>
    <w:rsid w:val="00A1372F"/>
    <w:rsid w:val="00A13785"/>
    <w:rsid w:val="00A13885"/>
    <w:rsid w:val="00A138C6"/>
    <w:rsid w:val="00A13907"/>
    <w:rsid w:val="00A13A18"/>
    <w:rsid w:val="00A13A6F"/>
    <w:rsid w:val="00A13ACF"/>
    <w:rsid w:val="00A13BFD"/>
    <w:rsid w:val="00A13D07"/>
    <w:rsid w:val="00A13D63"/>
    <w:rsid w:val="00A13DD5"/>
    <w:rsid w:val="00A13DED"/>
    <w:rsid w:val="00A13E16"/>
    <w:rsid w:val="00A13E86"/>
    <w:rsid w:val="00A13F09"/>
    <w:rsid w:val="00A13F9F"/>
    <w:rsid w:val="00A1405D"/>
    <w:rsid w:val="00A1407B"/>
    <w:rsid w:val="00A140E8"/>
    <w:rsid w:val="00A14180"/>
    <w:rsid w:val="00A141DD"/>
    <w:rsid w:val="00A14218"/>
    <w:rsid w:val="00A14223"/>
    <w:rsid w:val="00A14225"/>
    <w:rsid w:val="00A142BE"/>
    <w:rsid w:val="00A142D3"/>
    <w:rsid w:val="00A14302"/>
    <w:rsid w:val="00A1430F"/>
    <w:rsid w:val="00A1435A"/>
    <w:rsid w:val="00A1439C"/>
    <w:rsid w:val="00A143C4"/>
    <w:rsid w:val="00A143E8"/>
    <w:rsid w:val="00A143F5"/>
    <w:rsid w:val="00A14508"/>
    <w:rsid w:val="00A1459C"/>
    <w:rsid w:val="00A146DD"/>
    <w:rsid w:val="00A146ED"/>
    <w:rsid w:val="00A14720"/>
    <w:rsid w:val="00A1475A"/>
    <w:rsid w:val="00A14762"/>
    <w:rsid w:val="00A147A4"/>
    <w:rsid w:val="00A14815"/>
    <w:rsid w:val="00A1482B"/>
    <w:rsid w:val="00A14978"/>
    <w:rsid w:val="00A14A22"/>
    <w:rsid w:val="00A14A63"/>
    <w:rsid w:val="00A14B40"/>
    <w:rsid w:val="00A14B54"/>
    <w:rsid w:val="00A14B81"/>
    <w:rsid w:val="00A14B9D"/>
    <w:rsid w:val="00A14BBA"/>
    <w:rsid w:val="00A14C25"/>
    <w:rsid w:val="00A14C58"/>
    <w:rsid w:val="00A14D1A"/>
    <w:rsid w:val="00A14D6F"/>
    <w:rsid w:val="00A14E48"/>
    <w:rsid w:val="00A14E57"/>
    <w:rsid w:val="00A14ED6"/>
    <w:rsid w:val="00A14ED8"/>
    <w:rsid w:val="00A14F41"/>
    <w:rsid w:val="00A14F68"/>
    <w:rsid w:val="00A14FCD"/>
    <w:rsid w:val="00A14FDD"/>
    <w:rsid w:val="00A1501C"/>
    <w:rsid w:val="00A150E6"/>
    <w:rsid w:val="00A15117"/>
    <w:rsid w:val="00A15121"/>
    <w:rsid w:val="00A15158"/>
    <w:rsid w:val="00A151DA"/>
    <w:rsid w:val="00A15277"/>
    <w:rsid w:val="00A15349"/>
    <w:rsid w:val="00A153C4"/>
    <w:rsid w:val="00A15420"/>
    <w:rsid w:val="00A15511"/>
    <w:rsid w:val="00A15528"/>
    <w:rsid w:val="00A155CB"/>
    <w:rsid w:val="00A1567E"/>
    <w:rsid w:val="00A156ED"/>
    <w:rsid w:val="00A157A3"/>
    <w:rsid w:val="00A157B2"/>
    <w:rsid w:val="00A15849"/>
    <w:rsid w:val="00A15868"/>
    <w:rsid w:val="00A1588B"/>
    <w:rsid w:val="00A1591C"/>
    <w:rsid w:val="00A15977"/>
    <w:rsid w:val="00A1598B"/>
    <w:rsid w:val="00A159C1"/>
    <w:rsid w:val="00A15A46"/>
    <w:rsid w:val="00A15A60"/>
    <w:rsid w:val="00A15A8B"/>
    <w:rsid w:val="00A15AB3"/>
    <w:rsid w:val="00A15B04"/>
    <w:rsid w:val="00A15B7A"/>
    <w:rsid w:val="00A15BB2"/>
    <w:rsid w:val="00A15BCA"/>
    <w:rsid w:val="00A15BF0"/>
    <w:rsid w:val="00A15CEE"/>
    <w:rsid w:val="00A15ECF"/>
    <w:rsid w:val="00A15F31"/>
    <w:rsid w:val="00A15F35"/>
    <w:rsid w:val="00A15FD1"/>
    <w:rsid w:val="00A1610A"/>
    <w:rsid w:val="00A16151"/>
    <w:rsid w:val="00A161F9"/>
    <w:rsid w:val="00A161FE"/>
    <w:rsid w:val="00A162D1"/>
    <w:rsid w:val="00A163ED"/>
    <w:rsid w:val="00A1651F"/>
    <w:rsid w:val="00A16660"/>
    <w:rsid w:val="00A16676"/>
    <w:rsid w:val="00A166C8"/>
    <w:rsid w:val="00A16722"/>
    <w:rsid w:val="00A167F5"/>
    <w:rsid w:val="00A16804"/>
    <w:rsid w:val="00A16A31"/>
    <w:rsid w:val="00A16A73"/>
    <w:rsid w:val="00A16AAE"/>
    <w:rsid w:val="00A16B4B"/>
    <w:rsid w:val="00A16BB2"/>
    <w:rsid w:val="00A16C44"/>
    <w:rsid w:val="00A16CB3"/>
    <w:rsid w:val="00A16D33"/>
    <w:rsid w:val="00A16D80"/>
    <w:rsid w:val="00A16D95"/>
    <w:rsid w:val="00A16E18"/>
    <w:rsid w:val="00A16E89"/>
    <w:rsid w:val="00A16EA4"/>
    <w:rsid w:val="00A16EA9"/>
    <w:rsid w:val="00A16F15"/>
    <w:rsid w:val="00A16F20"/>
    <w:rsid w:val="00A16FDC"/>
    <w:rsid w:val="00A16FF8"/>
    <w:rsid w:val="00A1704B"/>
    <w:rsid w:val="00A1705D"/>
    <w:rsid w:val="00A17191"/>
    <w:rsid w:val="00A17194"/>
    <w:rsid w:val="00A1722F"/>
    <w:rsid w:val="00A17330"/>
    <w:rsid w:val="00A173BC"/>
    <w:rsid w:val="00A173FC"/>
    <w:rsid w:val="00A17435"/>
    <w:rsid w:val="00A17449"/>
    <w:rsid w:val="00A174FF"/>
    <w:rsid w:val="00A1761D"/>
    <w:rsid w:val="00A17637"/>
    <w:rsid w:val="00A17681"/>
    <w:rsid w:val="00A17695"/>
    <w:rsid w:val="00A176D9"/>
    <w:rsid w:val="00A177FD"/>
    <w:rsid w:val="00A1782C"/>
    <w:rsid w:val="00A17899"/>
    <w:rsid w:val="00A178C4"/>
    <w:rsid w:val="00A178CB"/>
    <w:rsid w:val="00A1797C"/>
    <w:rsid w:val="00A179A4"/>
    <w:rsid w:val="00A179C3"/>
    <w:rsid w:val="00A17A65"/>
    <w:rsid w:val="00A17B23"/>
    <w:rsid w:val="00A17B4C"/>
    <w:rsid w:val="00A17B6E"/>
    <w:rsid w:val="00A17BAE"/>
    <w:rsid w:val="00A17BF8"/>
    <w:rsid w:val="00A17C59"/>
    <w:rsid w:val="00A17D4A"/>
    <w:rsid w:val="00A17E22"/>
    <w:rsid w:val="00A17E3E"/>
    <w:rsid w:val="00A17E97"/>
    <w:rsid w:val="00A17F16"/>
    <w:rsid w:val="00A17F88"/>
    <w:rsid w:val="00A20003"/>
    <w:rsid w:val="00A20133"/>
    <w:rsid w:val="00A20144"/>
    <w:rsid w:val="00A2015D"/>
    <w:rsid w:val="00A202C0"/>
    <w:rsid w:val="00A20340"/>
    <w:rsid w:val="00A20368"/>
    <w:rsid w:val="00A203A0"/>
    <w:rsid w:val="00A203D1"/>
    <w:rsid w:val="00A20403"/>
    <w:rsid w:val="00A2045F"/>
    <w:rsid w:val="00A20487"/>
    <w:rsid w:val="00A20581"/>
    <w:rsid w:val="00A20650"/>
    <w:rsid w:val="00A2069E"/>
    <w:rsid w:val="00A206CD"/>
    <w:rsid w:val="00A206ED"/>
    <w:rsid w:val="00A20705"/>
    <w:rsid w:val="00A207F4"/>
    <w:rsid w:val="00A20809"/>
    <w:rsid w:val="00A2083A"/>
    <w:rsid w:val="00A209A2"/>
    <w:rsid w:val="00A20A54"/>
    <w:rsid w:val="00A20AD0"/>
    <w:rsid w:val="00A20B68"/>
    <w:rsid w:val="00A20BC4"/>
    <w:rsid w:val="00A20C75"/>
    <w:rsid w:val="00A20D6F"/>
    <w:rsid w:val="00A20D7E"/>
    <w:rsid w:val="00A20DCB"/>
    <w:rsid w:val="00A20DE5"/>
    <w:rsid w:val="00A20E67"/>
    <w:rsid w:val="00A20E9C"/>
    <w:rsid w:val="00A20EBD"/>
    <w:rsid w:val="00A20F68"/>
    <w:rsid w:val="00A20FAF"/>
    <w:rsid w:val="00A20FB7"/>
    <w:rsid w:val="00A20FE1"/>
    <w:rsid w:val="00A21159"/>
    <w:rsid w:val="00A212A0"/>
    <w:rsid w:val="00A212FD"/>
    <w:rsid w:val="00A212FF"/>
    <w:rsid w:val="00A21338"/>
    <w:rsid w:val="00A21360"/>
    <w:rsid w:val="00A214EE"/>
    <w:rsid w:val="00A21535"/>
    <w:rsid w:val="00A2155C"/>
    <w:rsid w:val="00A2160E"/>
    <w:rsid w:val="00A21688"/>
    <w:rsid w:val="00A2174C"/>
    <w:rsid w:val="00A21758"/>
    <w:rsid w:val="00A217AA"/>
    <w:rsid w:val="00A2185E"/>
    <w:rsid w:val="00A218CC"/>
    <w:rsid w:val="00A21930"/>
    <w:rsid w:val="00A21974"/>
    <w:rsid w:val="00A21A58"/>
    <w:rsid w:val="00A21A9B"/>
    <w:rsid w:val="00A21A9E"/>
    <w:rsid w:val="00A21B70"/>
    <w:rsid w:val="00A21B8F"/>
    <w:rsid w:val="00A21BAC"/>
    <w:rsid w:val="00A21CCB"/>
    <w:rsid w:val="00A21CCE"/>
    <w:rsid w:val="00A21D27"/>
    <w:rsid w:val="00A21EFF"/>
    <w:rsid w:val="00A21F0D"/>
    <w:rsid w:val="00A21F20"/>
    <w:rsid w:val="00A21F25"/>
    <w:rsid w:val="00A21F5F"/>
    <w:rsid w:val="00A21F71"/>
    <w:rsid w:val="00A22005"/>
    <w:rsid w:val="00A22042"/>
    <w:rsid w:val="00A22081"/>
    <w:rsid w:val="00A220A6"/>
    <w:rsid w:val="00A220BD"/>
    <w:rsid w:val="00A221A1"/>
    <w:rsid w:val="00A221A7"/>
    <w:rsid w:val="00A221E8"/>
    <w:rsid w:val="00A22238"/>
    <w:rsid w:val="00A22272"/>
    <w:rsid w:val="00A22281"/>
    <w:rsid w:val="00A2228A"/>
    <w:rsid w:val="00A22322"/>
    <w:rsid w:val="00A22360"/>
    <w:rsid w:val="00A22363"/>
    <w:rsid w:val="00A224C6"/>
    <w:rsid w:val="00A224CD"/>
    <w:rsid w:val="00A224D1"/>
    <w:rsid w:val="00A2253F"/>
    <w:rsid w:val="00A22549"/>
    <w:rsid w:val="00A2254C"/>
    <w:rsid w:val="00A22557"/>
    <w:rsid w:val="00A225AB"/>
    <w:rsid w:val="00A225F2"/>
    <w:rsid w:val="00A2285A"/>
    <w:rsid w:val="00A228F3"/>
    <w:rsid w:val="00A22969"/>
    <w:rsid w:val="00A22991"/>
    <w:rsid w:val="00A22AA1"/>
    <w:rsid w:val="00A22C4D"/>
    <w:rsid w:val="00A22C80"/>
    <w:rsid w:val="00A22D99"/>
    <w:rsid w:val="00A22DB2"/>
    <w:rsid w:val="00A22DF5"/>
    <w:rsid w:val="00A22EE7"/>
    <w:rsid w:val="00A22EFD"/>
    <w:rsid w:val="00A22EFE"/>
    <w:rsid w:val="00A22FA1"/>
    <w:rsid w:val="00A22FBB"/>
    <w:rsid w:val="00A23018"/>
    <w:rsid w:val="00A230BF"/>
    <w:rsid w:val="00A23154"/>
    <w:rsid w:val="00A23261"/>
    <w:rsid w:val="00A23365"/>
    <w:rsid w:val="00A2338E"/>
    <w:rsid w:val="00A2340D"/>
    <w:rsid w:val="00A23414"/>
    <w:rsid w:val="00A234B4"/>
    <w:rsid w:val="00A236DE"/>
    <w:rsid w:val="00A2378B"/>
    <w:rsid w:val="00A23843"/>
    <w:rsid w:val="00A23876"/>
    <w:rsid w:val="00A238CA"/>
    <w:rsid w:val="00A238D3"/>
    <w:rsid w:val="00A2395D"/>
    <w:rsid w:val="00A239F9"/>
    <w:rsid w:val="00A239FF"/>
    <w:rsid w:val="00A23B35"/>
    <w:rsid w:val="00A23B62"/>
    <w:rsid w:val="00A23C2A"/>
    <w:rsid w:val="00A23CF8"/>
    <w:rsid w:val="00A23D02"/>
    <w:rsid w:val="00A23D0E"/>
    <w:rsid w:val="00A23D2C"/>
    <w:rsid w:val="00A23DE5"/>
    <w:rsid w:val="00A23E24"/>
    <w:rsid w:val="00A23E48"/>
    <w:rsid w:val="00A23E7E"/>
    <w:rsid w:val="00A23F9F"/>
    <w:rsid w:val="00A23FB8"/>
    <w:rsid w:val="00A23FDE"/>
    <w:rsid w:val="00A24167"/>
    <w:rsid w:val="00A24170"/>
    <w:rsid w:val="00A24191"/>
    <w:rsid w:val="00A241F0"/>
    <w:rsid w:val="00A24247"/>
    <w:rsid w:val="00A24279"/>
    <w:rsid w:val="00A24288"/>
    <w:rsid w:val="00A242C4"/>
    <w:rsid w:val="00A243C1"/>
    <w:rsid w:val="00A2440D"/>
    <w:rsid w:val="00A24458"/>
    <w:rsid w:val="00A24468"/>
    <w:rsid w:val="00A2453B"/>
    <w:rsid w:val="00A24545"/>
    <w:rsid w:val="00A245D8"/>
    <w:rsid w:val="00A246B9"/>
    <w:rsid w:val="00A24718"/>
    <w:rsid w:val="00A2472B"/>
    <w:rsid w:val="00A2478B"/>
    <w:rsid w:val="00A24797"/>
    <w:rsid w:val="00A247DF"/>
    <w:rsid w:val="00A247E0"/>
    <w:rsid w:val="00A24804"/>
    <w:rsid w:val="00A24819"/>
    <w:rsid w:val="00A24822"/>
    <w:rsid w:val="00A248F9"/>
    <w:rsid w:val="00A249C4"/>
    <w:rsid w:val="00A24A0E"/>
    <w:rsid w:val="00A24A77"/>
    <w:rsid w:val="00A24AAB"/>
    <w:rsid w:val="00A24BFC"/>
    <w:rsid w:val="00A24EEE"/>
    <w:rsid w:val="00A24F23"/>
    <w:rsid w:val="00A24F6E"/>
    <w:rsid w:val="00A24FB1"/>
    <w:rsid w:val="00A24FC3"/>
    <w:rsid w:val="00A25129"/>
    <w:rsid w:val="00A251E8"/>
    <w:rsid w:val="00A25222"/>
    <w:rsid w:val="00A252BA"/>
    <w:rsid w:val="00A25419"/>
    <w:rsid w:val="00A25495"/>
    <w:rsid w:val="00A25502"/>
    <w:rsid w:val="00A25509"/>
    <w:rsid w:val="00A255AC"/>
    <w:rsid w:val="00A25653"/>
    <w:rsid w:val="00A25671"/>
    <w:rsid w:val="00A25697"/>
    <w:rsid w:val="00A256B4"/>
    <w:rsid w:val="00A256CE"/>
    <w:rsid w:val="00A25741"/>
    <w:rsid w:val="00A2575F"/>
    <w:rsid w:val="00A257B7"/>
    <w:rsid w:val="00A257C7"/>
    <w:rsid w:val="00A25837"/>
    <w:rsid w:val="00A2583F"/>
    <w:rsid w:val="00A2584D"/>
    <w:rsid w:val="00A25888"/>
    <w:rsid w:val="00A258B4"/>
    <w:rsid w:val="00A258BF"/>
    <w:rsid w:val="00A258F8"/>
    <w:rsid w:val="00A25974"/>
    <w:rsid w:val="00A259CC"/>
    <w:rsid w:val="00A25A67"/>
    <w:rsid w:val="00A25A7C"/>
    <w:rsid w:val="00A25AD5"/>
    <w:rsid w:val="00A25AF8"/>
    <w:rsid w:val="00A25C44"/>
    <w:rsid w:val="00A25C4A"/>
    <w:rsid w:val="00A25D04"/>
    <w:rsid w:val="00A25E8E"/>
    <w:rsid w:val="00A25ED2"/>
    <w:rsid w:val="00A25F06"/>
    <w:rsid w:val="00A25F1D"/>
    <w:rsid w:val="00A26027"/>
    <w:rsid w:val="00A26125"/>
    <w:rsid w:val="00A2618B"/>
    <w:rsid w:val="00A26259"/>
    <w:rsid w:val="00A26308"/>
    <w:rsid w:val="00A2633A"/>
    <w:rsid w:val="00A263A8"/>
    <w:rsid w:val="00A263F9"/>
    <w:rsid w:val="00A264D5"/>
    <w:rsid w:val="00A26545"/>
    <w:rsid w:val="00A26567"/>
    <w:rsid w:val="00A2659D"/>
    <w:rsid w:val="00A26609"/>
    <w:rsid w:val="00A2665F"/>
    <w:rsid w:val="00A26699"/>
    <w:rsid w:val="00A2669E"/>
    <w:rsid w:val="00A266E1"/>
    <w:rsid w:val="00A26727"/>
    <w:rsid w:val="00A2673C"/>
    <w:rsid w:val="00A26775"/>
    <w:rsid w:val="00A267FF"/>
    <w:rsid w:val="00A26805"/>
    <w:rsid w:val="00A2682B"/>
    <w:rsid w:val="00A269F1"/>
    <w:rsid w:val="00A26B2B"/>
    <w:rsid w:val="00A26B68"/>
    <w:rsid w:val="00A26B78"/>
    <w:rsid w:val="00A26BE9"/>
    <w:rsid w:val="00A26C41"/>
    <w:rsid w:val="00A26CD2"/>
    <w:rsid w:val="00A26D57"/>
    <w:rsid w:val="00A26DEB"/>
    <w:rsid w:val="00A26E0A"/>
    <w:rsid w:val="00A26FF9"/>
    <w:rsid w:val="00A27172"/>
    <w:rsid w:val="00A2728B"/>
    <w:rsid w:val="00A272AC"/>
    <w:rsid w:val="00A27363"/>
    <w:rsid w:val="00A273CF"/>
    <w:rsid w:val="00A273F0"/>
    <w:rsid w:val="00A27500"/>
    <w:rsid w:val="00A2754C"/>
    <w:rsid w:val="00A27551"/>
    <w:rsid w:val="00A275AC"/>
    <w:rsid w:val="00A275FA"/>
    <w:rsid w:val="00A27679"/>
    <w:rsid w:val="00A27699"/>
    <w:rsid w:val="00A276C5"/>
    <w:rsid w:val="00A276CA"/>
    <w:rsid w:val="00A276ED"/>
    <w:rsid w:val="00A2778E"/>
    <w:rsid w:val="00A277D1"/>
    <w:rsid w:val="00A278F2"/>
    <w:rsid w:val="00A278FF"/>
    <w:rsid w:val="00A27906"/>
    <w:rsid w:val="00A27948"/>
    <w:rsid w:val="00A27A15"/>
    <w:rsid w:val="00A27B54"/>
    <w:rsid w:val="00A27B6D"/>
    <w:rsid w:val="00A27B8E"/>
    <w:rsid w:val="00A27BAA"/>
    <w:rsid w:val="00A27BF8"/>
    <w:rsid w:val="00A27C84"/>
    <w:rsid w:val="00A27CAE"/>
    <w:rsid w:val="00A27D1E"/>
    <w:rsid w:val="00A27D84"/>
    <w:rsid w:val="00A27E53"/>
    <w:rsid w:val="00A27EA5"/>
    <w:rsid w:val="00A27F4F"/>
    <w:rsid w:val="00A30082"/>
    <w:rsid w:val="00A300C9"/>
    <w:rsid w:val="00A30114"/>
    <w:rsid w:val="00A301C9"/>
    <w:rsid w:val="00A30200"/>
    <w:rsid w:val="00A3031B"/>
    <w:rsid w:val="00A30496"/>
    <w:rsid w:val="00A304F3"/>
    <w:rsid w:val="00A30503"/>
    <w:rsid w:val="00A30571"/>
    <w:rsid w:val="00A305A7"/>
    <w:rsid w:val="00A305F4"/>
    <w:rsid w:val="00A306D0"/>
    <w:rsid w:val="00A30727"/>
    <w:rsid w:val="00A30788"/>
    <w:rsid w:val="00A3083A"/>
    <w:rsid w:val="00A308BE"/>
    <w:rsid w:val="00A308C7"/>
    <w:rsid w:val="00A3096D"/>
    <w:rsid w:val="00A30978"/>
    <w:rsid w:val="00A30A8F"/>
    <w:rsid w:val="00A30B98"/>
    <w:rsid w:val="00A30B9D"/>
    <w:rsid w:val="00A30BD7"/>
    <w:rsid w:val="00A30D0A"/>
    <w:rsid w:val="00A30D1E"/>
    <w:rsid w:val="00A30DCD"/>
    <w:rsid w:val="00A30E04"/>
    <w:rsid w:val="00A30E37"/>
    <w:rsid w:val="00A30EA8"/>
    <w:rsid w:val="00A30EAB"/>
    <w:rsid w:val="00A30F43"/>
    <w:rsid w:val="00A30F96"/>
    <w:rsid w:val="00A31041"/>
    <w:rsid w:val="00A31099"/>
    <w:rsid w:val="00A310F3"/>
    <w:rsid w:val="00A31195"/>
    <w:rsid w:val="00A3119C"/>
    <w:rsid w:val="00A311AB"/>
    <w:rsid w:val="00A31204"/>
    <w:rsid w:val="00A312D1"/>
    <w:rsid w:val="00A31358"/>
    <w:rsid w:val="00A314FB"/>
    <w:rsid w:val="00A315CC"/>
    <w:rsid w:val="00A31655"/>
    <w:rsid w:val="00A31690"/>
    <w:rsid w:val="00A316D7"/>
    <w:rsid w:val="00A316FC"/>
    <w:rsid w:val="00A31707"/>
    <w:rsid w:val="00A31729"/>
    <w:rsid w:val="00A31869"/>
    <w:rsid w:val="00A3189E"/>
    <w:rsid w:val="00A31A17"/>
    <w:rsid w:val="00A31AA5"/>
    <w:rsid w:val="00A31B1C"/>
    <w:rsid w:val="00A31B3D"/>
    <w:rsid w:val="00A31B93"/>
    <w:rsid w:val="00A31C51"/>
    <w:rsid w:val="00A31CCF"/>
    <w:rsid w:val="00A31D37"/>
    <w:rsid w:val="00A31DB5"/>
    <w:rsid w:val="00A31EF3"/>
    <w:rsid w:val="00A31FA9"/>
    <w:rsid w:val="00A3200E"/>
    <w:rsid w:val="00A32021"/>
    <w:rsid w:val="00A32230"/>
    <w:rsid w:val="00A322F2"/>
    <w:rsid w:val="00A32393"/>
    <w:rsid w:val="00A323AC"/>
    <w:rsid w:val="00A323E6"/>
    <w:rsid w:val="00A3246A"/>
    <w:rsid w:val="00A324CF"/>
    <w:rsid w:val="00A324F1"/>
    <w:rsid w:val="00A32695"/>
    <w:rsid w:val="00A32760"/>
    <w:rsid w:val="00A327CE"/>
    <w:rsid w:val="00A327EF"/>
    <w:rsid w:val="00A3288D"/>
    <w:rsid w:val="00A32924"/>
    <w:rsid w:val="00A32A4F"/>
    <w:rsid w:val="00A32A75"/>
    <w:rsid w:val="00A32A8D"/>
    <w:rsid w:val="00A32BE5"/>
    <w:rsid w:val="00A32C05"/>
    <w:rsid w:val="00A32C21"/>
    <w:rsid w:val="00A32C38"/>
    <w:rsid w:val="00A32CB4"/>
    <w:rsid w:val="00A32CBD"/>
    <w:rsid w:val="00A32D42"/>
    <w:rsid w:val="00A32DE0"/>
    <w:rsid w:val="00A32E17"/>
    <w:rsid w:val="00A32E2A"/>
    <w:rsid w:val="00A32F12"/>
    <w:rsid w:val="00A32F95"/>
    <w:rsid w:val="00A32FA6"/>
    <w:rsid w:val="00A32FF1"/>
    <w:rsid w:val="00A33044"/>
    <w:rsid w:val="00A33080"/>
    <w:rsid w:val="00A331D2"/>
    <w:rsid w:val="00A331FD"/>
    <w:rsid w:val="00A33219"/>
    <w:rsid w:val="00A3324A"/>
    <w:rsid w:val="00A332F8"/>
    <w:rsid w:val="00A33306"/>
    <w:rsid w:val="00A33464"/>
    <w:rsid w:val="00A33507"/>
    <w:rsid w:val="00A33543"/>
    <w:rsid w:val="00A33570"/>
    <w:rsid w:val="00A335FE"/>
    <w:rsid w:val="00A33673"/>
    <w:rsid w:val="00A336B2"/>
    <w:rsid w:val="00A3385D"/>
    <w:rsid w:val="00A3393A"/>
    <w:rsid w:val="00A33977"/>
    <w:rsid w:val="00A33A34"/>
    <w:rsid w:val="00A33A5A"/>
    <w:rsid w:val="00A33ABB"/>
    <w:rsid w:val="00A33AEC"/>
    <w:rsid w:val="00A33B19"/>
    <w:rsid w:val="00A33B7E"/>
    <w:rsid w:val="00A33BDE"/>
    <w:rsid w:val="00A33C2A"/>
    <w:rsid w:val="00A33C5E"/>
    <w:rsid w:val="00A33CD6"/>
    <w:rsid w:val="00A33F7B"/>
    <w:rsid w:val="00A33FEA"/>
    <w:rsid w:val="00A34002"/>
    <w:rsid w:val="00A34042"/>
    <w:rsid w:val="00A3404D"/>
    <w:rsid w:val="00A340A2"/>
    <w:rsid w:val="00A341A4"/>
    <w:rsid w:val="00A34215"/>
    <w:rsid w:val="00A3442F"/>
    <w:rsid w:val="00A344FF"/>
    <w:rsid w:val="00A34524"/>
    <w:rsid w:val="00A3459C"/>
    <w:rsid w:val="00A345B4"/>
    <w:rsid w:val="00A345CA"/>
    <w:rsid w:val="00A345FE"/>
    <w:rsid w:val="00A346BC"/>
    <w:rsid w:val="00A346F2"/>
    <w:rsid w:val="00A34730"/>
    <w:rsid w:val="00A34756"/>
    <w:rsid w:val="00A34769"/>
    <w:rsid w:val="00A347A9"/>
    <w:rsid w:val="00A347E7"/>
    <w:rsid w:val="00A347F8"/>
    <w:rsid w:val="00A347F9"/>
    <w:rsid w:val="00A34815"/>
    <w:rsid w:val="00A3484B"/>
    <w:rsid w:val="00A3485B"/>
    <w:rsid w:val="00A3487A"/>
    <w:rsid w:val="00A3497F"/>
    <w:rsid w:val="00A349D6"/>
    <w:rsid w:val="00A34A28"/>
    <w:rsid w:val="00A34A2C"/>
    <w:rsid w:val="00A34A2E"/>
    <w:rsid w:val="00A34A9E"/>
    <w:rsid w:val="00A34B19"/>
    <w:rsid w:val="00A34B24"/>
    <w:rsid w:val="00A34BBE"/>
    <w:rsid w:val="00A34BDB"/>
    <w:rsid w:val="00A34BEA"/>
    <w:rsid w:val="00A34CD3"/>
    <w:rsid w:val="00A34D34"/>
    <w:rsid w:val="00A34DA8"/>
    <w:rsid w:val="00A34DF5"/>
    <w:rsid w:val="00A34E47"/>
    <w:rsid w:val="00A34F3C"/>
    <w:rsid w:val="00A34FB5"/>
    <w:rsid w:val="00A34FC8"/>
    <w:rsid w:val="00A350AF"/>
    <w:rsid w:val="00A350BB"/>
    <w:rsid w:val="00A350F8"/>
    <w:rsid w:val="00A350FC"/>
    <w:rsid w:val="00A350FF"/>
    <w:rsid w:val="00A35201"/>
    <w:rsid w:val="00A3529C"/>
    <w:rsid w:val="00A35313"/>
    <w:rsid w:val="00A35359"/>
    <w:rsid w:val="00A353F6"/>
    <w:rsid w:val="00A35456"/>
    <w:rsid w:val="00A3548B"/>
    <w:rsid w:val="00A355D8"/>
    <w:rsid w:val="00A35678"/>
    <w:rsid w:val="00A3567D"/>
    <w:rsid w:val="00A356A0"/>
    <w:rsid w:val="00A356BF"/>
    <w:rsid w:val="00A357D0"/>
    <w:rsid w:val="00A35845"/>
    <w:rsid w:val="00A3584F"/>
    <w:rsid w:val="00A35853"/>
    <w:rsid w:val="00A35949"/>
    <w:rsid w:val="00A359E2"/>
    <w:rsid w:val="00A35A73"/>
    <w:rsid w:val="00A35AD8"/>
    <w:rsid w:val="00A35B1A"/>
    <w:rsid w:val="00A35B6F"/>
    <w:rsid w:val="00A35B83"/>
    <w:rsid w:val="00A35B9C"/>
    <w:rsid w:val="00A35BB7"/>
    <w:rsid w:val="00A35C30"/>
    <w:rsid w:val="00A35CC7"/>
    <w:rsid w:val="00A35CDA"/>
    <w:rsid w:val="00A35D0C"/>
    <w:rsid w:val="00A35E5C"/>
    <w:rsid w:val="00A35E83"/>
    <w:rsid w:val="00A35E85"/>
    <w:rsid w:val="00A35E8C"/>
    <w:rsid w:val="00A35E93"/>
    <w:rsid w:val="00A360AA"/>
    <w:rsid w:val="00A360C6"/>
    <w:rsid w:val="00A3611E"/>
    <w:rsid w:val="00A36159"/>
    <w:rsid w:val="00A3627E"/>
    <w:rsid w:val="00A36302"/>
    <w:rsid w:val="00A36309"/>
    <w:rsid w:val="00A3634C"/>
    <w:rsid w:val="00A3636C"/>
    <w:rsid w:val="00A36441"/>
    <w:rsid w:val="00A3646E"/>
    <w:rsid w:val="00A364B3"/>
    <w:rsid w:val="00A364E0"/>
    <w:rsid w:val="00A3651C"/>
    <w:rsid w:val="00A36578"/>
    <w:rsid w:val="00A366BD"/>
    <w:rsid w:val="00A3674F"/>
    <w:rsid w:val="00A367C4"/>
    <w:rsid w:val="00A367CA"/>
    <w:rsid w:val="00A3683F"/>
    <w:rsid w:val="00A36897"/>
    <w:rsid w:val="00A368F5"/>
    <w:rsid w:val="00A36950"/>
    <w:rsid w:val="00A36952"/>
    <w:rsid w:val="00A36A6A"/>
    <w:rsid w:val="00A36AA4"/>
    <w:rsid w:val="00A36AE3"/>
    <w:rsid w:val="00A36AE9"/>
    <w:rsid w:val="00A36BE4"/>
    <w:rsid w:val="00A36C19"/>
    <w:rsid w:val="00A36C3D"/>
    <w:rsid w:val="00A36C48"/>
    <w:rsid w:val="00A36C9B"/>
    <w:rsid w:val="00A36DBA"/>
    <w:rsid w:val="00A36DCC"/>
    <w:rsid w:val="00A36DFA"/>
    <w:rsid w:val="00A36ED7"/>
    <w:rsid w:val="00A36F19"/>
    <w:rsid w:val="00A36FEA"/>
    <w:rsid w:val="00A36FF0"/>
    <w:rsid w:val="00A37016"/>
    <w:rsid w:val="00A37068"/>
    <w:rsid w:val="00A370A3"/>
    <w:rsid w:val="00A370D7"/>
    <w:rsid w:val="00A370FD"/>
    <w:rsid w:val="00A37127"/>
    <w:rsid w:val="00A3712D"/>
    <w:rsid w:val="00A3712E"/>
    <w:rsid w:val="00A3719B"/>
    <w:rsid w:val="00A371E5"/>
    <w:rsid w:val="00A37228"/>
    <w:rsid w:val="00A3723D"/>
    <w:rsid w:val="00A372BE"/>
    <w:rsid w:val="00A372C0"/>
    <w:rsid w:val="00A372CB"/>
    <w:rsid w:val="00A3745E"/>
    <w:rsid w:val="00A3749B"/>
    <w:rsid w:val="00A37582"/>
    <w:rsid w:val="00A375D7"/>
    <w:rsid w:val="00A37740"/>
    <w:rsid w:val="00A37791"/>
    <w:rsid w:val="00A377C1"/>
    <w:rsid w:val="00A3782A"/>
    <w:rsid w:val="00A3784D"/>
    <w:rsid w:val="00A37883"/>
    <w:rsid w:val="00A3793F"/>
    <w:rsid w:val="00A379C5"/>
    <w:rsid w:val="00A37AE2"/>
    <w:rsid w:val="00A37B03"/>
    <w:rsid w:val="00A37B14"/>
    <w:rsid w:val="00A37BF2"/>
    <w:rsid w:val="00A37D3B"/>
    <w:rsid w:val="00A37D71"/>
    <w:rsid w:val="00A37D76"/>
    <w:rsid w:val="00A37EB6"/>
    <w:rsid w:val="00A37F43"/>
    <w:rsid w:val="00A4001A"/>
    <w:rsid w:val="00A40034"/>
    <w:rsid w:val="00A40100"/>
    <w:rsid w:val="00A4013E"/>
    <w:rsid w:val="00A40172"/>
    <w:rsid w:val="00A4024F"/>
    <w:rsid w:val="00A4025A"/>
    <w:rsid w:val="00A40314"/>
    <w:rsid w:val="00A40384"/>
    <w:rsid w:val="00A403DD"/>
    <w:rsid w:val="00A403FF"/>
    <w:rsid w:val="00A40433"/>
    <w:rsid w:val="00A4043A"/>
    <w:rsid w:val="00A40483"/>
    <w:rsid w:val="00A40525"/>
    <w:rsid w:val="00A4052F"/>
    <w:rsid w:val="00A4054E"/>
    <w:rsid w:val="00A4058E"/>
    <w:rsid w:val="00A405B6"/>
    <w:rsid w:val="00A40620"/>
    <w:rsid w:val="00A40629"/>
    <w:rsid w:val="00A40692"/>
    <w:rsid w:val="00A406A2"/>
    <w:rsid w:val="00A406E9"/>
    <w:rsid w:val="00A40725"/>
    <w:rsid w:val="00A4082D"/>
    <w:rsid w:val="00A40845"/>
    <w:rsid w:val="00A4084E"/>
    <w:rsid w:val="00A40884"/>
    <w:rsid w:val="00A40929"/>
    <w:rsid w:val="00A40974"/>
    <w:rsid w:val="00A409B3"/>
    <w:rsid w:val="00A40A3E"/>
    <w:rsid w:val="00A40A90"/>
    <w:rsid w:val="00A40B56"/>
    <w:rsid w:val="00A40C45"/>
    <w:rsid w:val="00A40CDD"/>
    <w:rsid w:val="00A40D65"/>
    <w:rsid w:val="00A40D6C"/>
    <w:rsid w:val="00A40DC3"/>
    <w:rsid w:val="00A40E86"/>
    <w:rsid w:val="00A40F64"/>
    <w:rsid w:val="00A40F6E"/>
    <w:rsid w:val="00A40F84"/>
    <w:rsid w:val="00A40FC5"/>
    <w:rsid w:val="00A40FDC"/>
    <w:rsid w:val="00A40FE4"/>
    <w:rsid w:val="00A40FE7"/>
    <w:rsid w:val="00A41008"/>
    <w:rsid w:val="00A410A9"/>
    <w:rsid w:val="00A410BF"/>
    <w:rsid w:val="00A41100"/>
    <w:rsid w:val="00A41127"/>
    <w:rsid w:val="00A41217"/>
    <w:rsid w:val="00A41281"/>
    <w:rsid w:val="00A412F2"/>
    <w:rsid w:val="00A41310"/>
    <w:rsid w:val="00A41354"/>
    <w:rsid w:val="00A41479"/>
    <w:rsid w:val="00A4151F"/>
    <w:rsid w:val="00A4157F"/>
    <w:rsid w:val="00A41590"/>
    <w:rsid w:val="00A416B4"/>
    <w:rsid w:val="00A417B7"/>
    <w:rsid w:val="00A4186B"/>
    <w:rsid w:val="00A41912"/>
    <w:rsid w:val="00A41957"/>
    <w:rsid w:val="00A41A00"/>
    <w:rsid w:val="00A41A15"/>
    <w:rsid w:val="00A41A5F"/>
    <w:rsid w:val="00A41AB9"/>
    <w:rsid w:val="00A41AE0"/>
    <w:rsid w:val="00A41C0B"/>
    <w:rsid w:val="00A41D26"/>
    <w:rsid w:val="00A41D4E"/>
    <w:rsid w:val="00A41D52"/>
    <w:rsid w:val="00A41D9D"/>
    <w:rsid w:val="00A41DBA"/>
    <w:rsid w:val="00A41DD9"/>
    <w:rsid w:val="00A41E34"/>
    <w:rsid w:val="00A41E44"/>
    <w:rsid w:val="00A41E4C"/>
    <w:rsid w:val="00A41F36"/>
    <w:rsid w:val="00A42009"/>
    <w:rsid w:val="00A420BB"/>
    <w:rsid w:val="00A420C0"/>
    <w:rsid w:val="00A420C5"/>
    <w:rsid w:val="00A420DE"/>
    <w:rsid w:val="00A420E8"/>
    <w:rsid w:val="00A42109"/>
    <w:rsid w:val="00A4214E"/>
    <w:rsid w:val="00A421ED"/>
    <w:rsid w:val="00A42200"/>
    <w:rsid w:val="00A4234F"/>
    <w:rsid w:val="00A42687"/>
    <w:rsid w:val="00A42872"/>
    <w:rsid w:val="00A4289E"/>
    <w:rsid w:val="00A428F0"/>
    <w:rsid w:val="00A428FF"/>
    <w:rsid w:val="00A429C5"/>
    <w:rsid w:val="00A429D2"/>
    <w:rsid w:val="00A42ACF"/>
    <w:rsid w:val="00A42B5E"/>
    <w:rsid w:val="00A42B84"/>
    <w:rsid w:val="00A42C25"/>
    <w:rsid w:val="00A42C36"/>
    <w:rsid w:val="00A42C3D"/>
    <w:rsid w:val="00A42E5C"/>
    <w:rsid w:val="00A42E90"/>
    <w:rsid w:val="00A42EA9"/>
    <w:rsid w:val="00A42EF6"/>
    <w:rsid w:val="00A42F14"/>
    <w:rsid w:val="00A42F72"/>
    <w:rsid w:val="00A42F74"/>
    <w:rsid w:val="00A42F97"/>
    <w:rsid w:val="00A430F6"/>
    <w:rsid w:val="00A4312E"/>
    <w:rsid w:val="00A43153"/>
    <w:rsid w:val="00A4317F"/>
    <w:rsid w:val="00A43193"/>
    <w:rsid w:val="00A431A6"/>
    <w:rsid w:val="00A4332B"/>
    <w:rsid w:val="00A43373"/>
    <w:rsid w:val="00A433AB"/>
    <w:rsid w:val="00A434A5"/>
    <w:rsid w:val="00A434BE"/>
    <w:rsid w:val="00A4354B"/>
    <w:rsid w:val="00A4359C"/>
    <w:rsid w:val="00A4360F"/>
    <w:rsid w:val="00A4370C"/>
    <w:rsid w:val="00A43772"/>
    <w:rsid w:val="00A43822"/>
    <w:rsid w:val="00A43852"/>
    <w:rsid w:val="00A438E2"/>
    <w:rsid w:val="00A438EE"/>
    <w:rsid w:val="00A439A2"/>
    <w:rsid w:val="00A439E5"/>
    <w:rsid w:val="00A43A54"/>
    <w:rsid w:val="00A43A71"/>
    <w:rsid w:val="00A43B01"/>
    <w:rsid w:val="00A43B38"/>
    <w:rsid w:val="00A43B4C"/>
    <w:rsid w:val="00A43B8C"/>
    <w:rsid w:val="00A43BC1"/>
    <w:rsid w:val="00A43C3E"/>
    <w:rsid w:val="00A43C7B"/>
    <w:rsid w:val="00A43D4D"/>
    <w:rsid w:val="00A43D52"/>
    <w:rsid w:val="00A43D66"/>
    <w:rsid w:val="00A43DD6"/>
    <w:rsid w:val="00A43E50"/>
    <w:rsid w:val="00A43EFD"/>
    <w:rsid w:val="00A43F6C"/>
    <w:rsid w:val="00A44071"/>
    <w:rsid w:val="00A44097"/>
    <w:rsid w:val="00A4410F"/>
    <w:rsid w:val="00A441DC"/>
    <w:rsid w:val="00A441FC"/>
    <w:rsid w:val="00A44259"/>
    <w:rsid w:val="00A442AC"/>
    <w:rsid w:val="00A442E6"/>
    <w:rsid w:val="00A442F5"/>
    <w:rsid w:val="00A44332"/>
    <w:rsid w:val="00A443D1"/>
    <w:rsid w:val="00A444AD"/>
    <w:rsid w:val="00A444B6"/>
    <w:rsid w:val="00A445AA"/>
    <w:rsid w:val="00A445D6"/>
    <w:rsid w:val="00A445F2"/>
    <w:rsid w:val="00A446FF"/>
    <w:rsid w:val="00A44701"/>
    <w:rsid w:val="00A448EF"/>
    <w:rsid w:val="00A4495E"/>
    <w:rsid w:val="00A44973"/>
    <w:rsid w:val="00A44982"/>
    <w:rsid w:val="00A44A45"/>
    <w:rsid w:val="00A44B1E"/>
    <w:rsid w:val="00A44B38"/>
    <w:rsid w:val="00A44B89"/>
    <w:rsid w:val="00A44B98"/>
    <w:rsid w:val="00A44BE7"/>
    <w:rsid w:val="00A44CB8"/>
    <w:rsid w:val="00A44CBA"/>
    <w:rsid w:val="00A44D2E"/>
    <w:rsid w:val="00A44E9B"/>
    <w:rsid w:val="00A44EEC"/>
    <w:rsid w:val="00A44F9C"/>
    <w:rsid w:val="00A44FB5"/>
    <w:rsid w:val="00A44FD7"/>
    <w:rsid w:val="00A450EA"/>
    <w:rsid w:val="00A450F1"/>
    <w:rsid w:val="00A45112"/>
    <w:rsid w:val="00A45118"/>
    <w:rsid w:val="00A4513C"/>
    <w:rsid w:val="00A45177"/>
    <w:rsid w:val="00A45182"/>
    <w:rsid w:val="00A4518D"/>
    <w:rsid w:val="00A451B0"/>
    <w:rsid w:val="00A451C4"/>
    <w:rsid w:val="00A45222"/>
    <w:rsid w:val="00A452C4"/>
    <w:rsid w:val="00A452D3"/>
    <w:rsid w:val="00A4530A"/>
    <w:rsid w:val="00A45321"/>
    <w:rsid w:val="00A453DD"/>
    <w:rsid w:val="00A45464"/>
    <w:rsid w:val="00A454AB"/>
    <w:rsid w:val="00A454B6"/>
    <w:rsid w:val="00A454D0"/>
    <w:rsid w:val="00A455E7"/>
    <w:rsid w:val="00A45660"/>
    <w:rsid w:val="00A45719"/>
    <w:rsid w:val="00A45721"/>
    <w:rsid w:val="00A45837"/>
    <w:rsid w:val="00A45A69"/>
    <w:rsid w:val="00A45B08"/>
    <w:rsid w:val="00A45B73"/>
    <w:rsid w:val="00A45BFC"/>
    <w:rsid w:val="00A45C33"/>
    <w:rsid w:val="00A45C3F"/>
    <w:rsid w:val="00A45C72"/>
    <w:rsid w:val="00A45CB6"/>
    <w:rsid w:val="00A45D19"/>
    <w:rsid w:val="00A45DAF"/>
    <w:rsid w:val="00A45DFC"/>
    <w:rsid w:val="00A45E63"/>
    <w:rsid w:val="00A45EB5"/>
    <w:rsid w:val="00A45EE4"/>
    <w:rsid w:val="00A45F6E"/>
    <w:rsid w:val="00A45FD7"/>
    <w:rsid w:val="00A45FE8"/>
    <w:rsid w:val="00A46067"/>
    <w:rsid w:val="00A4607C"/>
    <w:rsid w:val="00A4609E"/>
    <w:rsid w:val="00A460CC"/>
    <w:rsid w:val="00A4623B"/>
    <w:rsid w:val="00A4628A"/>
    <w:rsid w:val="00A4633E"/>
    <w:rsid w:val="00A463A4"/>
    <w:rsid w:val="00A463E6"/>
    <w:rsid w:val="00A46451"/>
    <w:rsid w:val="00A464F1"/>
    <w:rsid w:val="00A4652C"/>
    <w:rsid w:val="00A465E7"/>
    <w:rsid w:val="00A4662E"/>
    <w:rsid w:val="00A46681"/>
    <w:rsid w:val="00A468D8"/>
    <w:rsid w:val="00A46976"/>
    <w:rsid w:val="00A46A4A"/>
    <w:rsid w:val="00A46AD6"/>
    <w:rsid w:val="00A46AEE"/>
    <w:rsid w:val="00A46C10"/>
    <w:rsid w:val="00A46D1B"/>
    <w:rsid w:val="00A46DC6"/>
    <w:rsid w:val="00A46E1B"/>
    <w:rsid w:val="00A46F49"/>
    <w:rsid w:val="00A4708A"/>
    <w:rsid w:val="00A4716D"/>
    <w:rsid w:val="00A471E0"/>
    <w:rsid w:val="00A4724C"/>
    <w:rsid w:val="00A472F2"/>
    <w:rsid w:val="00A47518"/>
    <w:rsid w:val="00A47592"/>
    <w:rsid w:val="00A475A9"/>
    <w:rsid w:val="00A475E7"/>
    <w:rsid w:val="00A476CD"/>
    <w:rsid w:val="00A477DC"/>
    <w:rsid w:val="00A4782A"/>
    <w:rsid w:val="00A47863"/>
    <w:rsid w:val="00A4787D"/>
    <w:rsid w:val="00A479B3"/>
    <w:rsid w:val="00A479CE"/>
    <w:rsid w:val="00A479D4"/>
    <w:rsid w:val="00A47A17"/>
    <w:rsid w:val="00A47A31"/>
    <w:rsid w:val="00A47A3F"/>
    <w:rsid w:val="00A47A9F"/>
    <w:rsid w:val="00A47B36"/>
    <w:rsid w:val="00A47B7D"/>
    <w:rsid w:val="00A47C09"/>
    <w:rsid w:val="00A47D0D"/>
    <w:rsid w:val="00A47DED"/>
    <w:rsid w:val="00A47DFA"/>
    <w:rsid w:val="00A47E65"/>
    <w:rsid w:val="00A47F09"/>
    <w:rsid w:val="00A47F98"/>
    <w:rsid w:val="00A47FCD"/>
    <w:rsid w:val="00A4E93B"/>
    <w:rsid w:val="00A50035"/>
    <w:rsid w:val="00A5014B"/>
    <w:rsid w:val="00A502F9"/>
    <w:rsid w:val="00A5035C"/>
    <w:rsid w:val="00A503C4"/>
    <w:rsid w:val="00A50419"/>
    <w:rsid w:val="00A504B7"/>
    <w:rsid w:val="00A504C5"/>
    <w:rsid w:val="00A504F8"/>
    <w:rsid w:val="00A50683"/>
    <w:rsid w:val="00A5069D"/>
    <w:rsid w:val="00A5078B"/>
    <w:rsid w:val="00A507BF"/>
    <w:rsid w:val="00A507F7"/>
    <w:rsid w:val="00A507FD"/>
    <w:rsid w:val="00A50870"/>
    <w:rsid w:val="00A50901"/>
    <w:rsid w:val="00A5099D"/>
    <w:rsid w:val="00A50A10"/>
    <w:rsid w:val="00A50A61"/>
    <w:rsid w:val="00A50A65"/>
    <w:rsid w:val="00A50B09"/>
    <w:rsid w:val="00A50B22"/>
    <w:rsid w:val="00A50B36"/>
    <w:rsid w:val="00A50BF5"/>
    <w:rsid w:val="00A50C0A"/>
    <w:rsid w:val="00A50C61"/>
    <w:rsid w:val="00A50CA6"/>
    <w:rsid w:val="00A50CE1"/>
    <w:rsid w:val="00A50CFD"/>
    <w:rsid w:val="00A50D78"/>
    <w:rsid w:val="00A50E8E"/>
    <w:rsid w:val="00A50ECE"/>
    <w:rsid w:val="00A50F02"/>
    <w:rsid w:val="00A50FA6"/>
    <w:rsid w:val="00A5104A"/>
    <w:rsid w:val="00A510DF"/>
    <w:rsid w:val="00A510F1"/>
    <w:rsid w:val="00A51143"/>
    <w:rsid w:val="00A51161"/>
    <w:rsid w:val="00A511D0"/>
    <w:rsid w:val="00A5121A"/>
    <w:rsid w:val="00A513E8"/>
    <w:rsid w:val="00A51492"/>
    <w:rsid w:val="00A51535"/>
    <w:rsid w:val="00A51602"/>
    <w:rsid w:val="00A51609"/>
    <w:rsid w:val="00A517F7"/>
    <w:rsid w:val="00A5182B"/>
    <w:rsid w:val="00A51841"/>
    <w:rsid w:val="00A518A3"/>
    <w:rsid w:val="00A51A25"/>
    <w:rsid w:val="00A51AF1"/>
    <w:rsid w:val="00A51B03"/>
    <w:rsid w:val="00A51BED"/>
    <w:rsid w:val="00A51C64"/>
    <w:rsid w:val="00A51CC4"/>
    <w:rsid w:val="00A51CD5"/>
    <w:rsid w:val="00A51D03"/>
    <w:rsid w:val="00A51D66"/>
    <w:rsid w:val="00A51D68"/>
    <w:rsid w:val="00A51DAE"/>
    <w:rsid w:val="00A51DE8"/>
    <w:rsid w:val="00A51F20"/>
    <w:rsid w:val="00A51F2D"/>
    <w:rsid w:val="00A51F69"/>
    <w:rsid w:val="00A51FD7"/>
    <w:rsid w:val="00A52072"/>
    <w:rsid w:val="00A52111"/>
    <w:rsid w:val="00A52144"/>
    <w:rsid w:val="00A521E8"/>
    <w:rsid w:val="00A521EA"/>
    <w:rsid w:val="00A52253"/>
    <w:rsid w:val="00A52254"/>
    <w:rsid w:val="00A523DF"/>
    <w:rsid w:val="00A523E2"/>
    <w:rsid w:val="00A52467"/>
    <w:rsid w:val="00A524C8"/>
    <w:rsid w:val="00A5257D"/>
    <w:rsid w:val="00A525B0"/>
    <w:rsid w:val="00A525F6"/>
    <w:rsid w:val="00A52619"/>
    <w:rsid w:val="00A5264C"/>
    <w:rsid w:val="00A5264D"/>
    <w:rsid w:val="00A526B0"/>
    <w:rsid w:val="00A527B3"/>
    <w:rsid w:val="00A527BB"/>
    <w:rsid w:val="00A527D1"/>
    <w:rsid w:val="00A527E3"/>
    <w:rsid w:val="00A52864"/>
    <w:rsid w:val="00A528FA"/>
    <w:rsid w:val="00A52958"/>
    <w:rsid w:val="00A52996"/>
    <w:rsid w:val="00A52A78"/>
    <w:rsid w:val="00A52AB8"/>
    <w:rsid w:val="00A52BEE"/>
    <w:rsid w:val="00A52CA3"/>
    <w:rsid w:val="00A52DB8"/>
    <w:rsid w:val="00A52E9E"/>
    <w:rsid w:val="00A52EF9"/>
    <w:rsid w:val="00A52F18"/>
    <w:rsid w:val="00A52FAD"/>
    <w:rsid w:val="00A53120"/>
    <w:rsid w:val="00A5313A"/>
    <w:rsid w:val="00A53242"/>
    <w:rsid w:val="00A5324F"/>
    <w:rsid w:val="00A53276"/>
    <w:rsid w:val="00A53342"/>
    <w:rsid w:val="00A53389"/>
    <w:rsid w:val="00A53428"/>
    <w:rsid w:val="00A53482"/>
    <w:rsid w:val="00A534DA"/>
    <w:rsid w:val="00A534E9"/>
    <w:rsid w:val="00A5351C"/>
    <w:rsid w:val="00A5356B"/>
    <w:rsid w:val="00A535BB"/>
    <w:rsid w:val="00A535D7"/>
    <w:rsid w:val="00A535E3"/>
    <w:rsid w:val="00A535F0"/>
    <w:rsid w:val="00A53651"/>
    <w:rsid w:val="00A5366A"/>
    <w:rsid w:val="00A536B3"/>
    <w:rsid w:val="00A53727"/>
    <w:rsid w:val="00A53791"/>
    <w:rsid w:val="00A5380C"/>
    <w:rsid w:val="00A53904"/>
    <w:rsid w:val="00A539F5"/>
    <w:rsid w:val="00A53A23"/>
    <w:rsid w:val="00A53A66"/>
    <w:rsid w:val="00A53AF2"/>
    <w:rsid w:val="00A53AFB"/>
    <w:rsid w:val="00A53B7A"/>
    <w:rsid w:val="00A53BC3"/>
    <w:rsid w:val="00A53C9D"/>
    <w:rsid w:val="00A53C9F"/>
    <w:rsid w:val="00A53DC2"/>
    <w:rsid w:val="00A53DC9"/>
    <w:rsid w:val="00A53DDE"/>
    <w:rsid w:val="00A53E31"/>
    <w:rsid w:val="00A53E7D"/>
    <w:rsid w:val="00A54050"/>
    <w:rsid w:val="00A540C2"/>
    <w:rsid w:val="00A540E2"/>
    <w:rsid w:val="00A54102"/>
    <w:rsid w:val="00A54151"/>
    <w:rsid w:val="00A54168"/>
    <w:rsid w:val="00A54188"/>
    <w:rsid w:val="00A541F5"/>
    <w:rsid w:val="00A541FA"/>
    <w:rsid w:val="00A54206"/>
    <w:rsid w:val="00A54278"/>
    <w:rsid w:val="00A542C9"/>
    <w:rsid w:val="00A542F9"/>
    <w:rsid w:val="00A5430D"/>
    <w:rsid w:val="00A54471"/>
    <w:rsid w:val="00A544D8"/>
    <w:rsid w:val="00A54572"/>
    <w:rsid w:val="00A54581"/>
    <w:rsid w:val="00A54662"/>
    <w:rsid w:val="00A546AC"/>
    <w:rsid w:val="00A54716"/>
    <w:rsid w:val="00A5474F"/>
    <w:rsid w:val="00A54786"/>
    <w:rsid w:val="00A54AA5"/>
    <w:rsid w:val="00A54AAB"/>
    <w:rsid w:val="00A54AB5"/>
    <w:rsid w:val="00A54AF7"/>
    <w:rsid w:val="00A54B34"/>
    <w:rsid w:val="00A54B9B"/>
    <w:rsid w:val="00A54C8B"/>
    <w:rsid w:val="00A54C98"/>
    <w:rsid w:val="00A54CA1"/>
    <w:rsid w:val="00A54D37"/>
    <w:rsid w:val="00A54D5D"/>
    <w:rsid w:val="00A54D73"/>
    <w:rsid w:val="00A54DBC"/>
    <w:rsid w:val="00A54E09"/>
    <w:rsid w:val="00A54E71"/>
    <w:rsid w:val="00A54E98"/>
    <w:rsid w:val="00A550D9"/>
    <w:rsid w:val="00A5514F"/>
    <w:rsid w:val="00A551DB"/>
    <w:rsid w:val="00A551F2"/>
    <w:rsid w:val="00A5524B"/>
    <w:rsid w:val="00A55287"/>
    <w:rsid w:val="00A55373"/>
    <w:rsid w:val="00A5538F"/>
    <w:rsid w:val="00A553B9"/>
    <w:rsid w:val="00A553C1"/>
    <w:rsid w:val="00A553E7"/>
    <w:rsid w:val="00A55409"/>
    <w:rsid w:val="00A5547C"/>
    <w:rsid w:val="00A554D4"/>
    <w:rsid w:val="00A554E9"/>
    <w:rsid w:val="00A55500"/>
    <w:rsid w:val="00A5558C"/>
    <w:rsid w:val="00A5558D"/>
    <w:rsid w:val="00A55664"/>
    <w:rsid w:val="00A55698"/>
    <w:rsid w:val="00A55730"/>
    <w:rsid w:val="00A55781"/>
    <w:rsid w:val="00A5578E"/>
    <w:rsid w:val="00A5582B"/>
    <w:rsid w:val="00A5592F"/>
    <w:rsid w:val="00A55946"/>
    <w:rsid w:val="00A55958"/>
    <w:rsid w:val="00A55965"/>
    <w:rsid w:val="00A55B22"/>
    <w:rsid w:val="00A55B2B"/>
    <w:rsid w:val="00A55C13"/>
    <w:rsid w:val="00A55C33"/>
    <w:rsid w:val="00A55C40"/>
    <w:rsid w:val="00A55DA8"/>
    <w:rsid w:val="00A55DA9"/>
    <w:rsid w:val="00A55DD7"/>
    <w:rsid w:val="00A55E27"/>
    <w:rsid w:val="00A55E28"/>
    <w:rsid w:val="00A55F17"/>
    <w:rsid w:val="00A55FF5"/>
    <w:rsid w:val="00A56014"/>
    <w:rsid w:val="00A5609D"/>
    <w:rsid w:val="00A560D9"/>
    <w:rsid w:val="00A560F8"/>
    <w:rsid w:val="00A56289"/>
    <w:rsid w:val="00A562A5"/>
    <w:rsid w:val="00A563D6"/>
    <w:rsid w:val="00A563DB"/>
    <w:rsid w:val="00A5642D"/>
    <w:rsid w:val="00A564A0"/>
    <w:rsid w:val="00A564BC"/>
    <w:rsid w:val="00A56554"/>
    <w:rsid w:val="00A5661C"/>
    <w:rsid w:val="00A5665C"/>
    <w:rsid w:val="00A566AF"/>
    <w:rsid w:val="00A566F7"/>
    <w:rsid w:val="00A567A1"/>
    <w:rsid w:val="00A567ED"/>
    <w:rsid w:val="00A56843"/>
    <w:rsid w:val="00A56897"/>
    <w:rsid w:val="00A5699C"/>
    <w:rsid w:val="00A56ACC"/>
    <w:rsid w:val="00A56C57"/>
    <w:rsid w:val="00A56CB2"/>
    <w:rsid w:val="00A56D07"/>
    <w:rsid w:val="00A56DDA"/>
    <w:rsid w:val="00A56DE7"/>
    <w:rsid w:val="00A56DFA"/>
    <w:rsid w:val="00A56E4D"/>
    <w:rsid w:val="00A56F12"/>
    <w:rsid w:val="00A56F48"/>
    <w:rsid w:val="00A56F60"/>
    <w:rsid w:val="00A57094"/>
    <w:rsid w:val="00A570ED"/>
    <w:rsid w:val="00A57163"/>
    <w:rsid w:val="00A57230"/>
    <w:rsid w:val="00A5723F"/>
    <w:rsid w:val="00A5724B"/>
    <w:rsid w:val="00A57288"/>
    <w:rsid w:val="00A57290"/>
    <w:rsid w:val="00A572CD"/>
    <w:rsid w:val="00A572D0"/>
    <w:rsid w:val="00A572D5"/>
    <w:rsid w:val="00A57324"/>
    <w:rsid w:val="00A5733F"/>
    <w:rsid w:val="00A57349"/>
    <w:rsid w:val="00A57400"/>
    <w:rsid w:val="00A574DC"/>
    <w:rsid w:val="00A57575"/>
    <w:rsid w:val="00A575DD"/>
    <w:rsid w:val="00A575E1"/>
    <w:rsid w:val="00A575F2"/>
    <w:rsid w:val="00A5760F"/>
    <w:rsid w:val="00A57673"/>
    <w:rsid w:val="00A5776C"/>
    <w:rsid w:val="00A577F1"/>
    <w:rsid w:val="00A57807"/>
    <w:rsid w:val="00A57851"/>
    <w:rsid w:val="00A57853"/>
    <w:rsid w:val="00A579BC"/>
    <w:rsid w:val="00A57A3D"/>
    <w:rsid w:val="00A57A8C"/>
    <w:rsid w:val="00A57B13"/>
    <w:rsid w:val="00A57E13"/>
    <w:rsid w:val="00A57EB9"/>
    <w:rsid w:val="00A57ECE"/>
    <w:rsid w:val="00A57FD1"/>
    <w:rsid w:val="00A60044"/>
    <w:rsid w:val="00A6004E"/>
    <w:rsid w:val="00A60166"/>
    <w:rsid w:val="00A60179"/>
    <w:rsid w:val="00A6017E"/>
    <w:rsid w:val="00A60299"/>
    <w:rsid w:val="00A602A4"/>
    <w:rsid w:val="00A603A9"/>
    <w:rsid w:val="00A6051D"/>
    <w:rsid w:val="00A60655"/>
    <w:rsid w:val="00A6068E"/>
    <w:rsid w:val="00A60726"/>
    <w:rsid w:val="00A60823"/>
    <w:rsid w:val="00A60879"/>
    <w:rsid w:val="00A609A0"/>
    <w:rsid w:val="00A609D0"/>
    <w:rsid w:val="00A60A9F"/>
    <w:rsid w:val="00A60B0A"/>
    <w:rsid w:val="00A60BF9"/>
    <w:rsid w:val="00A60CA1"/>
    <w:rsid w:val="00A60CC7"/>
    <w:rsid w:val="00A60CCB"/>
    <w:rsid w:val="00A60D6F"/>
    <w:rsid w:val="00A60D77"/>
    <w:rsid w:val="00A60DB6"/>
    <w:rsid w:val="00A60EF9"/>
    <w:rsid w:val="00A6102F"/>
    <w:rsid w:val="00A6108C"/>
    <w:rsid w:val="00A610E7"/>
    <w:rsid w:val="00A610EF"/>
    <w:rsid w:val="00A6111C"/>
    <w:rsid w:val="00A6120A"/>
    <w:rsid w:val="00A6129C"/>
    <w:rsid w:val="00A612F4"/>
    <w:rsid w:val="00A61308"/>
    <w:rsid w:val="00A61320"/>
    <w:rsid w:val="00A6139B"/>
    <w:rsid w:val="00A613A0"/>
    <w:rsid w:val="00A61411"/>
    <w:rsid w:val="00A614DD"/>
    <w:rsid w:val="00A614FA"/>
    <w:rsid w:val="00A61572"/>
    <w:rsid w:val="00A61677"/>
    <w:rsid w:val="00A61693"/>
    <w:rsid w:val="00A61694"/>
    <w:rsid w:val="00A6176F"/>
    <w:rsid w:val="00A617BC"/>
    <w:rsid w:val="00A61840"/>
    <w:rsid w:val="00A618A1"/>
    <w:rsid w:val="00A61973"/>
    <w:rsid w:val="00A61984"/>
    <w:rsid w:val="00A61990"/>
    <w:rsid w:val="00A61A8C"/>
    <w:rsid w:val="00A61B1F"/>
    <w:rsid w:val="00A61B2A"/>
    <w:rsid w:val="00A61B2E"/>
    <w:rsid w:val="00A61BC8"/>
    <w:rsid w:val="00A61BCB"/>
    <w:rsid w:val="00A61CAF"/>
    <w:rsid w:val="00A61CC4"/>
    <w:rsid w:val="00A61D02"/>
    <w:rsid w:val="00A61DFB"/>
    <w:rsid w:val="00A61E14"/>
    <w:rsid w:val="00A61ECB"/>
    <w:rsid w:val="00A61F13"/>
    <w:rsid w:val="00A61F6E"/>
    <w:rsid w:val="00A61F7A"/>
    <w:rsid w:val="00A61FCB"/>
    <w:rsid w:val="00A6200E"/>
    <w:rsid w:val="00A62015"/>
    <w:rsid w:val="00A620F5"/>
    <w:rsid w:val="00A62170"/>
    <w:rsid w:val="00A621AA"/>
    <w:rsid w:val="00A621D3"/>
    <w:rsid w:val="00A621FE"/>
    <w:rsid w:val="00A6229B"/>
    <w:rsid w:val="00A622D8"/>
    <w:rsid w:val="00A6230F"/>
    <w:rsid w:val="00A624F1"/>
    <w:rsid w:val="00A62507"/>
    <w:rsid w:val="00A62566"/>
    <w:rsid w:val="00A62592"/>
    <w:rsid w:val="00A62613"/>
    <w:rsid w:val="00A6263E"/>
    <w:rsid w:val="00A6266D"/>
    <w:rsid w:val="00A62718"/>
    <w:rsid w:val="00A6271F"/>
    <w:rsid w:val="00A6272A"/>
    <w:rsid w:val="00A62780"/>
    <w:rsid w:val="00A6279D"/>
    <w:rsid w:val="00A627EC"/>
    <w:rsid w:val="00A628D5"/>
    <w:rsid w:val="00A629B0"/>
    <w:rsid w:val="00A629DE"/>
    <w:rsid w:val="00A62A58"/>
    <w:rsid w:val="00A62B0A"/>
    <w:rsid w:val="00A62C51"/>
    <w:rsid w:val="00A62C71"/>
    <w:rsid w:val="00A62D4D"/>
    <w:rsid w:val="00A62DA7"/>
    <w:rsid w:val="00A62DFA"/>
    <w:rsid w:val="00A62E30"/>
    <w:rsid w:val="00A62E48"/>
    <w:rsid w:val="00A62ECB"/>
    <w:rsid w:val="00A62EFB"/>
    <w:rsid w:val="00A62F2B"/>
    <w:rsid w:val="00A63079"/>
    <w:rsid w:val="00A630BE"/>
    <w:rsid w:val="00A630ED"/>
    <w:rsid w:val="00A6317A"/>
    <w:rsid w:val="00A631CF"/>
    <w:rsid w:val="00A63200"/>
    <w:rsid w:val="00A632D9"/>
    <w:rsid w:val="00A63367"/>
    <w:rsid w:val="00A63457"/>
    <w:rsid w:val="00A6350D"/>
    <w:rsid w:val="00A635EE"/>
    <w:rsid w:val="00A636A8"/>
    <w:rsid w:val="00A636A9"/>
    <w:rsid w:val="00A63708"/>
    <w:rsid w:val="00A63712"/>
    <w:rsid w:val="00A6379C"/>
    <w:rsid w:val="00A637F9"/>
    <w:rsid w:val="00A638AE"/>
    <w:rsid w:val="00A63903"/>
    <w:rsid w:val="00A6398E"/>
    <w:rsid w:val="00A639CA"/>
    <w:rsid w:val="00A63AD2"/>
    <w:rsid w:val="00A63AF7"/>
    <w:rsid w:val="00A63B4F"/>
    <w:rsid w:val="00A63C5F"/>
    <w:rsid w:val="00A63C73"/>
    <w:rsid w:val="00A63CD7"/>
    <w:rsid w:val="00A63D87"/>
    <w:rsid w:val="00A63D9B"/>
    <w:rsid w:val="00A63FD6"/>
    <w:rsid w:val="00A63FD9"/>
    <w:rsid w:val="00A64079"/>
    <w:rsid w:val="00A640AA"/>
    <w:rsid w:val="00A640D1"/>
    <w:rsid w:val="00A64137"/>
    <w:rsid w:val="00A64262"/>
    <w:rsid w:val="00A64397"/>
    <w:rsid w:val="00A6439F"/>
    <w:rsid w:val="00A643B0"/>
    <w:rsid w:val="00A643E9"/>
    <w:rsid w:val="00A6443F"/>
    <w:rsid w:val="00A6447D"/>
    <w:rsid w:val="00A64516"/>
    <w:rsid w:val="00A646A6"/>
    <w:rsid w:val="00A646F8"/>
    <w:rsid w:val="00A6472C"/>
    <w:rsid w:val="00A6483E"/>
    <w:rsid w:val="00A64842"/>
    <w:rsid w:val="00A64905"/>
    <w:rsid w:val="00A64949"/>
    <w:rsid w:val="00A6497C"/>
    <w:rsid w:val="00A64988"/>
    <w:rsid w:val="00A649DE"/>
    <w:rsid w:val="00A649E3"/>
    <w:rsid w:val="00A649E9"/>
    <w:rsid w:val="00A64A8D"/>
    <w:rsid w:val="00A64AE4"/>
    <w:rsid w:val="00A64BDF"/>
    <w:rsid w:val="00A64C40"/>
    <w:rsid w:val="00A64CB3"/>
    <w:rsid w:val="00A64DC4"/>
    <w:rsid w:val="00A64F14"/>
    <w:rsid w:val="00A64F96"/>
    <w:rsid w:val="00A64FB6"/>
    <w:rsid w:val="00A65020"/>
    <w:rsid w:val="00A650A5"/>
    <w:rsid w:val="00A650AA"/>
    <w:rsid w:val="00A650EC"/>
    <w:rsid w:val="00A65149"/>
    <w:rsid w:val="00A6523B"/>
    <w:rsid w:val="00A652A1"/>
    <w:rsid w:val="00A652B1"/>
    <w:rsid w:val="00A65397"/>
    <w:rsid w:val="00A653AE"/>
    <w:rsid w:val="00A653C4"/>
    <w:rsid w:val="00A65519"/>
    <w:rsid w:val="00A655C7"/>
    <w:rsid w:val="00A65633"/>
    <w:rsid w:val="00A6566D"/>
    <w:rsid w:val="00A656C9"/>
    <w:rsid w:val="00A656FF"/>
    <w:rsid w:val="00A65702"/>
    <w:rsid w:val="00A6572E"/>
    <w:rsid w:val="00A65741"/>
    <w:rsid w:val="00A65753"/>
    <w:rsid w:val="00A6575F"/>
    <w:rsid w:val="00A65777"/>
    <w:rsid w:val="00A657B1"/>
    <w:rsid w:val="00A657D4"/>
    <w:rsid w:val="00A65812"/>
    <w:rsid w:val="00A6582E"/>
    <w:rsid w:val="00A65908"/>
    <w:rsid w:val="00A65934"/>
    <w:rsid w:val="00A65990"/>
    <w:rsid w:val="00A65A04"/>
    <w:rsid w:val="00A65A1B"/>
    <w:rsid w:val="00A65A4F"/>
    <w:rsid w:val="00A65A6D"/>
    <w:rsid w:val="00A65AB2"/>
    <w:rsid w:val="00A65B18"/>
    <w:rsid w:val="00A65B1F"/>
    <w:rsid w:val="00A65B79"/>
    <w:rsid w:val="00A65CAF"/>
    <w:rsid w:val="00A65D67"/>
    <w:rsid w:val="00A65D81"/>
    <w:rsid w:val="00A65E8A"/>
    <w:rsid w:val="00A65EC3"/>
    <w:rsid w:val="00A66016"/>
    <w:rsid w:val="00A66050"/>
    <w:rsid w:val="00A6609F"/>
    <w:rsid w:val="00A660BE"/>
    <w:rsid w:val="00A66118"/>
    <w:rsid w:val="00A66140"/>
    <w:rsid w:val="00A66163"/>
    <w:rsid w:val="00A66177"/>
    <w:rsid w:val="00A661B2"/>
    <w:rsid w:val="00A661BB"/>
    <w:rsid w:val="00A661C0"/>
    <w:rsid w:val="00A661D8"/>
    <w:rsid w:val="00A6620F"/>
    <w:rsid w:val="00A6622C"/>
    <w:rsid w:val="00A662C4"/>
    <w:rsid w:val="00A66331"/>
    <w:rsid w:val="00A6636B"/>
    <w:rsid w:val="00A663DB"/>
    <w:rsid w:val="00A663F1"/>
    <w:rsid w:val="00A66483"/>
    <w:rsid w:val="00A6648D"/>
    <w:rsid w:val="00A664D4"/>
    <w:rsid w:val="00A6655B"/>
    <w:rsid w:val="00A66567"/>
    <w:rsid w:val="00A66591"/>
    <w:rsid w:val="00A665C2"/>
    <w:rsid w:val="00A66640"/>
    <w:rsid w:val="00A66677"/>
    <w:rsid w:val="00A6668D"/>
    <w:rsid w:val="00A66709"/>
    <w:rsid w:val="00A6674C"/>
    <w:rsid w:val="00A667A3"/>
    <w:rsid w:val="00A6689B"/>
    <w:rsid w:val="00A6693D"/>
    <w:rsid w:val="00A669A5"/>
    <w:rsid w:val="00A66A80"/>
    <w:rsid w:val="00A66B71"/>
    <w:rsid w:val="00A66BA9"/>
    <w:rsid w:val="00A66BED"/>
    <w:rsid w:val="00A66BF9"/>
    <w:rsid w:val="00A66C29"/>
    <w:rsid w:val="00A66C69"/>
    <w:rsid w:val="00A66C8E"/>
    <w:rsid w:val="00A66CFA"/>
    <w:rsid w:val="00A66D14"/>
    <w:rsid w:val="00A66D68"/>
    <w:rsid w:val="00A66DF0"/>
    <w:rsid w:val="00A66EE2"/>
    <w:rsid w:val="00A66F0A"/>
    <w:rsid w:val="00A66F8C"/>
    <w:rsid w:val="00A66F96"/>
    <w:rsid w:val="00A66FA6"/>
    <w:rsid w:val="00A67060"/>
    <w:rsid w:val="00A670A4"/>
    <w:rsid w:val="00A670BB"/>
    <w:rsid w:val="00A670CF"/>
    <w:rsid w:val="00A67103"/>
    <w:rsid w:val="00A6710D"/>
    <w:rsid w:val="00A67121"/>
    <w:rsid w:val="00A6712E"/>
    <w:rsid w:val="00A671C0"/>
    <w:rsid w:val="00A671F9"/>
    <w:rsid w:val="00A67239"/>
    <w:rsid w:val="00A672C1"/>
    <w:rsid w:val="00A672D3"/>
    <w:rsid w:val="00A673B3"/>
    <w:rsid w:val="00A673C0"/>
    <w:rsid w:val="00A6754E"/>
    <w:rsid w:val="00A67621"/>
    <w:rsid w:val="00A676A2"/>
    <w:rsid w:val="00A676B0"/>
    <w:rsid w:val="00A6776A"/>
    <w:rsid w:val="00A677BB"/>
    <w:rsid w:val="00A677BE"/>
    <w:rsid w:val="00A677F6"/>
    <w:rsid w:val="00A67858"/>
    <w:rsid w:val="00A678F1"/>
    <w:rsid w:val="00A679B3"/>
    <w:rsid w:val="00A67A21"/>
    <w:rsid w:val="00A67A7B"/>
    <w:rsid w:val="00A67B74"/>
    <w:rsid w:val="00A67BAE"/>
    <w:rsid w:val="00A67C24"/>
    <w:rsid w:val="00A67D1D"/>
    <w:rsid w:val="00A67DC6"/>
    <w:rsid w:val="00A67ED7"/>
    <w:rsid w:val="00A67F7A"/>
    <w:rsid w:val="00A67FF4"/>
    <w:rsid w:val="00A67FF7"/>
    <w:rsid w:val="00A70084"/>
    <w:rsid w:val="00A70170"/>
    <w:rsid w:val="00A7023F"/>
    <w:rsid w:val="00A70314"/>
    <w:rsid w:val="00A70368"/>
    <w:rsid w:val="00A70390"/>
    <w:rsid w:val="00A703AF"/>
    <w:rsid w:val="00A703B5"/>
    <w:rsid w:val="00A7043C"/>
    <w:rsid w:val="00A70450"/>
    <w:rsid w:val="00A7047F"/>
    <w:rsid w:val="00A70490"/>
    <w:rsid w:val="00A7066E"/>
    <w:rsid w:val="00A706B2"/>
    <w:rsid w:val="00A70719"/>
    <w:rsid w:val="00A7076E"/>
    <w:rsid w:val="00A70771"/>
    <w:rsid w:val="00A70792"/>
    <w:rsid w:val="00A70817"/>
    <w:rsid w:val="00A70838"/>
    <w:rsid w:val="00A70856"/>
    <w:rsid w:val="00A7091B"/>
    <w:rsid w:val="00A7094D"/>
    <w:rsid w:val="00A70A8C"/>
    <w:rsid w:val="00A70AF8"/>
    <w:rsid w:val="00A70B55"/>
    <w:rsid w:val="00A70B88"/>
    <w:rsid w:val="00A70B96"/>
    <w:rsid w:val="00A70B9B"/>
    <w:rsid w:val="00A70BA8"/>
    <w:rsid w:val="00A70C41"/>
    <w:rsid w:val="00A70C7E"/>
    <w:rsid w:val="00A70C82"/>
    <w:rsid w:val="00A70CA3"/>
    <w:rsid w:val="00A70CE7"/>
    <w:rsid w:val="00A70D10"/>
    <w:rsid w:val="00A70F22"/>
    <w:rsid w:val="00A70F2E"/>
    <w:rsid w:val="00A70F34"/>
    <w:rsid w:val="00A70F39"/>
    <w:rsid w:val="00A70FE4"/>
    <w:rsid w:val="00A7103B"/>
    <w:rsid w:val="00A7104D"/>
    <w:rsid w:val="00A7106B"/>
    <w:rsid w:val="00A710F3"/>
    <w:rsid w:val="00A7115B"/>
    <w:rsid w:val="00A7116E"/>
    <w:rsid w:val="00A711ED"/>
    <w:rsid w:val="00A71221"/>
    <w:rsid w:val="00A71362"/>
    <w:rsid w:val="00A713D0"/>
    <w:rsid w:val="00A7151F"/>
    <w:rsid w:val="00A715E5"/>
    <w:rsid w:val="00A715F5"/>
    <w:rsid w:val="00A716CB"/>
    <w:rsid w:val="00A7171B"/>
    <w:rsid w:val="00A71722"/>
    <w:rsid w:val="00A717A1"/>
    <w:rsid w:val="00A717DD"/>
    <w:rsid w:val="00A718DC"/>
    <w:rsid w:val="00A71957"/>
    <w:rsid w:val="00A719E9"/>
    <w:rsid w:val="00A71A5D"/>
    <w:rsid w:val="00A71AAB"/>
    <w:rsid w:val="00A71AD9"/>
    <w:rsid w:val="00A71BAB"/>
    <w:rsid w:val="00A71BAD"/>
    <w:rsid w:val="00A71C42"/>
    <w:rsid w:val="00A71D90"/>
    <w:rsid w:val="00A71DCA"/>
    <w:rsid w:val="00A71E74"/>
    <w:rsid w:val="00A71F29"/>
    <w:rsid w:val="00A71F44"/>
    <w:rsid w:val="00A71F76"/>
    <w:rsid w:val="00A71F8F"/>
    <w:rsid w:val="00A71FDC"/>
    <w:rsid w:val="00A72060"/>
    <w:rsid w:val="00A72145"/>
    <w:rsid w:val="00A7214F"/>
    <w:rsid w:val="00A7218B"/>
    <w:rsid w:val="00A721B9"/>
    <w:rsid w:val="00A721FC"/>
    <w:rsid w:val="00A723C3"/>
    <w:rsid w:val="00A7242F"/>
    <w:rsid w:val="00A72436"/>
    <w:rsid w:val="00A725FD"/>
    <w:rsid w:val="00A7263A"/>
    <w:rsid w:val="00A7267A"/>
    <w:rsid w:val="00A72690"/>
    <w:rsid w:val="00A726E0"/>
    <w:rsid w:val="00A72703"/>
    <w:rsid w:val="00A72732"/>
    <w:rsid w:val="00A728B8"/>
    <w:rsid w:val="00A72916"/>
    <w:rsid w:val="00A7294C"/>
    <w:rsid w:val="00A72A07"/>
    <w:rsid w:val="00A72AE8"/>
    <w:rsid w:val="00A72B04"/>
    <w:rsid w:val="00A72B58"/>
    <w:rsid w:val="00A72B7E"/>
    <w:rsid w:val="00A72BC0"/>
    <w:rsid w:val="00A72C14"/>
    <w:rsid w:val="00A72C1A"/>
    <w:rsid w:val="00A72C1F"/>
    <w:rsid w:val="00A72C47"/>
    <w:rsid w:val="00A72CAD"/>
    <w:rsid w:val="00A72CAE"/>
    <w:rsid w:val="00A72CBB"/>
    <w:rsid w:val="00A72D31"/>
    <w:rsid w:val="00A72D43"/>
    <w:rsid w:val="00A72D85"/>
    <w:rsid w:val="00A72D86"/>
    <w:rsid w:val="00A72DB3"/>
    <w:rsid w:val="00A72E5A"/>
    <w:rsid w:val="00A72FAA"/>
    <w:rsid w:val="00A72FE9"/>
    <w:rsid w:val="00A73036"/>
    <w:rsid w:val="00A731A2"/>
    <w:rsid w:val="00A731AA"/>
    <w:rsid w:val="00A731BB"/>
    <w:rsid w:val="00A73253"/>
    <w:rsid w:val="00A732D4"/>
    <w:rsid w:val="00A7332F"/>
    <w:rsid w:val="00A733BE"/>
    <w:rsid w:val="00A733EF"/>
    <w:rsid w:val="00A73402"/>
    <w:rsid w:val="00A7341B"/>
    <w:rsid w:val="00A73426"/>
    <w:rsid w:val="00A734DB"/>
    <w:rsid w:val="00A735CF"/>
    <w:rsid w:val="00A7363F"/>
    <w:rsid w:val="00A736A2"/>
    <w:rsid w:val="00A736D0"/>
    <w:rsid w:val="00A7382C"/>
    <w:rsid w:val="00A7386A"/>
    <w:rsid w:val="00A738BC"/>
    <w:rsid w:val="00A738DD"/>
    <w:rsid w:val="00A738F6"/>
    <w:rsid w:val="00A73938"/>
    <w:rsid w:val="00A7393E"/>
    <w:rsid w:val="00A73946"/>
    <w:rsid w:val="00A73993"/>
    <w:rsid w:val="00A7399E"/>
    <w:rsid w:val="00A73A15"/>
    <w:rsid w:val="00A73A8D"/>
    <w:rsid w:val="00A73AC3"/>
    <w:rsid w:val="00A73B43"/>
    <w:rsid w:val="00A73BBC"/>
    <w:rsid w:val="00A73BBF"/>
    <w:rsid w:val="00A73C25"/>
    <w:rsid w:val="00A73D24"/>
    <w:rsid w:val="00A73D2E"/>
    <w:rsid w:val="00A73DB4"/>
    <w:rsid w:val="00A73E38"/>
    <w:rsid w:val="00A73E4F"/>
    <w:rsid w:val="00A73E57"/>
    <w:rsid w:val="00A73E6B"/>
    <w:rsid w:val="00A73F48"/>
    <w:rsid w:val="00A73FCB"/>
    <w:rsid w:val="00A74027"/>
    <w:rsid w:val="00A740B8"/>
    <w:rsid w:val="00A74165"/>
    <w:rsid w:val="00A74192"/>
    <w:rsid w:val="00A74399"/>
    <w:rsid w:val="00A743C4"/>
    <w:rsid w:val="00A743D5"/>
    <w:rsid w:val="00A7442B"/>
    <w:rsid w:val="00A744F8"/>
    <w:rsid w:val="00A74587"/>
    <w:rsid w:val="00A745EE"/>
    <w:rsid w:val="00A74625"/>
    <w:rsid w:val="00A7466C"/>
    <w:rsid w:val="00A7477E"/>
    <w:rsid w:val="00A747CB"/>
    <w:rsid w:val="00A747DD"/>
    <w:rsid w:val="00A747FA"/>
    <w:rsid w:val="00A7480F"/>
    <w:rsid w:val="00A748A7"/>
    <w:rsid w:val="00A748AF"/>
    <w:rsid w:val="00A748D7"/>
    <w:rsid w:val="00A74920"/>
    <w:rsid w:val="00A74A0F"/>
    <w:rsid w:val="00A74A3D"/>
    <w:rsid w:val="00A74AD9"/>
    <w:rsid w:val="00A74AF5"/>
    <w:rsid w:val="00A74B2A"/>
    <w:rsid w:val="00A74B80"/>
    <w:rsid w:val="00A74C52"/>
    <w:rsid w:val="00A74C62"/>
    <w:rsid w:val="00A74C74"/>
    <w:rsid w:val="00A74CC2"/>
    <w:rsid w:val="00A74D04"/>
    <w:rsid w:val="00A74D9B"/>
    <w:rsid w:val="00A74DE7"/>
    <w:rsid w:val="00A74E56"/>
    <w:rsid w:val="00A74EA2"/>
    <w:rsid w:val="00A74F1E"/>
    <w:rsid w:val="00A74F37"/>
    <w:rsid w:val="00A74F45"/>
    <w:rsid w:val="00A74F5B"/>
    <w:rsid w:val="00A74FA3"/>
    <w:rsid w:val="00A74FF7"/>
    <w:rsid w:val="00A7528B"/>
    <w:rsid w:val="00A7533D"/>
    <w:rsid w:val="00A75371"/>
    <w:rsid w:val="00A75382"/>
    <w:rsid w:val="00A753E1"/>
    <w:rsid w:val="00A7549E"/>
    <w:rsid w:val="00A754E6"/>
    <w:rsid w:val="00A756DD"/>
    <w:rsid w:val="00A757F7"/>
    <w:rsid w:val="00A75829"/>
    <w:rsid w:val="00A7589C"/>
    <w:rsid w:val="00A75A2D"/>
    <w:rsid w:val="00A75A7C"/>
    <w:rsid w:val="00A75B8B"/>
    <w:rsid w:val="00A75BB6"/>
    <w:rsid w:val="00A75CA6"/>
    <w:rsid w:val="00A75CDF"/>
    <w:rsid w:val="00A75CF4"/>
    <w:rsid w:val="00A75D1A"/>
    <w:rsid w:val="00A75D2A"/>
    <w:rsid w:val="00A75D5C"/>
    <w:rsid w:val="00A75D5E"/>
    <w:rsid w:val="00A75DF8"/>
    <w:rsid w:val="00A75EAB"/>
    <w:rsid w:val="00A75F85"/>
    <w:rsid w:val="00A75FB6"/>
    <w:rsid w:val="00A760CE"/>
    <w:rsid w:val="00A76183"/>
    <w:rsid w:val="00A761A6"/>
    <w:rsid w:val="00A7641A"/>
    <w:rsid w:val="00A76422"/>
    <w:rsid w:val="00A764F2"/>
    <w:rsid w:val="00A765F3"/>
    <w:rsid w:val="00A766A7"/>
    <w:rsid w:val="00A7670B"/>
    <w:rsid w:val="00A76712"/>
    <w:rsid w:val="00A76722"/>
    <w:rsid w:val="00A76728"/>
    <w:rsid w:val="00A767F9"/>
    <w:rsid w:val="00A76801"/>
    <w:rsid w:val="00A76810"/>
    <w:rsid w:val="00A76873"/>
    <w:rsid w:val="00A768CC"/>
    <w:rsid w:val="00A769C5"/>
    <w:rsid w:val="00A76A0E"/>
    <w:rsid w:val="00A76C26"/>
    <w:rsid w:val="00A76C5D"/>
    <w:rsid w:val="00A76CAB"/>
    <w:rsid w:val="00A76CC3"/>
    <w:rsid w:val="00A76CF7"/>
    <w:rsid w:val="00A76D87"/>
    <w:rsid w:val="00A76E20"/>
    <w:rsid w:val="00A76E9E"/>
    <w:rsid w:val="00A76EC5"/>
    <w:rsid w:val="00A76F4B"/>
    <w:rsid w:val="00A76F4F"/>
    <w:rsid w:val="00A76F8E"/>
    <w:rsid w:val="00A77084"/>
    <w:rsid w:val="00A770EA"/>
    <w:rsid w:val="00A77124"/>
    <w:rsid w:val="00A7712B"/>
    <w:rsid w:val="00A7714E"/>
    <w:rsid w:val="00A77164"/>
    <w:rsid w:val="00A7725E"/>
    <w:rsid w:val="00A772C8"/>
    <w:rsid w:val="00A772D8"/>
    <w:rsid w:val="00A772F3"/>
    <w:rsid w:val="00A7730D"/>
    <w:rsid w:val="00A7730E"/>
    <w:rsid w:val="00A77350"/>
    <w:rsid w:val="00A773D3"/>
    <w:rsid w:val="00A774C8"/>
    <w:rsid w:val="00A775F1"/>
    <w:rsid w:val="00A77617"/>
    <w:rsid w:val="00A77682"/>
    <w:rsid w:val="00A7768D"/>
    <w:rsid w:val="00A776B3"/>
    <w:rsid w:val="00A776D3"/>
    <w:rsid w:val="00A776FA"/>
    <w:rsid w:val="00A77875"/>
    <w:rsid w:val="00A778AB"/>
    <w:rsid w:val="00A7790E"/>
    <w:rsid w:val="00A77952"/>
    <w:rsid w:val="00A77995"/>
    <w:rsid w:val="00A779AF"/>
    <w:rsid w:val="00A779BA"/>
    <w:rsid w:val="00A779EA"/>
    <w:rsid w:val="00A77A30"/>
    <w:rsid w:val="00A77A7F"/>
    <w:rsid w:val="00A77ABE"/>
    <w:rsid w:val="00A77AFE"/>
    <w:rsid w:val="00A77B29"/>
    <w:rsid w:val="00A77C13"/>
    <w:rsid w:val="00A77EA6"/>
    <w:rsid w:val="00A77EA9"/>
    <w:rsid w:val="00A77ED7"/>
    <w:rsid w:val="00A77F2D"/>
    <w:rsid w:val="00A8000B"/>
    <w:rsid w:val="00A8003D"/>
    <w:rsid w:val="00A80138"/>
    <w:rsid w:val="00A80234"/>
    <w:rsid w:val="00A8027F"/>
    <w:rsid w:val="00A8032D"/>
    <w:rsid w:val="00A803C3"/>
    <w:rsid w:val="00A80468"/>
    <w:rsid w:val="00A80477"/>
    <w:rsid w:val="00A804C7"/>
    <w:rsid w:val="00A80522"/>
    <w:rsid w:val="00A80526"/>
    <w:rsid w:val="00A805CB"/>
    <w:rsid w:val="00A8062D"/>
    <w:rsid w:val="00A80694"/>
    <w:rsid w:val="00A806C1"/>
    <w:rsid w:val="00A80732"/>
    <w:rsid w:val="00A80766"/>
    <w:rsid w:val="00A807B3"/>
    <w:rsid w:val="00A80801"/>
    <w:rsid w:val="00A8082B"/>
    <w:rsid w:val="00A808AD"/>
    <w:rsid w:val="00A80903"/>
    <w:rsid w:val="00A80924"/>
    <w:rsid w:val="00A80948"/>
    <w:rsid w:val="00A80AB1"/>
    <w:rsid w:val="00A80AC0"/>
    <w:rsid w:val="00A80AF5"/>
    <w:rsid w:val="00A80B14"/>
    <w:rsid w:val="00A80B29"/>
    <w:rsid w:val="00A80BAB"/>
    <w:rsid w:val="00A80C7D"/>
    <w:rsid w:val="00A80DAA"/>
    <w:rsid w:val="00A80EC4"/>
    <w:rsid w:val="00A80EE1"/>
    <w:rsid w:val="00A80F28"/>
    <w:rsid w:val="00A80F44"/>
    <w:rsid w:val="00A81105"/>
    <w:rsid w:val="00A81189"/>
    <w:rsid w:val="00A8121B"/>
    <w:rsid w:val="00A81273"/>
    <w:rsid w:val="00A812AB"/>
    <w:rsid w:val="00A812AE"/>
    <w:rsid w:val="00A812EB"/>
    <w:rsid w:val="00A812EF"/>
    <w:rsid w:val="00A812F7"/>
    <w:rsid w:val="00A8133B"/>
    <w:rsid w:val="00A81458"/>
    <w:rsid w:val="00A8145D"/>
    <w:rsid w:val="00A81485"/>
    <w:rsid w:val="00A814DB"/>
    <w:rsid w:val="00A8151F"/>
    <w:rsid w:val="00A81571"/>
    <w:rsid w:val="00A815AE"/>
    <w:rsid w:val="00A81605"/>
    <w:rsid w:val="00A81638"/>
    <w:rsid w:val="00A81716"/>
    <w:rsid w:val="00A81729"/>
    <w:rsid w:val="00A817DD"/>
    <w:rsid w:val="00A81820"/>
    <w:rsid w:val="00A8183F"/>
    <w:rsid w:val="00A8188A"/>
    <w:rsid w:val="00A8194D"/>
    <w:rsid w:val="00A81964"/>
    <w:rsid w:val="00A8199E"/>
    <w:rsid w:val="00A819A6"/>
    <w:rsid w:val="00A81AD2"/>
    <w:rsid w:val="00A81BA0"/>
    <w:rsid w:val="00A81D24"/>
    <w:rsid w:val="00A81D47"/>
    <w:rsid w:val="00A81ED4"/>
    <w:rsid w:val="00A81F7E"/>
    <w:rsid w:val="00A81FBD"/>
    <w:rsid w:val="00A8201C"/>
    <w:rsid w:val="00A820CC"/>
    <w:rsid w:val="00A820D1"/>
    <w:rsid w:val="00A8234A"/>
    <w:rsid w:val="00A8237F"/>
    <w:rsid w:val="00A82382"/>
    <w:rsid w:val="00A82447"/>
    <w:rsid w:val="00A82501"/>
    <w:rsid w:val="00A82581"/>
    <w:rsid w:val="00A825F8"/>
    <w:rsid w:val="00A82685"/>
    <w:rsid w:val="00A82763"/>
    <w:rsid w:val="00A82783"/>
    <w:rsid w:val="00A8280A"/>
    <w:rsid w:val="00A828C5"/>
    <w:rsid w:val="00A82947"/>
    <w:rsid w:val="00A82A08"/>
    <w:rsid w:val="00A82BAE"/>
    <w:rsid w:val="00A82BC4"/>
    <w:rsid w:val="00A82CA0"/>
    <w:rsid w:val="00A82D45"/>
    <w:rsid w:val="00A82D55"/>
    <w:rsid w:val="00A82D9F"/>
    <w:rsid w:val="00A82DEA"/>
    <w:rsid w:val="00A82DF3"/>
    <w:rsid w:val="00A82E49"/>
    <w:rsid w:val="00A82F3E"/>
    <w:rsid w:val="00A82F72"/>
    <w:rsid w:val="00A82F9D"/>
    <w:rsid w:val="00A82FB6"/>
    <w:rsid w:val="00A82FE2"/>
    <w:rsid w:val="00A82FF1"/>
    <w:rsid w:val="00A8309A"/>
    <w:rsid w:val="00A8312A"/>
    <w:rsid w:val="00A8317A"/>
    <w:rsid w:val="00A831CD"/>
    <w:rsid w:val="00A83227"/>
    <w:rsid w:val="00A8322A"/>
    <w:rsid w:val="00A83297"/>
    <w:rsid w:val="00A8336A"/>
    <w:rsid w:val="00A8346D"/>
    <w:rsid w:val="00A8347E"/>
    <w:rsid w:val="00A834E9"/>
    <w:rsid w:val="00A8353C"/>
    <w:rsid w:val="00A835C4"/>
    <w:rsid w:val="00A83647"/>
    <w:rsid w:val="00A83682"/>
    <w:rsid w:val="00A83756"/>
    <w:rsid w:val="00A837B2"/>
    <w:rsid w:val="00A837C5"/>
    <w:rsid w:val="00A83806"/>
    <w:rsid w:val="00A83813"/>
    <w:rsid w:val="00A838D5"/>
    <w:rsid w:val="00A838F1"/>
    <w:rsid w:val="00A8394B"/>
    <w:rsid w:val="00A839B8"/>
    <w:rsid w:val="00A839F3"/>
    <w:rsid w:val="00A83A71"/>
    <w:rsid w:val="00A83AAE"/>
    <w:rsid w:val="00A83AF9"/>
    <w:rsid w:val="00A83B1A"/>
    <w:rsid w:val="00A83B9D"/>
    <w:rsid w:val="00A83BCA"/>
    <w:rsid w:val="00A83C08"/>
    <w:rsid w:val="00A83C33"/>
    <w:rsid w:val="00A83C4F"/>
    <w:rsid w:val="00A83C57"/>
    <w:rsid w:val="00A83C65"/>
    <w:rsid w:val="00A83CC6"/>
    <w:rsid w:val="00A83D41"/>
    <w:rsid w:val="00A83D8B"/>
    <w:rsid w:val="00A83E70"/>
    <w:rsid w:val="00A83E84"/>
    <w:rsid w:val="00A83F3E"/>
    <w:rsid w:val="00A83F6E"/>
    <w:rsid w:val="00A83FD5"/>
    <w:rsid w:val="00A84005"/>
    <w:rsid w:val="00A8411C"/>
    <w:rsid w:val="00A8417F"/>
    <w:rsid w:val="00A84184"/>
    <w:rsid w:val="00A8428C"/>
    <w:rsid w:val="00A842FD"/>
    <w:rsid w:val="00A8437C"/>
    <w:rsid w:val="00A843AF"/>
    <w:rsid w:val="00A8444F"/>
    <w:rsid w:val="00A8445E"/>
    <w:rsid w:val="00A84478"/>
    <w:rsid w:val="00A8447A"/>
    <w:rsid w:val="00A84515"/>
    <w:rsid w:val="00A845FB"/>
    <w:rsid w:val="00A84608"/>
    <w:rsid w:val="00A847B2"/>
    <w:rsid w:val="00A847E5"/>
    <w:rsid w:val="00A8498E"/>
    <w:rsid w:val="00A849DB"/>
    <w:rsid w:val="00A84A52"/>
    <w:rsid w:val="00A84AFB"/>
    <w:rsid w:val="00A84C4D"/>
    <w:rsid w:val="00A84C58"/>
    <w:rsid w:val="00A84C75"/>
    <w:rsid w:val="00A84E46"/>
    <w:rsid w:val="00A84EE6"/>
    <w:rsid w:val="00A84F6C"/>
    <w:rsid w:val="00A850E0"/>
    <w:rsid w:val="00A850F4"/>
    <w:rsid w:val="00A85123"/>
    <w:rsid w:val="00A852C6"/>
    <w:rsid w:val="00A8531B"/>
    <w:rsid w:val="00A85460"/>
    <w:rsid w:val="00A854BE"/>
    <w:rsid w:val="00A8553A"/>
    <w:rsid w:val="00A85548"/>
    <w:rsid w:val="00A85561"/>
    <w:rsid w:val="00A8556F"/>
    <w:rsid w:val="00A855FA"/>
    <w:rsid w:val="00A85680"/>
    <w:rsid w:val="00A856EC"/>
    <w:rsid w:val="00A8590A"/>
    <w:rsid w:val="00A85966"/>
    <w:rsid w:val="00A859F7"/>
    <w:rsid w:val="00A85A0C"/>
    <w:rsid w:val="00A85A1F"/>
    <w:rsid w:val="00A85A25"/>
    <w:rsid w:val="00A85AC7"/>
    <w:rsid w:val="00A85B4C"/>
    <w:rsid w:val="00A85BCE"/>
    <w:rsid w:val="00A85C02"/>
    <w:rsid w:val="00A85C08"/>
    <w:rsid w:val="00A85C63"/>
    <w:rsid w:val="00A85C7F"/>
    <w:rsid w:val="00A85C90"/>
    <w:rsid w:val="00A85D7D"/>
    <w:rsid w:val="00A85DF5"/>
    <w:rsid w:val="00A85E57"/>
    <w:rsid w:val="00A85E7D"/>
    <w:rsid w:val="00A85EE2"/>
    <w:rsid w:val="00A85F47"/>
    <w:rsid w:val="00A85F99"/>
    <w:rsid w:val="00A85FC0"/>
    <w:rsid w:val="00A8602A"/>
    <w:rsid w:val="00A86124"/>
    <w:rsid w:val="00A86133"/>
    <w:rsid w:val="00A861F4"/>
    <w:rsid w:val="00A861FF"/>
    <w:rsid w:val="00A8620F"/>
    <w:rsid w:val="00A86287"/>
    <w:rsid w:val="00A8629D"/>
    <w:rsid w:val="00A863E5"/>
    <w:rsid w:val="00A86488"/>
    <w:rsid w:val="00A8649B"/>
    <w:rsid w:val="00A864DD"/>
    <w:rsid w:val="00A86609"/>
    <w:rsid w:val="00A86755"/>
    <w:rsid w:val="00A86766"/>
    <w:rsid w:val="00A86775"/>
    <w:rsid w:val="00A8678D"/>
    <w:rsid w:val="00A86791"/>
    <w:rsid w:val="00A86852"/>
    <w:rsid w:val="00A868D1"/>
    <w:rsid w:val="00A86944"/>
    <w:rsid w:val="00A86952"/>
    <w:rsid w:val="00A8695E"/>
    <w:rsid w:val="00A869C8"/>
    <w:rsid w:val="00A86B2B"/>
    <w:rsid w:val="00A86B2D"/>
    <w:rsid w:val="00A86CB5"/>
    <w:rsid w:val="00A86CCA"/>
    <w:rsid w:val="00A86DF8"/>
    <w:rsid w:val="00A86E9A"/>
    <w:rsid w:val="00A86FE3"/>
    <w:rsid w:val="00A8700F"/>
    <w:rsid w:val="00A8717A"/>
    <w:rsid w:val="00A871A8"/>
    <w:rsid w:val="00A871FC"/>
    <w:rsid w:val="00A8720F"/>
    <w:rsid w:val="00A872B0"/>
    <w:rsid w:val="00A8737A"/>
    <w:rsid w:val="00A8737F"/>
    <w:rsid w:val="00A87390"/>
    <w:rsid w:val="00A8753D"/>
    <w:rsid w:val="00A875C4"/>
    <w:rsid w:val="00A87675"/>
    <w:rsid w:val="00A8774C"/>
    <w:rsid w:val="00A8776F"/>
    <w:rsid w:val="00A8781C"/>
    <w:rsid w:val="00A87881"/>
    <w:rsid w:val="00A87942"/>
    <w:rsid w:val="00A879BD"/>
    <w:rsid w:val="00A87AE9"/>
    <w:rsid w:val="00A87AFC"/>
    <w:rsid w:val="00A87B76"/>
    <w:rsid w:val="00A87B8F"/>
    <w:rsid w:val="00A87BB2"/>
    <w:rsid w:val="00A87C85"/>
    <w:rsid w:val="00A87CC9"/>
    <w:rsid w:val="00A87D1B"/>
    <w:rsid w:val="00A87D28"/>
    <w:rsid w:val="00A87EA7"/>
    <w:rsid w:val="00A87EC1"/>
    <w:rsid w:val="00A87EE7"/>
    <w:rsid w:val="00A87EEF"/>
    <w:rsid w:val="00A87EF7"/>
    <w:rsid w:val="00A87F08"/>
    <w:rsid w:val="00A87F28"/>
    <w:rsid w:val="00A87F9B"/>
    <w:rsid w:val="00A90065"/>
    <w:rsid w:val="00A901B5"/>
    <w:rsid w:val="00A901B7"/>
    <w:rsid w:val="00A901B9"/>
    <w:rsid w:val="00A901DB"/>
    <w:rsid w:val="00A901EF"/>
    <w:rsid w:val="00A9026C"/>
    <w:rsid w:val="00A9028D"/>
    <w:rsid w:val="00A9033B"/>
    <w:rsid w:val="00A903B5"/>
    <w:rsid w:val="00A903FC"/>
    <w:rsid w:val="00A904C2"/>
    <w:rsid w:val="00A90627"/>
    <w:rsid w:val="00A9068C"/>
    <w:rsid w:val="00A90730"/>
    <w:rsid w:val="00A90731"/>
    <w:rsid w:val="00A90733"/>
    <w:rsid w:val="00A90784"/>
    <w:rsid w:val="00A907F2"/>
    <w:rsid w:val="00A90878"/>
    <w:rsid w:val="00A90902"/>
    <w:rsid w:val="00A90905"/>
    <w:rsid w:val="00A90930"/>
    <w:rsid w:val="00A90943"/>
    <w:rsid w:val="00A90999"/>
    <w:rsid w:val="00A90B13"/>
    <w:rsid w:val="00A90BDA"/>
    <w:rsid w:val="00A90BE7"/>
    <w:rsid w:val="00A90D0B"/>
    <w:rsid w:val="00A90D64"/>
    <w:rsid w:val="00A90D72"/>
    <w:rsid w:val="00A90D74"/>
    <w:rsid w:val="00A90E09"/>
    <w:rsid w:val="00A90E13"/>
    <w:rsid w:val="00A90E35"/>
    <w:rsid w:val="00A90E39"/>
    <w:rsid w:val="00A90E66"/>
    <w:rsid w:val="00A90EAA"/>
    <w:rsid w:val="00A90EBC"/>
    <w:rsid w:val="00A90ECC"/>
    <w:rsid w:val="00A90EEF"/>
    <w:rsid w:val="00A90F35"/>
    <w:rsid w:val="00A90F98"/>
    <w:rsid w:val="00A91042"/>
    <w:rsid w:val="00A9106E"/>
    <w:rsid w:val="00A910D6"/>
    <w:rsid w:val="00A91156"/>
    <w:rsid w:val="00A91195"/>
    <w:rsid w:val="00A912AC"/>
    <w:rsid w:val="00A912BA"/>
    <w:rsid w:val="00A912D7"/>
    <w:rsid w:val="00A91321"/>
    <w:rsid w:val="00A91450"/>
    <w:rsid w:val="00A91465"/>
    <w:rsid w:val="00A9146C"/>
    <w:rsid w:val="00A914ED"/>
    <w:rsid w:val="00A91505"/>
    <w:rsid w:val="00A91519"/>
    <w:rsid w:val="00A9151D"/>
    <w:rsid w:val="00A91568"/>
    <w:rsid w:val="00A915AC"/>
    <w:rsid w:val="00A915CF"/>
    <w:rsid w:val="00A91634"/>
    <w:rsid w:val="00A917B9"/>
    <w:rsid w:val="00A917F1"/>
    <w:rsid w:val="00A91878"/>
    <w:rsid w:val="00A919AB"/>
    <w:rsid w:val="00A919B3"/>
    <w:rsid w:val="00A919EC"/>
    <w:rsid w:val="00A91A0B"/>
    <w:rsid w:val="00A91A52"/>
    <w:rsid w:val="00A91A78"/>
    <w:rsid w:val="00A91A82"/>
    <w:rsid w:val="00A91AFC"/>
    <w:rsid w:val="00A91BE1"/>
    <w:rsid w:val="00A91C12"/>
    <w:rsid w:val="00A91C45"/>
    <w:rsid w:val="00A91D9B"/>
    <w:rsid w:val="00A91DDA"/>
    <w:rsid w:val="00A91E72"/>
    <w:rsid w:val="00A91E74"/>
    <w:rsid w:val="00A91FF0"/>
    <w:rsid w:val="00A91FF4"/>
    <w:rsid w:val="00A91FFE"/>
    <w:rsid w:val="00A92031"/>
    <w:rsid w:val="00A920D5"/>
    <w:rsid w:val="00A92274"/>
    <w:rsid w:val="00A922CB"/>
    <w:rsid w:val="00A9234A"/>
    <w:rsid w:val="00A923DD"/>
    <w:rsid w:val="00A92550"/>
    <w:rsid w:val="00A9268E"/>
    <w:rsid w:val="00A92692"/>
    <w:rsid w:val="00A92826"/>
    <w:rsid w:val="00A9285B"/>
    <w:rsid w:val="00A9285E"/>
    <w:rsid w:val="00A92932"/>
    <w:rsid w:val="00A92999"/>
    <w:rsid w:val="00A92B0D"/>
    <w:rsid w:val="00A92D33"/>
    <w:rsid w:val="00A92DB9"/>
    <w:rsid w:val="00A92DCA"/>
    <w:rsid w:val="00A92E50"/>
    <w:rsid w:val="00A92F2D"/>
    <w:rsid w:val="00A92F94"/>
    <w:rsid w:val="00A92F9C"/>
    <w:rsid w:val="00A92FCD"/>
    <w:rsid w:val="00A9304D"/>
    <w:rsid w:val="00A930E4"/>
    <w:rsid w:val="00A93143"/>
    <w:rsid w:val="00A93159"/>
    <w:rsid w:val="00A93199"/>
    <w:rsid w:val="00A9319B"/>
    <w:rsid w:val="00A9319E"/>
    <w:rsid w:val="00A931AE"/>
    <w:rsid w:val="00A932AE"/>
    <w:rsid w:val="00A932FC"/>
    <w:rsid w:val="00A93392"/>
    <w:rsid w:val="00A933AC"/>
    <w:rsid w:val="00A9340E"/>
    <w:rsid w:val="00A93565"/>
    <w:rsid w:val="00A93574"/>
    <w:rsid w:val="00A9357A"/>
    <w:rsid w:val="00A93585"/>
    <w:rsid w:val="00A93674"/>
    <w:rsid w:val="00A936D8"/>
    <w:rsid w:val="00A937A6"/>
    <w:rsid w:val="00A937B2"/>
    <w:rsid w:val="00A937C6"/>
    <w:rsid w:val="00A93854"/>
    <w:rsid w:val="00A9385B"/>
    <w:rsid w:val="00A9391A"/>
    <w:rsid w:val="00A9391B"/>
    <w:rsid w:val="00A9393C"/>
    <w:rsid w:val="00A93974"/>
    <w:rsid w:val="00A93ADA"/>
    <w:rsid w:val="00A93B14"/>
    <w:rsid w:val="00A93B2D"/>
    <w:rsid w:val="00A93B6F"/>
    <w:rsid w:val="00A93CAD"/>
    <w:rsid w:val="00A93D05"/>
    <w:rsid w:val="00A93D9A"/>
    <w:rsid w:val="00A93DC1"/>
    <w:rsid w:val="00A93EB0"/>
    <w:rsid w:val="00A93F39"/>
    <w:rsid w:val="00A94013"/>
    <w:rsid w:val="00A94057"/>
    <w:rsid w:val="00A9405B"/>
    <w:rsid w:val="00A9407B"/>
    <w:rsid w:val="00A9408B"/>
    <w:rsid w:val="00A942B2"/>
    <w:rsid w:val="00A942B9"/>
    <w:rsid w:val="00A94311"/>
    <w:rsid w:val="00A9431C"/>
    <w:rsid w:val="00A9439E"/>
    <w:rsid w:val="00A94432"/>
    <w:rsid w:val="00A94496"/>
    <w:rsid w:val="00A944B7"/>
    <w:rsid w:val="00A94556"/>
    <w:rsid w:val="00A94581"/>
    <w:rsid w:val="00A945EC"/>
    <w:rsid w:val="00A94621"/>
    <w:rsid w:val="00A94627"/>
    <w:rsid w:val="00A946D5"/>
    <w:rsid w:val="00A946E9"/>
    <w:rsid w:val="00A94833"/>
    <w:rsid w:val="00A948BD"/>
    <w:rsid w:val="00A94914"/>
    <w:rsid w:val="00A94981"/>
    <w:rsid w:val="00A94992"/>
    <w:rsid w:val="00A94A24"/>
    <w:rsid w:val="00A94A97"/>
    <w:rsid w:val="00A94AA3"/>
    <w:rsid w:val="00A94AF3"/>
    <w:rsid w:val="00A94B00"/>
    <w:rsid w:val="00A94B76"/>
    <w:rsid w:val="00A94B92"/>
    <w:rsid w:val="00A94BEE"/>
    <w:rsid w:val="00A94C59"/>
    <w:rsid w:val="00A94CA0"/>
    <w:rsid w:val="00A94E78"/>
    <w:rsid w:val="00A94E93"/>
    <w:rsid w:val="00A94E9E"/>
    <w:rsid w:val="00A94F5F"/>
    <w:rsid w:val="00A94FA4"/>
    <w:rsid w:val="00A94FA9"/>
    <w:rsid w:val="00A94FDD"/>
    <w:rsid w:val="00A950DA"/>
    <w:rsid w:val="00A95142"/>
    <w:rsid w:val="00A951DC"/>
    <w:rsid w:val="00A95340"/>
    <w:rsid w:val="00A953DE"/>
    <w:rsid w:val="00A95488"/>
    <w:rsid w:val="00A954F0"/>
    <w:rsid w:val="00A954F5"/>
    <w:rsid w:val="00A95527"/>
    <w:rsid w:val="00A95659"/>
    <w:rsid w:val="00A956B1"/>
    <w:rsid w:val="00A956F8"/>
    <w:rsid w:val="00A9570F"/>
    <w:rsid w:val="00A957E7"/>
    <w:rsid w:val="00A9587B"/>
    <w:rsid w:val="00A95898"/>
    <w:rsid w:val="00A9596D"/>
    <w:rsid w:val="00A959A4"/>
    <w:rsid w:val="00A95A71"/>
    <w:rsid w:val="00A95AFA"/>
    <w:rsid w:val="00A95C1F"/>
    <w:rsid w:val="00A95CB1"/>
    <w:rsid w:val="00A95D27"/>
    <w:rsid w:val="00A95D92"/>
    <w:rsid w:val="00A95E27"/>
    <w:rsid w:val="00A95E62"/>
    <w:rsid w:val="00A95F8A"/>
    <w:rsid w:val="00A96022"/>
    <w:rsid w:val="00A9609A"/>
    <w:rsid w:val="00A96192"/>
    <w:rsid w:val="00A961BF"/>
    <w:rsid w:val="00A961FA"/>
    <w:rsid w:val="00A96219"/>
    <w:rsid w:val="00A96276"/>
    <w:rsid w:val="00A9628C"/>
    <w:rsid w:val="00A962A9"/>
    <w:rsid w:val="00A96305"/>
    <w:rsid w:val="00A96335"/>
    <w:rsid w:val="00A9634E"/>
    <w:rsid w:val="00A96354"/>
    <w:rsid w:val="00A963E2"/>
    <w:rsid w:val="00A9656A"/>
    <w:rsid w:val="00A9656F"/>
    <w:rsid w:val="00A96570"/>
    <w:rsid w:val="00A9658F"/>
    <w:rsid w:val="00A96605"/>
    <w:rsid w:val="00A96624"/>
    <w:rsid w:val="00A96677"/>
    <w:rsid w:val="00A9667D"/>
    <w:rsid w:val="00A96721"/>
    <w:rsid w:val="00A9681B"/>
    <w:rsid w:val="00A968B8"/>
    <w:rsid w:val="00A96946"/>
    <w:rsid w:val="00A9694B"/>
    <w:rsid w:val="00A969A7"/>
    <w:rsid w:val="00A969AC"/>
    <w:rsid w:val="00A96B5D"/>
    <w:rsid w:val="00A96B9D"/>
    <w:rsid w:val="00A96C4A"/>
    <w:rsid w:val="00A96DC2"/>
    <w:rsid w:val="00A96E7D"/>
    <w:rsid w:val="00A96E8B"/>
    <w:rsid w:val="00A97013"/>
    <w:rsid w:val="00A9703D"/>
    <w:rsid w:val="00A97078"/>
    <w:rsid w:val="00A97086"/>
    <w:rsid w:val="00A970C2"/>
    <w:rsid w:val="00A97147"/>
    <w:rsid w:val="00A971A7"/>
    <w:rsid w:val="00A971CD"/>
    <w:rsid w:val="00A9724A"/>
    <w:rsid w:val="00A9728B"/>
    <w:rsid w:val="00A972AE"/>
    <w:rsid w:val="00A972E2"/>
    <w:rsid w:val="00A97313"/>
    <w:rsid w:val="00A973C6"/>
    <w:rsid w:val="00A974BE"/>
    <w:rsid w:val="00A97546"/>
    <w:rsid w:val="00A97562"/>
    <w:rsid w:val="00A97683"/>
    <w:rsid w:val="00A976AB"/>
    <w:rsid w:val="00A9770B"/>
    <w:rsid w:val="00A9773D"/>
    <w:rsid w:val="00A97810"/>
    <w:rsid w:val="00A9784E"/>
    <w:rsid w:val="00A97888"/>
    <w:rsid w:val="00A978DD"/>
    <w:rsid w:val="00A978E8"/>
    <w:rsid w:val="00A978F6"/>
    <w:rsid w:val="00A97997"/>
    <w:rsid w:val="00A97A27"/>
    <w:rsid w:val="00A97A39"/>
    <w:rsid w:val="00A97A74"/>
    <w:rsid w:val="00A97ABB"/>
    <w:rsid w:val="00A97BBC"/>
    <w:rsid w:val="00A97C38"/>
    <w:rsid w:val="00A97C60"/>
    <w:rsid w:val="00A97D02"/>
    <w:rsid w:val="00A97D94"/>
    <w:rsid w:val="00A97E1F"/>
    <w:rsid w:val="00A97E68"/>
    <w:rsid w:val="00A97EB7"/>
    <w:rsid w:val="00A97F18"/>
    <w:rsid w:val="00A97F3B"/>
    <w:rsid w:val="00A97F6C"/>
    <w:rsid w:val="00A97F71"/>
    <w:rsid w:val="00A97F7E"/>
    <w:rsid w:val="00A97FE5"/>
    <w:rsid w:val="00A97FF1"/>
    <w:rsid w:val="00AA00B6"/>
    <w:rsid w:val="00AA01D3"/>
    <w:rsid w:val="00AA01EA"/>
    <w:rsid w:val="00AA01EB"/>
    <w:rsid w:val="00AA01F7"/>
    <w:rsid w:val="00AA0219"/>
    <w:rsid w:val="00AA0230"/>
    <w:rsid w:val="00AA0273"/>
    <w:rsid w:val="00AA02E1"/>
    <w:rsid w:val="00AA0306"/>
    <w:rsid w:val="00AA033C"/>
    <w:rsid w:val="00AA03E4"/>
    <w:rsid w:val="00AA0427"/>
    <w:rsid w:val="00AA0439"/>
    <w:rsid w:val="00AA04CA"/>
    <w:rsid w:val="00AA06A6"/>
    <w:rsid w:val="00AA0722"/>
    <w:rsid w:val="00AA08EF"/>
    <w:rsid w:val="00AA0A48"/>
    <w:rsid w:val="00AA0BD3"/>
    <w:rsid w:val="00AA0BD8"/>
    <w:rsid w:val="00AA0C1E"/>
    <w:rsid w:val="00AA0CE5"/>
    <w:rsid w:val="00AA0D43"/>
    <w:rsid w:val="00AA0D93"/>
    <w:rsid w:val="00AA0DB9"/>
    <w:rsid w:val="00AA0E49"/>
    <w:rsid w:val="00AA0E9E"/>
    <w:rsid w:val="00AA0ED7"/>
    <w:rsid w:val="00AA0EFD"/>
    <w:rsid w:val="00AA0F0E"/>
    <w:rsid w:val="00AA0F5F"/>
    <w:rsid w:val="00AA0FF8"/>
    <w:rsid w:val="00AA107C"/>
    <w:rsid w:val="00AA1123"/>
    <w:rsid w:val="00AA115F"/>
    <w:rsid w:val="00AA11CA"/>
    <w:rsid w:val="00AA1252"/>
    <w:rsid w:val="00AA12F7"/>
    <w:rsid w:val="00AA137C"/>
    <w:rsid w:val="00AA1434"/>
    <w:rsid w:val="00AA14AF"/>
    <w:rsid w:val="00AA1574"/>
    <w:rsid w:val="00AA158A"/>
    <w:rsid w:val="00AA1599"/>
    <w:rsid w:val="00AA15D2"/>
    <w:rsid w:val="00AA162A"/>
    <w:rsid w:val="00AA1681"/>
    <w:rsid w:val="00AA1885"/>
    <w:rsid w:val="00AA18C2"/>
    <w:rsid w:val="00AA191F"/>
    <w:rsid w:val="00AA195F"/>
    <w:rsid w:val="00AA1AD2"/>
    <w:rsid w:val="00AA1BFC"/>
    <w:rsid w:val="00AA1C71"/>
    <w:rsid w:val="00AA1C8B"/>
    <w:rsid w:val="00AA1CE3"/>
    <w:rsid w:val="00AA1D4E"/>
    <w:rsid w:val="00AA1D7D"/>
    <w:rsid w:val="00AA1E2C"/>
    <w:rsid w:val="00AA1E88"/>
    <w:rsid w:val="00AA1F0C"/>
    <w:rsid w:val="00AA1F2F"/>
    <w:rsid w:val="00AA1F9E"/>
    <w:rsid w:val="00AA1FD1"/>
    <w:rsid w:val="00AA1FDA"/>
    <w:rsid w:val="00AA208E"/>
    <w:rsid w:val="00AA21AB"/>
    <w:rsid w:val="00AA22F9"/>
    <w:rsid w:val="00AA2300"/>
    <w:rsid w:val="00AA230D"/>
    <w:rsid w:val="00AA2354"/>
    <w:rsid w:val="00AA242B"/>
    <w:rsid w:val="00AA243B"/>
    <w:rsid w:val="00AA24A3"/>
    <w:rsid w:val="00AA24BB"/>
    <w:rsid w:val="00AA2515"/>
    <w:rsid w:val="00AA2520"/>
    <w:rsid w:val="00AA25C5"/>
    <w:rsid w:val="00AA25C9"/>
    <w:rsid w:val="00AA2652"/>
    <w:rsid w:val="00AA2674"/>
    <w:rsid w:val="00AA2692"/>
    <w:rsid w:val="00AA26B3"/>
    <w:rsid w:val="00AA2725"/>
    <w:rsid w:val="00AA2795"/>
    <w:rsid w:val="00AA279A"/>
    <w:rsid w:val="00AA2892"/>
    <w:rsid w:val="00AA28F3"/>
    <w:rsid w:val="00AA2904"/>
    <w:rsid w:val="00AA2923"/>
    <w:rsid w:val="00AA294B"/>
    <w:rsid w:val="00AA29A5"/>
    <w:rsid w:val="00AA2AA6"/>
    <w:rsid w:val="00AA2AC4"/>
    <w:rsid w:val="00AA2B34"/>
    <w:rsid w:val="00AA2B8D"/>
    <w:rsid w:val="00AA2BB7"/>
    <w:rsid w:val="00AA2C42"/>
    <w:rsid w:val="00AA2C4F"/>
    <w:rsid w:val="00AA2C5A"/>
    <w:rsid w:val="00AA2D91"/>
    <w:rsid w:val="00AA2DF4"/>
    <w:rsid w:val="00AA2E26"/>
    <w:rsid w:val="00AA2EF3"/>
    <w:rsid w:val="00AA2F29"/>
    <w:rsid w:val="00AA2F61"/>
    <w:rsid w:val="00AA2F69"/>
    <w:rsid w:val="00AA2F8F"/>
    <w:rsid w:val="00AA2FB3"/>
    <w:rsid w:val="00AA3092"/>
    <w:rsid w:val="00AA30E7"/>
    <w:rsid w:val="00AA318D"/>
    <w:rsid w:val="00AA3264"/>
    <w:rsid w:val="00AA32AD"/>
    <w:rsid w:val="00AA32C4"/>
    <w:rsid w:val="00AA32D7"/>
    <w:rsid w:val="00AA338C"/>
    <w:rsid w:val="00AA35ED"/>
    <w:rsid w:val="00AA35F3"/>
    <w:rsid w:val="00AA35FF"/>
    <w:rsid w:val="00AA3658"/>
    <w:rsid w:val="00AA3677"/>
    <w:rsid w:val="00AA36AF"/>
    <w:rsid w:val="00AA371D"/>
    <w:rsid w:val="00AA37F4"/>
    <w:rsid w:val="00AA38E1"/>
    <w:rsid w:val="00AA392F"/>
    <w:rsid w:val="00AA39C4"/>
    <w:rsid w:val="00AA3A03"/>
    <w:rsid w:val="00AA3A97"/>
    <w:rsid w:val="00AA3B32"/>
    <w:rsid w:val="00AA3BF5"/>
    <w:rsid w:val="00AA3C01"/>
    <w:rsid w:val="00AA3C34"/>
    <w:rsid w:val="00AA3C41"/>
    <w:rsid w:val="00AA3D38"/>
    <w:rsid w:val="00AA3DAA"/>
    <w:rsid w:val="00AA3DC4"/>
    <w:rsid w:val="00AA3DE2"/>
    <w:rsid w:val="00AA3E10"/>
    <w:rsid w:val="00AA3FD4"/>
    <w:rsid w:val="00AA406D"/>
    <w:rsid w:val="00AA407B"/>
    <w:rsid w:val="00AA4083"/>
    <w:rsid w:val="00AA4099"/>
    <w:rsid w:val="00AA41F5"/>
    <w:rsid w:val="00AA4204"/>
    <w:rsid w:val="00AA4247"/>
    <w:rsid w:val="00AA4262"/>
    <w:rsid w:val="00AA4297"/>
    <w:rsid w:val="00AA42FC"/>
    <w:rsid w:val="00AA4408"/>
    <w:rsid w:val="00AA441D"/>
    <w:rsid w:val="00AA443E"/>
    <w:rsid w:val="00AA4476"/>
    <w:rsid w:val="00AA453B"/>
    <w:rsid w:val="00AA453D"/>
    <w:rsid w:val="00AA467D"/>
    <w:rsid w:val="00AA4783"/>
    <w:rsid w:val="00AA4842"/>
    <w:rsid w:val="00AA4866"/>
    <w:rsid w:val="00AA48E8"/>
    <w:rsid w:val="00AA4971"/>
    <w:rsid w:val="00AA49A8"/>
    <w:rsid w:val="00AA49B1"/>
    <w:rsid w:val="00AA4A22"/>
    <w:rsid w:val="00AA4A2C"/>
    <w:rsid w:val="00AA4B44"/>
    <w:rsid w:val="00AA4BC1"/>
    <w:rsid w:val="00AA4C50"/>
    <w:rsid w:val="00AA4CB7"/>
    <w:rsid w:val="00AA4D45"/>
    <w:rsid w:val="00AA4D84"/>
    <w:rsid w:val="00AA4E4F"/>
    <w:rsid w:val="00AA4EAF"/>
    <w:rsid w:val="00AA4F58"/>
    <w:rsid w:val="00AA4FD9"/>
    <w:rsid w:val="00AA50B5"/>
    <w:rsid w:val="00AA5114"/>
    <w:rsid w:val="00AA511B"/>
    <w:rsid w:val="00AA511D"/>
    <w:rsid w:val="00AA513E"/>
    <w:rsid w:val="00AA5248"/>
    <w:rsid w:val="00AA5253"/>
    <w:rsid w:val="00AA5417"/>
    <w:rsid w:val="00AA5432"/>
    <w:rsid w:val="00AA5434"/>
    <w:rsid w:val="00AA561A"/>
    <w:rsid w:val="00AA5620"/>
    <w:rsid w:val="00AA569E"/>
    <w:rsid w:val="00AA5737"/>
    <w:rsid w:val="00AA5765"/>
    <w:rsid w:val="00AA57EE"/>
    <w:rsid w:val="00AA57EF"/>
    <w:rsid w:val="00AA580E"/>
    <w:rsid w:val="00AA581B"/>
    <w:rsid w:val="00AA584A"/>
    <w:rsid w:val="00AA587A"/>
    <w:rsid w:val="00AA58D3"/>
    <w:rsid w:val="00AA593E"/>
    <w:rsid w:val="00AA59A1"/>
    <w:rsid w:val="00AA59B7"/>
    <w:rsid w:val="00AA5A07"/>
    <w:rsid w:val="00AA5A79"/>
    <w:rsid w:val="00AA5AF1"/>
    <w:rsid w:val="00AA5B11"/>
    <w:rsid w:val="00AA5B4F"/>
    <w:rsid w:val="00AA5B55"/>
    <w:rsid w:val="00AA5BD0"/>
    <w:rsid w:val="00AA5C27"/>
    <w:rsid w:val="00AA5C91"/>
    <w:rsid w:val="00AA5D99"/>
    <w:rsid w:val="00AA5E03"/>
    <w:rsid w:val="00AA5E47"/>
    <w:rsid w:val="00AA5E90"/>
    <w:rsid w:val="00AA5EB9"/>
    <w:rsid w:val="00AA5FA7"/>
    <w:rsid w:val="00AA610E"/>
    <w:rsid w:val="00AA614D"/>
    <w:rsid w:val="00AA61F1"/>
    <w:rsid w:val="00AA6215"/>
    <w:rsid w:val="00AA6243"/>
    <w:rsid w:val="00AA629D"/>
    <w:rsid w:val="00AA62DA"/>
    <w:rsid w:val="00AA6350"/>
    <w:rsid w:val="00AA6360"/>
    <w:rsid w:val="00AA637E"/>
    <w:rsid w:val="00AA63BF"/>
    <w:rsid w:val="00AA6426"/>
    <w:rsid w:val="00AA644A"/>
    <w:rsid w:val="00AA64CB"/>
    <w:rsid w:val="00AA64CE"/>
    <w:rsid w:val="00AA64EB"/>
    <w:rsid w:val="00AA64F2"/>
    <w:rsid w:val="00AA6536"/>
    <w:rsid w:val="00AA65D4"/>
    <w:rsid w:val="00AA6670"/>
    <w:rsid w:val="00AA66BE"/>
    <w:rsid w:val="00AA6739"/>
    <w:rsid w:val="00AA674F"/>
    <w:rsid w:val="00AA6774"/>
    <w:rsid w:val="00AA6825"/>
    <w:rsid w:val="00AA685A"/>
    <w:rsid w:val="00AA68C2"/>
    <w:rsid w:val="00AA6946"/>
    <w:rsid w:val="00AA6A63"/>
    <w:rsid w:val="00AA6B8F"/>
    <w:rsid w:val="00AA6CC8"/>
    <w:rsid w:val="00AA6D08"/>
    <w:rsid w:val="00AA6D78"/>
    <w:rsid w:val="00AA6F0B"/>
    <w:rsid w:val="00AA6F47"/>
    <w:rsid w:val="00AA6FBA"/>
    <w:rsid w:val="00AA7031"/>
    <w:rsid w:val="00AA70A7"/>
    <w:rsid w:val="00AA70B4"/>
    <w:rsid w:val="00AA7190"/>
    <w:rsid w:val="00AA71EF"/>
    <w:rsid w:val="00AA7257"/>
    <w:rsid w:val="00AA72AF"/>
    <w:rsid w:val="00AA74B4"/>
    <w:rsid w:val="00AA7537"/>
    <w:rsid w:val="00AA7660"/>
    <w:rsid w:val="00AA76A6"/>
    <w:rsid w:val="00AA76B4"/>
    <w:rsid w:val="00AA771A"/>
    <w:rsid w:val="00AA775F"/>
    <w:rsid w:val="00AA7778"/>
    <w:rsid w:val="00AA777F"/>
    <w:rsid w:val="00AA778F"/>
    <w:rsid w:val="00AA7890"/>
    <w:rsid w:val="00AA7946"/>
    <w:rsid w:val="00AA79E8"/>
    <w:rsid w:val="00AA7BAC"/>
    <w:rsid w:val="00AA7CA0"/>
    <w:rsid w:val="00AA7CBA"/>
    <w:rsid w:val="00AA7CCE"/>
    <w:rsid w:val="00AA7CF4"/>
    <w:rsid w:val="00AA7D2D"/>
    <w:rsid w:val="00AA7D93"/>
    <w:rsid w:val="00AA7DE3"/>
    <w:rsid w:val="00AA7DEA"/>
    <w:rsid w:val="00AA7E2D"/>
    <w:rsid w:val="00AA7F09"/>
    <w:rsid w:val="00AA7F59"/>
    <w:rsid w:val="00AA7F8F"/>
    <w:rsid w:val="00AA7FB7"/>
    <w:rsid w:val="00AA7FD7"/>
    <w:rsid w:val="00AB002D"/>
    <w:rsid w:val="00AB0128"/>
    <w:rsid w:val="00AB0339"/>
    <w:rsid w:val="00AB038D"/>
    <w:rsid w:val="00AB03F7"/>
    <w:rsid w:val="00AB040F"/>
    <w:rsid w:val="00AB048A"/>
    <w:rsid w:val="00AB051B"/>
    <w:rsid w:val="00AB053B"/>
    <w:rsid w:val="00AB05E3"/>
    <w:rsid w:val="00AB065C"/>
    <w:rsid w:val="00AB0717"/>
    <w:rsid w:val="00AB083E"/>
    <w:rsid w:val="00AB0903"/>
    <w:rsid w:val="00AB0941"/>
    <w:rsid w:val="00AB0A26"/>
    <w:rsid w:val="00AB0A44"/>
    <w:rsid w:val="00AB0A72"/>
    <w:rsid w:val="00AB0BFB"/>
    <w:rsid w:val="00AB0C0A"/>
    <w:rsid w:val="00AB0C3E"/>
    <w:rsid w:val="00AB0C74"/>
    <w:rsid w:val="00AB0D90"/>
    <w:rsid w:val="00AB0E52"/>
    <w:rsid w:val="00AB1004"/>
    <w:rsid w:val="00AB101D"/>
    <w:rsid w:val="00AB105E"/>
    <w:rsid w:val="00AB1111"/>
    <w:rsid w:val="00AB1157"/>
    <w:rsid w:val="00AB1168"/>
    <w:rsid w:val="00AB11CB"/>
    <w:rsid w:val="00AB1211"/>
    <w:rsid w:val="00AB1288"/>
    <w:rsid w:val="00AB12E0"/>
    <w:rsid w:val="00AB12E8"/>
    <w:rsid w:val="00AB130B"/>
    <w:rsid w:val="00AB132E"/>
    <w:rsid w:val="00AB136A"/>
    <w:rsid w:val="00AB13B1"/>
    <w:rsid w:val="00AB141B"/>
    <w:rsid w:val="00AB1423"/>
    <w:rsid w:val="00AB1481"/>
    <w:rsid w:val="00AB1498"/>
    <w:rsid w:val="00AB15D4"/>
    <w:rsid w:val="00AB1638"/>
    <w:rsid w:val="00AB16DD"/>
    <w:rsid w:val="00AB16E7"/>
    <w:rsid w:val="00AB1785"/>
    <w:rsid w:val="00AB1819"/>
    <w:rsid w:val="00AB182F"/>
    <w:rsid w:val="00AB1872"/>
    <w:rsid w:val="00AB187B"/>
    <w:rsid w:val="00AB19F6"/>
    <w:rsid w:val="00AB19F9"/>
    <w:rsid w:val="00AB1AC5"/>
    <w:rsid w:val="00AB1AD7"/>
    <w:rsid w:val="00AB1B19"/>
    <w:rsid w:val="00AB1B8B"/>
    <w:rsid w:val="00AB1B9C"/>
    <w:rsid w:val="00AB1BA0"/>
    <w:rsid w:val="00AB1C2A"/>
    <w:rsid w:val="00AB1CA3"/>
    <w:rsid w:val="00AB1D74"/>
    <w:rsid w:val="00AB1DB9"/>
    <w:rsid w:val="00AB1E86"/>
    <w:rsid w:val="00AB20AD"/>
    <w:rsid w:val="00AB20AF"/>
    <w:rsid w:val="00AB210D"/>
    <w:rsid w:val="00AB21BA"/>
    <w:rsid w:val="00AB2257"/>
    <w:rsid w:val="00AB22C4"/>
    <w:rsid w:val="00AB22C9"/>
    <w:rsid w:val="00AB2348"/>
    <w:rsid w:val="00AB23D9"/>
    <w:rsid w:val="00AB24A8"/>
    <w:rsid w:val="00AB25CB"/>
    <w:rsid w:val="00AB2657"/>
    <w:rsid w:val="00AB26C3"/>
    <w:rsid w:val="00AB26E1"/>
    <w:rsid w:val="00AB2880"/>
    <w:rsid w:val="00AB28EB"/>
    <w:rsid w:val="00AB296B"/>
    <w:rsid w:val="00AB29AB"/>
    <w:rsid w:val="00AB2BD7"/>
    <w:rsid w:val="00AB2BF4"/>
    <w:rsid w:val="00AB2C59"/>
    <w:rsid w:val="00AB2C94"/>
    <w:rsid w:val="00AB2CB3"/>
    <w:rsid w:val="00AB2CCF"/>
    <w:rsid w:val="00AB2CDF"/>
    <w:rsid w:val="00AB2D60"/>
    <w:rsid w:val="00AB2DF0"/>
    <w:rsid w:val="00AB2E14"/>
    <w:rsid w:val="00AB2E9C"/>
    <w:rsid w:val="00AB2EA2"/>
    <w:rsid w:val="00AB2F51"/>
    <w:rsid w:val="00AB2F65"/>
    <w:rsid w:val="00AB307A"/>
    <w:rsid w:val="00AB313D"/>
    <w:rsid w:val="00AB3171"/>
    <w:rsid w:val="00AB319F"/>
    <w:rsid w:val="00AB31C4"/>
    <w:rsid w:val="00AB31EF"/>
    <w:rsid w:val="00AB3208"/>
    <w:rsid w:val="00AB326D"/>
    <w:rsid w:val="00AB3295"/>
    <w:rsid w:val="00AB35FC"/>
    <w:rsid w:val="00AB369D"/>
    <w:rsid w:val="00AB36CE"/>
    <w:rsid w:val="00AB36E6"/>
    <w:rsid w:val="00AB373D"/>
    <w:rsid w:val="00AB3822"/>
    <w:rsid w:val="00AB383A"/>
    <w:rsid w:val="00AB3866"/>
    <w:rsid w:val="00AB3891"/>
    <w:rsid w:val="00AB39CD"/>
    <w:rsid w:val="00AB39EA"/>
    <w:rsid w:val="00AB3A5C"/>
    <w:rsid w:val="00AB3BBE"/>
    <w:rsid w:val="00AB3C0C"/>
    <w:rsid w:val="00AB3C63"/>
    <w:rsid w:val="00AB3CDA"/>
    <w:rsid w:val="00AB3D79"/>
    <w:rsid w:val="00AB3DDA"/>
    <w:rsid w:val="00AB3E85"/>
    <w:rsid w:val="00AB3EB6"/>
    <w:rsid w:val="00AB3EF8"/>
    <w:rsid w:val="00AB3EFF"/>
    <w:rsid w:val="00AB3F54"/>
    <w:rsid w:val="00AB3FAD"/>
    <w:rsid w:val="00AB3FB2"/>
    <w:rsid w:val="00AB3FF2"/>
    <w:rsid w:val="00AB4021"/>
    <w:rsid w:val="00AB407A"/>
    <w:rsid w:val="00AB407E"/>
    <w:rsid w:val="00AB4223"/>
    <w:rsid w:val="00AB4269"/>
    <w:rsid w:val="00AB42EB"/>
    <w:rsid w:val="00AB42FD"/>
    <w:rsid w:val="00AB4343"/>
    <w:rsid w:val="00AB43E3"/>
    <w:rsid w:val="00AB45EF"/>
    <w:rsid w:val="00AB46FC"/>
    <w:rsid w:val="00AB4882"/>
    <w:rsid w:val="00AB48A8"/>
    <w:rsid w:val="00AB48F1"/>
    <w:rsid w:val="00AB4945"/>
    <w:rsid w:val="00AB49CD"/>
    <w:rsid w:val="00AB49EF"/>
    <w:rsid w:val="00AB4A1D"/>
    <w:rsid w:val="00AB4A54"/>
    <w:rsid w:val="00AB4AEB"/>
    <w:rsid w:val="00AB4B80"/>
    <w:rsid w:val="00AB4BB9"/>
    <w:rsid w:val="00AB4C67"/>
    <w:rsid w:val="00AB4C9A"/>
    <w:rsid w:val="00AB4CBE"/>
    <w:rsid w:val="00AB4D2D"/>
    <w:rsid w:val="00AB4D8D"/>
    <w:rsid w:val="00AB4EBD"/>
    <w:rsid w:val="00AB4F73"/>
    <w:rsid w:val="00AB4F96"/>
    <w:rsid w:val="00AB4FBE"/>
    <w:rsid w:val="00AB507E"/>
    <w:rsid w:val="00AB50C0"/>
    <w:rsid w:val="00AB51B9"/>
    <w:rsid w:val="00AB5233"/>
    <w:rsid w:val="00AB525D"/>
    <w:rsid w:val="00AB52C7"/>
    <w:rsid w:val="00AB52DF"/>
    <w:rsid w:val="00AB5321"/>
    <w:rsid w:val="00AB5356"/>
    <w:rsid w:val="00AB548B"/>
    <w:rsid w:val="00AB54E0"/>
    <w:rsid w:val="00AB54E3"/>
    <w:rsid w:val="00AB54EC"/>
    <w:rsid w:val="00AB5537"/>
    <w:rsid w:val="00AB556C"/>
    <w:rsid w:val="00AB567C"/>
    <w:rsid w:val="00AB5796"/>
    <w:rsid w:val="00AB57D2"/>
    <w:rsid w:val="00AB57FE"/>
    <w:rsid w:val="00AB583B"/>
    <w:rsid w:val="00AB5856"/>
    <w:rsid w:val="00AB5956"/>
    <w:rsid w:val="00AB597A"/>
    <w:rsid w:val="00AB5A67"/>
    <w:rsid w:val="00AB5AF6"/>
    <w:rsid w:val="00AB5B2F"/>
    <w:rsid w:val="00AB5B54"/>
    <w:rsid w:val="00AB5C39"/>
    <w:rsid w:val="00AB5C67"/>
    <w:rsid w:val="00AB5C94"/>
    <w:rsid w:val="00AB5CF5"/>
    <w:rsid w:val="00AB5D2F"/>
    <w:rsid w:val="00AB5D61"/>
    <w:rsid w:val="00AB5D79"/>
    <w:rsid w:val="00AB5D84"/>
    <w:rsid w:val="00AB5DB5"/>
    <w:rsid w:val="00AB5DDC"/>
    <w:rsid w:val="00AB5DDE"/>
    <w:rsid w:val="00AB5E81"/>
    <w:rsid w:val="00AB5EDF"/>
    <w:rsid w:val="00AB5F49"/>
    <w:rsid w:val="00AB5FB0"/>
    <w:rsid w:val="00AB5FB8"/>
    <w:rsid w:val="00AB6169"/>
    <w:rsid w:val="00AB61E4"/>
    <w:rsid w:val="00AB61ED"/>
    <w:rsid w:val="00AB636B"/>
    <w:rsid w:val="00AB63C9"/>
    <w:rsid w:val="00AB6446"/>
    <w:rsid w:val="00AB64E5"/>
    <w:rsid w:val="00AB64FF"/>
    <w:rsid w:val="00AB65F4"/>
    <w:rsid w:val="00AB66D9"/>
    <w:rsid w:val="00AB6775"/>
    <w:rsid w:val="00AB684D"/>
    <w:rsid w:val="00AB68D3"/>
    <w:rsid w:val="00AB68DE"/>
    <w:rsid w:val="00AB6937"/>
    <w:rsid w:val="00AB6969"/>
    <w:rsid w:val="00AB6A27"/>
    <w:rsid w:val="00AB6A90"/>
    <w:rsid w:val="00AB6AD6"/>
    <w:rsid w:val="00AB6AD8"/>
    <w:rsid w:val="00AB6B93"/>
    <w:rsid w:val="00AB6BB6"/>
    <w:rsid w:val="00AB6BF5"/>
    <w:rsid w:val="00AB6C35"/>
    <w:rsid w:val="00AB6CF0"/>
    <w:rsid w:val="00AB6CFD"/>
    <w:rsid w:val="00AB6DA7"/>
    <w:rsid w:val="00AB6ED0"/>
    <w:rsid w:val="00AB6EE2"/>
    <w:rsid w:val="00AB705D"/>
    <w:rsid w:val="00AB7069"/>
    <w:rsid w:val="00AB70FF"/>
    <w:rsid w:val="00AB710C"/>
    <w:rsid w:val="00AB71DF"/>
    <w:rsid w:val="00AB7211"/>
    <w:rsid w:val="00AB7226"/>
    <w:rsid w:val="00AB72BF"/>
    <w:rsid w:val="00AB72DB"/>
    <w:rsid w:val="00AB7325"/>
    <w:rsid w:val="00AB73E3"/>
    <w:rsid w:val="00AB73F4"/>
    <w:rsid w:val="00AB7609"/>
    <w:rsid w:val="00AB764F"/>
    <w:rsid w:val="00AB76A6"/>
    <w:rsid w:val="00AB76EC"/>
    <w:rsid w:val="00AB7743"/>
    <w:rsid w:val="00AB7862"/>
    <w:rsid w:val="00AB7962"/>
    <w:rsid w:val="00AB79A9"/>
    <w:rsid w:val="00AB7A43"/>
    <w:rsid w:val="00AB7A46"/>
    <w:rsid w:val="00AB7A6A"/>
    <w:rsid w:val="00AB7AFE"/>
    <w:rsid w:val="00AB7DEB"/>
    <w:rsid w:val="00AB7E7E"/>
    <w:rsid w:val="00AB7EA2"/>
    <w:rsid w:val="00AB7EB3"/>
    <w:rsid w:val="00AC011A"/>
    <w:rsid w:val="00AC0158"/>
    <w:rsid w:val="00AC0185"/>
    <w:rsid w:val="00AC0188"/>
    <w:rsid w:val="00AC01C4"/>
    <w:rsid w:val="00AC01CB"/>
    <w:rsid w:val="00AC0252"/>
    <w:rsid w:val="00AC036C"/>
    <w:rsid w:val="00AC047A"/>
    <w:rsid w:val="00AC0514"/>
    <w:rsid w:val="00AC0522"/>
    <w:rsid w:val="00AC0549"/>
    <w:rsid w:val="00AC0551"/>
    <w:rsid w:val="00AC0561"/>
    <w:rsid w:val="00AC0583"/>
    <w:rsid w:val="00AC05BB"/>
    <w:rsid w:val="00AC05D5"/>
    <w:rsid w:val="00AC065D"/>
    <w:rsid w:val="00AC0744"/>
    <w:rsid w:val="00AC075B"/>
    <w:rsid w:val="00AC07D8"/>
    <w:rsid w:val="00AC0834"/>
    <w:rsid w:val="00AC0884"/>
    <w:rsid w:val="00AC091E"/>
    <w:rsid w:val="00AC0950"/>
    <w:rsid w:val="00AC0973"/>
    <w:rsid w:val="00AC0997"/>
    <w:rsid w:val="00AC0A3D"/>
    <w:rsid w:val="00AC0AD7"/>
    <w:rsid w:val="00AC0B6E"/>
    <w:rsid w:val="00AC0B91"/>
    <w:rsid w:val="00AC0BA4"/>
    <w:rsid w:val="00AC0CE1"/>
    <w:rsid w:val="00AC0DAF"/>
    <w:rsid w:val="00AC0DB2"/>
    <w:rsid w:val="00AC0DB6"/>
    <w:rsid w:val="00AC0EBB"/>
    <w:rsid w:val="00AC0ECF"/>
    <w:rsid w:val="00AC0F2A"/>
    <w:rsid w:val="00AC1291"/>
    <w:rsid w:val="00AC1295"/>
    <w:rsid w:val="00AC131F"/>
    <w:rsid w:val="00AC13C3"/>
    <w:rsid w:val="00AC1431"/>
    <w:rsid w:val="00AC145B"/>
    <w:rsid w:val="00AC146F"/>
    <w:rsid w:val="00AC148C"/>
    <w:rsid w:val="00AC14D4"/>
    <w:rsid w:val="00AC15A4"/>
    <w:rsid w:val="00AC1602"/>
    <w:rsid w:val="00AC1621"/>
    <w:rsid w:val="00AC1644"/>
    <w:rsid w:val="00AC164B"/>
    <w:rsid w:val="00AC16FE"/>
    <w:rsid w:val="00AC1755"/>
    <w:rsid w:val="00AC17EC"/>
    <w:rsid w:val="00AC1800"/>
    <w:rsid w:val="00AC1820"/>
    <w:rsid w:val="00AC18B4"/>
    <w:rsid w:val="00AC192F"/>
    <w:rsid w:val="00AC1997"/>
    <w:rsid w:val="00AC1B36"/>
    <w:rsid w:val="00AC1BD9"/>
    <w:rsid w:val="00AC1C3E"/>
    <w:rsid w:val="00AC1C78"/>
    <w:rsid w:val="00AC1C90"/>
    <w:rsid w:val="00AC1C9A"/>
    <w:rsid w:val="00AC1CA5"/>
    <w:rsid w:val="00AC1CD1"/>
    <w:rsid w:val="00AC1D7E"/>
    <w:rsid w:val="00AC1E1C"/>
    <w:rsid w:val="00AC1E23"/>
    <w:rsid w:val="00AC1E5B"/>
    <w:rsid w:val="00AC1ED0"/>
    <w:rsid w:val="00AC1F3C"/>
    <w:rsid w:val="00AC1FC4"/>
    <w:rsid w:val="00AC2092"/>
    <w:rsid w:val="00AC21B2"/>
    <w:rsid w:val="00AC21ED"/>
    <w:rsid w:val="00AC225D"/>
    <w:rsid w:val="00AC22B0"/>
    <w:rsid w:val="00AC22C9"/>
    <w:rsid w:val="00AC2426"/>
    <w:rsid w:val="00AC244C"/>
    <w:rsid w:val="00AC24EF"/>
    <w:rsid w:val="00AC2528"/>
    <w:rsid w:val="00AC25B4"/>
    <w:rsid w:val="00AC25CC"/>
    <w:rsid w:val="00AC2603"/>
    <w:rsid w:val="00AC263A"/>
    <w:rsid w:val="00AC2670"/>
    <w:rsid w:val="00AC268E"/>
    <w:rsid w:val="00AC26C3"/>
    <w:rsid w:val="00AC276D"/>
    <w:rsid w:val="00AC2840"/>
    <w:rsid w:val="00AC28C7"/>
    <w:rsid w:val="00AC29AA"/>
    <w:rsid w:val="00AC29C5"/>
    <w:rsid w:val="00AC2A4A"/>
    <w:rsid w:val="00AC2A97"/>
    <w:rsid w:val="00AC2D04"/>
    <w:rsid w:val="00AC2D14"/>
    <w:rsid w:val="00AC2D53"/>
    <w:rsid w:val="00AC2D9F"/>
    <w:rsid w:val="00AC2F3B"/>
    <w:rsid w:val="00AC3014"/>
    <w:rsid w:val="00AC303D"/>
    <w:rsid w:val="00AC3056"/>
    <w:rsid w:val="00AC30A6"/>
    <w:rsid w:val="00AC30B2"/>
    <w:rsid w:val="00AC310F"/>
    <w:rsid w:val="00AC3118"/>
    <w:rsid w:val="00AC3132"/>
    <w:rsid w:val="00AC3230"/>
    <w:rsid w:val="00AC324B"/>
    <w:rsid w:val="00AC3257"/>
    <w:rsid w:val="00AC32BA"/>
    <w:rsid w:val="00AC3361"/>
    <w:rsid w:val="00AC33C7"/>
    <w:rsid w:val="00AC33C9"/>
    <w:rsid w:val="00AC3495"/>
    <w:rsid w:val="00AC34AC"/>
    <w:rsid w:val="00AC35C8"/>
    <w:rsid w:val="00AC35F0"/>
    <w:rsid w:val="00AC36AA"/>
    <w:rsid w:val="00AC36B4"/>
    <w:rsid w:val="00AC36D4"/>
    <w:rsid w:val="00AC36F0"/>
    <w:rsid w:val="00AC3732"/>
    <w:rsid w:val="00AC3735"/>
    <w:rsid w:val="00AC3956"/>
    <w:rsid w:val="00AC3A2C"/>
    <w:rsid w:val="00AC3C36"/>
    <w:rsid w:val="00AC3D2E"/>
    <w:rsid w:val="00AC3D30"/>
    <w:rsid w:val="00AC3D4F"/>
    <w:rsid w:val="00AC3E9B"/>
    <w:rsid w:val="00AC3EF9"/>
    <w:rsid w:val="00AC3F0C"/>
    <w:rsid w:val="00AC3F25"/>
    <w:rsid w:val="00AC3F57"/>
    <w:rsid w:val="00AC3F94"/>
    <w:rsid w:val="00AC4042"/>
    <w:rsid w:val="00AC40B8"/>
    <w:rsid w:val="00AC40D9"/>
    <w:rsid w:val="00AC41EF"/>
    <w:rsid w:val="00AC4266"/>
    <w:rsid w:val="00AC436A"/>
    <w:rsid w:val="00AC43C3"/>
    <w:rsid w:val="00AC43CB"/>
    <w:rsid w:val="00AC449C"/>
    <w:rsid w:val="00AC45CF"/>
    <w:rsid w:val="00AC45E1"/>
    <w:rsid w:val="00AC4612"/>
    <w:rsid w:val="00AC466E"/>
    <w:rsid w:val="00AC468A"/>
    <w:rsid w:val="00AC469F"/>
    <w:rsid w:val="00AC46A0"/>
    <w:rsid w:val="00AC46C4"/>
    <w:rsid w:val="00AC46C6"/>
    <w:rsid w:val="00AC46E5"/>
    <w:rsid w:val="00AC4834"/>
    <w:rsid w:val="00AC4890"/>
    <w:rsid w:val="00AC48AF"/>
    <w:rsid w:val="00AC48B4"/>
    <w:rsid w:val="00AC48C0"/>
    <w:rsid w:val="00AC48C3"/>
    <w:rsid w:val="00AC48E5"/>
    <w:rsid w:val="00AC48E7"/>
    <w:rsid w:val="00AC49F6"/>
    <w:rsid w:val="00AC4A63"/>
    <w:rsid w:val="00AC4AC9"/>
    <w:rsid w:val="00AC4ADF"/>
    <w:rsid w:val="00AC4BD6"/>
    <w:rsid w:val="00AC4C28"/>
    <w:rsid w:val="00AC4C30"/>
    <w:rsid w:val="00AC4C33"/>
    <w:rsid w:val="00AC4C4C"/>
    <w:rsid w:val="00AC4C61"/>
    <w:rsid w:val="00AC4C82"/>
    <w:rsid w:val="00AC4CC1"/>
    <w:rsid w:val="00AC4D24"/>
    <w:rsid w:val="00AC4D2F"/>
    <w:rsid w:val="00AC4E07"/>
    <w:rsid w:val="00AC4E0E"/>
    <w:rsid w:val="00AC4EF7"/>
    <w:rsid w:val="00AC4FC2"/>
    <w:rsid w:val="00AC5019"/>
    <w:rsid w:val="00AC5022"/>
    <w:rsid w:val="00AC5071"/>
    <w:rsid w:val="00AC50E9"/>
    <w:rsid w:val="00AC5115"/>
    <w:rsid w:val="00AC5182"/>
    <w:rsid w:val="00AC519E"/>
    <w:rsid w:val="00AC51A8"/>
    <w:rsid w:val="00AC51D4"/>
    <w:rsid w:val="00AC5231"/>
    <w:rsid w:val="00AC5281"/>
    <w:rsid w:val="00AC52A3"/>
    <w:rsid w:val="00AC5332"/>
    <w:rsid w:val="00AC53D2"/>
    <w:rsid w:val="00AC54E7"/>
    <w:rsid w:val="00AC552A"/>
    <w:rsid w:val="00AC565D"/>
    <w:rsid w:val="00AC5678"/>
    <w:rsid w:val="00AC568F"/>
    <w:rsid w:val="00AC5746"/>
    <w:rsid w:val="00AC5761"/>
    <w:rsid w:val="00AC578A"/>
    <w:rsid w:val="00AC5872"/>
    <w:rsid w:val="00AC59AE"/>
    <w:rsid w:val="00AC59BC"/>
    <w:rsid w:val="00AC59D5"/>
    <w:rsid w:val="00AC5A3B"/>
    <w:rsid w:val="00AC5A66"/>
    <w:rsid w:val="00AC5ABE"/>
    <w:rsid w:val="00AC5B08"/>
    <w:rsid w:val="00AC5BBD"/>
    <w:rsid w:val="00AC5BD5"/>
    <w:rsid w:val="00AC5C0B"/>
    <w:rsid w:val="00AC5C23"/>
    <w:rsid w:val="00AC5C27"/>
    <w:rsid w:val="00AC5C36"/>
    <w:rsid w:val="00AC5C4C"/>
    <w:rsid w:val="00AC5CC8"/>
    <w:rsid w:val="00AC5D07"/>
    <w:rsid w:val="00AC5D31"/>
    <w:rsid w:val="00AC5D37"/>
    <w:rsid w:val="00AC5D86"/>
    <w:rsid w:val="00AC5DEA"/>
    <w:rsid w:val="00AC5EE5"/>
    <w:rsid w:val="00AC5F6D"/>
    <w:rsid w:val="00AC5F9C"/>
    <w:rsid w:val="00AC601B"/>
    <w:rsid w:val="00AC60E2"/>
    <w:rsid w:val="00AC6148"/>
    <w:rsid w:val="00AC6159"/>
    <w:rsid w:val="00AC6224"/>
    <w:rsid w:val="00AC62E2"/>
    <w:rsid w:val="00AC6311"/>
    <w:rsid w:val="00AC6354"/>
    <w:rsid w:val="00AC63C5"/>
    <w:rsid w:val="00AC6445"/>
    <w:rsid w:val="00AC6496"/>
    <w:rsid w:val="00AC64BC"/>
    <w:rsid w:val="00AC64F1"/>
    <w:rsid w:val="00AC6565"/>
    <w:rsid w:val="00AC6594"/>
    <w:rsid w:val="00AC66BD"/>
    <w:rsid w:val="00AC675F"/>
    <w:rsid w:val="00AC67A2"/>
    <w:rsid w:val="00AC67B2"/>
    <w:rsid w:val="00AC67C4"/>
    <w:rsid w:val="00AC67C6"/>
    <w:rsid w:val="00AC67F5"/>
    <w:rsid w:val="00AC6936"/>
    <w:rsid w:val="00AC6A09"/>
    <w:rsid w:val="00AC6A5D"/>
    <w:rsid w:val="00AC6ABF"/>
    <w:rsid w:val="00AC6AC2"/>
    <w:rsid w:val="00AC6B35"/>
    <w:rsid w:val="00AC6B54"/>
    <w:rsid w:val="00AC6C6B"/>
    <w:rsid w:val="00AC6D86"/>
    <w:rsid w:val="00AC6DA3"/>
    <w:rsid w:val="00AC6DE0"/>
    <w:rsid w:val="00AC6E0B"/>
    <w:rsid w:val="00AC6E0F"/>
    <w:rsid w:val="00AC6E77"/>
    <w:rsid w:val="00AC6EB6"/>
    <w:rsid w:val="00AC704A"/>
    <w:rsid w:val="00AC7152"/>
    <w:rsid w:val="00AC7184"/>
    <w:rsid w:val="00AC719C"/>
    <w:rsid w:val="00AC71B4"/>
    <w:rsid w:val="00AC71B8"/>
    <w:rsid w:val="00AC72AF"/>
    <w:rsid w:val="00AC72B0"/>
    <w:rsid w:val="00AC72C5"/>
    <w:rsid w:val="00AC72F0"/>
    <w:rsid w:val="00AC72F8"/>
    <w:rsid w:val="00AC731B"/>
    <w:rsid w:val="00AC7323"/>
    <w:rsid w:val="00AC733B"/>
    <w:rsid w:val="00AC736D"/>
    <w:rsid w:val="00AC7383"/>
    <w:rsid w:val="00AC73B9"/>
    <w:rsid w:val="00AC73D9"/>
    <w:rsid w:val="00AC73EA"/>
    <w:rsid w:val="00AC74AB"/>
    <w:rsid w:val="00AC74D9"/>
    <w:rsid w:val="00AC7515"/>
    <w:rsid w:val="00AC7542"/>
    <w:rsid w:val="00AC75C4"/>
    <w:rsid w:val="00AC7634"/>
    <w:rsid w:val="00AC76BE"/>
    <w:rsid w:val="00AC776F"/>
    <w:rsid w:val="00AC789B"/>
    <w:rsid w:val="00AC799A"/>
    <w:rsid w:val="00AC7A09"/>
    <w:rsid w:val="00AC7A9D"/>
    <w:rsid w:val="00AC7B4A"/>
    <w:rsid w:val="00AC7BB6"/>
    <w:rsid w:val="00AC7BD3"/>
    <w:rsid w:val="00AC7C08"/>
    <w:rsid w:val="00AC7C98"/>
    <w:rsid w:val="00AC7DC2"/>
    <w:rsid w:val="00AC7DD2"/>
    <w:rsid w:val="00AC7E0A"/>
    <w:rsid w:val="00AC7E1D"/>
    <w:rsid w:val="00AC7E3B"/>
    <w:rsid w:val="00AC7E95"/>
    <w:rsid w:val="00AC7F83"/>
    <w:rsid w:val="00AC7F86"/>
    <w:rsid w:val="00AC7FD5"/>
    <w:rsid w:val="00AC7FDF"/>
    <w:rsid w:val="00AC7FE8"/>
    <w:rsid w:val="00AD0097"/>
    <w:rsid w:val="00AD0254"/>
    <w:rsid w:val="00AD02AF"/>
    <w:rsid w:val="00AD02E1"/>
    <w:rsid w:val="00AD0310"/>
    <w:rsid w:val="00AD0403"/>
    <w:rsid w:val="00AD043A"/>
    <w:rsid w:val="00AD0578"/>
    <w:rsid w:val="00AD0580"/>
    <w:rsid w:val="00AD05A6"/>
    <w:rsid w:val="00AD0657"/>
    <w:rsid w:val="00AD0696"/>
    <w:rsid w:val="00AD0844"/>
    <w:rsid w:val="00AD0858"/>
    <w:rsid w:val="00AD088E"/>
    <w:rsid w:val="00AD0900"/>
    <w:rsid w:val="00AD09DF"/>
    <w:rsid w:val="00AD09FC"/>
    <w:rsid w:val="00AD0A5E"/>
    <w:rsid w:val="00AD0B00"/>
    <w:rsid w:val="00AD0B46"/>
    <w:rsid w:val="00AD0B57"/>
    <w:rsid w:val="00AD0BDD"/>
    <w:rsid w:val="00AD0BF7"/>
    <w:rsid w:val="00AD0C18"/>
    <w:rsid w:val="00AD0C27"/>
    <w:rsid w:val="00AD0C2B"/>
    <w:rsid w:val="00AD0C51"/>
    <w:rsid w:val="00AD0C6F"/>
    <w:rsid w:val="00AD0C81"/>
    <w:rsid w:val="00AD0CDD"/>
    <w:rsid w:val="00AD0CF5"/>
    <w:rsid w:val="00AD0D3B"/>
    <w:rsid w:val="00AD0FDA"/>
    <w:rsid w:val="00AD0FE4"/>
    <w:rsid w:val="00AD1003"/>
    <w:rsid w:val="00AD1007"/>
    <w:rsid w:val="00AD101A"/>
    <w:rsid w:val="00AD1031"/>
    <w:rsid w:val="00AD10AC"/>
    <w:rsid w:val="00AD1109"/>
    <w:rsid w:val="00AD1124"/>
    <w:rsid w:val="00AD11F1"/>
    <w:rsid w:val="00AD1335"/>
    <w:rsid w:val="00AD1388"/>
    <w:rsid w:val="00AD13C7"/>
    <w:rsid w:val="00AD1450"/>
    <w:rsid w:val="00AD148A"/>
    <w:rsid w:val="00AD1552"/>
    <w:rsid w:val="00AD158E"/>
    <w:rsid w:val="00AD15C5"/>
    <w:rsid w:val="00AD15DE"/>
    <w:rsid w:val="00AD1630"/>
    <w:rsid w:val="00AD1702"/>
    <w:rsid w:val="00AD1874"/>
    <w:rsid w:val="00AD18D8"/>
    <w:rsid w:val="00AD18FD"/>
    <w:rsid w:val="00AD19B9"/>
    <w:rsid w:val="00AD19C6"/>
    <w:rsid w:val="00AD1A88"/>
    <w:rsid w:val="00AD1AC6"/>
    <w:rsid w:val="00AD1B85"/>
    <w:rsid w:val="00AD1DEB"/>
    <w:rsid w:val="00AD1E53"/>
    <w:rsid w:val="00AD1EDF"/>
    <w:rsid w:val="00AD1F1E"/>
    <w:rsid w:val="00AD1F59"/>
    <w:rsid w:val="00AD1F6B"/>
    <w:rsid w:val="00AD1FD4"/>
    <w:rsid w:val="00AD2001"/>
    <w:rsid w:val="00AD208B"/>
    <w:rsid w:val="00AD20C8"/>
    <w:rsid w:val="00AD20E2"/>
    <w:rsid w:val="00AD210A"/>
    <w:rsid w:val="00AD2121"/>
    <w:rsid w:val="00AD214F"/>
    <w:rsid w:val="00AD217A"/>
    <w:rsid w:val="00AD224B"/>
    <w:rsid w:val="00AD2256"/>
    <w:rsid w:val="00AD22E4"/>
    <w:rsid w:val="00AD234C"/>
    <w:rsid w:val="00AD247B"/>
    <w:rsid w:val="00AD259D"/>
    <w:rsid w:val="00AD25A2"/>
    <w:rsid w:val="00AD2676"/>
    <w:rsid w:val="00AD2686"/>
    <w:rsid w:val="00AD271C"/>
    <w:rsid w:val="00AD2860"/>
    <w:rsid w:val="00AD2891"/>
    <w:rsid w:val="00AD2892"/>
    <w:rsid w:val="00AD290B"/>
    <w:rsid w:val="00AD29B0"/>
    <w:rsid w:val="00AD2A1B"/>
    <w:rsid w:val="00AD2A30"/>
    <w:rsid w:val="00AD2AF9"/>
    <w:rsid w:val="00AD2B23"/>
    <w:rsid w:val="00AD2B34"/>
    <w:rsid w:val="00AD2BE5"/>
    <w:rsid w:val="00AD2BFC"/>
    <w:rsid w:val="00AD2C8D"/>
    <w:rsid w:val="00AD2C98"/>
    <w:rsid w:val="00AD2DBA"/>
    <w:rsid w:val="00AD2DEB"/>
    <w:rsid w:val="00AD2E60"/>
    <w:rsid w:val="00AD2ED3"/>
    <w:rsid w:val="00AD2F72"/>
    <w:rsid w:val="00AD2FD8"/>
    <w:rsid w:val="00AD2FE3"/>
    <w:rsid w:val="00AD303C"/>
    <w:rsid w:val="00AD3065"/>
    <w:rsid w:val="00AD308A"/>
    <w:rsid w:val="00AD30DE"/>
    <w:rsid w:val="00AD312F"/>
    <w:rsid w:val="00AD31EE"/>
    <w:rsid w:val="00AD3253"/>
    <w:rsid w:val="00AD32C3"/>
    <w:rsid w:val="00AD3324"/>
    <w:rsid w:val="00AD33D8"/>
    <w:rsid w:val="00AD33E6"/>
    <w:rsid w:val="00AD33F4"/>
    <w:rsid w:val="00AD3410"/>
    <w:rsid w:val="00AD3457"/>
    <w:rsid w:val="00AD3465"/>
    <w:rsid w:val="00AD3571"/>
    <w:rsid w:val="00AD359A"/>
    <w:rsid w:val="00AD35DB"/>
    <w:rsid w:val="00AD3624"/>
    <w:rsid w:val="00AD3645"/>
    <w:rsid w:val="00AD368A"/>
    <w:rsid w:val="00AD36DB"/>
    <w:rsid w:val="00AD36EA"/>
    <w:rsid w:val="00AD37D4"/>
    <w:rsid w:val="00AD3808"/>
    <w:rsid w:val="00AD380E"/>
    <w:rsid w:val="00AD3906"/>
    <w:rsid w:val="00AD3913"/>
    <w:rsid w:val="00AD3980"/>
    <w:rsid w:val="00AD3981"/>
    <w:rsid w:val="00AD39E4"/>
    <w:rsid w:val="00AD3A21"/>
    <w:rsid w:val="00AD3AAB"/>
    <w:rsid w:val="00AD3B1C"/>
    <w:rsid w:val="00AD3BA0"/>
    <w:rsid w:val="00AD3C38"/>
    <w:rsid w:val="00AD3CDB"/>
    <w:rsid w:val="00AD3D21"/>
    <w:rsid w:val="00AD3D3E"/>
    <w:rsid w:val="00AD3E72"/>
    <w:rsid w:val="00AD3E8E"/>
    <w:rsid w:val="00AD3EBA"/>
    <w:rsid w:val="00AD3EDA"/>
    <w:rsid w:val="00AD3F29"/>
    <w:rsid w:val="00AD3F73"/>
    <w:rsid w:val="00AD3F7D"/>
    <w:rsid w:val="00AD3F84"/>
    <w:rsid w:val="00AD404A"/>
    <w:rsid w:val="00AD40FC"/>
    <w:rsid w:val="00AD41DD"/>
    <w:rsid w:val="00AD420B"/>
    <w:rsid w:val="00AD42BE"/>
    <w:rsid w:val="00AD43A3"/>
    <w:rsid w:val="00AD43E6"/>
    <w:rsid w:val="00AD448D"/>
    <w:rsid w:val="00AD44C1"/>
    <w:rsid w:val="00AD44D4"/>
    <w:rsid w:val="00AD44DC"/>
    <w:rsid w:val="00AD4605"/>
    <w:rsid w:val="00AD464F"/>
    <w:rsid w:val="00AD4671"/>
    <w:rsid w:val="00AD46D8"/>
    <w:rsid w:val="00AD47FD"/>
    <w:rsid w:val="00AD4816"/>
    <w:rsid w:val="00AD499D"/>
    <w:rsid w:val="00AD4A49"/>
    <w:rsid w:val="00AD4B75"/>
    <w:rsid w:val="00AD4B89"/>
    <w:rsid w:val="00AD4B8D"/>
    <w:rsid w:val="00AD4BDD"/>
    <w:rsid w:val="00AD4BF9"/>
    <w:rsid w:val="00AD4C0C"/>
    <w:rsid w:val="00AD4C92"/>
    <w:rsid w:val="00AD4CB1"/>
    <w:rsid w:val="00AD4D18"/>
    <w:rsid w:val="00AD4D80"/>
    <w:rsid w:val="00AD4DB0"/>
    <w:rsid w:val="00AD4E0E"/>
    <w:rsid w:val="00AD4E7F"/>
    <w:rsid w:val="00AD4EAC"/>
    <w:rsid w:val="00AD4EC8"/>
    <w:rsid w:val="00AD4FBC"/>
    <w:rsid w:val="00AD4FDB"/>
    <w:rsid w:val="00AD5027"/>
    <w:rsid w:val="00AD513F"/>
    <w:rsid w:val="00AD5154"/>
    <w:rsid w:val="00AD5157"/>
    <w:rsid w:val="00AD51BC"/>
    <w:rsid w:val="00AD51C0"/>
    <w:rsid w:val="00AD51C7"/>
    <w:rsid w:val="00AD51E7"/>
    <w:rsid w:val="00AD535E"/>
    <w:rsid w:val="00AD5362"/>
    <w:rsid w:val="00AD53B9"/>
    <w:rsid w:val="00AD53C9"/>
    <w:rsid w:val="00AD550D"/>
    <w:rsid w:val="00AD578E"/>
    <w:rsid w:val="00AD57EF"/>
    <w:rsid w:val="00AD5804"/>
    <w:rsid w:val="00AD584E"/>
    <w:rsid w:val="00AD589D"/>
    <w:rsid w:val="00AD58A0"/>
    <w:rsid w:val="00AD58A5"/>
    <w:rsid w:val="00AD591F"/>
    <w:rsid w:val="00AD5971"/>
    <w:rsid w:val="00AD5A9D"/>
    <w:rsid w:val="00AD5B6A"/>
    <w:rsid w:val="00AD5B72"/>
    <w:rsid w:val="00AD5C7D"/>
    <w:rsid w:val="00AD5CBA"/>
    <w:rsid w:val="00AD5CE4"/>
    <w:rsid w:val="00AD5CEF"/>
    <w:rsid w:val="00AD5CF3"/>
    <w:rsid w:val="00AD5DF4"/>
    <w:rsid w:val="00AD5F86"/>
    <w:rsid w:val="00AD5F9F"/>
    <w:rsid w:val="00AD6018"/>
    <w:rsid w:val="00AD6060"/>
    <w:rsid w:val="00AD6226"/>
    <w:rsid w:val="00AD6238"/>
    <w:rsid w:val="00AD6316"/>
    <w:rsid w:val="00AD633B"/>
    <w:rsid w:val="00AD6389"/>
    <w:rsid w:val="00AD63DD"/>
    <w:rsid w:val="00AD6444"/>
    <w:rsid w:val="00AD6527"/>
    <w:rsid w:val="00AD65C5"/>
    <w:rsid w:val="00AD66B5"/>
    <w:rsid w:val="00AD673A"/>
    <w:rsid w:val="00AD67A0"/>
    <w:rsid w:val="00AD67AD"/>
    <w:rsid w:val="00AD67F2"/>
    <w:rsid w:val="00AD6803"/>
    <w:rsid w:val="00AD683B"/>
    <w:rsid w:val="00AD683D"/>
    <w:rsid w:val="00AD6842"/>
    <w:rsid w:val="00AD684C"/>
    <w:rsid w:val="00AD6857"/>
    <w:rsid w:val="00AD696F"/>
    <w:rsid w:val="00AD69A6"/>
    <w:rsid w:val="00AD6A2D"/>
    <w:rsid w:val="00AD6A4D"/>
    <w:rsid w:val="00AD6A62"/>
    <w:rsid w:val="00AD6A68"/>
    <w:rsid w:val="00AD6ADD"/>
    <w:rsid w:val="00AD6ADE"/>
    <w:rsid w:val="00AD6C44"/>
    <w:rsid w:val="00AD6C9A"/>
    <w:rsid w:val="00AD6CC1"/>
    <w:rsid w:val="00AD6CF8"/>
    <w:rsid w:val="00AD6DAA"/>
    <w:rsid w:val="00AD6DD7"/>
    <w:rsid w:val="00AD6DFA"/>
    <w:rsid w:val="00AD6E08"/>
    <w:rsid w:val="00AD6E34"/>
    <w:rsid w:val="00AD6ED7"/>
    <w:rsid w:val="00AD6EDB"/>
    <w:rsid w:val="00AD6F17"/>
    <w:rsid w:val="00AD6F22"/>
    <w:rsid w:val="00AD700E"/>
    <w:rsid w:val="00AD70CD"/>
    <w:rsid w:val="00AD7138"/>
    <w:rsid w:val="00AD71AE"/>
    <w:rsid w:val="00AD71F5"/>
    <w:rsid w:val="00AD723F"/>
    <w:rsid w:val="00AD72D3"/>
    <w:rsid w:val="00AD731B"/>
    <w:rsid w:val="00AD7374"/>
    <w:rsid w:val="00AD7497"/>
    <w:rsid w:val="00AD74FE"/>
    <w:rsid w:val="00AD7576"/>
    <w:rsid w:val="00AD7578"/>
    <w:rsid w:val="00AD75A9"/>
    <w:rsid w:val="00AD7614"/>
    <w:rsid w:val="00AD7663"/>
    <w:rsid w:val="00AD769F"/>
    <w:rsid w:val="00AD77BF"/>
    <w:rsid w:val="00AD7839"/>
    <w:rsid w:val="00AD7855"/>
    <w:rsid w:val="00AD7863"/>
    <w:rsid w:val="00AD7864"/>
    <w:rsid w:val="00AD786E"/>
    <w:rsid w:val="00AD78CF"/>
    <w:rsid w:val="00AD7963"/>
    <w:rsid w:val="00AD7A86"/>
    <w:rsid w:val="00AD7A90"/>
    <w:rsid w:val="00AD7AF6"/>
    <w:rsid w:val="00AD7B52"/>
    <w:rsid w:val="00AD7B8B"/>
    <w:rsid w:val="00AD7BB8"/>
    <w:rsid w:val="00AD7CBD"/>
    <w:rsid w:val="00AD7CE8"/>
    <w:rsid w:val="00AD7D1A"/>
    <w:rsid w:val="00AD7D7A"/>
    <w:rsid w:val="00AD7DA1"/>
    <w:rsid w:val="00AD7DE8"/>
    <w:rsid w:val="00AD7E86"/>
    <w:rsid w:val="00AD7ED1"/>
    <w:rsid w:val="00AD7ED4"/>
    <w:rsid w:val="00AD7F38"/>
    <w:rsid w:val="00AD7F3F"/>
    <w:rsid w:val="00AD7F77"/>
    <w:rsid w:val="00AD7F8D"/>
    <w:rsid w:val="00AD7FA4"/>
    <w:rsid w:val="00AD7FAE"/>
    <w:rsid w:val="00AD7FE7"/>
    <w:rsid w:val="00ADECB0"/>
    <w:rsid w:val="00AE002C"/>
    <w:rsid w:val="00AE0171"/>
    <w:rsid w:val="00AE0173"/>
    <w:rsid w:val="00AE019F"/>
    <w:rsid w:val="00AE0263"/>
    <w:rsid w:val="00AE02A2"/>
    <w:rsid w:val="00AE02B0"/>
    <w:rsid w:val="00AE032B"/>
    <w:rsid w:val="00AE0336"/>
    <w:rsid w:val="00AE0351"/>
    <w:rsid w:val="00AE035C"/>
    <w:rsid w:val="00AE036B"/>
    <w:rsid w:val="00AE04BF"/>
    <w:rsid w:val="00AE04C3"/>
    <w:rsid w:val="00AE0596"/>
    <w:rsid w:val="00AE05C8"/>
    <w:rsid w:val="00AE060D"/>
    <w:rsid w:val="00AE064E"/>
    <w:rsid w:val="00AE0780"/>
    <w:rsid w:val="00AE079C"/>
    <w:rsid w:val="00AE07C3"/>
    <w:rsid w:val="00AE07E0"/>
    <w:rsid w:val="00AE085C"/>
    <w:rsid w:val="00AE0864"/>
    <w:rsid w:val="00AE08CA"/>
    <w:rsid w:val="00AE090F"/>
    <w:rsid w:val="00AE0993"/>
    <w:rsid w:val="00AE09B9"/>
    <w:rsid w:val="00AE0A01"/>
    <w:rsid w:val="00AE0A71"/>
    <w:rsid w:val="00AE0ADE"/>
    <w:rsid w:val="00AE0AEB"/>
    <w:rsid w:val="00AE0BD7"/>
    <w:rsid w:val="00AE0C4B"/>
    <w:rsid w:val="00AE0E36"/>
    <w:rsid w:val="00AE0EE3"/>
    <w:rsid w:val="00AE0F01"/>
    <w:rsid w:val="00AE107E"/>
    <w:rsid w:val="00AE10A0"/>
    <w:rsid w:val="00AE10C3"/>
    <w:rsid w:val="00AE10FE"/>
    <w:rsid w:val="00AE1228"/>
    <w:rsid w:val="00AE1231"/>
    <w:rsid w:val="00AE1314"/>
    <w:rsid w:val="00AE1330"/>
    <w:rsid w:val="00AE13CD"/>
    <w:rsid w:val="00AE142A"/>
    <w:rsid w:val="00AE1588"/>
    <w:rsid w:val="00AE15AE"/>
    <w:rsid w:val="00AE15EF"/>
    <w:rsid w:val="00AE1605"/>
    <w:rsid w:val="00AE1681"/>
    <w:rsid w:val="00AE16DA"/>
    <w:rsid w:val="00AE16E5"/>
    <w:rsid w:val="00AE174E"/>
    <w:rsid w:val="00AE1844"/>
    <w:rsid w:val="00AE1849"/>
    <w:rsid w:val="00AE187B"/>
    <w:rsid w:val="00AE18A0"/>
    <w:rsid w:val="00AE18DD"/>
    <w:rsid w:val="00AE1901"/>
    <w:rsid w:val="00AE19B5"/>
    <w:rsid w:val="00AE19C8"/>
    <w:rsid w:val="00AE1B1C"/>
    <w:rsid w:val="00AE1B1E"/>
    <w:rsid w:val="00AE1B22"/>
    <w:rsid w:val="00AE1B4B"/>
    <w:rsid w:val="00AE1BF7"/>
    <w:rsid w:val="00AE1C61"/>
    <w:rsid w:val="00AE1C8B"/>
    <w:rsid w:val="00AE1CA8"/>
    <w:rsid w:val="00AE1F7C"/>
    <w:rsid w:val="00AE205E"/>
    <w:rsid w:val="00AE2075"/>
    <w:rsid w:val="00AE21D0"/>
    <w:rsid w:val="00AE222A"/>
    <w:rsid w:val="00AE22C6"/>
    <w:rsid w:val="00AE22FA"/>
    <w:rsid w:val="00AE23D2"/>
    <w:rsid w:val="00AE243A"/>
    <w:rsid w:val="00AE24E7"/>
    <w:rsid w:val="00AE2581"/>
    <w:rsid w:val="00AE25AF"/>
    <w:rsid w:val="00AE25FF"/>
    <w:rsid w:val="00AE263E"/>
    <w:rsid w:val="00AE2746"/>
    <w:rsid w:val="00AE27BB"/>
    <w:rsid w:val="00AE27E1"/>
    <w:rsid w:val="00AE2849"/>
    <w:rsid w:val="00AE2853"/>
    <w:rsid w:val="00AE2984"/>
    <w:rsid w:val="00AE2B8C"/>
    <w:rsid w:val="00AE2BF5"/>
    <w:rsid w:val="00AE2C57"/>
    <w:rsid w:val="00AE2C71"/>
    <w:rsid w:val="00AE2CFA"/>
    <w:rsid w:val="00AE2D60"/>
    <w:rsid w:val="00AE2DB8"/>
    <w:rsid w:val="00AE2DD4"/>
    <w:rsid w:val="00AE2E80"/>
    <w:rsid w:val="00AE2F38"/>
    <w:rsid w:val="00AE2FD4"/>
    <w:rsid w:val="00AE2FFB"/>
    <w:rsid w:val="00AE3082"/>
    <w:rsid w:val="00AE3134"/>
    <w:rsid w:val="00AE31DA"/>
    <w:rsid w:val="00AE31FB"/>
    <w:rsid w:val="00AE3241"/>
    <w:rsid w:val="00AE3267"/>
    <w:rsid w:val="00AE32EC"/>
    <w:rsid w:val="00AE3367"/>
    <w:rsid w:val="00AE3420"/>
    <w:rsid w:val="00AE3443"/>
    <w:rsid w:val="00AE3514"/>
    <w:rsid w:val="00AE35DE"/>
    <w:rsid w:val="00AE35FC"/>
    <w:rsid w:val="00AE36A3"/>
    <w:rsid w:val="00AE36C3"/>
    <w:rsid w:val="00AE3753"/>
    <w:rsid w:val="00AE3788"/>
    <w:rsid w:val="00AE380A"/>
    <w:rsid w:val="00AE3827"/>
    <w:rsid w:val="00AE3864"/>
    <w:rsid w:val="00AE3964"/>
    <w:rsid w:val="00AE39CE"/>
    <w:rsid w:val="00AE39D2"/>
    <w:rsid w:val="00AE3A3F"/>
    <w:rsid w:val="00AE3AB9"/>
    <w:rsid w:val="00AE3B3D"/>
    <w:rsid w:val="00AE3BBB"/>
    <w:rsid w:val="00AE3BDD"/>
    <w:rsid w:val="00AE3BEA"/>
    <w:rsid w:val="00AE3C33"/>
    <w:rsid w:val="00AE3C66"/>
    <w:rsid w:val="00AE3CD9"/>
    <w:rsid w:val="00AE3CDB"/>
    <w:rsid w:val="00AE3DCA"/>
    <w:rsid w:val="00AE3EBA"/>
    <w:rsid w:val="00AE3F39"/>
    <w:rsid w:val="00AE3F4D"/>
    <w:rsid w:val="00AE3FF4"/>
    <w:rsid w:val="00AE4024"/>
    <w:rsid w:val="00AE4066"/>
    <w:rsid w:val="00AE40F5"/>
    <w:rsid w:val="00AE419E"/>
    <w:rsid w:val="00AE41E9"/>
    <w:rsid w:val="00AE420A"/>
    <w:rsid w:val="00AE4221"/>
    <w:rsid w:val="00AE42F4"/>
    <w:rsid w:val="00AE4368"/>
    <w:rsid w:val="00AE43A8"/>
    <w:rsid w:val="00AE4437"/>
    <w:rsid w:val="00AE444E"/>
    <w:rsid w:val="00AE453E"/>
    <w:rsid w:val="00AE4668"/>
    <w:rsid w:val="00AE466D"/>
    <w:rsid w:val="00AE4713"/>
    <w:rsid w:val="00AE471D"/>
    <w:rsid w:val="00AE4732"/>
    <w:rsid w:val="00AE47ED"/>
    <w:rsid w:val="00AE48C9"/>
    <w:rsid w:val="00AE48D4"/>
    <w:rsid w:val="00AE4944"/>
    <w:rsid w:val="00AE4B12"/>
    <w:rsid w:val="00AE4B94"/>
    <w:rsid w:val="00AE4BBB"/>
    <w:rsid w:val="00AE4BCB"/>
    <w:rsid w:val="00AE4C50"/>
    <w:rsid w:val="00AE4C5F"/>
    <w:rsid w:val="00AE4C9F"/>
    <w:rsid w:val="00AE4CDB"/>
    <w:rsid w:val="00AE4D22"/>
    <w:rsid w:val="00AE4E6D"/>
    <w:rsid w:val="00AE4EA7"/>
    <w:rsid w:val="00AE4F3E"/>
    <w:rsid w:val="00AE4F51"/>
    <w:rsid w:val="00AE4FDA"/>
    <w:rsid w:val="00AE5082"/>
    <w:rsid w:val="00AE50DA"/>
    <w:rsid w:val="00AE512B"/>
    <w:rsid w:val="00AE524A"/>
    <w:rsid w:val="00AE5356"/>
    <w:rsid w:val="00AE5364"/>
    <w:rsid w:val="00AE53C3"/>
    <w:rsid w:val="00AE540F"/>
    <w:rsid w:val="00AE5463"/>
    <w:rsid w:val="00AE546C"/>
    <w:rsid w:val="00AE54F3"/>
    <w:rsid w:val="00AE55F3"/>
    <w:rsid w:val="00AE5660"/>
    <w:rsid w:val="00AE56E0"/>
    <w:rsid w:val="00AE5827"/>
    <w:rsid w:val="00AE58A8"/>
    <w:rsid w:val="00AE58DF"/>
    <w:rsid w:val="00AE58E0"/>
    <w:rsid w:val="00AE596C"/>
    <w:rsid w:val="00AE5997"/>
    <w:rsid w:val="00AE5ACE"/>
    <w:rsid w:val="00AE5AF1"/>
    <w:rsid w:val="00AE5CFF"/>
    <w:rsid w:val="00AE5D0D"/>
    <w:rsid w:val="00AE5D3B"/>
    <w:rsid w:val="00AE5D62"/>
    <w:rsid w:val="00AE5D8F"/>
    <w:rsid w:val="00AE5D98"/>
    <w:rsid w:val="00AE5E2A"/>
    <w:rsid w:val="00AE5E6C"/>
    <w:rsid w:val="00AE5EC5"/>
    <w:rsid w:val="00AE5ED5"/>
    <w:rsid w:val="00AE5F4B"/>
    <w:rsid w:val="00AE5FB1"/>
    <w:rsid w:val="00AE5FDC"/>
    <w:rsid w:val="00AE6053"/>
    <w:rsid w:val="00AE6061"/>
    <w:rsid w:val="00AE60F7"/>
    <w:rsid w:val="00AE61D2"/>
    <w:rsid w:val="00AE6206"/>
    <w:rsid w:val="00AE624E"/>
    <w:rsid w:val="00AE628C"/>
    <w:rsid w:val="00AE6321"/>
    <w:rsid w:val="00AE644C"/>
    <w:rsid w:val="00AE649D"/>
    <w:rsid w:val="00AE6554"/>
    <w:rsid w:val="00AE65A3"/>
    <w:rsid w:val="00AE65D0"/>
    <w:rsid w:val="00AE6674"/>
    <w:rsid w:val="00AE66E0"/>
    <w:rsid w:val="00AE6791"/>
    <w:rsid w:val="00AE6804"/>
    <w:rsid w:val="00AE693F"/>
    <w:rsid w:val="00AE6998"/>
    <w:rsid w:val="00AE69E2"/>
    <w:rsid w:val="00AE6A1A"/>
    <w:rsid w:val="00AE6A2C"/>
    <w:rsid w:val="00AE6A4B"/>
    <w:rsid w:val="00AE6A4F"/>
    <w:rsid w:val="00AE6AF4"/>
    <w:rsid w:val="00AE6B16"/>
    <w:rsid w:val="00AE6B71"/>
    <w:rsid w:val="00AE6C00"/>
    <w:rsid w:val="00AE6C1A"/>
    <w:rsid w:val="00AE6C3B"/>
    <w:rsid w:val="00AE6C4F"/>
    <w:rsid w:val="00AE6CF3"/>
    <w:rsid w:val="00AE6CFD"/>
    <w:rsid w:val="00AE6D61"/>
    <w:rsid w:val="00AE6DC6"/>
    <w:rsid w:val="00AE6DEE"/>
    <w:rsid w:val="00AE6E50"/>
    <w:rsid w:val="00AE6E58"/>
    <w:rsid w:val="00AE6EEB"/>
    <w:rsid w:val="00AE6F17"/>
    <w:rsid w:val="00AE6F19"/>
    <w:rsid w:val="00AE6F33"/>
    <w:rsid w:val="00AE6F37"/>
    <w:rsid w:val="00AE6FB6"/>
    <w:rsid w:val="00AE7043"/>
    <w:rsid w:val="00AE7045"/>
    <w:rsid w:val="00AE70C6"/>
    <w:rsid w:val="00AE7120"/>
    <w:rsid w:val="00AE7286"/>
    <w:rsid w:val="00AE72DA"/>
    <w:rsid w:val="00AE7366"/>
    <w:rsid w:val="00AE7420"/>
    <w:rsid w:val="00AE7479"/>
    <w:rsid w:val="00AE74A8"/>
    <w:rsid w:val="00AE756B"/>
    <w:rsid w:val="00AE757E"/>
    <w:rsid w:val="00AE7611"/>
    <w:rsid w:val="00AE7614"/>
    <w:rsid w:val="00AE761A"/>
    <w:rsid w:val="00AE7665"/>
    <w:rsid w:val="00AE7668"/>
    <w:rsid w:val="00AE76B4"/>
    <w:rsid w:val="00AE76CF"/>
    <w:rsid w:val="00AE7706"/>
    <w:rsid w:val="00AE7738"/>
    <w:rsid w:val="00AE78DC"/>
    <w:rsid w:val="00AE78F1"/>
    <w:rsid w:val="00AE791E"/>
    <w:rsid w:val="00AE7A03"/>
    <w:rsid w:val="00AE7A77"/>
    <w:rsid w:val="00AE7AB3"/>
    <w:rsid w:val="00AE7BE2"/>
    <w:rsid w:val="00AE7CD7"/>
    <w:rsid w:val="00AE7CF8"/>
    <w:rsid w:val="00AE7D2D"/>
    <w:rsid w:val="00AE7E67"/>
    <w:rsid w:val="00AE7F39"/>
    <w:rsid w:val="00AE7FC5"/>
    <w:rsid w:val="00AE7FF3"/>
    <w:rsid w:val="00AF0194"/>
    <w:rsid w:val="00AF01D3"/>
    <w:rsid w:val="00AF01EA"/>
    <w:rsid w:val="00AF0268"/>
    <w:rsid w:val="00AF028E"/>
    <w:rsid w:val="00AF02E0"/>
    <w:rsid w:val="00AF03B3"/>
    <w:rsid w:val="00AF0433"/>
    <w:rsid w:val="00AF0456"/>
    <w:rsid w:val="00AF0536"/>
    <w:rsid w:val="00AF057A"/>
    <w:rsid w:val="00AF057C"/>
    <w:rsid w:val="00AF05B5"/>
    <w:rsid w:val="00AF062B"/>
    <w:rsid w:val="00AF0737"/>
    <w:rsid w:val="00AF0738"/>
    <w:rsid w:val="00AF0810"/>
    <w:rsid w:val="00AF0859"/>
    <w:rsid w:val="00AF088B"/>
    <w:rsid w:val="00AF0895"/>
    <w:rsid w:val="00AF08D5"/>
    <w:rsid w:val="00AF08D6"/>
    <w:rsid w:val="00AF08F9"/>
    <w:rsid w:val="00AF091C"/>
    <w:rsid w:val="00AF0A5C"/>
    <w:rsid w:val="00AF0B2B"/>
    <w:rsid w:val="00AF0B33"/>
    <w:rsid w:val="00AF0B5E"/>
    <w:rsid w:val="00AF0B68"/>
    <w:rsid w:val="00AF0D76"/>
    <w:rsid w:val="00AF0EE1"/>
    <w:rsid w:val="00AF0F65"/>
    <w:rsid w:val="00AF103F"/>
    <w:rsid w:val="00AF10A6"/>
    <w:rsid w:val="00AF10EB"/>
    <w:rsid w:val="00AF1135"/>
    <w:rsid w:val="00AF1147"/>
    <w:rsid w:val="00AF1241"/>
    <w:rsid w:val="00AF1281"/>
    <w:rsid w:val="00AF12E9"/>
    <w:rsid w:val="00AF1330"/>
    <w:rsid w:val="00AF135C"/>
    <w:rsid w:val="00AF13C9"/>
    <w:rsid w:val="00AF140C"/>
    <w:rsid w:val="00AF14EF"/>
    <w:rsid w:val="00AF153C"/>
    <w:rsid w:val="00AF1592"/>
    <w:rsid w:val="00AF1595"/>
    <w:rsid w:val="00AF15EF"/>
    <w:rsid w:val="00AF1756"/>
    <w:rsid w:val="00AF1785"/>
    <w:rsid w:val="00AF178C"/>
    <w:rsid w:val="00AF17F7"/>
    <w:rsid w:val="00AF1864"/>
    <w:rsid w:val="00AF189E"/>
    <w:rsid w:val="00AF1947"/>
    <w:rsid w:val="00AF196B"/>
    <w:rsid w:val="00AF1989"/>
    <w:rsid w:val="00AF1A28"/>
    <w:rsid w:val="00AF1A2E"/>
    <w:rsid w:val="00AF1B67"/>
    <w:rsid w:val="00AF1BD6"/>
    <w:rsid w:val="00AF1C2B"/>
    <w:rsid w:val="00AF1C9B"/>
    <w:rsid w:val="00AF1D93"/>
    <w:rsid w:val="00AF1DA6"/>
    <w:rsid w:val="00AF1DD6"/>
    <w:rsid w:val="00AF1E05"/>
    <w:rsid w:val="00AF1E25"/>
    <w:rsid w:val="00AF1E2F"/>
    <w:rsid w:val="00AF1E87"/>
    <w:rsid w:val="00AF1EAA"/>
    <w:rsid w:val="00AF1EC4"/>
    <w:rsid w:val="00AF1F79"/>
    <w:rsid w:val="00AF2040"/>
    <w:rsid w:val="00AF209E"/>
    <w:rsid w:val="00AF20B5"/>
    <w:rsid w:val="00AF2238"/>
    <w:rsid w:val="00AF227F"/>
    <w:rsid w:val="00AF22BA"/>
    <w:rsid w:val="00AF2336"/>
    <w:rsid w:val="00AF24B6"/>
    <w:rsid w:val="00AF24C6"/>
    <w:rsid w:val="00AF250D"/>
    <w:rsid w:val="00AF2540"/>
    <w:rsid w:val="00AF256F"/>
    <w:rsid w:val="00AF263A"/>
    <w:rsid w:val="00AF2674"/>
    <w:rsid w:val="00AF26C0"/>
    <w:rsid w:val="00AF26D0"/>
    <w:rsid w:val="00AF26E4"/>
    <w:rsid w:val="00AF274A"/>
    <w:rsid w:val="00AF2751"/>
    <w:rsid w:val="00AF2763"/>
    <w:rsid w:val="00AF276C"/>
    <w:rsid w:val="00AF28A5"/>
    <w:rsid w:val="00AF28CB"/>
    <w:rsid w:val="00AF2904"/>
    <w:rsid w:val="00AF291F"/>
    <w:rsid w:val="00AF294B"/>
    <w:rsid w:val="00AF2989"/>
    <w:rsid w:val="00AF29A7"/>
    <w:rsid w:val="00AF2A0A"/>
    <w:rsid w:val="00AF2AF1"/>
    <w:rsid w:val="00AF2B4A"/>
    <w:rsid w:val="00AF2B59"/>
    <w:rsid w:val="00AF2BE9"/>
    <w:rsid w:val="00AF2C7B"/>
    <w:rsid w:val="00AF2D3E"/>
    <w:rsid w:val="00AF2DB1"/>
    <w:rsid w:val="00AF2DB3"/>
    <w:rsid w:val="00AF2DD7"/>
    <w:rsid w:val="00AF2E39"/>
    <w:rsid w:val="00AF2EBF"/>
    <w:rsid w:val="00AF2F1D"/>
    <w:rsid w:val="00AF2F29"/>
    <w:rsid w:val="00AF2FA6"/>
    <w:rsid w:val="00AF2FD5"/>
    <w:rsid w:val="00AF305B"/>
    <w:rsid w:val="00AF309A"/>
    <w:rsid w:val="00AF30A5"/>
    <w:rsid w:val="00AF30BE"/>
    <w:rsid w:val="00AF3105"/>
    <w:rsid w:val="00AF3126"/>
    <w:rsid w:val="00AF3172"/>
    <w:rsid w:val="00AF3206"/>
    <w:rsid w:val="00AF3218"/>
    <w:rsid w:val="00AF325D"/>
    <w:rsid w:val="00AF32DD"/>
    <w:rsid w:val="00AF3307"/>
    <w:rsid w:val="00AF3323"/>
    <w:rsid w:val="00AF3391"/>
    <w:rsid w:val="00AF3403"/>
    <w:rsid w:val="00AF3493"/>
    <w:rsid w:val="00AF350B"/>
    <w:rsid w:val="00AF35BF"/>
    <w:rsid w:val="00AF3679"/>
    <w:rsid w:val="00AF367B"/>
    <w:rsid w:val="00AF36BD"/>
    <w:rsid w:val="00AF36FE"/>
    <w:rsid w:val="00AF3767"/>
    <w:rsid w:val="00AF3840"/>
    <w:rsid w:val="00AF3854"/>
    <w:rsid w:val="00AF38B1"/>
    <w:rsid w:val="00AF38E2"/>
    <w:rsid w:val="00AF3A13"/>
    <w:rsid w:val="00AF3A47"/>
    <w:rsid w:val="00AF3CC4"/>
    <w:rsid w:val="00AF3D78"/>
    <w:rsid w:val="00AF3EAA"/>
    <w:rsid w:val="00AF3EBF"/>
    <w:rsid w:val="00AF3EE7"/>
    <w:rsid w:val="00AF3F38"/>
    <w:rsid w:val="00AF3F48"/>
    <w:rsid w:val="00AF3F5F"/>
    <w:rsid w:val="00AF3F94"/>
    <w:rsid w:val="00AF3FCB"/>
    <w:rsid w:val="00AF3FDB"/>
    <w:rsid w:val="00AF3FF3"/>
    <w:rsid w:val="00AF4000"/>
    <w:rsid w:val="00AF40CB"/>
    <w:rsid w:val="00AF40F0"/>
    <w:rsid w:val="00AF410C"/>
    <w:rsid w:val="00AF4113"/>
    <w:rsid w:val="00AF4174"/>
    <w:rsid w:val="00AF418A"/>
    <w:rsid w:val="00AF4197"/>
    <w:rsid w:val="00AF4314"/>
    <w:rsid w:val="00AF4335"/>
    <w:rsid w:val="00AF4359"/>
    <w:rsid w:val="00AF43B0"/>
    <w:rsid w:val="00AF43B9"/>
    <w:rsid w:val="00AF4417"/>
    <w:rsid w:val="00AF445F"/>
    <w:rsid w:val="00AF4495"/>
    <w:rsid w:val="00AF455E"/>
    <w:rsid w:val="00AF45A7"/>
    <w:rsid w:val="00AF45AD"/>
    <w:rsid w:val="00AF45F9"/>
    <w:rsid w:val="00AF460E"/>
    <w:rsid w:val="00AF46AB"/>
    <w:rsid w:val="00AF46BC"/>
    <w:rsid w:val="00AF46E8"/>
    <w:rsid w:val="00AF472A"/>
    <w:rsid w:val="00AF4749"/>
    <w:rsid w:val="00AF475A"/>
    <w:rsid w:val="00AF47FF"/>
    <w:rsid w:val="00AF49DE"/>
    <w:rsid w:val="00AF49EB"/>
    <w:rsid w:val="00AF4A7F"/>
    <w:rsid w:val="00AF4C12"/>
    <w:rsid w:val="00AF4C17"/>
    <w:rsid w:val="00AF4CCD"/>
    <w:rsid w:val="00AF4D71"/>
    <w:rsid w:val="00AF4D88"/>
    <w:rsid w:val="00AF4F84"/>
    <w:rsid w:val="00AF4F9A"/>
    <w:rsid w:val="00AF4FB9"/>
    <w:rsid w:val="00AF521E"/>
    <w:rsid w:val="00AF531C"/>
    <w:rsid w:val="00AF5422"/>
    <w:rsid w:val="00AF542A"/>
    <w:rsid w:val="00AF5530"/>
    <w:rsid w:val="00AF5541"/>
    <w:rsid w:val="00AF55E0"/>
    <w:rsid w:val="00AF55E2"/>
    <w:rsid w:val="00AF567D"/>
    <w:rsid w:val="00AF5740"/>
    <w:rsid w:val="00AF582E"/>
    <w:rsid w:val="00AF584B"/>
    <w:rsid w:val="00AF5905"/>
    <w:rsid w:val="00AF59D3"/>
    <w:rsid w:val="00AF59D4"/>
    <w:rsid w:val="00AF5A53"/>
    <w:rsid w:val="00AF5AA0"/>
    <w:rsid w:val="00AF5B0D"/>
    <w:rsid w:val="00AF5BC7"/>
    <w:rsid w:val="00AF5BE6"/>
    <w:rsid w:val="00AF5BE8"/>
    <w:rsid w:val="00AF5BF1"/>
    <w:rsid w:val="00AF5C0B"/>
    <w:rsid w:val="00AF5CDC"/>
    <w:rsid w:val="00AF5D1A"/>
    <w:rsid w:val="00AF5D1B"/>
    <w:rsid w:val="00AF5ECD"/>
    <w:rsid w:val="00AF5F6A"/>
    <w:rsid w:val="00AF5F96"/>
    <w:rsid w:val="00AF6158"/>
    <w:rsid w:val="00AF6173"/>
    <w:rsid w:val="00AF6204"/>
    <w:rsid w:val="00AF62C1"/>
    <w:rsid w:val="00AF631E"/>
    <w:rsid w:val="00AF6322"/>
    <w:rsid w:val="00AF6330"/>
    <w:rsid w:val="00AF63AD"/>
    <w:rsid w:val="00AF63BC"/>
    <w:rsid w:val="00AF63F7"/>
    <w:rsid w:val="00AF641B"/>
    <w:rsid w:val="00AF6623"/>
    <w:rsid w:val="00AF6693"/>
    <w:rsid w:val="00AF673F"/>
    <w:rsid w:val="00AF674B"/>
    <w:rsid w:val="00AF680F"/>
    <w:rsid w:val="00AF681E"/>
    <w:rsid w:val="00AF688E"/>
    <w:rsid w:val="00AF68BD"/>
    <w:rsid w:val="00AF696F"/>
    <w:rsid w:val="00AF6A15"/>
    <w:rsid w:val="00AF6A30"/>
    <w:rsid w:val="00AF6ACC"/>
    <w:rsid w:val="00AF6B92"/>
    <w:rsid w:val="00AF6C02"/>
    <w:rsid w:val="00AF6C7C"/>
    <w:rsid w:val="00AF6CB2"/>
    <w:rsid w:val="00AF6CE6"/>
    <w:rsid w:val="00AF6CE8"/>
    <w:rsid w:val="00AF6DB2"/>
    <w:rsid w:val="00AF6DDA"/>
    <w:rsid w:val="00AF6E33"/>
    <w:rsid w:val="00AF6EC4"/>
    <w:rsid w:val="00AF6F1C"/>
    <w:rsid w:val="00AF6F21"/>
    <w:rsid w:val="00AF7074"/>
    <w:rsid w:val="00AF70AE"/>
    <w:rsid w:val="00AF70B5"/>
    <w:rsid w:val="00AF7189"/>
    <w:rsid w:val="00AF71AE"/>
    <w:rsid w:val="00AF7239"/>
    <w:rsid w:val="00AF723A"/>
    <w:rsid w:val="00AF725E"/>
    <w:rsid w:val="00AF72C9"/>
    <w:rsid w:val="00AF72EF"/>
    <w:rsid w:val="00AF7426"/>
    <w:rsid w:val="00AF7541"/>
    <w:rsid w:val="00AF754F"/>
    <w:rsid w:val="00AF75CF"/>
    <w:rsid w:val="00AF77EB"/>
    <w:rsid w:val="00AF7827"/>
    <w:rsid w:val="00AF7879"/>
    <w:rsid w:val="00AF793E"/>
    <w:rsid w:val="00AF796B"/>
    <w:rsid w:val="00AF79A2"/>
    <w:rsid w:val="00AF79D7"/>
    <w:rsid w:val="00AF79F8"/>
    <w:rsid w:val="00AF7A89"/>
    <w:rsid w:val="00AF7B39"/>
    <w:rsid w:val="00AF7B8C"/>
    <w:rsid w:val="00AF7C49"/>
    <w:rsid w:val="00AF7C60"/>
    <w:rsid w:val="00AF7CC7"/>
    <w:rsid w:val="00AF7DA0"/>
    <w:rsid w:val="00AF7E94"/>
    <w:rsid w:val="00AF7EA8"/>
    <w:rsid w:val="00AF7EF3"/>
    <w:rsid w:val="00AF7F7D"/>
    <w:rsid w:val="00B0001A"/>
    <w:rsid w:val="00B00061"/>
    <w:rsid w:val="00B00065"/>
    <w:rsid w:val="00B000C2"/>
    <w:rsid w:val="00B000F2"/>
    <w:rsid w:val="00B0010B"/>
    <w:rsid w:val="00B0015F"/>
    <w:rsid w:val="00B001EC"/>
    <w:rsid w:val="00B00296"/>
    <w:rsid w:val="00B002DC"/>
    <w:rsid w:val="00B00353"/>
    <w:rsid w:val="00B0036C"/>
    <w:rsid w:val="00B0039E"/>
    <w:rsid w:val="00B003D9"/>
    <w:rsid w:val="00B00447"/>
    <w:rsid w:val="00B00467"/>
    <w:rsid w:val="00B004AD"/>
    <w:rsid w:val="00B00501"/>
    <w:rsid w:val="00B0057B"/>
    <w:rsid w:val="00B005AC"/>
    <w:rsid w:val="00B00720"/>
    <w:rsid w:val="00B007C5"/>
    <w:rsid w:val="00B007EE"/>
    <w:rsid w:val="00B00880"/>
    <w:rsid w:val="00B008A8"/>
    <w:rsid w:val="00B0091A"/>
    <w:rsid w:val="00B00946"/>
    <w:rsid w:val="00B00956"/>
    <w:rsid w:val="00B00A89"/>
    <w:rsid w:val="00B00B24"/>
    <w:rsid w:val="00B00BA0"/>
    <w:rsid w:val="00B00BD9"/>
    <w:rsid w:val="00B00C4D"/>
    <w:rsid w:val="00B00CD5"/>
    <w:rsid w:val="00B00CDD"/>
    <w:rsid w:val="00B00D81"/>
    <w:rsid w:val="00B00DA3"/>
    <w:rsid w:val="00B00DB1"/>
    <w:rsid w:val="00B00DEE"/>
    <w:rsid w:val="00B00E0D"/>
    <w:rsid w:val="00B00EC5"/>
    <w:rsid w:val="00B00F78"/>
    <w:rsid w:val="00B01090"/>
    <w:rsid w:val="00B01160"/>
    <w:rsid w:val="00B011D8"/>
    <w:rsid w:val="00B011FF"/>
    <w:rsid w:val="00B01231"/>
    <w:rsid w:val="00B01273"/>
    <w:rsid w:val="00B013DD"/>
    <w:rsid w:val="00B01400"/>
    <w:rsid w:val="00B01416"/>
    <w:rsid w:val="00B014BE"/>
    <w:rsid w:val="00B01587"/>
    <w:rsid w:val="00B015EF"/>
    <w:rsid w:val="00B0169B"/>
    <w:rsid w:val="00B016A0"/>
    <w:rsid w:val="00B016AB"/>
    <w:rsid w:val="00B016DD"/>
    <w:rsid w:val="00B01744"/>
    <w:rsid w:val="00B0177C"/>
    <w:rsid w:val="00B017D2"/>
    <w:rsid w:val="00B017E7"/>
    <w:rsid w:val="00B01805"/>
    <w:rsid w:val="00B01850"/>
    <w:rsid w:val="00B0185B"/>
    <w:rsid w:val="00B018D3"/>
    <w:rsid w:val="00B01B23"/>
    <w:rsid w:val="00B01CF5"/>
    <w:rsid w:val="00B01EC1"/>
    <w:rsid w:val="00B01ED9"/>
    <w:rsid w:val="00B01F15"/>
    <w:rsid w:val="00B01F4B"/>
    <w:rsid w:val="00B01F9F"/>
    <w:rsid w:val="00B02072"/>
    <w:rsid w:val="00B02090"/>
    <w:rsid w:val="00B020BB"/>
    <w:rsid w:val="00B0211C"/>
    <w:rsid w:val="00B02121"/>
    <w:rsid w:val="00B0215A"/>
    <w:rsid w:val="00B021D6"/>
    <w:rsid w:val="00B02231"/>
    <w:rsid w:val="00B022A1"/>
    <w:rsid w:val="00B023AD"/>
    <w:rsid w:val="00B02446"/>
    <w:rsid w:val="00B02796"/>
    <w:rsid w:val="00B027B9"/>
    <w:rsid w:val="00B02895"/>
    <w:rsid w:val="00B02896"/>
    <w:rsid w:val="00B0290C"/>
    <w:rsid w:val="00B02999"/>
    <w:rsid w:val="00B029D9"/>
    <w:rsid w:val="00B029E2"/>
    <w:rsid w:val="00B02AAB"/>
    <w:rsid w:val="00B02AC8"/>
    <w:rsid w:val="00B02AE5"/>
    <w:rsid w:val="00B02B39"/>
    <w:rsid w:val="00B02B8C"/>
    <w:rsid w:val="00B02BEF"/>
    <w:rsid w:val="00B02BF6"/>
    <w:rsid w:val="00B02C09"/>
    <w:rsid w:val="00B02C45"/>
    <w:rsid w:val="00B02D81"/>
    <w:rsid w:val="00B02E0F"/>
    <w:rsid w:val="00B02E65"/>
    <w:rsid w:val="00B02E9F"/>
    <w:rsid w:val="00B03030"/>
    <w:rsid w:val="00B03060"/>
    <w:rsid w:val="00B0310A"/>
    <w:rsid w:val="00B03140"/>
    <w:rsid w:val="00B03144"/>
    <w:rsid w:val="00B0315F"/>
    <w:rsid w:val="00B03160"/>
    <w:rsid w:val="00B0318F"/>
    <w:rsid w:val="00B03239"/>
    <w:rsid w:val="00B03243"/>
    <w:rsid w:val="00B03288"/>
    <w:rsid w:val="00B032AB"/>
    <w:rsid w:val="00B032B6"/>
    <w:rsid w:val="00B032C6"/>
    <w:rsid w:val="00B0337B"/>
    <w:rsid w:val="00B03390"/>
    <w:rsid w:val="00B03409"/>
    <w:rsid w:val="00B035C6"/>
    <w:rsid w:val="00B0380F"/>
    <w:rsid w:val="00B03866"/>
    <w:rsid w:val="00B03871"/>
    <w:rsid w:val="00B03875"/>
    <w:rsid w:val="00B0388C"/>
    <w:rsid w:val="00B0390C"/>
    <w:rsid w:val="00B03927"/>
    <w:rsid w:val="00B0397F"/>
    <w:rsid w:val="00B039E1"/>
    <w:rsid w:val="00B03AB9"/>
    <w:rsid w:val="00B03B12"/>
    <w:rsid w:val="00B03B7A"/>
    <w:rsid w:val="00B03C55"/>
    <w:rsid w:val="00B03CF1"/>
    <w:rsid w:val="00B03DDD"/>
    <w:rsid w:val="00B03DEA"/>
    <w:rsid w:val="00B03EE7"/>
    <w:rsid w:val="00B03F0C"/>
    <w:rsid w:val="00B03F2D"/>
    <w:rsid w:val="00B03FDF"/>
    <w:rsid w:val="00B03FF4"/>
    <w:rsid w:val="00B0403D"/>
    <w:rsid w:val="00B04042"/>
    <w:rsid w:val="00B04078"/>
    <w:rsid w:val="00B040B7"/>
    <w:rsid w:val="00B042AB"/>
    <w:rsid w:val="00B0433F"/>
    <w:rsid w:val="00B04372"/>
    <w:rsid w:val="00B043C0"/>
    <w:rsid w:val="00B04667"/>
    <w:rsid w:val="00B0467B"/>
    <w:rsid w:val="00B04681"/>
    <w:rsid w:val="00B0469C"/>
    <w:rsid w:val="00B04725"/>
    <w:rsid w:val="00B0477B"/>
    <w:rsid w:val="00B047CF"/>
    <w:rsid w:val="00B047F6"/>
    <w:rsid w:val="00B0481F"/>
    <w:rsid w:val="00B04830"/>
    <w:rsid w:val="00B04862"/>
    <w:rsid w:val="00B048E8"/>
    <w:rsid w:val="00B049D6"/>
    <w:rsid w:val="00B04A3E"/>
    <w:rsid w:val="00B04AEE"/>
    <w:rsid w:val="00B04B42"/>
    <w:rsid w:val="00B04B65"/>
    <w:rsid w:val="00B04BDC"/>
    <w:rsid w:val="00B04BE1"/>
    <w:rsid w:val="00B04C38"/>
    <w:rsid w:val="00B04C49"/>
    <w:rsid w:val="00B04CD3"/>
    <w:rsid w:val="00B04DE2"/>
    <w:rsid w:val="00B04EDF"/>
    <w:rsid w:val="00B04F47"/>
    <w:rsid w:val="00B04F64"/>
    <w:rsid w:val="00B0507E"/>
    <w:rsid w:val="00B05135"/>
    <w:rsid w:val="00B0516E"/>
    <w:rsid w:val="00B051BB"/>
    <w:rsid w:val="00B0522F"/>
    <w:rsid w:val="00B05283"/>
    <w:rsid w:val="00B052A6"/>
    <w:rsid w:val="00B052E6"/>
    <w:rsid w:val="00B0533E"/>
    <w:rsid w:val="00B05355"/>
    <w:rsid w:val="00B05381"/>
    <w:rsid w:val="00B05460"/>
    <w:rsid w:val="00B054CD"/>
    <w:rsid w:val="00B054FA"/>
    <w:rsid w:val="00B05506"/>
    <w:rsid w:val="00B05565"/>
    <w:rsid w:val="00B05591"/>
    <w:rsid w:val="00B055D6"/>
    <w:rsid w:val="00B055F3"/>
    <w:rsid w:val="00B0562E"/>
    <w:rsid w:val="00B056D1"/>
    <w:rsid w:val="00B056F9"/>
    <w:rsid w:val="00B05700"/>
    <w:rsid w:val="00B0576C"/>
    <w:rsid w:val="00B0579A"/>
    <w:rsid w:val="00B0587B"/>
    <w:rsid w:val="00B05885"/>
    <w:rsid w:val="00B05972"/>
    <w:rsid w:val="00B059FD"/>
    <w:rsid w:val="00B05B3D"/>
    <w:rsid w:val="00B05B73"/>
    <w:rsid w:val="00B05C11"/>
    <w:rsid w:val="00B05CFB"/>
    <w:rsid w:val="00B05D05"/>
    <w:rsid w:val="00B05D1C"/>
    <w:rsid w:val="00B05D29"/>
    <w:rsid w:val="00B05D39"/>
    <w:rsid w:val="00B05D6A"/>
    <w:rsid w:val="00B05DD2"/>
    <w:rsid w:val="00B05DEE"/>
    <w:rsid w:val="00B05EBB"/>
    <w:rsid w:val="00B05EF8"/>
    <w:rsid w:val="00B05F22"/>
    <w:rsid w:val="00B05F25"/>
    <w:rsid w:val="00B05F29"/>
    <w:rsid w:val="00B05F3E"/>
    <w:rsid w:val="00B05F52"/>
    <w:rsid w:val="00B05F94"/>
    <w:rsid w:val="00B05FFA"/>
    <w:rsid w:val="00B0606F"/>
    <w:rsid w:val="00B0612C"/>
    <w:rsid w:val="00B06149"/>
    <w:rsid w:val="00B061C6"/>
    <w:rsid w:val="00B061D8"/>
    <w:rsid w:val="00B06241"/>
    <w:rsid w:val="00B06289"/>
    <w:rsid w:val="00B0628A"/>
    <w:rsid w:val="00B063F6"/>
    <w:rsid w:val="00B0642B"/>
    <w:rsid w:val="00B06598"/>
    <w:rsid w:val="00B0661D"/>
    <w:rsid w:val="00B06636"/>
    <w:rsid w:val="00B06799"/>
    <w:rsid w:val="00B0679A"/>
    <w:rsid w:val="00B067C1"/>
    <w:rsid w:val="00B06821"/>
    <w:rsid w:val="00B068E7"/>
    <w:rsid w:val="00B069A8"/>
    <w:rsid w:val="00B069D1"/>
    <w:rsid w:val="00B069E8"/>
    <w:rsid w:val="00B06A24"/>
    <w:rsid w:val="00B06A7B"/>
    <w:rsid w:val="00B06AB4"/>
    <w:rsid w:val="00B06AF6"/>
    <w:rsid w:val="00B06B16"/>
    <w:rsid w:val="00B06B2E"/>
    <w:rsid w:val="00B06B49"/>
    <w:rsid w:val="00B06BB9"/>
    <w:rsid w:val="00B06D66"/>
    <w:rsid w:val="00B06DAF"/>
    <w:rsid w:val="00B06DF4"/>
    <w:rsid w:val="00B06E87"/>
    <w:rsid w:val="00B06F52"/>
    <w:rsid w:val="00B06F60"/>
    <w:rsid w:val="00B06F6F"/>
    <w:rsid w:val="00B071DA"/>
    <w:rsid w:val="00B07225"/>
    <w:rsid w:val="00B07229"/>
    <w:rsid w:val="00B0722E"/>
    <w:rsid w:val="00B07292"/>
    <w:rsid w:val="00B072AB"/>
    <w:rsid w:val="00B07358"/>
    <w:rsid w:val="00B07401"/>
    <w:rsid w:val="00B0743B"/>
    <w:rsid w:val="00B07558"/>
    <w:rsid w:val="00B07592"/>
    <w:rsid w:val="00B075C0"/>
    <w:rsid w:val="00B076C2"/>
    <w:rsid w:val="00B076C8"/>
    <w:rsid w:val="00B07717"/>
    <w:rsid w:val="00B07746"/>
    <w:rsid w:val="00B0774D"/>
    <w:rsid w:val="00B0791D"/>
    <w:rsid w:val="00B079AD"/>
    <w:rsid w:val="00B079C6"/>
    <w:rsid w:val="00B079E8"/>
    <w:rsid w:val="00B07A19"/>
    <w:rsid w:val="00B07B19"/>
    <w:rsid w:val="00B07B53"/>
    <w:rsid w:val="00B07BCC"/>
    <w:rsid w:val="00B07BE8"/>
    <w:rsid w:val="00B07CAE"/>
    <w:rsid w:val="00B07D1F"/>
    <w:rsid w:val="00B07D26"/>
    <w:rsid w:val="00B07D2C"/>
    <w:rsid w:val="00B07E2D"/>
    <w:rsid w:val="00B07F19"/>
    <w:rsid w:val="00B07F82"/>
    <w:rsid w:val="00B07F98"/>
    <w:rsid w:val="00B07FA0"/>
    <w:rsid w:val="00B10000"/>
    <w:rsid w:val="00B10083"/>
    <w:rsid w:val="00B100E3"/>
    <w:rsid w:val="00B10180"/>
    <w:rsid w:val="00B101D1"/>
    <w:rsid w:val="00B10233"/>
    <w:rsid w:val="00B1023D"/>
    <w:rsid w:val="00B10269"/>
    <w:rsid w:val="00B10275"/>
    <w:rsid w:val="00B10285"/>
    <w:rsid w:val="00B102F4"/>
    <w:rsid w:val="00B1033F"/>
    <w:rsid w:val="00B103A5"/>
    <w:rsid w:val="00B10480"/>
    <w:rsid w:val="00B104F1"/>
    <w:rsid w:val="00B10510"/>
    <w:rsid w:val="00B10559"/>
    <w:rsid w:val="00B105D0"/>
    <w:rsid w:val="00B105D5"/>
    <w:rsid w:val="00B105D7"/>
    <w:rsid w:val="00B1060D"/>
    <w:rsid w:val="00B10654"/>
    <w:rsid w:val="00B10671"/>
    <w:rsid w:val="00B1069B"/>
    <w:rsid w:val="00B106C7"/>
    <w:rsid w:val="00B1071C"/>
    <w:rsid w:val="00B10792"/>
    <w:rsid w:val="00B107B0"/>
    <w:rsid w:val="00B10808"/>
    <w:rsid w:val="00B10810"/>
    <w:rsid w:val="00B108BB"/>
    <w:rsid w:val="00B108C4"/>
    <w:rsid w:val="00B10911"/>
    <w:rsid w:val="00B109A5"/>
    <w:rsid w:val="00B109FC"/>
    <w:rsid w:val="00B10A7F"/>
    <w:rsid w:val="00B10A8E"/>
    <w:rsid w:val="00B10B3F"/>
    <w:rsid w:val="00B10B55"/>
    <w:rsid w:val="00B10B8E"/>
    <w:rsid w:val="00B10C27"/>
    <w:rsid w:val="00B10C4E"/>
    <w:rsid w:val="00B10C77"/>
    <w:rsid w:val="00B10CA8"/>
    <w:rsid w:val="00B10CEB"/>
    <w:rsid w:val="00B10CFD"/>
    <w:rsid w:val="00B10D04"/>
    <w:rsid w:val="00B10D31"/>
    <w:rsid w:val="00B10D4D"/>
    <w:rsid w:val="00B10D94"/>
    <w:rsid w:val="00B10DE7"/>
    <w:rsid w:val="00B10DE9"/>
    <w:rsid w:val="00B10DF9"/>
    <w:rsid w:val="00B10F14"/>
    <w:rsid w:val="00B10F17"/>
    <w:rsid w:val="00B110DF"/>
    <w:rsid w:val="00B1139E"/>
    <w:rsid w:val="00B11474"/>
    <w:rsid w:val="00B11484"/>
    <w:rsid w:val="00B114A5"/>
    <w:rsid w:val="00B11525"/>
    <w:rsid w:val="00B1155E"/>
    <w:rsid w:val="00B115A0"/>
    <w:rsid w:val="00B11673"/>
    <w:rsid w:val="00B117B0"/>
    <w:rsid w:val="00B1180E"/>
    <w:rsid w:val="00B1187C"/>
    <w:rsid w:val="00B118CD"/>
    <w:rsid w:val="00B119A7"/>
    <w:rsid w:val="00B119FF"/>
    <w:rsid w:val="00B11A0D"/>
    <w:rsid w:val="00B11A16"/>
    <w:rsid w:val="00B11A79"/>
    <w:rsid w:val="00B11C2B"/>
    <w:rsid w:val="00B11C8B"/>
    <w:rsid w:val="00B11CAB"/>
    <w:rsid w:val="00B11D35"/>
    <w:rsid w:val="00B11DC2"/>
    <w:rsid w:val="00B11DEB"/>
    <w:rsid w:val="00B11F63"/>
    <w:rsid w:val="00B12003"/>
    <w:rsid w:val="00B12032"/>
    <w:rsid w:val="00B120A2"/>
    <w:rsid w:val="00B120A5"/>
    <w:rsid w:val="00B120F7"/>
    <w:rsid w:val="00B1210F"/>
    <w:rsid w:val="00B121B3"/>
    <w:rsid w:val="00B12317"/>
    <w:rsid w:val="00B123AE"/>
    <w:rsid w:val="00B123F3"/>
    <w:rsid w:val="00B1243B"/>
    <w:rsid w:val="00B12499"/>
    <w:rsid w:val="00B124EA"/>
    <w:rsid w:val="00B124ED"/>
    <w:rsid w:val="00B12553"/>
    <w:rsid w:val="00B125A8"/>
    <w:rsid w:val="00B125B6"/>
    <w:rsid w:val="00B125D0"/>
    <w:rsid w:val="00B125F6"/>
    <w:rsid w:val="00B1261B"/>
    <w:rsid w:val="00B12674"/>
    <w:rsid w:val="00B126C8"/>
    <w:rsid w:val="00B1277C"/>
    <w:rsid w:val="00B127B7"/>
    <w:rsid w:val="00B12873"/>
    <w:rsid w:val="00B128E2"/>
    <w:rsid w:val="00B1294C"/>
    <w:rsid w:val="00B129AE"/>
    <w:rsid w:val="00B129FE"/>
    <w:rsid w:val="00B12A00"/>
    <w:rsid w:val="00B12A13"/>
    <w:rsid w:val="00B12A60"/>
    <w:rsid w:val="00B12A84"/>
    <w:rsid w:val="00B12B20"/>
    <w:rsid w:val="00B12B71"/>
    <w:rsid w:val="00B12B82"/>
    <w:rsid w:val="00B12C03"/>
    <w:rsid w:val="00B12CC7"/>
    <w:rsid w:val="00B12D05"/>
    <w:rsid w:val="00B12D74"/>
    <w:rsid w:val="00B12E49"/>
    <w:rsid w:val="00B12E5F"/>
    <w:rsid w:val="00B12E66"/>
    <w:rsid w:val="00B12EE4"/>
    <w:rsid w:val="00B131C3"/>
    <w:rsid w:val="00B131F4"/>
    <w:rsid w:val="00B132A2"/>
    <w:rsid w:val="00B132CA"/>
    <w:rsid w:val="00B132EB"/>
    <w:rsid w:val="00B13384"/>
    <w:rsid w:val="00B1349C"/>
    <w:rsid w:val="00B135BF"/>
    <w:rsid w:val="00B1365B"/>
    <w:rsid w:val="00B1367D"/>
    <w:rsid w:val="00B136CC"/>
    <w:rsid w:val="00B1371B"/>
    <w:rsid w:val="00B1379D"/>
    <w:rsid w:val="00B13821"/>
    <w:rsid w:val="00B1386C"/>
    <w:rsid w:val="00B138A8"/>
    <w:rsid w:val="00B138AA"/>
    <w:rsid w:val="00B138C5"/>
    <w:rsid w:val="00B138D3"/>
    <w:rsid w:val="00B138D5"/>
    <w:rsid w:val="00B13948"/>
    <w:rsid w:val="00B13950"/>
    <w:rsid w:val="00B13962"/>
    <w:rsid w:val="00B139C5"/>
    <w:rsid w:val="00B139FA"/>
    <w:rsid w:val="00B13AFA"/>
    <w:rsid w:val="00B13C4D"/>
    <w:rsid w:val="00B13C88"/>
    <w:rsid w:val="00B13C93"/>
    <w:rsid w:val="00B13CF4"/>
    <w:rsid w:val="00B13D30"/>
    <w:rsid w:val="00B13D3B"/>
    <w:rsid w:val="00B13D6D"/>
    <w:rsid w:val="00B13D74"/>
    <w:rsid w:val="00B13E62"/>
    <w:rsid w:val="00B13FFC"/>
    <w:rsid w:val="00B1403B"/>
    <w:rsid w:val="00B140C0"/>
    <w:rsid w:val="00B14169"/>
    <w:rsid w:val="00B141B4"/>
    <w:rsid w:val="00B141E9"/>
    <w:rsid w:val="00B1423D"/>
    <w:rsid w:val="00B14253"/>
    <w:rsid w:val="00B14261"/>
    <w:rsid w:val="00B142BF"/>
    <w:rsid w:val="00B1436A"/>
    <w:rsid w:val="00B14510"/>
    <w:rsid w:val="00B14546"/>
    <w:rsid w:val="00B1458A"/>
    <w:rsid w:val="00B145DA"/>
    <w:rsid w:val="00B1478F"/>
    <w:rsid w:val="00B1482C"/>
    <w:rsid w:val="00B14915"/>
    <w:rsid w:val="00B14970"/>
    <w:rsid w:val="00B149A3"/>
    <w:rsid w:val="00B14A97"/>
    <w:rsid w:val="00B14B3F"/>
    <w:rsid w:val="00B14C28"/>
    <w:rsid w:val="00B14D36"/>
    <w:rsid w:val="00B14D65"/>
    <w:rsid w:val="00B14DAA"/>
    <w:rsid w:val="00B14DCD"/>
    <w:rsid w:val="00B14DFD"/>
    <w:rsid w:val="00B14E84"/>
    <w:rsid w:val="00B14E97"/>
    <w:rsid w:val="00B14ECE"/>
    <w:rsid w:val="00B14F36"/>
    <w:rsid w:val="00B14FB6"/>
    <w:rsid w:val="00B14FFE"/>
    <w:rsid w:val="00B15002"/>
    <w:rsid w:val="00B150D9"/>
    <w:rsid w:val="00B1511C"/>
    <w:rsid w:val="00B1513F"/>
    <w:rsid w:val="00B15256"/>
    <w:rsid w:val="00B153F1"/>
    <w:rsid w:val="00B153F6"/>
    <w:rsid w:val="00B1540C"/>
    <w:rsid w:val="00B154EE"/>
    <w:rsid w:val="00B154FE"/>
    <w:rsid w:val="00B15573"/>
    <w:rsid w:val="00B155D2"/>
    <w:rsid w:val="00B15624"/>
    <w:rsid w:val="00B15660"/>
    <w:rsid w:val="00B1566B"/>
    <w:rsid w:val="00B1566F"/>
    <w:rsid w:val="00B156E7"/>
    <w:rsid w:val="00B15731"/>
    <w:rsid w:val="00B158E7"/>
    <w:rsid w:val="00B15987"/>
    <w:rsid w:val="00B159F1"/>
    <w:rsid w:val="00B15AFB"/>
    <w:rsid w:val="00B15B06"/>
    <w:rsid w:val="00B15BBD"/>
    <w:rsid w:val="00B15C21"/>
    <w:rsid w:val="00B15C4B"/>
    <w:rsid w:val="00B15D45"/>
    <w:rsid w:val="00B15E18"/>
    <w:rsid w:val="00B15E35"/>
    <w:rsid w:val="00B15ECC"/>
    <w:rsid w:val="00B15F11"/>
    <w:rsid w:val="00B15F4C"/>
    <w:rsid w:val="00B15F5E"/>
    <w:rsid w:val="00B15F7D"/>
    <w:rsid w:val="00B160BB"/>
    <w:rsid w:val="00B160DC"/>
    <w:rsid w:val="00B16142"/>
    <w:rsid w:val="00B161A0"/>
    <w:rsid w:val="00B1620C"/>
    <w:rsid w:val="00B1631C"/>
    <w:rsid w:val="00B164F0"/>
    <w:rsid w:val="00B164FE"/>
    <w:rsid w:val="00B1654D"/>
    <w:rsid w:val="00B16575"/>
    <w:rsid w:val="00B1658F"/>
    <w:rsid w:val="00B16649"/>
    <w:rsid w:val="00B16705"/>
    <w:rsid w:val="00B16750"/>
    <w:rsid w:val="00B16761"/>
    <w:rsid w:val="00B16810"/>
    <w:rsid w:val="00B16848"/>
    <w:rsid w:val="00B1687F"/>
    <w:rsid w:val="00B169CD"/>
    <w:rsid w:val="00B169D8"/>
    <w:rsid w:val="00B16A35"/>
    <w:rsid w:val="00B16ACA"/>
    <w:rsid w:val="00B16AD7"/>
    <w:rsid w:val="00B16B96"/>
    <w:rsid w:val="00B16C33"/>
    <w:rsid w:val="00B16C3F"/>
    <w:rsid w:val="00B16D15"/>
    <w:rsid w:val="00B16DA3"/>
    <w:rsid w:val="00B16E54"/>
    <w:rsid w:val="00B16ECC"/>
    <w:rsid w:val="00B16EEB"/>
    <w:rsid w:val="00B16EED"/>
    <w:rsid w:val="00B16F0B"/>
    <w:rsid w:val="00B16F46"/>
    <w:rsid w:val="00B16F7D"/>
    <w:rsid w:val="00B17028"/>
    <w:rsid w:val="00B1707E"/>
    <w:rsid w:val="00B170B3"/>
    <w:rsid w:val="00B17120"/>
    <w:rsid w:val="00B1715F"/>
    <w:rsid w:val="00B171B9"/>
    <w:rsid w:val="00B17201"/>
    <w:rsid w:val="00B17273"/>
    <w:rsid w:val="00B174AF"/>
    <w:rsid w:val="00B174F6"/>
    <w:rsid w:val="00B175AE"/>
    <w:rsid w:val="00B17613"/>
    <w:rsid w:val="00B1761D"/>
    <w:rsid w:val="00B17649"/>
    <w:rsid w:val="00B1765C"/>
    <w:rsid w:val="00B1769A"/>
    <w:rsid w:val="00B176D5"/>
    <w:rsid w:val="00B176F0"/>
    <w:rsid w:val="00B17709"/>
    <w:rsid w:val="00B17724"/>
    <w:rsid w:val="00B17741"/>
    <w:rsid w:val="00B17796"/>
    <w:rsid w:val="00B17799"/>
    <w:rsid w:val="00B177E0"/>
    <w:rsid w:val="00B17833"/>
    <w:rsid w:val="00B1789D"/>
    <w:rsid w:val="00B178FE"/>
    <w:rsid w:val="00B1790D"/>
    <w:rsid w:val="00B17928"/>
    <w:rsid w:val="00B17A41"/>
    <w:rsid w:val="00B17B9B"/>
    <w:rsid w:val="00B17BB0"/>
    <w:rsid w:val="00B17BDA"/>
    <w:rsid w:val="00B17BE2"/>
    <w:rsid w:val="00B17BFE"/>
    <w:rsid w:val="00B17CC8"/>
    <w:rsid w:val="00B17CDC"/>
    <w:rsid w:val="00B17D40"/>
    <w:rsid w:val="00B17D89"/>
    <w:rsid w:val="00B17DF3"/>
    <w:rsid w:val="00B17EA5"/>
    <w:rsid w:val="00B17FDA"/>
    <w:rsid w:val="00B20063"/>
    <w:rsid w:val="00B200B2"/>
    <w:rsid w:val="00B200BC"/>
    <w:rsid w:val="00B201EA"/>
    <w:rsid w:val="00B2022C"/>
    <w:rsid w:val="00B20258"/>
    <w:rsid w:val="00B202AC"/>
    <w:rsid w:val="00B202BD"/>
    <w:rsid w:val="00B20338"/>
    <w:rsid w:val="00B2035D"/>
    <w:rsid w:val="00B20373"/>
    <w:rsid w:val="00B203D5"/>
    <w:rsid w:val="00B20443"/>
    <w:rsid w:val="00B20559"/>
    <w:rsid w:val="00B205D0"/>
    <w:rsid w:val="00B206F4"/>
    <w:rsid w:val="00B20758"/>
    <w:rsid w:val="00B207DB"/>
    <w:rsid w:val="00B208A8"/>
    <w:rsid w:val="00B20948"/>
    <w:rsid w:val="00B2095D"/>
    <w:rsid w:val="00B20980"/>
    <w:rsid w:val="00B20AAA"/>
    <w:rsid w:val="00B20AF1"/>
    <w:rsid w:val="00B20BDB"/>
    <w:rsid w:val="00B20C31"/>
    <w:rsid w:val="00B20C8D"/>
    <w:rsid w:val="00B20CA9"/>
    <w:rsid w:val="00B20E65"/>
    <w:rsid w:val="00B20EB4"/>
    <w:rsid w:val="00B20FA5"/>
    <w:rsid w:val="00B20FAB"/>
    <w:rsid w:val="00B20FE5"/>
    <w:rsid w:val="00B210FE"/>
    <w:rsid w:val="00B211A7"/>
    <w:rsid w:val="00B211BE"/>
    <w:rsid w:val="00B21360"/>
    <w:rsid w:val="00B2137A"/>
    <w:rsid w:val="00B213F2"/>
    <w:rsid w:val="00B21408"/>
    <w:rsid w:val="00B2146B"/>
    <w:rsid w:val="00B21479"/>
    <w:rsid w:val="00B21548"/>
    <w:rsid w:val="00B21593"/>
    <w:rsid w:val="00B215C1"/>
    <w:rsid w:val="00B217AB"/>
    <w:rsid w:val="00B217AE"/>
    <w:rsid w:val="00B217C9"/>
    <w:rsid w:val="00B21873"/>
    <w:rsid w:val="00B21891"/>
    <w:rsid w:val="00B218C9"/>
    <w:rsid w:val="00B2193F"/>
    <w:rsid w:val="00B21975"/>
    <w:rsid w:val="00B21980"/>
    <w:rsid w:val="00B2199D"/>
    <w:rsid w:val="00B219AA"/>
    <w:rsid w:val="00B219C8"/>
    <w:rsid w:val="00B21A47"/>
    <w:rsid w:val="00B21C2C"/>
    <w:rsid w:val="00B21CA3"/>
    <w:rsid w:val="00B21D00"/>
    <w:rsid w:val="00B21D4E"/>
    <w:rsid w:val="00B21D5E"/>
    <w:rsid w:val="00B21D7C"/>
    <w:rsid w:val="00B21DC6"/>
    <w:rsid w:val="00B21DC7"/>
    <w:rsid w:val="00B21DF8"/>
    <w:rsid w:val="00B21E0E"/>
    <w:rsid w:val="00B21E10"/>
    <w:rsid w:val="00B21E82"/>
    <w:rsid w:val="00B21E89"/>
    <w:rsid w:val="00B21EFD"/>
    <w:rsid w:val="00B21F29"/>
    <w:rsid w:val="00B21F76"/>
    <w:rsid w:val="00B21F83"/>
    <w:rsid w:val="00B22020"/>
    <w:rsid w:val="00B22081"/>
    <w:rsid w:val="00B2218B"/>
    <w:rsid w:val="00B221C2"/>
    <w:rsid w:val="00B221E0"/>
    <w:rsid w:val="00B2223E"/>
    <w:rsid w:val="00B222A9"/>
    <w:rsid w:val="00B22355"/>
    <w:rsid w:val="00B2236A"/>
    <w:rsid w:val="00B22381"/>
    <w:rsid w:val="00B22390"/>
    <w:rsid w:val="00B223ED"/>
    <w:rsid w:val="00B22471"/>
    <w:rsid w:val="00B22486"/>
    <w:rsid w:val="00B224F8"/>
    <w:rsid w:val="00B225A6"/>
    <w:rsid w:val="00B225E5"/>
    <w:rsid w:val="00B225FD"/>
    <w:rsid w:val="00B22641"/>
    <w:rsid w:val="00B2264E"/>
    <w:rsid w:val="00B22669"/>
    <w:rsid w:val="00B2266C"/>
    <w:rsid w:val="00B228DD"/>
    <w:rsid w:val="00B2290D"/>
    <w:rsid w:val="00B2294C"/>
    <w:rsid w:val="00B22996"/>
    <w:rsid w:val="00B22A61"/>
    <w:rsid w:val="00B22AC4"/>
    <w:rsid w:val="00B22BF2"/>
    <w:rsid w:val="00B22C03"/>
    <w:rsid w:val="00B22C21"/>
    <w:rsid w:val="00B22C2B"/>
    <w:rsid w:val="00B22C8B"/>
    <w:rsid w:val="00B22D78"/>
    <w:rsid w:val="00B22D91"/>
    <w:rsid w:val="00B22DB4"/>
    <w:rsid w:val="00B22DE3"/>
    <w:rsid w:val="00B22DEE"/>
    <w:rsid w:val="00B22EAB"/>
    <w:rsid w:val="00B22F21"/>
    <w:rsid w:val="00B22F2F"/>
    <w:rsid w:val="00B22F43"/>
    <w:rsid w:val="00B22FDC"/>
    <w:rsid w:val="00B2308A"/>
    <w:rsid w:val="00B230E3"/>
    <w:rsid w:val="00B231BD"/>
    <w:rsid w:val="00B2326B"/>
    <w:rsid w:val="00B232C7"/>
    <w:rsid w:val="00B232CF"/>
    <w:rsid w:val="00B232D6"/>
    <w:rsid w:val="00B233AB"/>
    <w:rsid w:val="00B233D5"/>
    <w:rsid w:val="00B233D9"/>
    <w:rsid w:val="00B233E7"/>
    <w:rsid w:val="00B23476"/>
    <w:rsid w:val="00B236FD"/>
    <w:rsid w:val="00B23728"/>
    <w:rsid w:val="00B237E5"/>
    <w:rsid w:val="00B23807"/>
    <w:rsid w:val="00B2391C"/>
    <w:rsid w:val="00B23A31"/>
    <w:rsid w:val="00B23B57"/>
    <w:rsid w:val="00B23BAB"/>
    <w:rsid w:val="00B23C32"/>
    <w:rsid w:val="00B23C77"/>
    <w:rsid w:val="00B23CED"/>
    <w:rsid w:val="00B23F3E"/>
    <w:rsid w:val="00B23F6F"/>
    <w:rsid w:val="00B23F85"/>
    <w:rsid w:val="00B23FF6"/>
    <w:rsid w:val="00B24072"/>
    <w:rsid w:val="00B240EC"/>
    <w:rsid w:val="00B24145"/>
    <w:rsid w:val="00B24159"/>
    <w:rsid w:val="00B24237"/>
    <w:rsid w:val="00B24277"/>
    <w:rsid w:val="00B24301"/>
    <w:rsid w:val="00B24405"/>
    <w:rsid w:val="00B24474"/>
    <w:rsid w:val="00B244C2"/>
    <w:rsid w:val="00B24613"/>
    <w:rsid w:val="00B24726"/>
    <w:rsid w:val="00B24956"/>
    <w:rsid w:val="00B24A67"/>
    <w:rsid w:val="00B24A81"/>
    <w:rsid w:val="00B24B4F"/>
    <w:rsid w:val="00B24B78"/>
    <w:rsid w:val="00B24B8B"/>
    <w:rsid w:val="00B24CA8"/>
    <w:rsid w:val="00B24D08"/>
    <w:rsid w:val="00B24F7F"/>
    <w:rsid w:val="00B250E9"/>
    <w:rsid w:val="00B25113"/>
    <w:rsid w:val="00B25163"/>
    <w:rsid w:val="00B251D1"/>
    <w:rsid w:val="00B251EC"/>
    <w:rsid w:val="00B25246"/>
    <w:rsid w:val="00B25249"/>
    <w:rsid w:val="00B2525B"/>
    <w:rsid w:val="00B252B4"/>
    <w:rsid w:val="00B254FA"/>
    <w:rsid w:val="00B25512"/>
    <w:rsid w:val="00B255B6"/>
    <w:rsid w:val="00B25646"/>
    <w:rsid w:val="00B256D4"/>
    <w:rsid w:val="00B256E8"/>
    <w:rsid w:val="00B256FB"/>
    <w:rsid w:val="00B25702"/>
    <w:rsid w:val="00B25733"/>
    <w:rsid w:val="00B25744"/>
    <w:rsid w:val="00B25760"/>
    <w:rsid w:val="00B257F1"/>
    <w:rsid w:val="00B25882"/>
    <w:rsid w:val="00B25938"/>
    <w:rsid w:val="00B25939"/>
    <w:rsid w:val="00B25953"/>
    <w:rsid w:val="00B25981"/>
    <w:rsid w:val="00B2598E"/>
    <w:rsid w:val="00B259B5"/>
    <w:rsid w:val="00B259FC"/>
    <w:rsid w:val="00B25AF4"/>
    <w:rsid w:val="00B25B18"/>
    <w:rsid w:val="00B25B9F"/>
    <w:rsid w:val="00B25BB6"/>
    <w:rsid w:val="00B25C4A"/>
    <w:rsid w:val="00B25EBF"/>
    <w:rsid w:val="00B25ED3"/>
    <w:rsid w:val="00B25EEE"/>
    <w:rsid w:val="00B25F50"/>
    <w:rsid w:val="00B25F64"/>
    <w:rsid w:val="00B26020"/>
    <w:rsid w:val="00B2603F"/>
    <w:rsid w:val="00B260BB"/>
    <w:rsid w:val="00B260FF"/>
    <w:rsid w:val="00B26152"/>
    <w:rsid w:val="00B26181"/>
    <w:rsid w:val="00B26184"/>
    <w:rsid w:val="00B261A4"/>
    <w:rsid w:val="00B2624E"/>
    <w:rsid w:val="00B26302"/>
    <w:rsid w:val="00B2641D"/>
    <w:rsid w:val="00B26425"/>
    <w:rsid w:val="00B26508"/>
    <w:rsid w:val="00B2659C"/>
    <w:rsid w:val="00B266DE"/>
    <w:rsid w:val="00B26704"/>
    <w:rsid w:val="00B26731"/>
    <w:rsid w:val="00B267F6"/>
    <w:rsid w:val="00B26800"/>
    <w:rsid w:val="00B2690D"/>
    <w:rsid w:val="00B26A1B"/>
    <w:rsid w:val="00B26A7F"/>
    <w:rsid w:val="00B26AA1"/>
    <w:rsid w:val="00B26B0B"/>
    <w:rsid w:val="00B26B74"/>
    <w:rsid w:val="00B26B9B"/>
    <w:rsid w:val="00B26BD1"/>
    <w:rsid w:val="00B26C18"/>
    <w:rsid w:val="00B26C22"/>
    <w:rsid w:val="00B26C41"/>
    <w:rsid w:val="00B26C68"/>
    <w:rsid w:val="00B26D71"/>
    <w:rsid w:val="00B26E3D"/>
    <w:rsid w:val="00B26E8E"/>
    <w:rsid w:val="00B26F3C"/>
    <w:rsid w:val="00B26F7C"/>
    <w:rsid w:val="00B26FF8"/>
    <w:rsid w:val="00B270B4"/>
    <w:rsid w:val="00B2710A"/>
    <w:rsid w:val="00B27136"/>
    <w:rsid w:val="00B27166"/>
    <w:rsid w:val="00B271F8"/>
    <w:rsid w:val="00B27253"/>
    <w:rsid w:val="00B2727B"/>
    <w:rsid w:val="00B272E3"/>
    <w:rsid w:val="00B27320"/>
    <w:rsid w:val="00B27362"/>
    <w:rsid w:val="00B275A2"/>
    <w:rsid w:val="00B275E2"/>
    <w:rsid w:val="00B2771F"/>
    <w:rsid w:val="00B27796"/>
    <w:rsid w:val="00B2779E"/>
    <w:rsid w:val="00B27843"/>
    <w:rsid w:val="00B27849"/>
    <w:rsid w:val="00B27875"/>
    <w:rsid w:val="00B2789B"/>
    <w:rsid w:val="00B27901"/>
    <w:rsid w:val="00B27902"/>
    <w:rsid w:val="00B2792A"/>
    <w:rsid w:val="00B27959"/>
    <w:rsid w:val="00B27A00"/>
    <w:rsid w:val="00B27A57"/>
    <w:rsid w:val="00B27AC9"/>
    <w:rsid w:val="00B27ACB"/>
    <w:rsid w:val="00B27AEE"/>
    <w:rsid w:val="00B27B2F"/>
    <w:rsid w:val="00B27B3B"/>
    <w:rsid w:val="00B27C30"/>
    <w:rsid w:val="00B27C3D"/>
    <w:rsid w:val="00B27CE9"/>
    <w:rsid w:val="00B27D27"/>
    <w:rsid w:val="00B27D4D"/>
    <w:rsid w:val="00B27DCC"/>
    <w:rsid w:val="00B27DF8"/>
    <w:rsid w:val="00B27E5E"/>
    <w:rsid w:val="00B27E7C"/>
    <w:rsid w:val="00B27EE8"/>
    <w:rsid w:val="00B27EF8"/>
    <w:rsid w:val="00B27F01"/>
    <w:rsid w:val="00B27F03"/>
    <w:rsid w:val="00B27F5F"/>
    <w:rsid w:val="00B27F8B"/>
    <w:rsid w:val="00B30073"/>
    <w:rsid w:val="00B30121"/>
    <w:rsid w:val="00B3026C"/>
    <w:rsid w:val="00B3032B"/>
    <w:rsid w:val="00B303D4"/>
    <w:rsid w:val="00B303DD"/>
    <w:rsid w:val="00B303EB"/>
    <w:rsid w:val="00B303EE"/>
    <w:rsid w:val="00B30426"/>
    <w:rsid w:val="00B305E0"/>
    <w:rsid w:val="00B305E7"/>
    <w:rsid w:val="00B30645"/>
    <w:rsid w:val="00B306F5"/>
    <w:rsid w:val="00B3071E"/>
    <w:rsid w:val="00B3082F"/>
    <w:rsid w:val="00B30884"/>
    <w:rsid w:val="00B30899"/>
    <w:rsid w:val="00B3089A"/>
    <w:rsid w:val="00B309AF"/>
    <w:rsid w:val="00B30A4B"/>
    <w:rsid w:val="00B30A6C"/>
    <w:rsid w:val="00B30AA2"/>
    <w:rsid w:val="00B30AFE"/>
    <w:rsid w:val="00B30B3E"/>
    <w:rsid w:val="00B30B52"/>
    <w:rsid w:val="00B30B5D"/>
    <w:rsid w:val="00B30BD2"/>
    <w:rsid w:val="00B30C31"/>
    <w:rsid w:val="00B30CA3"/>
    <w:rsid w:val="00B30D52"/>
    <w:rsid w:val="00B30D92"/>
    <w:rsid w:val="00B30DE5"/>
    <w:rsid w:val="00B30E12"/>
    <w:rsid w:val="00B30E21"/>
    <w:rsid w:val="00B30F34"/>
    <w:rsid w:val="00B30FC2"/>
    <w:rsid w:val="00B31071"/>
    <w:rsid w:val="00B3113C"/>
    <w:rsid w:val="00B31142"/>
    <w:rsid w:val="00B311D0"/>
    <w:rsid w:val="00B3121E"/>
    <w:rsid w:val="00B3124A"/>
    <w:rsid w:val="00B31270"/>
    <w:rsid w:val="00B313E8"/>
    <w:rsid w:val="00B3140C"/>
    <w:rsid w:val="00B31516"/>
    <w:rsid w:val="00B31526"/>
    <w:rsid w:val="00B315F8"/>
    <w:rsid w:val="00B31605"/>
    <w:rsid w:val="00B31688"/>
    <w:rsid w:val="00B316A2"/>
    <w:rsid w:val="00B316D9"/>
    <w:rsid w:val="00B316E0"/>
    <w:rsid w:val="00B31743"/>
    <w:rsid w:val="00B3174B"/>
    <w:rsid w:val="00B31761"/>
    <w:rsid w:val="00B31850"/>
    <w:rsid w:val="00B31868"/>
    <w:rsid w:val="00B31893"/>
    <w:rsid w:val="00B318C4"/>
    <w:rsid w:val="00B31982"/>
    <w:rsid w:val="00B319DA"/>
    <w:rsid w:val="00B319EB"/>
    <w:rsid w:val="00B31BAE"/>
    <w:rsid w:val="00B31BAF"/>
    <w:rsid w:val="00B31C18"/>
    <w:rsid w:val="00B31C31"/>
    <w:rsid w:val="00B31C9F"/>
    <w:rsid w:val="00B31CA8"/>
    <w:rsid w:val="00B31DC1"/>
    <w:rsid w:val="00B31DDA"/>
    <w:rsid w:val="00B31E5B"/>
    <w:rsid w:val="00B31EBA"/>
    <w:rsid w:val="00B31F8A"/>
    <w:rsid w:val="00B31FCA"/>
    <w:rsid w:val="00B31FE7"/>
    <w:rsid w:val="00B32016"/>
    <w:rsid w:val="00B320BD"/>
    <w:rsid w:val="00B32125"/>
    <w:rsid w:val="00B3217C"/>
    <w:rsid w:val="00B3219E"/>
    <w:rsid w:val="00B32299"/>
    <w:rsid w:val="00B322E5"/>
    <w:rsid w:val="00B322F7"/>
    <w:rsid w:val="00B3235C"/>
    <w:rsid w:val="00B323D1"/>
    <w:rsid w:val="00B323FB"/>
    <w:rsid w:val="00B32454"/>
    <w:rsid w:val="00B32466"/>
    <w:rsid w:val="00B325C4"/>
    <w:rsid w:val="00B3260F"/>
    <w:rsid w:val="00B3265A"/>
    <w:rsid w:val="00B326AD"/>
    <w:rsid w:val="00B326BD"/>
    <w:rsid w:val="00B3278A"/>
    <w:rsid w:val="00B3283B"/>
    <w:rsid w:val="00B328A3"/>
    <w:rsid w:val="00B328CB"/>
    <w:rsid w:val="00B32945"/>
    <w:rsid w:val="00B32965"/>
    <w:rsid w:val="00B329E8"/>
    <w:rsid w:val="00B32A1A"/>
    <w:rsid w:val="00B32A47"/>
    <w:rsid w:val="00B32A90"/>
    <w:rsid w:val="00B32A97"/>
    <w:rsid w:val="00B32AA5"/>
    <w:rsid w:val="00B32BFD"/>
    <w:rsid w:val="00B32C87"/>
    <w:rsid w:val="00B32CAA"/>
    <w:rsid w:val="00B32CF8"/>
    <w:rsid w:val="00B32DC9"/>
    <w:rsid w:val="00B32E23"/>
    <w:rsid w:val="00B32E3A"/>
    <w:rsid w:val="00B32E8B"/>
    <w:rsid w:val="00B32F2D"/>
    <w:rsid w:val="00B32F2F"/>
    <w:rsid w:val="00B32F47"/>
    <w:rsid w:val="00B32F78"/>
    <w:rsid w:val="00B330CB"/>
    <w:rsid w:val="00B33109"/>
    <w:rsid w:val="00B3310E"/>
    <w:rsid w:val="00B33177"/>
    <w:rsid w:val="00B331B2"/>
    <w:rsid w:val="00B331B5"/>
    <w:rsid w:val="00B331B7"/>
    <w:rsid w:val="00B332FF"/>
    <w:rsid w:val="00B33346"/>
    <w:rsid w:val="00B333A3"/>
    <w:rsid w:val="00B333AC"/>
    <w:rsid w:val="00B333E2"/>
    <w:rsid w:val="00B335CC"/>
    <w:rsid w:val="00B336E0"/>
    <w:rsid w:val="00B33752"/>
    <w:rsid w:val="00B33754"/>
    <w:rsid w:val="00B337C7"/>
    <w:rsid w:val="00B33840"/>
    <w:rsid w:val="00B33886"/>
    <w:rsid w:val="00B338CD"/>
    <w:rsid w:val="00B339F1"/>
    <w:rsid w:val="00B33A2E"/>
    <w:rsid w:val="00B33AA6"/>
    <w:rsid w:val="00B33AB8"/>
    <w:rsid w:val="00B33B66"/>
    <w:rsid w:val="00B33BC0"/>
    <w:rsid w:val="00B33C0B"/>
    <w:rsid w:val="00B33C10"/>
    <w:rsid w:val="00B33CFD"/>
    <w:rsid w:val="00B33D51"/>
    <w:rsid w:val="00B33D56"/>
    <w:rsid w:val="00B33D8E"/>
    <w:rsid w:val="00B33E15"/>
    <w:rsid w:val="00B33EC5"/>
    <w:rsid w:val="00B33F4F"/>
    <w:rsid w:val="00B33F54"/>
    <w:rsid w:val="00B33F84"/>
    <w:rsid w:val="00B33F97"/>
    <w:rsid w:val="00B3405E"/>
    <w:rsid w:val="00B340AC"/>
    <w:rsid w:val="00B34100"/>
    <w:rsid w:val="00B341C2"/>
    <w:rsid w:val="00B34241"/>
    <w:rsid w:val="00B34245"/>
    <w:rsid w:val="00B34359"/>
    <w:rsid w:val="00B343BB"/>
    <w:rsid w:val="00B343DF"/>
    <w:rsid w:val="00B343FB"/>
    <w:rsid w:val="00B343FF"/>
    <w:rsid w:val="00B344B2"/>
    <w:rsid w:val="00B3450B"/>
    <w:rsid w:val="00B34511"/>
    <w:rsid w:val="00B34589"/>
    <w:rsid w:val="00B345F2"/>
    <w:rsid w:val="00B3464D"/>
    <w:rsid w:val="00B346B5"/>
    <w:rsid w:val="00B347FB"/>
    <w:rsid w:val="00B34857"/>
    <w:rsid w:val="00B3489F"/>
    <w:rsid w:val="00B348D6"/>
    <w:rsid w:val="00B34902"/>
    <w:rsid w:val="00B34979"/>
    <w:rsid w:val="00B34A1D"/>
    <w:rsid w:val="00B34A94"/>
    <w:rsid w:val="00B34AF6"/>
    <w:rsid w:val="00B34BCC"/>
    <w:rsid w:val="00B34BE6"/>
    <w:rsid w:val="00B34C76"/>
    <w:rsid w:val="00B34C7E"/>
    <w:rsid w:val="00B34D16"/>
    <w:rsid w:val="00B34D21"/>
    <w:rsid w:val="00B34D2E"/>
    <w:rsid w:val="00B34D37"/>
    <w:rsid w:val="00B34D5D"/>
    <w:rsid w:val="00B34D7D"/>
    <w:rsid w:val="00B34DE8"/>
    <w:rsid w:val="00B34E44"/>
    <w:rsid w:val="00B34EF9"/>
    <w:rsid w:val="00B34F70"/>
    <w:rsid w:val="00B34F85"/>
    <w:rsid w:val="00B34F98"/>
    <w:rsid w:val="00B34FAD"/>
    <w:rsid w:val="00B34FB4"/>
    <w:rsid w:val="00B34FE1"/>
    <w:rsid w:val="00B3500E"/>
    <w:rsid w:val="00B35024"/>
    <w:rsid w:val="00B350A4"/>
    <w:rsid w:val="00B3517D"/>
    <w:rsid w:val="00B351AA"/>
    <w:rsid w:val="00B35277"/>
    <w:rsid w:val="00B35284"/>
    <w:rsid w:val="00B352E3"/>
    <w:rsid w:val="00B35373"/>
    <w:rsid w:val="00B353C9"/>
    <w:rsid w:val="00B353EC"/>
    <w:rsid w:val="00B35493"/>
    <w:rsid w:val="00B354A7"/>
    <w:rsid w:val="00B354B3"/>
    <w:rsid w:val="00B354D3"/>
    <w:rsid w:val="00B3550B"/>
    <w:rsid w:val="00B355BB"/>
    <w:rsid w:val="00B3563B"/>
    <w:rsid w:val="00B356BC"/>
    <w:rsid w:val="00B356EA"/>
    <w:rsid w:val="00B356F3"/>
    <w:rsid w:val="00B35737"/>
    <w:rsid w:val="00B3573D"/>
    <w:rsid w:val="00B357C9"/>
    <w:rsid w:val="00B3584A"/>
    <w:rsid w:val="00B35A36"/>
    <w:rsid w:val="00B35C1D"/>
    <w:rsid w:val="00B35C48"/>
    <w:rsid w:val="00B35C66"/>
    <w:rsid w:val="00B35C8E"/>
    <w:rsid w:val="00B35CB8"/>
    <w:rsid w:val="00B35CEF"/>
    <w:rsid w:val="00B35CF5"/>
    <w:rsid w:val="00B35D8C"/>
    <w:rsid w:val="00B35E12"/>
    <w:rsid w:val="00B35E64"/>
    <w:rsid w:val="00B35EFE"/>
    <w:rsid w:val="00B35F76"/>
    <w:rsid w:val="00B35FB6"/>
    <w:rsid w:val="00B3600E"/>
    <w:rsid w:val="00B36199"/>
    <w:rsid w:val="00B36244"/>
    <w:rsid w:val="00B362B0"/>
    <w:rsid w:val="00B362E5"/>
    <w:rsid w:val="00B36347"/>
    <w:rsid w:val="00B363D9"/>
    <w:rsid w:val="00B364C0"/>
    <w:rsid w:val="00B365F9"/>
    <w:rsid w:val="00B36632"/>
    <w:rsid w:val="00B3664C"/>
    <w:rsid w:val="00B366B2"/>
    <w:rsid w:val="00B366E2"/>
    <w:rsid w:val="00B36742"/>
    <w:rsid w:val="00B367BC"/>
    <w:rsid w:val="00B36850"/>
    <w:rsid w:val="00B369E0"/>
    <w:rsid w:val="00B36A63"/>
    <w:rsid w:val="00B36BB2"/>
    <w:rsid w:val="00B36C1C"/>
    <w:rsid w:val="00B36C4E"/>
    <w:rsid w:val="00B36C53"/>
    <w:rsid w:val="00B36C80"/>
    <w:rsid w:val="00B36D54"/>
    <w:rsid w:val="00B36E3B"/>
    <w:rsid w:val="00B36EE0"/>
    <w:rsid w:val="00B36F8B"/>
    <w:rsid w:val="00B36FF1"/>
    <w:rsid w:val="00B36FF6"/>
    <w:rsid w:val="00B37016"/>
    <w:rsid w:val="00B3704B"/>
    <w:rsid w:val="00B37076"/>
    <w:rsid w:val="00B37150"/>
    <w:rsid w:val="00B3717E"/>
    <w:rsid w:val="00B371B8"/>
    <w:rsid w:val="00B372A3"/>
    <w:rsid w:val="00B3731A"/>
    <w:rsid w:val="00B3733F"/>
    <w:rsid w:val="00B373DE"/>
    <w:rsid w:val="00B3741C"/>
    <w:rsid w:val="00B37432"/>
    <w:rsid w:val="00B3744E"/>
    <w:rsid w:val="00B3745E"/>
    <w:rsid w:val="00B374A7"/>
    <w:rsid w:val="00B374B2"/>
    <w:rsid w:val="00B374D8"/>
    <w:rsid w:val="00B375AC"/>
    <w:rsid w:val="00B375E1"/>
    <w:rsid w:val="00B3761E"/>
    <w:rsid w:val="00B37633"/>
    <w:rsid w:val="00B3765E"/>
    <w:rsid w:val="00B3766F"/>
    <w:rsid w:val="00B376F7"/>
    <w:rsid w:val="00B37768"/>
    <w:rsid w:val="00B377C9"/>
    <w:rsid w:val="00B37811"/>
    <w:rsid w:val="00B37848"/>
    <w:rsid w:val="00B37851"/>
    <w:rsid w:val="00B37867"/>
    <w:rsid w:val="00B378B9"/>
    <w:rsid w:val="00B378FE"/>
    <w:rsid w:val="00B37938"/>
    <w:rsid w:val="00B37990"/>
    <w:rsid w:val="00B379D7"/>
    <w:rsid w:val="00B379E7"/>
    <w:rsid w:val="00B37A54"/>
    <w:rsid w:val="00B37AC2"/>
    <w:rsid w:val="00B37AF2"/>
    <w:rsid w:val="00B37B03"/>
    <w:rsid w:val="00B37B3E"/>
    <w:rsid w:val="00B37BAA"/>
    <w:rsid w:val="00B37BF9"/>
    <w:rsid w:val="00B37CFD"/>
    <w:rsid w:val="00B37D83"/>
    <w:rsid w:val="00B37D88"/>
    <w:rsid w:val="00B37E70"/>
    <w:rsid w:val="00B37E7E"/>
    <w:rsid w:val="00B37E9E"/>
    <w:rsid w:val="00B37EBC"/>
    <w:rsid w:val="00B37F44"/>
    <w:rsid w:val="00B37F88"/>
    <w:rsid w:val="00B37FDB"/>
    <w:rsid w:val="00B40103"/>
    <w:rsid w:val="00B40152"/>
    <w:rsid w:val="00B40193"/>
    <w:rsid w:val="00B401E6"/>
    <w:rsid w:val="00B40220"/>
    <w:rsid w:val="00B40268"/>
    <w:rsid w:val="00B40291"/>
    <w:rsid w:val="00B4031C"/>
    <w:rsid w:val="00B4036D"/>
    <w:rsid w:val="00B4039B"/>
    <w:rsid w:val="00B403C9"/>
    <w:rsid w:val="00B404A9"/>
    <w:rsid w:val="00B404DD"/>
    <w:rsid w:val="00B404F7"/>
    <w:rsid w:val="00B40563"/>
    <w:rsid w:val="00B4059B"/>
    <w:rsid w:val="00B405D9"/>
    <w:rsid w:val="00B405E8"/>
    <w:rsid w:val="00B4062B"/>
    <w:rsid w:val="00B40634"/>
    <w:rsid w:val="00B4063B"/>
    <w:rsid w:val="00B40659"/>
    <w:rsid w:val="00B406B9"/>
    <w:rsid w:val="00B406F2"/>
    <w:rsid w:val="00B40725"/>
    <w:rsid w:val="00B40758"/>
    <w:rsid w:val="00B40801"/>
    <w:rsid w:val="00B4091F"/>
    <w:rsid w:val="00B40932"/>
    <w:rsid w:val="00B409CC"/>
    <w:rsid w:val="00B40A5C"/>
    <w:rsid w:val="00B40AE0"/>
    <w:rsid w:val="00B40AE6"/>
    <w:rsid w:val="00B40C62"/>
    <w:rsid w:val="00B40CAC"/>
    <w:rsid w:val="00B40CAD"/>
    <w:rsid w:val="00B40D57"/>
    <w:rsid w:val="00B40D68"/>
    <w:rsid w:val="00B40D75"/>
    <w:rsid w:val="00B40DCB"/>
    <w:rsid w:val="00B40E11"/>
    <w:rsid w:val="00B40E2F"/>
    <w:rsid w:val="00B40E47"/>
    <w:rsid w:val="00B40EDE"/>
    <w:rsid w:val="00B40F31"/>
    <w:rsid w:val="00B40F35"/>
    <w:rsid w:val="00B41050"/>
    <w:rsid w:val="00B41198"/>
    <w:rsid w:val="00B411AE"/>
    <w:rsid w:val="00B411F6"/>
    <w:rsid w:val="00B41331"/>
    <w:rsid w:val="00B413A4"/>
    <w:rsid w:val="00B41402"/>
    <w:rsid w:val="00B41432"/>
    <w:rsid w:val="00B41435"/>
    <w:rsid w:val="00B41464"/>
    <w:rsid w:val="00B41506"/>
    <w:rsid w:val="00B4152F"/>
    <w:rsid w:val="00B4158B"/>
    <w:rsid w:val="00B41633"/>
    <w:rsid w:val="00B4163F"/>
    <w:rsid w:val="00B41640"/>
    <w:rsid w:val="00B41692"/>
    <w:rsid w:val="00B416FB"/>
    <w:rsid w:val="00B4175A"/>
    <w:rsid w:val="00B4179E"/>
    <w:rsid w:val="00B417F4"/>
    <w:rsid w:val="00B4189D"/>
    <w:rsid w:val="00B41908"/>
    <w:rsid w:val="00B41B8D"/>
    <w:rsid w:val="00B41C30"/>
    <w:rsid w:val="00B41D05"/>
    <w:rsid w:val="00B41D2D"/>
    <w:rsid w:val="00B41D81"/>
    <w:rsid w:val="00B41ECF"/>
    <w:rsid w:val="00B41FD8"/>
    <w:rsid w:val="00B42030"/>
    <w:rsid w:val="00B42065"/>
    <w:rsid w:val="00B420A6"/>
    <w:rsid w:val="00B420F9"/>
    <w:rsid w:val="00B4215B"/>
    <w:rsid w:val="00B4216F"/>
    <w:rsid w:val="00B4220F"/>
    <w:rsid w:val="00B4237A"/>
    <w:rsid w:val="00B425AD"/>
    <w:rsid w:val="00B42632"/>
    <w:rsid w:val="00B42657"/>
    <w:rsid w:val="00B426F8"/>
    <w:rsid w:val="00B426FA"/>
    <w:rsid w:val="00B4279E"/>
    <w:rsid w:val="00B427A5"/>
    <w:rsid w:val="00B427CC"/>
    <w:rsid w:val="00B427ED"/>
    <w:rsid w:val="00B4294E"/>
    <w:rsid w:val="00B42A3E"/>
    <w:rsid w:val="00B42A76"/>
    <w:rsid w:val="00B42ADF"/>
    <w:rsid w:val="00B42B45"/>
    <w:rsid w:val="00B42BA1"/>
    <w:rsid w:val="00B42BE3"/>
    <w:rsid w:val="00B42C2C"/>
    <w:rsid w:val="00B42CCC"/>
    <w:rsid w:val="00B42D05"/>
    <w:rsid w:val="00B42D52"/>
    <w:rsid w:val="00B42D55"/>
    <w:rsid w:val="00B42DEE"/>
    <w:rsid w:val="00B42E57"/>
    <w:rsid w:val="00B42F0B"/>
    <w:rsid w:val="00B42F78"/>
    <w:rsid w:val="00B42F9B"/>
    <w:rsid w:val="00B42FF8"/>
    <w:rsid w:val="00B43058"/>
    <w:rsid w:val="00B43088"/>
    <w:rsid w:val="00B430D9"/>
    <w:rsid w:val="00B43112"/>
    <w:rsid w:val="00B43221"/>
    <w:rsid w:val="00B4322C"/>
    <w:rsid w:val="00B43230"/>
    <w:rsid w:val="00B4323B"/>
    <w:rsid w:val="00B433B0"/>
    <w:rsid w:val="00B433F7"/>
    <w:rsid w:val="00B4342A"/>
    <w:rsid w:val="00B4363B"/>
    <w:rsid w:val="00B436A3"/>
    <w:rsid w:val="00B4373C"/>
    <w:rsid w:val="00B437A1"/>
    <w:rsid w:val="00B438F5"/>
    <w:rsid w:val="00B4393B"/>
    <w:rsid w:val="00B43940"/>
    <w:rsid w:val="00B439D0"/>
    <w:rsid w:val="00B43AC3"/>
    <w:rsid w:val="00B43B68"/>
    <w:rsid w:val="00B43BF7"/>
    <w:rsid w:val="00B43CAB"/>
    <w:rsid w:val="00B43CDB"/>
    <w:rsid w:val="00B43D18"/>
    <w:rsid w:val="00B43D87"/>
    <w:rsid w:val="00B43DAE"/>
    <w:rsid w:val="00B43DDB"/>
    <w:rsid w:val="00B43DF7"/>
    <w:rsid w:val="00B43F14"/>
    <w:rsid w:val="00B43F46"/>
    <w:rsid w:val="00B4403C"/>
    <w:rsid w:val="00B44078"/>
    <w:rsid w:val="00B44096"/>
    <w:rsid w:val="00B44113"/>
    <w:rsid w:val="00B4412F"/>
    <w:rsid w:val="00B44158"/>
    <w:rsid w:val="00B44256"/>
    <w:rsid w:val="00B442C3"/>
    <w:rsid w:val="00B44324"/>
    <w:rsid w:val="00B443D7"/>
    <w:rsid w:val="00B44408"/>
    <w:rsid w:val="00B44430"/>
    <w:rsid w:val="00B4444F"/>
    <w:rsid w:val="00B44451"/>
    <w:rsid w:val="00B4455B"/>
    <w:rsid w:val="00B44594"/>
    <w:rsid w:val="00B445BD"/>
    <w:rsid w:val="00B44694"/>
    <w:rsid w:val="00B4469C"/>
    <w:rsid w:val="00B4470B"/>
    <w:rsid w:val="00B447D2"/>
    <w:rsid w:val="00B44838"/>
    <w:rsid w:val="00B44928"/>
    <w:rsid w:val="00B4494F"/>
    <w:rsid w:val="00B449E9"/>
    <w:rsid w:val="00B44AB6"/>
    <w:rsid w:val="00B44AD1"/>
    <w:rsid w:val="00B44B1E"/>
    <w:rsid w:val="00B44BC8"/>
    <w:rsid w:val="00B44BCD"/>
    <w:rsid w:val="00B44C49"/>
    <w:rsid w:val="00B44C52"/>
    <w:rsid w:val="00B44C90"/>
    <w:rsid w:val="00B44CB1"/>
    <w:rsid w:val="00B44D3D"/>
    <w:rsid w:val="00B44D5D"/>
    <w:rsid w:val="00B44DEE"/>
    <w:rsid w:val="00B44E60"/>
    <w:rsid w:val="00B44E8B"/>
    <w:rsid w:val="00B45067"/>
    <w:rsid w:val="00B450A1"/>
    <w:rsid w:val="00B450D2"/>
    <w:rsid w:val="00B450E3"/>
    <w:rsid w:val="00B4513C"/>
    <w:rsid w:val="00B45188"/>
    <w:rsid w:val="00B451B0"/>
    <w:rsid w:val="00B45214"/>
    <w:rsid w:val="00B45269"/>
    <w:rsid w:val="00B4528F"/>
    <w:rsid w:val="00B452AB"/>
    <w:rsid w:val="00B45375"/>
    <w:rsid w:val="00B453B1"/>
    <w:rsid w:val="00B453D2"/>
    <w:rsid w:val="00B45433"/>
    <w:rsid w:val="00B45458"/>
    <w:rsid w:val="00B45483"/>
    <w:rsid w:val="00B45501"/>
    <w:rsid w:val="00B4557D"/>
    <w:rsid w:val="00B455A9"/>
    <w:rsid w:val="00B455D7"/>
    <w:rsid w:val="00B455EB"/>
    <w:rsid w:val="00B4565F"/>
    <w:rsid w:val="00B4566B"/>
    <w:rsid w:val="00B45699"/>
    <w:rsid w:val="00B456A8"/>
    <w:rsid w:val="00B4574B"/>
    <w:rsid w:val="00B45789"/>
    <w:rsid w:val="00B457D5"/>
    <w:rsid w:val="00B45863"/>
    <w:rsid w:val="00B45864"/>
    <w:rsid w:val="00B4587E"/>
    <w:rsid w:val="00B459FA"/>
    <w:rsid w:val="00B45A29"/>
    <w:rsid w:val="00B45AD1"/>
    <w:rsid w:val="00B45AEE"/>
    <w:rsid w:val="00B45B25"/>
    <w:rsid w:val="00B45BC2"/>
    <w:rsid w:val="00B45BEB"/>
    <w:rsid w:val="00B45C8E"/>
    <w:rsid w:val="00B45C99"/>
    <w:rsid w:val="00B45E5C"/>
    <w:rsid w:val="00B45E66"/>
    <w:rsid w:val="00B45EEA"/>
    <w:rsid w:val="00B45F16"/>
    <w:rsid w:val="00B45F6C"/>
    <w:rsid w:val="00B45FB1"/>
    <w:rsid w:val="00B46070"/>
    <w:rsid w:val="00B46099"/>
    <w:rsid w:val="00B46115"/>
    <w:rsid w:val="00B461DF"/>
    <w:rsid w:val="00B4629A"/>
    <w:rsid w:val="00B462C2"/>
    <w:rsid w:val="00B46336"/>
    <w:rsid w:val="00B46393"/>
    <w:rsid w:val="00B463B9"/>
    <w:rsid w:val="00B46487"/>
    <w:rsid w:val="00B464F7"/>
    <w:rsid w:val="00B46512"/>
    <w:rsid w:val="00B46629"/>
    <w:rsid w:val="00B46641"/>
    <w:rsid w:val="00B46649"/>
    <w:rsid w:val="00B466E5"/>
    <w:rsid w:val="00B46718"/>
    <w:rsid w:val="00B4676D"/>
    <w:rsid w:val="00B46775"/>
    <w:rsid w:val="00B4679C"/>
    <w:rsid w:val="00B4687B"/>
    <w:rsid w:val="00B468C6"/>
    <w:rsid w:val="00B46930"/>
    <w:rsid w:val="00B46A06"/>
    <w:rsid w:val="00B46A36"/>
    <w:rsid w:val="00B46A51"/>
    <w:rsid w:val="00B46A53"/>
    <w:rsid w:val="00B46A75"/>
    <w:rsid w:val="00B46ABC"/>
    <w:rsid w:val="00B46B39"/>
    <w:rsid w:val="00B46BAA"/>
    <w:rsid w:val="00B46CAC"/>
    <w:rsid w:val="00B46D16"/>
    <w:rsid w:val="00B46D5A"/>
    <w:rsid w:val="00B46D85"/>
    <w:rsid w:val="00B46DEC"/>
    <w:rsid w:val="00B46E7D"/>
    <w:rsid w:val="00B46EAC"/>
    <w:rsid w:val="00B46EDB"/>
    <w:rsid w:val="00B46EF9"/>
    <w:rsid w:val="00B46F2A"/>
    <w:rsid w:val="00B46F96"/>
    <w:rsid w:val="00B46F9D"/>
    <w:rsid w:val="00B4705A"/>
    <w:rsid w:val="00B47082"/>
    <w:rsid w:val="00B4709E"/>
    <w:rsid w:val="00B470ED"/>
    <w:rsid w:val="00B4714E"/>
    <w:rsid w:val="00B47196"/>
    <w:rsid w:val="00B47209"/>
    <w:rsid w:val="00B47267"/>
    <w:rsid w:val="00B47278"/>
    <w:rsid w:val="00B47289"/>
    <w:rsid w:val="00B4730D"/>
    <w:rsid w:val="00B473D1"/>
    <w:rsid w:val="00B474B7"/>
    <w:rsid w:val="00B4753A"/>
    <w:rsid w:val="00B47554"/>
    <w:rsid w:val="00B4755E"/>
    <w:rsid w:val="00B4759A"/>
    <w:rsid w:val="00B47635"/>
    <w:rsid w:val="00B47770"/>
    <w:rsid w:val="00B4784B"/>
    <w:rsid w:val="00B4790C"/>
    <w:rsid w:val="00B47917"/>
    <w:rsid w:val="00B4794B"/>
    <w:rsid w:val="00B47963"/>
    <w:rsid w:val="00B479AA"/>
    <w:rsid w:val="00B479EE"/>
    <w:rsid w:val="00B47BE7"/>
    <w:rsid w:val="00B47CA8"/>
    <w:rsid w:val="00B47CB6"/>
    <w:rsid w:val="00B47DA2"/>
    <w:rsid w:val="00B47E5F"/>
    <w:rsid w:val="00B47F34"/>
    <w:rsid w:val="00B47F76"/>
    <w:rsid w:val="00B5001A"/>
    <w:rsid w:val="00B50066"/>
    <w:rsid w:val="00B50160"/>
    <w:rsid w:val="00B50186"/>
    <w:rsid w:val="00B501C3"/>
    <w:rsid w:val="00B502CF"/>
    <w:rsid w:val="00B50351"/>
    <w:rsid w:val="00B5035E"/>
    <w:rsid w:val="00B50384"/>
    <w:rsid w:val="00B50461"/>
    <w:rsid w:val="00B5052F"/>
    <w:rsid w:val="00B5065E"/>
    <w:rsid w:val="00B50669"/>
    <w:rsid w:val="00B506CA"/>
    <w:rsid w:val="00B506D5"/>
    <w:rsid w:val="00B507AC"/>
    <w:rsid w:val="00B507B3"/>
    <w:rsid w:val="00B5085B"/>
    <w:rsid w:val="00B50896"/>
    <w:rsid w:val="00B50901"/>
    <w:rsid w:val="00B50987"/>
    <w:rsid w:val="00B50A27"/>
    <w:rsid w:val="00B50A92"/>
    <w:rsid w:val="00B50B5D"/>
    <w:rsid w:val="00B50BD1"/>
    <w:rsid w:val="00B50BD2"/>
    <w:rsid w:val="00B50BEE"/>
    <w:rsid w:val="00B50CD1"/>
    <w:rsid w:val="00B50D41"/>
    <w:rsid w:val="00B50DB7"/>
    <w:rsid w:val="00B50F13"/>
    <w:rsid w:val="00B50F58"/>
    <w:rsid w:val="00B51052"/>
    <w:rsid w:val="00B510F8"/>
    <w:rsid w:val="00B5113E"/>
    <w:rsid w:val="00B5117F"/>
    <w:rsid w:val="00B511A8"/>
    <w:rsid w:val="00B511B4"/>
    <w:rsid w:val="00B51353"/>
    <w:rsid w:val="00B513ED"/>
    <w:rsid w:val="00B513F6"/>
    <w:rsid w:val="00B5140F"/>
    <w:rsid w:val="00B51435"/>
    <w:rsid w:val="00B514F9"/>
    <w:rsid w:val="00B51673"/>
    <w:rsid w:val="00B516B3"/>
    <w:rsid w:val="00B517B4"/>
    <w:rsid w:val="00B518A4"/>
    <w:rsid w:val="00B5191C"/>
    <w:rsid w:val="00B5195A"/>
    <w:rsid w:val="00B51979"/>
    <w:rsid w:val="00B5198E"/>
    <w:rsid w:val="00B51A7D"/>
    <w:rsid w:val="00B51ADA"/>
    <w:rsid w:val="00B51AFC"/>
    <w:rsid w:val="00B51C43"/>
    <w:rsid w:val="00B51C57"/>
    <w:rsid w:val="00B51C97"/>
    <w:rsid w:val="00B51D04"/>
    <w:rsid w:val="00B51D36"/>
    <w:rsid w:val="00B51D73"/>
    <w:rsid w:val="00B51D82"/>
    <w:rsid w:val="00B51F44"/>
    <w:rsid w:val="00B51F5B"/>
    <w:rsid w:val="00B51F63"/>
    <w:rsid w:val="00B51FAC"/>
    <w:rsid w:val="00B51FFC"/>
    <w:rsid w:val="00B5206E"/>
    <w:rsid w:val="00B520CF"/>
    <w:rsid w:val="00B520FB"/>
    <w:rsid w:val="00B52139"/>
    <w:rsid w:val="00B5215F"/>
    <w:rsid w:val="00B522CA"/>
    <w:rsid w:val="00B522D3"/>
    <w:rsid w:val="00B523AC"/>
    <w:rsid w:val="00B5240F"/>
    <w:rsid w:val="00B524F0"/>
    <w:rsid w:val="00B524FA"/>
    <w:rsid w:val="00B52545"/>
    <w:rsid w:val="00B52584"/>
    <w:rsid w:val="00B525D4"/>
    <w:rsid w:val="00B525F3"/>
    <w:rsid w:val="00B5267A"/>
    <w:rsid w:val="00B526D2"/>
    <w:rsid w:val="00B52730"/>
    <w:rsid w:val="00B528CA"/>
    <w:rsid w:val="00B52915"/>
    <w:rsid w:val="00B529BE"/>
    <w:rsid w:val="00B529FA"/>
    <w:rsid w:val="00B52A9A"/>
    <w:rsid w:val="00B52B37"/>
    <w:rsid w:val="00B52B3F"/>
    <w:rsid w:val="00B52B94"/>
    <w:rsid w:val="00B52C53"/>
    <w:rsid w:val="00B52CC2"/>
    <w:rsid w:val="00B52CCE"/>
    <w:rsid w:val="00B52D74"/>
    <w:rsid w:val="00B52D97"/>
    <w:rsid w:val="00B52E1E"/>
    <w:rsid w:val="00B52E6E"/>
    <w:rsid w:val="00B52F4C"/>
    <w:rsid w:val="00B52FD4"/>
    <w:rsid w:val="00B52FF0"/>
    <w:rsid w:val="00B5309E"/>
    <w:rsid w:val="00B530E3"/>
    <w:rsid w:val="00B531A5"/>
    <w:rsid w:val="00B531F0"/>
    <w:rsid w:val="00B532AB"/>
    <w:rsid w:val="00B53500"/>
    <w:rsid w:val="00B535A5"/>
    <w:rsid w:val="00B5361D"/>
    <w:rsid w:val="00B53651"/>
    <w:rsid w:val="00B536EC"/>
    <w:rsid w:val="00B53717"/>
    <w:rsid w:val="00B53762"/>
    <w:rsid w:val="00B537CE"/>
    <w:rsid w:val="00B538BC"/>
    <w:rsid w:val="00B53992"/>
    <w:rsid w:val="00B539AD"/>
    <w:rsid w:val="00B539ED"/>
    <w:rsid w:val="00B53AF4"/>
    <w:rsid w:val="00B53B54"/>
    <w:rsid w:val="00B53B5C"/>
    <w:rsid w:val="00B53B7B"/>
    <w:rsid w:val="00B53B84"/>
    <w:rsid w:val="00B53BF9"/>
    <w:rsid w:val="00B53C8E"/>
    <w:rsid w:val="00B53CDD"/>
    <w:rsid w:val="00B53CF1"/>
    <w:rsid w:val="00B53DED"/>
    <w:rsid w:val="00B53E17"/>
    <w:rsid w:val="00B53EA7"/>
    <w:rsid w:val="00B53F07"/>
    <w:rsid w:val="00B53F9B"/>
    <w:rsid w:val="00B54044"/>
    <w:rsid w:val="00B5408F"/>
    <w:rsid w:val="00B54169"/>
    <w:rsid w:val="00B54247"/>
    <w:rsid w:val="00B5424A"/>
    <w:rsid w:val="00B54292"/>
    <w:rsid w:val="00B5433B"/>
    <w:rsid w:val="00B543A9"/>
    <w:rsid w:val="00B5444C"/>
    <w:rsid w:val="00B54468"/>
    <w:rsid w:val="00B54493"/>
    <w:rsid w:val="00B544FD"/>
    <w:rsid w:val="00B5450B"/>
    <w:rsid w:val="00B5453F"/>
    <w:rsid w:val="00B545C4"/>
    <w:rsid w:val="00B545D8"/>
    <w:rsid w:val="00B5466A"/>
    <w:rsid w:val="00B546F5"/>
    <w:rsid w:val="00B5470A"/>
    <w:rsid w:val="00B54729"/>
    <w:rsid w:val="00B5473B"/>
    <w:rsid w:val="00B547CB"/>
    <w:rsid w:val="00B547CE"/>
    <w:rsid w:val="00B54960"/>
    <w:rsid w:val="00B54A7E"/>
    <w:rsid w:val="00B54AB7"/>
    <w:rsid w:val="00B54B45"/>
    <w:rsid w:val="00B54B58"/>
    <w:rsid w:val="00B54BE4"/>
    <w:rsid w:val="00B54CD8"/>
    <w:rsid w:val="00B54D8D"/>
    <w:rsid w:val="00B54E01"/>
    <w:rsid w:val="00B54E55"/>
    <w:rsid w:val="00B54ECD"/>
    <w:rsid w:val="00B54ED0"/>
    <w:rsid w:val="00B54EE3"/>
    <w:rsid w:val="00B54EEC"/>
    <w:rsid w:val="00B54F00"/>
    <w:rsid w:val="00B54FB4"/>
    <w:rsid w:val="00B54FB5"/>
    <w:rsid w:val="00B54FF6"/>
    <w:rsid w:val="00B5504E"/>
    <w:rsid w:val="00B5508E"/>
    <w:rsid w:val="00B550A6"/>
    <w:rsid w:val="00B55154"/>
    <w:rsid w:val="00B552AA"/>
    <w:rsid w:val="00B553E5"/>
    <w:rsid w:val="00B5542A"/>
    <w:rsid w:val="00B55451"/>
    <w:rsid w:val="00B554F2"/>
    <w:rsid w:val="00B5558A"/>
    <w:rsid w:val="00B555D8"/>
    <w:rsid w:val="00B5563F"/>
    <w:rsid w:val="00B55642"/>
    <w:rsid w:val="00B556E1"/>
    <w:rsid w:val="00B556EC"/>
    <w:rsid w:val="00B55715"/>
    <w:rsid w:val="00B5574B"/>
    <w:rsid w:val="00B55778"/>
    <w:rsid w:val="00B557EA"/>
    <w:rsid w:val="00B55871"/>
    <w:rsid w:val="00B5590B"/>
    <w:rsid w:val="00B55931"/>
    <w:rsid w:val="00B55987"/>
    <w:rsid w:val="00B55A38"/>
    <w:rsid w:val="00B55A6B"/>
    <w:rsid w:val="00B55AB0"/>
    <w:rsid w:val="00B55AE9"/>
    <w:rsid w:val="00B55C1A"/>
    <w:rsid w:val="00B55C4D"/>
    <w:rsid w:val="00B55C77"/>
    <w:rsid w:val="00B55CF8"/>
    <w:rsid w:val="00B55D73"/>
    <w:rsid w:val="00B55E00"/>
    <w:rsid w:val="00B55EB2"/>
    <w:rsid w:val="00B55EF5"/>
    <w:rsid w:val="00B55FED"/>
    <w:rsid w:val="00B56176"/>
    <w:rsid w:val="00B561BF"/>
    <w:rsid w:val="00B5621F"/>
    <w:rsid w:val="00B562CB"/>
    <w:rsid w:val="00B56337"/>
    <w:rsid w:val="00B5644C"/>
    <w:rsid w:val="00B56524"/>
    <w:rsid w:val="00B565B2"/>
    <w:rsid w:val="00B56656"/>
    <w:rsid w:val="00B56662"/>
    <w:rsid w:val="00B566A7"/>
    <w:rsid w:val="00B567B9"/>
    <w:rsid w:val="00B567EB"/>
    <w:rsid w:val="00B567F8"/>
    <w:rsid w:val="00B56892"/>
    <w:rsid w:val="00B56A18"/>
    <w:rsid w:val="00B56BD9"/>
    <w:rsid w:val="00B56D13"/>
    <w:rsid w:val="00B56D26"/>
    <w:rsid w:val="00B56D3D"/>
    <w:rsid w:val="00B56DCE"/>
    <w:rsid w:val="00B56EE2"/>
    <w:rsid w:val="00B56EF3"/>
    <w:rsid w:val="00B56F24"/>
    <w:rsid w:val="00B56FEF"/>
    <w:rsid w:val="00B56FF0"/>
    <w:rsid w:val="00B57038"/>
    <w:rsid w:val="00B57039"/>
    <w:rsid w:val="00B57047"/>
    <w:rsid w:val="00B5714D"/>
    <w:rsid w:val="00B5722C"/>
    <w:rsid w:val="00B57272"/>
    <w:rsid w:val="00B5735D"/>
    <w:rsid w:val="00B57381"/>
    <w:rsid w:val="00B573A8"/>
    <w:rsid w:val="00B573EF"/>
    <w:rsid w:val="00B5742A"/>
    <w:rsid w:val="00B5743C"/>
    <w:rsid w:val="00B5755F"/>
    <w:rsid w:val="00B57584"/>
    <w:rsid w:val="00B575B9"/>
    <w:rsid w:val="00B575E2"/>
    <w:rsid w:val="00B5765C"/>
    <w:rsid w:val="00B576E1"/>
    <w:rsid w:val="00B576EF"/>
    <w:rsid w:val="00B5770A"/>
    <w:rsid w:val="00B5773F"/>
    <w:rsid w:val="00B57765"/>
    <w:rsid w:val="00B578AE"/>
    <w:rsid w:val="00B579CC"/>
    <w:rsid w:val="00B579CF"/>
    <w:rsid w:val="00B579DB"/>
    <w:rsid w:val="00B579F1"/>
    <w:rsid w:val="00B57A8B"/>
    <w:rsid w:val="00B57AAD"/>
    <w:rsid w:val="00B57AC1"/>
    <w:rsid w:val="00B57AE6"/>
    <w:rsid w:val="00B57BA6"/>
    <w:rsid w:val="00B57C4E"/>
    <w:rsid w:val="00B57D07"/>
    <w:rsid w:val="00B57D37"/>
    <w:rsid w:val="00B57D56"/>
    <w:rsid w:val="00B57DCB"/>
    <w:rsid w:val="00B57E56"/>
    <w:rsid w:val="00B57EC6"/>
    <w:rsid w:val="00B57ECD"/>
    <w:rsid w:val="00B57EF8"/>
    <w:rsid w:val="00B57F1C"/>
    <w:rsid w:val="00B57F3F"/>
    <w:rsid w:val="00B57F42"/>
    <w:rsid w:val="00B57FCC"/>
    <w:rsid w:val="00B60068"/>
    <w:rsid w:val="00B600DE"/>
    <w:rsid w:val="00B600E2"/>
    <w:rsid w:val="00B60110"/>
    <w:rsid w:val="00B6017E"/>
    <w:rsid w:val="00B60187"/>
    <w:rsid w:val="00B6019C"/>
    <w:rsid w:val="00B601A1"/>
    <w:rsid w:val="00B601E8"/>
    <w:rsid w:val="00B60281"/>
    <w:rsid w:val="00B60358"/>
    <w:rsid w:val="00B603F1"/>
    <w:rsid w:val="00B603FD"/>
    <w:rsid w:val="00B60411"/>
    <w:rsid w:val="00B6043D"/>
    <w:rsid w:val="00B6046C"/>
    <w:rsid w:val="00B60478"/>
    <w:rsid w:val="00B60530"/>
    <w:rsid w:val="00B6056A"/>
    <w:rsid w:val="00B60598"/>
    <w:rsid w:val="00B60669"/>
    <w:rsid w:val="00B60670"/>
    <w:rsid w:val="00B606C2"/>
    <w:rsid w:val="00B606C6"/>
    <w:rsid w:val="00B60760"/>
    <w:rsid w:val="00B607C5"/>
    <w:rsid w:val="00B60859"/>
    <w:rsid w:val="00B60981"/>
    <w:rsid w:val="00B60C34"/>
    <w:rsid w:val="00B60CB3"/>
    <w:rsid w:val="00B60EB4"/>
    <w:rsid w:val="00B60EBA"/>
    <w:rsid w:val="00B60FB5"/>
    <w:rsid w:val="00B60FE3"/>
    <w:rsid w:val="00B61046"/>
    <w:rsid w:val="00B61048"/>
    <w:rsid w:val="00B61070"/>
    <w:rsid w:val="00B610E5"/>
    <w:rsid w:val="00B61110"/>
    <w:rsid w:val="00B61312"/>
    <w:rsid w:val="00B61313"/>
    <w:rsid w:val="00B613CA"/>
    <w:rsid w:val="00B614A2"/>
    <w:rsid w:val="00B6165C"/>
    <w:rsid w:val="00B6165F"/>
    <w:rsid w:val="00B6166B"/>
    <w:rsid w:val="00B6171A"/>
    <w:rsid w:val="00B61730"/>
    <w:rsid w:val="00B6174E"/>
    <w:rsid w:val="00B6179F"/>
    <w:rsid w:val="00B617AA"/>
    <w:rsid w:val="00B617B0"/>
    <w:rsid w:val="00B617C0"/>
    <w:rsid w:val="00B61823"/>
    <w:rsid w:val="00B618F6"/>
    <w:rsid w:val="00B6195D"/>
    <w:rsid w:val="00B6199E"/>
    <w:rsid w:val="00B619D3"/>
    <w:rsid w:val="00B61A15"/>
    <w:rsid w:val="00B61B09"/>
    <w:rsid w:val="00B61B55"/>
    <w:rsid w:val="00B61B78"/>
    <w:rsid w:val="00B61BBD"/>
    <w:rsid w:val="00B61C0D"/>
    <w:rsid w:val="00B61C63"/>
    <w:rsid w:val="00B61C72"/>
    <w:rsid w:val="00B61D01"/>
    <w:rsid w:val="00B61D42"/>
    <w:rsid w:val="00B61D48"/>
    <w:rsid w:val="00B61E38"/>
    <w:rsid w:val="00B61EB7"/>
    <w:rsid w:val="00B61EFC"/>
    <w:rsid w:val="00B61F11"/>
    <w:rsid w:val="00B61FB5"/>
    <w:rsid w:val="00B61FBF"/>
    <w:rsid w:val="00B620A7"/>
    <w:rsid w:val="00B621DA"/>
    <w:rsid w:val="00B622B4"/>
    <w:rsid w:val="00B622E0"/>
    <w:rsid w:val="00B62306"/>
    <w:rsid w:val="00B62318"/>
    <w:rsid w:val="00B6231E"/>
    <w:rsid w:val="00B6238F"/>
    <w:rsid w:val="00B623AC"/>
    <w:rsid w:val="00B623C8"/>
    <w:rsid w:val="00B623CF"/>
    <w:rsid w:val="00B6251A"/>
    <w:rsid w:val="00B6251F"/>
    <w:rsid w:val="00B62700"/>
    <w:rsid w:val="00B62761"/>
    <w:rsid w:val="00B627C5"/>
    <w:rsid w:val="00B627EA"/>
    <w:rsid w:val="00B62835"/>
    <w:rsid w:val="00B629E0"/>
    <w:rsid w:val="00B62A09"/>
    <w:rsid w:val="00B62A9D"/>
    <w:rsid w:val="00B62B00"/>
    <w:rsid w:val="00B62C34"/>
    <w:rsid w:val="00B62C3A"/>
    <w:rsid w:val="00B62C5B"/>
    <w:rsid w:val="00B62C93"/>
    <w:rsid w:val="00B62D83"/>
    <w:rsid w:val="00B62DC3"/>
    <w:rsid w:val="00B62DCB"/>
    <w:rsid w:val="00B62DDB"/>
    <w:rsid w:val="00B62DE2"/>
    <w:rsid w:val="00B62E14"/>
    <w:rsid w:val="00B62E95"/>
    <w:rsid w:val="00B62EC6"/>
    <w:rsid w:val="00B62EF2"/>
    <w:rsid w:val="00B62FBC"/>
    <w:rsid w:val="00B63005"/>
    <w:rsid w:val="00B63021"/>
    <w:rsid w:val="00B63054"/>
    <w:rsid w:val="00B630A0"/>
    <w:rsid w:val="00B63143"/>
    <w:rsid w:val="00B63185"/>
    <w:rsid w:val="00B6318C"/>
    <w:rsid w:val="00B63227"/>
    <w:rsid w:val="00B63246"/>
    <w:rsid w:val="00B63293"/>
    <w:rsid w:val="00B6329D"/>
    <w:rsid w:val="00B632E3"/>
    <w:rsid w:val="00B632FC"/>
    <w:rsid w:val="00B633C7"/>
    <w:rsid w:val="00B6342D"/>
    <w:rsid w:val="00B63486"/>
    <w:rsid w:val="00B63495"/>
    <w:rsid w:val="00B6351B"/>
    <w:rsid w:val="00B635F7"/>
    <w:rsid w:val="00B6369B"/>
    <w:rsid w:val="00B63776"/>
    <w:rsid w:val="00B6377A"/>
    <w:rsid w:val="00B63794"/>
    <w:rsid w:val="00B637D3"/>
    <w:rsid w:val="00B63864"/>
    <w:rsid w:val="00B63865"/>
    <w:rsid w:val="00B638C0"/>
    <w:rsid w:val="00B638D4"/>
    <w:rsid w:val="00B638DF"/>
    <w:rsid w:val="00B63969"/>
    <w:rsid w:val="00B6398A"/>
    <w:rsid w:val="00B639A8"/>
    <w:rsid w:val="00B639CF"/>
    <w:rsid w:val="00B63A06"/>
    <w:rsid w:val="00B63A3D"/>
    <w:rsid w:val="00B63AD2"/>
    <w:rsid w:val="00B63BE5"/>
    <w:rsid w:val="00B63C1E"/>
    <w:rsid w:val="00B63D1F"/>
    <w:rsid w:val="00B63D55"/>
    <w:rsid w:val="00B63D8E"/>
    <w:rsid w:val="00B63E4B"/>
    <w:rsid w:val="00B63E61"/>
    <w:rsid w:val="00B63E6E"/>
    <w:rsid w:val="00B63E82"/>
    <w:rsid w:val="00B63F9A"/>
    <w:rsid w:val="00B6403D"/>
    <w:rsid w:val="00B64059"/>
    <w:rsid w:val="00B640FB"/>
    <w:rsid w:val="00B64121"/>
    <w:rsid w:val="00B64127"/>
    <w:rsid w:val="00B641C3"/>
    <w:rsid w:val="00B64306"/>
    <w:rsid w:val="00B64436"/>
    <w:rsid w:val="00B644BD"/>
    <w:rsid w:val="00B644E0"/>
    <w:rsid w:val="00B64534"/>
    <w:rsid w:val="00B6458E"/>
    <w:rsid w:val="00B6459F"/>
    <w:rsid w:val="00B645B7"/>
    <w:rsid w:val="00B6460D"/>
    <w:rsid w:val="00B64765"/>
    <w:rsid w:val="00B6482F"/>
    <w:rsid w:val="00B64834"/>
    <w:rsid w:val="00B6487D"/>
    <w:rsid w:val="00B648C8"/>
    <w:rsid w:val="00B64963"/>
    <w:rsid w:val="00B64982"/>
    <w:rsid w:val="00B649E4"/>
    <w:rsid w:val="00B649E8"/>
    <w:rsid w:val="00B64A09"/>
    <w:rsid w:val="00B64B2A"/>
    <w:rsid w:val="00B64C66"/>
    <w:rsid w:val="00B64D55"/>
    <w:rsid w:val="00B64E57"/>
    <w:rsid w:val="00B64EBD"/>
    <w:rsid w:val="00B64EFD"/>
    <w:rsid w:val="00B64F01"/>
    <w:rsid w:val="00B64F50"/>
    <w:rsid w:val="00B64FEC"/>
    <w:rsid w:val="00B650C1"/>
    <w:rsid w:val="00B651BC"/>
    <w:rsid w:val="00B65250"/>
    <w:rsid w:val="00B6526A"/>
    <w:rsid w:val="00B65280"/>
    <w:rsid w:val="00B65329"/>
    <w:rsid w:val="00B6535A"/>
    <w:rsid w:val="00B653C1"/>
    <w:rsid w:val="00B65457"/>
    <w:rsid w:val="00B65520"/>
    <w:rsid w:val="00B65530"/>
    <w:rsid w:val="00B65604"/>
    <w:rsid w:val="00B6569C"/>
    <w:rsid w:val="00B6573B"/>
    <w:rsid w:val="00B65766"/>
    <w:rsid w:val="00B65797"/>
    <w:rsid w:val="00B657D8"/>
    <w:rsid w:val="00B6586D"/>
    <w:rsid w:val="00B65885"/>
    <w:rsid w:val="00B65A64"/>
    <w:rsid w:val="00B65A67"/>
    <w:rsid w:val="00B65A83"/>
    <w:rsid w:val="00B65A8D"/>
    <w:rsid w:val="00B65AA5"/>
    <w:rsid w:val="00B65AC2"/>
    <w:rsid w:val="00B65AF5"/>
    <w:rsid w:val="00B65B2A"/>
    <w:rsid w:val="00B65BDB"/>
    <w:rsid w:val="00B65DBB"/>
    <w:rsid w:val="00B65DDF"/>
    <w:rsid w:val="00B65DF5"/>
    <w:rsid w:val="00B65E8D"/>
    <w:rsid w:val="00B65F35"/>
    <w:rsid w:val="00B65F58"/>
    <w:rsid w:val="00B66048"/>
    <w:rsid w:val="00B660B9"/>
    <w:rsid w:val="00B660EA"/>
    <w:rsid w:val="00B66125"/>
    <w:rsid w:val="00B661A9"/>
    <w:rsid w:val="00B66253"/>
    <w:rsid w:val="00B6626B"/>
    <w:rsid w:val="00B6626C"/>
    <w:rsid w:val="00B6628F"/>
    <w:rsid w:val="00B662FB"/>
    <w:rsid w:val="00B66345"/>
    <w:rsid w:val="00B6635D"/>
    <w:rsid w:val="00B6645E"/>
    <w:rsid w:val="00B664C1"/>
    <w:rsid w:val="00B66538"/>
    <w:rsid w:val="00B66556"/>
    <w:rsid w:val="00B665C6"/>
    <w:rsid w:val="00B665DB"/>
    <w:rsid w:val="00B6665A"/>
    <w:rsid w:val="00B66660"/>
    <w:rsid w:val="00B6667B"/>
    <w:rsid w:val="00B666F7"/>
    <w:rsid w:val="00B66787"/>
    <w:rsid w:val="00B667BA"/>
    <w:rsid w:val="00B667F7"/>
    <w:rsid w:val="00B6689A"/>
    <w:rsid w:val="00B6690B"/>
    <w:rsid w:val="00B6694E"/>
    <w:rsid w:val="00B669AB"/>
    <w:rsid w:val="00B669B6"/>
    <w:rsid w:val="00B669EF"/>
    <w:rsid w:val="00B669F1"/>
    <w:rsid w:val="00B66A2D"/>
    <w:rsid w:val="00B66ADF"/>
    <w:rsid w:val="00B66B40"/>
    <w:rsid w:val="00B66B61"/>
    <w:rsid w:val="00B66C64"/>
    <w:rsid w:val="00B66D01"/>
    <w:rsid w:val="00B66D88"/>
    <w:rsid w:val="00B66D96"/>
    <w:rsid w:val="00B66DB7"/>
    <w:rsid w:val="00B66EA0"/>
    <w:rsid w:val="00B66F6B"/>
    <w:rsid w:val="00B66FD0"/>
    <w:rsid w:val="00B670F4"/>
    <w:rsid w:val="00B67100"/>
    <w:rsid w:val="00B67149"/>
    <w:rsid w:val="00B6722B"/>
    <w:rsid w:val="00B6727B"/>
    <w:rsid w:val="00B67434"/>
    <w:rsid w:val="00B67503"/>
    <w:rsid w:val="00B67506"/>
    <w:rsid w:val="00B6754F"/>
    <w:rsid w:val="00B67615"/>
    <w:rsid w:val="00B67684"/>
    <w:rsid w:val="00B676B3"/>
    <w:rsid w:val="00B6774F"/>
    <w:rsid w:val="00B677CB"/>
    <w:rsid w:val="00B677D6"/>
    <w:rsid w:val="00B677E5"/>
    <w:rsid w:val="00B6784A"/>
    <w:rsid w:val="00B67926"/>
    <w:rsid w:val="00B679E6"/>
    <w:rsid w:val="00B67A0A"/>
    <w:rsid w:val="00B67B4F"/>
    <w:rsid w:val="00B67C4D"/>
    <w:rsid w:val="00B67C58"/>
    <w:rsid w:val="00B67CBC"/>
    <w:rsid w:val="00B67CCD"/>
    <w:rsid w:val="00B67D07"/>
    <w:rsid w:val="00B67E2E"/>
    <w:rsid w:val="00B67EA4"/>
    <w:rsid w:val="00B67ED3"/>
    <w:rsid w:val="00B67F08"/>
    <w:rsid w:val="00B70054"/>
    <w:rsid w:val="00B702B8"/>
    <w:rsid w:val="00B70397"/>
    <w:rsid w:val="00B7040C"/>
    <w:rsid w:val="00B7041F"/>
    <w:rsid w:val="00B70446"/>
    <w:rsid w:val="00B70492"/>
    <w:rsid w:val="00B704A3"/>
    <w:rsid w:val="00B705FC"/>
    <w:rsid w:val="00B706A1"/>
    <w:rsid w:val="00B706DB"/>
    <w:rsid w:val="00B7073B"/>
    <w:rsid w:val="00B70753"/>
    <w:rsid w:val="00B70754"/>
    <w:rsid w:val="00B70771"/>
    <w:rsid w:val="00B708E7"/>
    <w:rsid w:val="00B7090B"/>
    <w:rsid w:val="00B70A36"/>
    <w:rsid w:val="00B70AF7"/>
    <w:rsid w:val="00B70C99"/>
    <w:rsid w:val="00B70D51"/>
    <w:rsid w:val="00B70DB2"/>
    <w:rsid w:val="00B70DC9"/>
    <w:rsid w:val="00B70EF0"/>
    <w:rsid w:val="00B70F0A"/>
    <w:rsid w:val="00B70F23"/>
    <w:rsid w:val="00B70F4D"/>
    <w:rsid w:val="00B70FD3"/>
    <w:rsid w:val="00B71024"/>
    <w:rsid w:val="00B7118D"/>
    <w:rsid w:val="00B712EE"/>
    <w:rsid w:val="00B71309"/>
    <w:rsid w:val="00B71333"/>
    <w:rsid w:val="00B71349"/>
    <w:rsid w:val="00B71395"/>
    <w:rsid w:val="00B7139D"/>
    <w:rsid w:val="00B7139F"/>
    <w:rsid w:val="00B71450"/>
    <w:rsid w:val="00B714E9"/>
    <w:rsid w:val="00B71548"/>
    <w:rsid w:val="00B71550"/>
    <w:rsid w:val="00B71589"/>
    <w:rsid w:val="00B715D7"/>
    <w:rsid w:val="00B7167F"/>
    <w:rsid w:val="00B7175B"/>
    <w:rsid w:val="00B71769"/>
    <w:rsid w:val="00B717CB"/>
    <w:rsid w:val="00B717D8"/>
    <w:rsid w:val="00B717E7"/>
    <w:rsid w:val="00B717F6"/>
    <w:rsid w:val="00B71817"/>
    <w:rsid w:val="00B718F2"/>
    <w:rsid w:val="00B718F4"/>
    <w:rsid w:val="00B71975"/>
    <w:rsid w:val="00B71987"/>
    <w:rsid w:val="00B7199C"/>
    <w:rsid w:val="00B71A47"/>
    <w:rsid w:val="00B71A4B"/>
    <w:rsid w:val="00B71A4D"/>
    <w:rsid w:val="00B71A7D"/>
    <w:rsid w:val="00B71B1B"/>
    <w:rsid w:val="00B71B68"/>
    <w:rsid w:val="00B71BBF"/>
    <w:rsid w:val="00B71CBA"/>
    <w:rsid w:val="00B71CC2"/>
    <w:rsid w:val="00B71CDB"/>
    <w:rsid w:val="00B71D4F"/>
    <w:rsid w:val="00B71E44"/>
    <w:rsid w:val="00B71F19"/>
    <w:rsid w:val="00B71F92"/>
    <w:rsid w:val="00B71FF7"/>
    <w:rsid w:val="00B72075"/>
    <w:rsid w:val="00B7207B"/>
    <w:rsid w:val="00B72099"/>
    <w:rsid w:val="00B7215B"/>
    <w:rsid w:val="00B72162"/>
    <w:rsid w:val="00B72167"/>
    <w:rsid w:val="00B721D4"/>
    <w:rsid w:val="00B7229C"/>
    <w:rsid w:val="00B722CF"/>
    <w:rsid w:val="00B7231C"/>
    <w:rsid w:val="00B723E5"/>
    <w:rsid w:val="00B72455"/>
    <w:rsid w:val="00B72594"/>
    <w:rsid w:val="00B725D4"/>
    <w:rsid w:val="00B72612"/>
    <w:rsid w:val="00B72634"/>
    <w:rsid w:val="00B7269F"/>
    <w:rsid w:val="00B726C0"/>
    <w:rsid w:val="00B72706"/>
    <w:rsid w:val="00B72716"/>
    <w:rsid w:val="00B72772"/>
    <w:rsid w:val="00B72812"/>
    <w:rsid w:val="00B72855"/>
    <w:rsid w:val="00B728C2"/>
    <w:rsid w:val="00B728FC"/>
    <w:rsid w:val="00B72912"/>
    <w:rsid w:val="00B72A25"/>
    <w:rsid w:val="00B72A44"/>
    <w:rsid w:val="00B72A75"/>
    <w:rsid w:val="00B72A78"/>
    <w:rsid w:val="00B72AF0"/>
    <w:rsid w:val="00B72B48"/>
    <w:rsid w:val="00B72BC1"/>
    <w:rsid w:val="00B72BEE"/>
    <w:rsid w:val="00B72C2C"/>
    <w:rsid w:val="00B72C7B"/>
    <w:rsid w:val="00B72CD6"/>
    <w:rsid w:val="00B72E1F"/>
    <w:rsid w:val="00B72EAE"/>
    <w:rsid w:val="00B72EF1"/>
    <w:rsid w:val="00B72F1A"/>
    <w:rsid w:val="00B72F5E"/>
    <w:rsid w:val="00B72FC0"/>
    <w:rsid w:val="00B73059"/>
    <w:rsid w:val="00B731CC"/>
    <w:rsid w:val="00B7325B"/>
    <w:rsid w:val="00B73319"/>
    <w:rsid w:val="00B7336F"/>
    <w:rsid w:val="00B733F8"/>
    <w:rsid w:val="00B73536"/>
    <w:rsid w:val="00B735F3"/>
    <w:rsid w:val="00B7373E"/>
    <w:rsid w:val="00B738CA"/>
    <w:rsid w:val="00B7391B"/>
    <w:rsid w:val="00B7399D"/>
    <w:rsid w:val="00B73A37"/>
    <w:rsid w:val="00B73AA5"/>
    <w:rsid w:val="00B73AA8"/>
    <w:rsid w:val="00B73AB4"/>
    <w:rsid w:val="00B73B4D"/>
    <w:rsid w:val="00B73C02"/>
    <w:rsid w:val="00B73C84"/>
    <w:rsid w:val="00B73CC2"/>
    <w:rsid w:val="00B73D03"/>
    <w:rsid w:val="00B73DCF"/>
    <w:rsid w:val="00B73DDB"/>
    <w:rsid w:val="00B73E20"/>
    <w:rsid w:val="00B73E5A"/>
    <w:rsid w:val="00B73EE8"/>
    <w:rsid w:val="00B73F06"/>
    <w:rsid w:val="00B73F26"/>
    <w:rsid w:val="00B73F2D"/>
    <w:rsid w:val="00B74046"/>
    <w:rsid w:val="00B74093"/>
    <w:rsid w:val="00B740A9"/>
    <w:rsid w:val="00B74170"/>
    <w:rsid w:val="00B741BD"/>
    <w:rsid w:val="00B74202"/>
    <w:rsid w:val="00B7421B"/>
    <w:rsid w:val="00B742B5"/>
    <w:rsid w:val="00B7434D"/>
    <w:rsid w:val="00B7456B"/>
    <w:rsid w:val="00B745E6"/>
    <w:rsid w:val="00B745FB"/>
    <w:rsid w:val="00B746B3"/>
    <w:rsid w:val="00B7470D"/>
    <w:rsid w:val="00B74719"/>
    <w:rsid w:val="00B7485C"/>
    <w:rsid w:val="00B748C9"/>
    <w:rsid w:val="00B7493D"/>
    <w:rsid w:val="00B74A9F"/>
    <w:rsid w:val="00B74AD9"/>
    <w:rsid w:val="00B74AE9"/>
    <w:rsid w:val="00B74C17"/>
    <w:rsid w:val="00B74C36"/>
    <w:rsid w:val="00B74CDC"/>
    <w:rsid w:val="00B74D20"/>
    <w:rsid w:val="00B74D82"/>
    <w:rsid w:val="00B74F4F"/>
    <w:rsid w:val="00B74FA1"/>
    <w:rsid w:val="00B74FA7"/>
    <w:rsid w:val="00B75041"/>
    <w:rsid w:val="00B75057"/>
    <w:rsid w:val="00B75062"/>
    <w:rsid w:val="00B75069"/>
    <w:rsid w:val="00B75121"/>
    <w:rsid w:val="00B7514E"/>
    <w:rsid w:val="00B75176"/>
    <w:rsid w:val="00B7518B"/>
    <w:rsid w:val="00B75242"/>
    <w:rsid w:val="00B7528B"/>
    <w:rsid w:val="00B752CD"/>
    <w:rsid w:val="00B7530C"/>
    <w:rsid w:val="00B75401"/>
    <w:rsid w:val="00B7541C"/>
    <w:rsid w:val="00B754F5"/>
    <w:rsid w:val="00B75506"/>
    <w:rsid w:val="00B75523"/>
    <w:rsid w:val="00B7562B"/>
    <w:rsid w:val="00B75666"/>
    <w:rsid w:val="00B7567B"/>
    <w:rsid w:val="00B756D3"/>
    <w:rsid w:val="00B756D6"/>
    <w:rsid w:val="00B75709"/>
    <w:rsid w:val="00B7575E"/>
    <w:rsid w:val="00B75831"/>
    <w:rsid w:val="00B75861"/>
    <w:rsid w:val="00B7587C"/>
    <w:rsid w:val="00B75880"/>
    <w:rsid w:val="00B7588B"/>
    <w:rsid w:val="00B75975"/>
    <w:rsid w:val="00B75977"/>
    <w:rsid w:val="00B75A3F"/>
    <w:rsid w:val="00B75A46"/>
    <w:rsid w:val="00B75A96"/>
    <w:rsid w:val="00B75AF7"/>
    <w:rsid w:val="00B75B5C"/>
    <w:rsid w:val="00B75B7F"/>
    <w:rsid w:val="00B75C31"/>
    <w:rsid w:val="00B75D79"/>
    <w:rsid w:val="00B75DAB"/>
    <w:rsid w:val="00B75E1E"/>
    <w:rsid w:val="00B75E4F"/>
    <w:rsid w:val="00B75F5B"/>
    <w:rsid w:val="00B75F64"/>
    <w:rsid w:val="00B760AB"/>
    <w:rsid w:val="00B761DC"/>
    <w:rsid w:val="00B76274"/>
    <w:rsid w:val="00B7628A"/>
    <w:rsid w:val="00B763A9"/>
    <w:rsid w:val="00B763BB"/>
    <w:rsid w:val="00B7641F"/>
    <w:rsid w:val="00B7643C"/>
    <w:rsid w:val="00B76455"/>
    <w:rsid w:val="00B76486"/>
    <w:rsid w:val="00B764B7"/>
    <w:rsid w:val="00B764D7"/>
    <w:rsid w:val="00B764F9"/>
    <w:rsid w:val="00B76539"/>
    <w:rsid w:val="00B76607"/>
    <w:rsid w:val="00B76621"/>
    <w:rsid w:val="00B7662A"/>
    <w:rsid w:val="00B76651"/>
    <w:rsid w:val="00B766B6"/>
    <w:rsid w:val="00B767C7"/>
    <w:rsid w:val="00B767D5"/>
    <w:rsid w:val="00B767E7"/>
    <w:rsid w:val="00B7682B"/>
    <w:rsid w:val="00B768B6"/>
    <w:rsid w:val="00B76958"/>
    <w:rsid w:val="00B769D5"/>
    <w:rsid w:val="00B76B37"/>
    <w:rsid w:val="00B76B5D"/>
    <w:rsid w:val="00B76BC9"/>
    <w:rsid w:val="00B76C44"/>
    <w:rsid w:val="00B76D17"/>
    <w:rsid w:val="00B76D2F"/>
    <w:rsid w:val="00B76D74"/>
    <w:rsid w:val="00B76E46"/>
    <w:rsid w:val="00B76ED0"/>
    <w:rsid w:val="00B76F01"/>
    <w:rsid w:val="00B76F63"/>
    <w:rsid w:val="00B77113"/>
    <w:rsid w:val="00B7714A"/>
    <w:rsid w:val="00B7715E"/>
    <w:rsid w:val="00B772CE"/>
    <w:rsid w:val="00B77366"/>
    <w:rsid w:val="00B773EF"/>
    <w:rsid w:val="00B77400"/>
    <w:rsid w:val="00B7751E"/>
    <w:rsid w:val="00B77579"/>
    <w:rsid w:val="00B77640"/>
    <w:rsid w:val="00B77644"/>
    <w:rsid w:val="00B7766F"/>
    <w:rsid w:val="00B776F0"/>
    <w:rsid w:val="00B77706"/>
    <w:rsid w:val="00B77797"/>
    <w:rsid w:val="00B7779A"/>
    <w:rsid w:val="00B777DB"/>
    <w:rsid w:val="00B777E7"/>
    <w:rsid w:val="00B777EB"/>
    <w:rsid w:val="00B77875"/>
    <w:rsid w:val="00B778A2"/>
    <w:rsid w:val="00B77A62"/>
    <w:rsid w:val="00B77AB5"/>
    <w:rsid w:val="00B77B52"/>
    <w:rsid w:val="00B77B5A"/>
    <w:rsid w:val="00B77CA0"/>
    <w:rsid w:val="00B77D04"/>
    <w:rsid w:val="00B77D56"/>
    <w:rsid w:val="00B77DDD"/>
    <w:rsid w:val="00B77DEB"/>
    <w:rsid w:val="00B77DF2"/>
    <w:rsid w:val="00B77E79"/>
    <w:rsid w:val="00B77EE4"/>
    <w:rsid w:val="00B77F00"/>
    <w:rsid w:val="00B77F19"/>
    <w:rsid w:val="00B8009F"/>
    <w:rsid w:val="00B800C3"/>
    <w:rsid w:val="00B8014B"/>
    <w:rsid w:val="00B80228"/>
    <w:rsid w:val="00B8029D"/>
    <w:rsid w:val="00B8030F"/>
    <w:rsid w:val="00B80369"/>
    <w:rsid w:val="00B8036E"/>
    <w:rsid w:val="00B803B9"/>
    <w:rsid w:val="00B803BC"/>
    <w:rsid w:val="00B80419"/>
    <w:rsid w:val="00B80481"/>
    <w:rsid w:val="00B80490"/>
    <w:rsid w:val="00B804F8"/>
    <w:rsid w:val="00B80582"/>
    <w:rsid w:val="00B80800"/>
    <w:rsid w:val="00B80819"/>
    <w:rsid w:val="00B80834"/>
    <w:rsid w:val="00B808A6"/>
    <w:rsid w:val="00B808B1"/>
    <w:rsid w:val="00B808F8"/>
    <w:rsid w:val="00B8091C"/>
    <w:rsid w:val="00B8095A"/>
    <w:rsid w:val="00B80B58"/>
    <w:rsid w:val="00B80B5C"/>
    <w:rsid w:val="00B80B71"/>
    <w:rsid w:val="00B80BDB"/>
    <w:rsid w:val="00B80BF7"/>
    <w:rsid w:val="00B80C60"/>
    <w:rsid w:val="00B80C7C"/>
    <w:rsid w:val="00B80CE7"/>
    <w:rsid w:val="00B80CFB"/>
    <w:rsid w:val="00B80D09"/>
    <w:rsid w:val="00B80D86"/>
    <w:rsid w:val="00B80DC0"/>
    <w:rsid w:val="00B80DDD"/>
    <w:rsid w:val="00B80F1E"/>
    <w:rsid w:val="00B80F9F"/>
    <w:rsid w:val="00B80FB9"/>
    <w:rsid w:val="00B80FC2"/>
    <w:rsid w:val="00B810DE"/>
    <w:rsid w:val="00B81145"/>
    <w:rsid w:val="00B81234"/>
    <w:rsid w:val="00B8123E"/>
    <w:rsid w:val="00B81256"/>
    <w:rsid w:val="00B81262"/>
    <w:rsid w:val="00B812C8"/>
    <w:rsid w:val="00B812E1"/>
    <w:rsid w:val="00B81330"/>
    <w:rsid w:val="00B813F5"/>
    <w:rsid w:val="00B814F2"/>
    <w:rsid w:val="00B81530"/>
    <w:rsid w:val="00B815D8"/>
    <w:rsid w:val="00B81603"/>
    <w:rsid w:val="00B81617"/>
    <w:rsid w:val="00B81636"/>
    <w:rsid w:val="00B816C5"/>
    <w:rsid w:val="00B816DF"/>
    <w:rsid w:val="00B81805"/>
    <w:rsid w:val="00B8187C"/>
    <w:rsid w:val="00B8189F"/>
    <w:rsid w:val="00B819BF"/>
    <w:rsid w:val="00B81B18"/>
    <w:rsid w:val="00B81B5E"/>
    <w:rsid w:val="00B81B92"/>
    <w:rsid w:val="00B81D05"/>
    <w:rsid w:val="00B81D16"/>
    <w:rsid w:val="00B81D8C"/>
    <w:rsid w:val="00B81E9D"/>
    <w:rsid w:val="00B81EDC"/>
    <w:rsid w:val="00B81F1C"/>
    <w:rsid w:val="00B81F82"/>
    <w:rsid w:val="00B8201E"/>
    <w:rsid w:val="00B82114"/>
    <w:rsid w:val="00B82136"/>
    <w:rsid w:val="00B82262"/>
    <w:rsid w:val="00B82362"/>
    <w:rsid w:val="00B82385"/>
    <w:rsid w:val="00B82390"/>
    <w:rsid w:val="00B82394"/>
    <w:rsid w:val="00B82475"/>
    <w:rsid w:val="00B824EE"/>
    <w:rsid w:val="00B8250C"/>
    <w:rsid w:val="00B82577"/>
    <w:rsid w:val="00B8258B"/>
    <w:rsid w:val="00B8258F"/>
    <w:rsid w:val="00B825DC"/>
    <w:rsid w:val="00B82630"/>
    <w:rsid w:val="00B82725"/>
    <w:rsid w:val="00B8275E"/>
    <w:rsid w:val="00B827E1"/>
    <w:rsid w:val="00B8293A"/>
    <w:rsid w:val="00B82949"/>
    <w:rsid w:val="00B829B2"/>
    <w:rsid w:val="00B82A10"/>
    <w:rsid w:val="00B82B5D"/>
    <w:rsid w:val="00B82BED"/>
    <w:rsid w:val="00B82C2A"/>
    <w:rsid w:val="00B82C30"/>
    <w:rsid w:val="00B82C6C"/>
    <w:rsid w:val="00B82CC0"/>
    <w:rsid w:val="00B82CD0"/>
    <w:rsid w:val="00B82E5E"/>
    <w:rsid w:val="00B82F1E"/>
    <w:rsid w:val="00B82F34"/>
    <w:rsid w:val="00B82F59"/>
    <w:rsid w:val="00B82FB4"/>
    <w:rsid w:val="00B82FB8"/>
    <w:rsid w:val="00B83055"/>
    <w:rsid w:val="00B830C4"/>
    <w:rsid w:val="00B830C6"/>
    <w:rsid w:val="00B8311F"/>
    <w:rsid w:val="00B83137"/>
    <w:rsid w:val="00B831A1"/>
    <w:rsid w:val="00B831B2"/>
    <w:rsid w:val="00B831E1"/>
    <w:rsid w:val="00B831EA"/>
    <w:rsid w:val="00B832CF"/>
    <w:rsid w:val="00B832ED"/>
    <w:rsid w:val="00B83398"/>
    <w:rsid w:val="00B833F4"/>
    <w:rsid w:val="00B8347B"/>
    <w:rsid w:val="00B8347F"/>
    <w:rsid w:val="00B83490"/>
    <w:rsid w:val="00B834AF"/>
    <w:rsid w:val="00B834E1"/>
    <w:rsid w:val="00B83528"/>
    <w:rsid w:val="00B83549"/>
    <w:rsid w:val="00B83599"/>
    <w:rsid w:val="00B835C3"/>
    <w:rsid w:val="00B8362E"/>
    <w:rsid w:val="00B83631"/>
    <w:rsid w:val="00B83643"/>
    <w:rsid w:val="00B8369E"/>
    <w:rsid w:val="00B836FA"/>
    <w:rsid w:val="00B83739"/>
    <w:rsid w:val="00B837BD"/>
    <w:rsid w:val="00B8384B"/>
    <w:rsid w:val="00B83861"/>
    <w:rsid w:val="00B83A13"/>
    <w:rsid w:val="00B83ACD"/>
    <w:rsid w:val="00B83B49"/>
    <w:rsid w:val="00B83B92"/>
    <w:rsid w:val="00B83CAD"/>
    <w:rsid w:val="00B83D19"/>
    <w:rsid w:val="00B83D2C"/>
    <w:rsid w:val="00B83D38"/>
    <w:rsid w:val="00B83D51"/>
    <w:rsid w:val="00B83D9C"/>
    <w:rsid w:val="00B83ECD"/>
    <w:rsid w:val="00B83EE8"/>
    <w:rsid w:val="00B83EF2"/>
    <w:rsid w:val="00B83F58"/>
    <w:rsid w:val="00B83F73"/>
    <w:rsid w:val="00B840FB"/>
    <w:rsid w:val="00B840FC"/>
    <w:rsid w:val="00B8415B"/>
    <w:rsid w:val="00B841E1"/>
    <w:rsid w:val="00B8421B"/>
    <w:rsid w:val="00B8422C"/>
    <w:rsid w:val="00B8429D"/>
    <w:rsid w:val="00B84321"/>
    <w:rsid w:val="00B843CB"/>
    <w:rsid w:val="00B843D2"/>
    <w:rsid w:val="00B843F7"/>
    <w:rsid w:val="00B84406"/>
    <w:rsid w:val="00B84463"/>
    <w:rsid w:val="00B844FA"/>
    <w:rsid w:val="00B8450A"/>
    <w:rsid w:val="00B8458C"/>
    <w:rsid w:val="00B84622"/>
    <w:rsid w:val="00B84667"/>
    <w:rsid w:val="00B8469E"/>
    <w:rsid w:val="00B84740"/>
    <w:rsid w:val="00B8474C"/>
    <w:rsid w:val="00B84791"/>
    <w:rsid w:val="00B847B9"/>
    <w:rsid w:val="00B84835"/>
    <w:rsid w:val="00B8484D"/>
    <w:rsid w:val="00B84A0F"/>
    <w:rsid w:val="00B84AD5"/>
    <w:rsid w:val="00B84ADB"/>
    <w:rsid w:val="00B84AE2"/>
    <w:rsid w:val="00B84B30"/>
    <w:rsid w:val="00B84BAF"/>
    <w:rsid w:val="00B84BDC"/>
    <w:rsid w:val="00B84BE9"/>
    <w:rsid w:val="00B84C42"/>
    <w:rsid w:val="00B84D24"/>
    <w:rsid w:val="00B84D8D"/>
    <w:rsid w:val="00B84D96"/>
    <w:rsid w:val="00B84F0E"/>
    <w:rsid w:val="00B84F39"/>
    <w:rsid w:val="00B84F55"/>
    <w:rsid w:val="00B84FD1"/>
    <w:rsid w:val="00B84FF1"/>
    <w:rsid w:val="00B84FF3"/>
    <w:rsid w:val="00B85014"/>
    <w:rsid w:val="00B8504E"/>
    <w:rsid w:val="00B85073"/>
    <w:rsid w:val="00B8513B"/>
    <w:rsid w:val="00B85217"/>
    <w:rsid w:val="00B85274"/>
    <w:rsid w:val="00B852F0"/>
    <w:rsid w:val="00B8535C"/>
    <w:rsid w:val="00B8541E"/>
    <w:rsid w:val="00B85445"/>
    <w:rsid w:val="00B85523"/>
    <w:rsid w:val="00B85551"/>
    <w:rsid w:val="00B85562"/>
    <w:rsid w:val="00B855C1"/>
    <w:rsid w:val="00B855C9"/>
    <w:rsid w:val="00B85643"/>
    <w:rsid w:val="00B85687"/>
    <w:rsid w:val="00B856E4"/>
    <w:rsid w:val="00B85710"/>
    <w:rsid w:val="00B85791"/>
    <w:rsid w:val="00B857CB"/>
    <w:rsid w:val="00B857E7"/>
    <w:rsid w:val="00B8581B"/>
    <w:rsid w:val="00B8584E"/>
    <w:rsid w:val="00B858F5"/>
    <w:rsid w:val="00B85980"/>
    <w:rsid w:val="00B859CF"/>
    <w:rsid w:val="00B859E5"/>
    <w:rsid w:val="00B85B2F"/>
    <w:rsid w:val="00B85BE6"/>
    <w:rsid w:val="00B85CF1"/>
    <w:rsid w:val="00B85D51"/>
    <w:rsid w:val="00B85D70"/>
    <w:rsid w:val="00B85D8F"/>
    <w:rsid w:val="00B85DB2"/>
    <w:rsid w:val="00B85F24"/>
    <w:rsid w:val="00B85F33"/>
    <w:rsid w:val="00B85F38"/>
    <w:rsid w:val="00B85FAC"/>
    <w:rsid w:val="00B86013"/>
    <w:rsid w:val="00B86018"/>
    <w:rsid w:val="00B86038"/>
    <w:rsid w:val="00B8603E"/>
    <w:rsid w:val="00B8608F"/>
    <w:rsid w:val="00B8614E"/>
    <w:rsid w:val="00B86181"/>
    <w:rsid w:val="00B86189"/>
    <w:rsid w:val="00B86193"/>
    <w:rsid w:val="00B861C1"/>
    <w:rsid w:val="00B861EB"/>
    <w:rsid w:val="00B8625A"/>
    <w:rsid w:val="00B86316"/>
    <w:rsid w:val="00B8633B"/>
    <w:rsid w:val="00B863A9"/>
    <w:rsid w:val="00B86425"/>
    <w:rsid w:val="00B86457"/>
    <w:rsid w:val="00B86478"/>
    <w:rsid w:val="00B8649F"/>
    <w:rsid w:val="00B864BD"/>
    <w:rsid w:val="00B8651C"/>
    <w:rsid w:val="00B8667F"/>
    <w:rsid w:val="00B866FE"/>
    <w:rsid w:val="00B869E9"/>
    <w:rsid w:val="00B86A63"/>
    <w:rsid w:val="00B86B05"/>
    <w:rsid w:val="00B86B42"/>
    <w:rsid w:val="00B86B7B"/>
    <w:rsid w:val="00B86C41"/>
    <w:rsid w:val="00B86D81"/>
    <w:rsid w:val="00B86DE0"/>
    <w:rsid w:val="00B86E51"/>
    <w:rsid w:val="00B86E6E"/>
    <w:rsid w:val="00B86ED1"/>
    <w:rsid w:val="00B86EDE"/>
    <w:rsid w:val="00B86F09"/>
    <w:rsid w:val="00B86F4E"/>
    <w:rsid w:val="00B86F79"/>
    <w:rsid w:val="00B86FAB"/>
    <w:rsid w:val="00B86FC4"/>
    <w:rsid w:val="00B86FEA"/>
    <w:rsid w:val="00B8700A"/>
    <w:rsid w:val="00B870D6"/>
    <w:rsid w:val="00B8711D"/>
    <w:rsid w:val="00B87246"/>
    <w:rsid w:val="00B8728A"/>
    <w:rsid w:val="00B872F0"/>
    <w:rsid w:val="00B87472"/>
    <w:rsid w:val="00B87481"/>
    <w:rsid w:val="00B87570"/>
    <w:rsid w:val="00B87588"/>
    <w:rsid w:val="00B87663"/>
    <w:rsid w:val="00B876AA"/>
    <w:rsid w:val="00B876BA"/>
    <w:rsid w:val="00B87700"/>
    <w:rsid w:val="00B87757"/>
    <w:rsid w:val="00B877B6"/>
    <w:rsid w:val="00B877F1"/>
    <w:rsid w:val="00B87940"/>
    <w:rsid w:val="00B87A14"/>
    <w:rsid w:val="00B87A2D"/>
    <w:rsid w:val="00B87A6D"/>
    <w:rsid w:val="00B87A97"/>
    <w:rsid w:val="00B87AB4"/>
    <w:rsid w:val="00B87B41"/>
    <w:rsid w:val="00B87B9B"/>
    <w:rsid w:val="00B87D38"/>
    <w:rsid w:val="00B87D71"/>
    <w:rsid w:val="00B87D8B"/>
    <w:rsid w:val="00B87D8D"/>
    <w:rsid w:val="00B87DD6"/>
    <w:rsid w:val="00B87E64"/>
    <w:rsid w:val="00B90069"/>
    <w:rsid w:val="00B900A0"/>
    <w:rsid w:val="00B9012F"/>
    <w:rsid w:val="00B90269"/>
    <w:rsid w:val="00B9026C"/>
    <w:rsid w:val="00B9028A"/>
    <w:rsid w:val="00B9042F"/>
    <w:rsid w:val="00B904BF"/>
    <w:rsid w:val="00B90568"/>
    <w:rsid w:val="00B905F1"/>
    <w:rsid w:val="00B906DF"/>
    <w:rsid w:val="00B9091C"/>
    <w:rsid w:val="00B90943"/>
    <w:rsid w:val="00B909C4"/>
    <w:rsid w:val="00B90A4E"/>
    <w:rsid w:val="00B90BAB"/>
    <w:rsid w:val="00B90BAD"/>
    <w:rsid w:val="00B90C7C"/>
    <w:rsid w:val="00B90CBB"/>
    <w:rsid w:val="00B90D48"/>
    <w:rsid w:val="00B90E2D"/>
    <w:rsid w:val="00B90F70"/>
    <w:rsid w:val="00B9107F"/>
    <w:rsid w:val="00B910FA"/>
    <w:rsid w:val="00B91175"/>
    <w:rsid w:val="00B91218"/>
    <w:rsid w:val="00B91269"/>
    <w:rsid w:val="00B91296"/>
    <w:rsid w:val="00B912EF"/>
    <w:rsid w:val="00B9132B"/>
    <w:rsid w:val="00B914AB"/>
    <w:rsid w:val="00B9151A"/>
    <w:rsid w:val="00B915B9"/>
    <w:rsid w:val="00B91686"/>
    <w:rsid w:val="00B917D3"/>
    <w:rsid w:val="00B917E2"/>
    <w:rsid w:val="00B91902"/>
    <w:rsid w:val="00B91973"/>
    <w:rsid w:val="00B9198C"/>
    <w:rsid w:val="00B919D6"/>
    <w:rsid w:val="00B919FF"/>
    <w:rsid w:val="00B91AA0"/>
    <w:rsid w:val="00B91B06"/>
    <w:rsid w:val="00B91B07"/>
    <w:rsid w:val="00B91C27"/>
    <w:rsid w:val="00B91C3B"/>
    <w:rsid w:val="00B91C69"/>
    <w:rsid w:val="00B91CFB"/>
    <w:rsid w:val="00B91D99"/>
    <w:rsid w:val="00B92039"/>
    <w:rsid w:val="00B920A2"/>
    <w:rsid w:val="00B920C6"/>
    <w:rsid w:val="00B92167"/>
    <w:rsid w:val="00B92180"/>
    <w:rsid w:val="00B92182"/>
    <w:rsid w:val="00B92299"/>
    <w:rsid w:val="00B922B1"/>
    <w:rsid w:val="00B92338"/>
    <w:rsid w:val="00B92366"/>
    <w:rsid w:val="00B923A0"/>
    <w:rsid w:val="00B923C7"/>
    <w:rsid w:val="00B92663"/>
    <w:rsid w:val="00B927E1"/>
    <w:rsid w:val="00B9292E"/>
    <w:rsid w:val="00B929F2"/>
    <w:rsid w:val="00B92A0C"/>
    <w:rsid w:val="00B92A35"/>
    <w:rsid w:val="00B92AF0"/>
    <w:rsid w:val="00B92B2B"/>
    <w:rsid w:val="00B92B4C"/>
    <w:rsid w:val="00B92B50"/>
    <w:rsid w:val="00B92BE2"/>
    <w:rsid w:val="00B92D76"/>
    <w:rsid w:val="00B92D8D"/>
    <w:rsid w:val="00B92E15"/>
    <w:rsid w:val="00B92E8C"/>
    <w:rsid w:val="00B92EAE"/>
    <w:rsid w:val="00B92EE2"/>
    <w:rsid w:val="00B92F2F"/>
    <w:rsid w:val="00B92F6D"/>
    <w:rsid w:val="00B92F97"/>
    <w:rsid w:val="00B92FA8"/>
    <w:rsid w:val="00B9301D"/>
    <w:rsid w:val="00B930EB"/>
    <w:rsid w:val="00B93275"/>
    <w:rsid w:val="00B93305"/>
    <w:rsid w:val="00B933F1"/>
    <w:rsid w:val="00B93418"/>
    <w:rsid w:val="00B93433"/>
    <w:rsid w:val="00B934CE"/>
    <w:rsid w:val="00B934E7"/>
    <w:rsid w:val="00B93593"/>
    <w:rsid w:val="00B935B2"/>
    <w:rsid w:val="00B935E0"/>
    <w:rsid w:val="00B9365B"/>
    <w:rsid w:val="00B93667"/>
    <w:rsid w:val="00B936DF"/>
    <w:rsid w:val="00B937C2"/>
    <w:rsid w:val="00B93868"/>
    <w:rsid w:val="00B9386C"/>
    <w:rsid w:val="00B9393D"/>
    <w:rsid w:val="00B93A6A"/>
    <w:rsid w:val="00B93C0A"/>
    <w:rsid w:val="00B93D3D"/>
    <w:rsid w:val="00B93D99"/>
    <w:rsid w:val="00B93DC3"/>
    <w:rsid w:val="00B93DED"/>
    <w:rsid w:val="00B93DFF"/>
    <w:rsid w:val="00B93E3D"/>
    <w:rsid w:val="00B93E70"/>
    <w:rsid w:val="00B93E98"/>
    <w:rsid w:val="00B93EC9"/>
    <w:rsid w:val="00B93ECA"/>
    <w:rsid w:val="00B93ECB"/>
    <w:rsid w:val="00B93F49"/>
    <w:rsid w:val="00B93F5A"/>
    <w:rsid w:val="00B93F78"/>
    <w:rsid w:val="00B93FF4"/>
    <w:rsid w:val="00B9428F"/>
    <w:rsid w:val="00B9439F"/>
    <w:rsid w:val="00B943CF"/>
    <w:rsid w:val="00B943D8"/>
    <w:rsid w:val="00B943EE"/>
    <w:rsid w:val="00B944B0"/>
    <w:rsid w:val="00B944E8"/>
    <w:rsid w:val="00B9458C"/>
    <w:rsid w:val="00B945EC"/>
    <w:rsid w:val="00B9461D"/>
    <w:rsid w:val="00B94654"/>
    <w:rsid w:val="00B94736"/>
    <w:rsid w:val="00B9477B"/>
    <w:rsid w:val="00B947F0"/>
    <w:rsid w:val="00B9483A"/>
    <w:rsid w:val="00B94897"/>
    <w:rsid w:val="00B94982"/>
    <w:rsid w:val="00B949C6"/>
    <w:rsid w:val="00B94A88"/>
    <w:rsid w:val="00B94AAA"/>
    <w:rsid w:val="00B94AB9"/>
    <w:rsid w:val="00B94BCE"/>
    <w:rsid w:val="00B94C1D"/>
    <w:rsid w:val="00B94D7B"/>
    <w:rsid w:val="00B94DD2"/>
    <w:rsid w:val="00B94EAE"/>
    <w:rsid w:val="00B94F31"/>
    <w:rsid w:val="00B94F3B"/>
    <w:rsid w:val="00B94F44"/>
    <w:rsid w:val="00B94F60"/>
    <w:rsid w:val="00B9501C"/>
    <w:rsid w:val="00B95025"/>
    <w:rsid w:val="00B95041"/>
    <w:rsid w:val="00B9505B"/>
    <w:rsid w:val="00B950D8"/>
    <w:rsid w:val="00B950DD"/>
    <w:rsid w:val="00B9513A"/>
    <w:rsid w:val="00B95190"/>
    <w:rsid w:val="00B95195"/>
    <w:rsid w:val="00B9529B"/>
    <w:rsid w:val="00B95321"/>
    <w:rsid w:val="00B95331"/>
    <w:rsid w:val="00B95401"/>
    <w:rsid w:val="00B95413"/>
    <w:rsid w:val="00B9544D"/>
    <w:rsid w:val="00B9545E"/>
    <w:rsid w:val="00B954A8"/>
    <w:rsid w:val="00B95523"/>
    <w:rsid w:val="00B95541"/>
    <w:rsid w:val="00B95558"/>
    <w:rsid w:val="00B95616"/>
    <w:rsid w:val="00B95627"/>
    <w:rsid w:val="00B95698"/>
    <w:rsid w:val="00B95750"/>
    <w:rsid w:val="00B95797"/>
    <w:rsid w:val="00B9593A"/>
    <w:rsid w:val="00B95A57"/>
    <w:rsid w:val="00B95A92"/>
    <w:rsid w:val="00B95AF8"/>
    <w:rsid w:val="00B95B50"/>
    <w:rsid w:val="00B95BC6"/>
    <w:rsid w:val="00B95BE7"/>
    <w:rsid w:val="00B95BF9"/>
    <w:rsid w:val="00B95BFC"/>
    <w:rsid w:val="00B95D6A"/>
    <w:rsid w:val="00B95DBC"/>
    <w:rsid w:val="00B95E04"/>
    <w:rsid w:val="00B95E40"/>
    <w:rsid w:val="00B95E78"/>
    <w:rsid w:val="00B95E83"/>
    <w:rsid w:val="00B95F85"/>
    <w:rsid w:val="00B95FE0"/>
    <w:rsid w:val="00B96004"/>
    <w:rsid w:val="00B96055"/>
    <w:rsid w:val="00B960AC"/>
    <w:rsid w:val="00B960B6"/>
    <w:rsid w:val="00B960E8"/>
    <w:rsid w:val="00B96130"/>
    <w:rsid w:val="00B96134"/>
    <w:rsid w:val="00B961CC"/>
    <w:rsid w:val="00B961E5"/>
    <w:rsid w:val="00B96256"/>
    <w:rsid w:val="00B96281"/>
    <w:rsid w:val="00B9629D"/>
    <w:rsid w:val="00B962A0"/>
    <w:rsid w:val="00B962BF"/>
    <w:rsid w:val="00B962DE"/>
    <w:rsid w:val="00B96330"/>
    <w:rsid w:val="00B9635E"/>
    <w:rsid w:val="00B964C9"/>
    <w:rsid w:val="00B964D5"/>
    <w:rsid w:val="00B96501"/>
    <w:rsid w:val="00B965CC"/>
    <w:rsid w:val="00B965DE"/>
    <w:rsid w:val="00B96672"/>
    <w:rsid w:val="00B966B2"/>
    <w:rsid w:val="00B966B3"/>
    <w:rsid w:val="00B9674C"/>
    <w:rsid w:val="00B96759"/>
    <w:rsid w:val="00B967B7"/>
    <w:rsid w:val="00B967EE"/>
    <w:rsid w:val="00B968BC"/>
    <w:rsid w:val="00B968DC"/>
    <w:rsid w:val="00B9692D"/>
    <w:rsid w:val="00B96947"/>
    <w:rsid w:val="00B96A6E"/>
    <w:rsid w:val="00B96B0D"/>
    <w:rsid w:val="00B96B44"/>
    <w:rsid w:val="00B96B78"/>
    <w:rsid w:val="00B96B90"/>
    <w:rsid w:val="00B96BDE"/>
    <w:rsid w:val="00B96C7D"/>
    <w:rsid w:val="00B96D4F"/>
    <w:rsid w:val="00B96DF5"/>
    <w:rsid w:val="00B96EB7"/>
    <w:rsid w:val="00B96EBF"/>
    <w:rsid w:val="00B96F4B"/>
    <w:rsid w:val="00B96F85"/>
    <w:rsid w:val="00B96FAD"/>
    <w:rsid w:val="00B96FF9"/>
    <w:rsid w:val="00B9701E"/>
    <w:rsid w:val="00B9702C"/>
    <w:rsid w:val="00B970C3"/>
    <w:rsid w:val="00B971A8"/>
    <w:rsid w:val="00B971AC"/>
    <w:rsid w:val="00B971F7"/>
    <w:rsid w:val="00B97201"/>
    <w:rsid w:val="00B97220"/>
    <w:rsid w:val="00B97277"/>
    <w:rsid w:val="00B97291"/>
    <w:rsid w:val="00B97350"/>
    <w:rsid w:val="00B97441"/>
    <w:rsid w:val="00B974EF"/>
    <w:rsid w:val="00B97530"/>
    <w:rsid w:val="00B9756C"/>
    <w:rsid w:val="00B9757C"/>
    <w:rsid w:val="00B9762F"/>
    <w:rsid w:val="00B97669"/>
    <w:rsid w:val="00B976F7"/>
    <w:rsid w:val="00B9772D"/>
    <w:rsid w:val="00B977D1"/>
    <w:rsid w:val="00B979B5"/>
    <w:rsid w:val="00B979BB"/>
    <w:rsid w:val="00B97A6A"/>
    <w:rsid w:val="00B97A76"/>
    <w:rsid w:val="00B97AC3"/>
    <w:rsid w:val="00B97C50"/>
    <w:rsid w:val="00B97C5E"/>
    <w:rsid w:val="00B97D37"/>
    <w:rsid w:val="00B97D6E"/>
    <w:rsid w:val="00B97DDB"/>
    <w:rsid w:val="00B97E4A"/>
    <w:rsid w:val="00B97EAA"/>
    <w:rsid w:val="00B97F39"/>
    <w:rsid w:val="00B97F7F"/>
    <w:rsid w:val="00B97FDC"/>
    <w:rsid w:val="00B98268"/>
    <w:rsid w:val="00B9B301"/>
    <w:rsid w:val="00BA004B"/>
    <w:rsid w:val="00BA006D"/>
    <w:rsid w:val="00BA00E9"/>
    <w:rsid w:val="00BA014D"/>
    <w:rsid w:val="00BA01F9"/>
    <w:rsid w:val="00BA025F"/>
    <w:rsid w:val="00BA02A2"/>
    <w:rsid w:val="00BA02A7"/>
    <w:rsid w:val="00BA02AB"/>
    <w:rsid w:val="00BA0355"/>
    <w:rsid w:val="00BA0398"/>
    <w:rsid w:val="00BA0528"/>
    <w:rsid w:val="00BA05B6"/>
    <w:rsid w:val="00BA05B8"/>
    <w:rsid w:val="00BA05BE"/>
    <w:rsid w:val="00BA05E5"/>
    <w:rsid w:val="00BA0612"/>
    <w:rsid w:val="00BA068F"/>
    <w:rsid w:val="00BA08F4"/>
    <w:rsid w:val="00BA09AD"/>
    <w:rsid w:val="00BA09BB"/>
    <w:rsid w:val="00BA09C5"/>
    <w:rsid w:val="00BA09D2"/>
    <w:rsid w:val="00BA0A18"/>
    <w:rsid w:val="00BA0A69"/>
    <w:rsid w:val="00BA0A6C"/>
    <w:rsid w:val="00BA0AB8"/>
    <w:rsid w:val="00BA0AEE"/>
    <w:rsid w:val="00BA0B42"/>
    <w:rsid w:val="00BA0C70"/>
    <w:rsid w:val="00BA0C92"/>
    <w:rsid w:val="00BA0F76"/>
    <w:rsid w:val="00BA10A9"/>
    <w:rsid w:val="00BA112F"/>
    <w:rsid w:val="00BA1293"/>
    <w:rsid w:val="00BA1351"/>
    <w:rsid w:val="00BA13C5"/>
    <w:rsid w:val="00BA13E5"/>
    <w:rsid w:val="00BA14B4"/>
    <w:rsid w:val="00BA14D4"/>
    <w:rsid w:val="00BA151E"/>
    <w:rsid w:val="00BA1534"/>
    <w:rsid w:val="00BA15B9"/>
    <w:rsid w:val="00BA15E1"/>
    <w:rsid w:val="00BA1632"/>
    <w:rsid w:val="00BA1643"/>
    <w:rsid w:val="00BA1644"/>
    <w:rsid w:val="00BA16F5"/>
    <w:rsid w:val="00BA17C1"/>
    <w:rsid w:val="00BA182E"/>
    <w:rsid w:val="00BA185B"/>
    <w:rsid w:val="00BA18A0"/>
    <w:rsid w:val="00BA18FD"/>
    <w:rsid w:val="00BA192D"/>
    <w:rsid w:val="00BA1964"/>
    <w:rsid w:val="00BA1B1D"/>
    <w:rsid w:val="00BA1B65"/>
    <w:rsid w:val="00BA1BA9"/>
    <w:rsid w:val="00BA1C04"/>
    <w:rsid w:val="00BA1C44"/>
    <w:rsid w:val="00BA1C4B"/>
    <w:rsid w:val="00BA1C63"/>
    <w:rsid w:val="00BA1C79"/>
    <w:rsid w:val="00BA1D61"/>
    <w:rsid w:val="00BA1DCB"/>
    <w:rsid w:val="00BA1FAF"/>
    <w:rsid w:val="00BA1FE2"/>
    <w:rsid w:val="00BA2027"/>
    <w:rsid w:val="00BA215E"/>
    <w:rsid w:val="00BA21E2"/>
    <w:rsid w:val="00BA222E"/>
    <w:rsid w:val="00BA22E4"/>
    <w:rsid w:val="00BA232E"/>
    <w:rsid w:val="00BA233D"/>
    <w:rsid w:val="00BA236F"/>
    <w:rsid w:val="00BA2378"/>
    <w:rsid w:val="00BA2479"/>
    <w:rsid w:val="00BA2492"/>
    <w:rsid w:val="00BA2503"/>
    <w:rsid w:val="00BA2526"/>
    <w:rsid w:val="00BA2538"/>
    <w:rsid w:val="00BA25E8"/>
    <w:rsid w:val="00BA266A"/>
    <w:rsid w:val="00BA267D"/>
    <w:rsid w:val="00BA2747"/>
    <w:rsid w:val="00BA28B5"/>
    <w:rsid w:val="00BA29A8"/>
    <w:rsid w:val="00BA2A05"/>
    <w:rsid w:val="00BA2A3C"/>
    <w:rsid w:val="00BA2ACB"/>
    <w:rsid w:val="00BA2B06"/>
    <w:rsid w:val="00BA2B20"/>
    <w:rsid w:val="00BA2C9A"/>
    <w:rsid w:val="00BA2CCC"/>
    <w:rsid w:val="00BA2CD0"/>
    <w:rsid w:val="00BA2E48"/>
    <w:rsid w:val="00BA2EBA"/>
    <w:rsid w:val="00BA305A"/>
    <w:rsid w:val="00BA3087"/>
    <w:rsid w:val="00BA309B"/>
    <w:rsid w:val="00BA30C6"/>
    <w:rsid w:val="00BA30DB"/>
    <w:rsid w:val="00BA3186"/>
    <w:rsid w:val="00BA31B2"/>
    <w:rsid w:val="00BA31EA"/>
    <w:rsid w:val="00BA31FA"/>
    <w:rsid w:val="00BA3211"/>
    <w:rsid w:val="00BA3298"/>
    <w:rsid w:val="00BA3315"/>
    <w:rsid w:val="00BA3400"/>
    <w:rsid w:val="00BA3575"/>
    <w:rsid w:val="00BA361F"/>
    <w:rsid w:val="00BA3630"/>
    <w:rsid w:val="00BA366C"/>
    <w:rsid w:val="00BA36B6"/>
    <w:rsid w:val="00BA3748"/>
    <w:rsid w:val="00BA37E1"/>
    <w:rsid w:val="00BA384B"/>
    <w:rsid w:val="00BA388F"/>
    <w:rsid w:val="00BA396E"/>
    <w:rsid w:val="00BA39BA"/>
    <w:rsid w:val="00BA3A21"/>
    <w:rsid w:val="00BA3A60"/>
    <w:rsid w:val="00BA3A67"/>
    <w:rsid w:val="00BA3B17"/>
    <w:rsid w:val="00BA3B9E"/>
    <w:rsid w:val="00BA3BBA"/>
    <w:rsid w:val="00BA3BEA"/>
    <w:rsid w:val="00BA3C64"/>
    <w:rsid w:val="00BA3D2A"/>
    <w:rsid w:val="00BA3DF0"/>
    <w:rsid w:val="00BA3DFE"/>
    <w:rsid w:val="00BA3E98"/>
    <w:rsid w:val="00BA3EF2"/>
    <w:rsid w:val="00BA3EFE"/>
    <w:rsid w:val="00BA3F03"/>
    <w:rsid w:val="00BA3F27"/>
    <w:rsid w:val="00BA3FDC"/>
    <w:rsid w:val="00BA3FF1"/>
    <w:rsid w:val="00BA40BA"/>
    <w:rsid w:val="00BA411D"/>
    <w:rsid w:val="00BA4152"/>
    <w:rsid w:val="00BA41F5"/>
    <w:rsid w:val="00BA427F"/>
    <w:rsid w:val="00BA4281"/>
    <w:rsid w:val="00BA43DC"/>
    <w:rsid w:val="00BA43EF"/>
    <w:rsid w:val="00BA443A"/>
    <w:rsid w:val="00BA4470"/>
    <w:rsid w:val="00BA4497"/>
    <w:rsid w:val="00BA44B8"/>
    <w:rsid w:val="00BA44D8"/>
    <w:rsid w:val="00BA451D"/>
    <w:rsid w:val="00BA4530"/>
    <w:rsid w:val="00BA456D"/>
    <w:rsid w:val="00BA4583"/>
    <w:rsid w:val="00BA45A5"/>
    <w:rsid w:val="00BA45DF"/>
    <w:rsid w:val="00BA45F9"/>
    <w:rsid w:val="00BA4651"/>
    <w:rsid w:val="00BA467D"/>
    <w:rsid w:val="00BA46C5"/>
    <w:rsid w:val="00BA4749"/>
    <w:rsid w:val="00BA474C"/>
    <w:rsid w:val="00BA497A"/>
    <w:rsid w:val="00BA4A64"/>
    <w:rsid w:val="00BA4A8D"/>
    <w:rsid w:val="00BA4A90"/>
    <w:rsid w:val="00BA4ABA"/>
    <w:rsid w:val="00BA4AD6"/>
    <w:rsid w:val="00BA4B65"/>
    <w:rsid w:val="00BA4B9B"/>
    <w:rsid w:val="00BA4BFA"/>
    <w:rsid w:val="00BA4D90"/>
    <w:rsid w:val="00BA4DD4"/>
    <w:rsid w:val="00BA4EC5"/>
    <w:rsid w:val="00BA4FC7"/>
    <w:rsid w:val="00BA5068"/>
    <w:rsid w:val="00BA5112"/>
    <w:rsid w:val="00BA5128"/>
    <w:rsid w:val="00BA51C4"/>
    <w:rsid w:val="00BA5247"/>
    <w:rsid w:val="00BA526A"/>
    <w:rsid w:val="00BA5271"/>
    <w:rsid w:val="00BA52D0"/>
    <w:rsid w:val="00BA538B"/>
    <w:rsid w:val="00BA53AE"/>
    <w:rsid w:val="00BA5444"/>
    <w:rsid w:val="00BA5665"/>
    <w:rsid w:val="00BA566B"/>
    <w:rsid w:val="00BA5687"/>
    <w:rsid w:val="00BA56D1"/>
    <w:rsid w:val="00BA5780"/>
    <w:rsid w:val="00BA57AC"/>
    <w:rsid w:val="00BA57F5"/>
    <w:rsid w:val="00BA581D"/>
    <w:rsid w:val="00BA5845"/>
    <w:rsid w:val="00BA5859"/>
    <w:rsid w:val="00BA585B"/>
    <w:rsid w:val="00BA58C4"/>
    <w:rsid w:val="00BA590A"/>
    <w:rsid w:val="00BA59AC"/>
    <w:rsid w:val="00BA5A3F"/>
    <w:rsid w:val="00BA5A62"/>
    <w:rsid w:val="00BA5A73"/>
    <w:rsid w:val="00BA5BD2"/>
    <w:rsid w:val="00BA5C90"/>
    <w:rsid w:val="00BA5D28"/>
    <w:rsid w:val="00BA5E12"/>
    <w:rsid w:val="00BA5E52"/>
    <w:rsid w:val="00BA5E58"/>
    <w:rsid w:val="00BA5E64"/>
    <w:rsid w:val="00BA5F39"/>
    <w:rsid w:val="00BA6032"/>
    <w:rsid w:val="00BA6046"/>
    <w:rsid w:val="00BA620D"/>
    <w:rsid w:val="00BA636A"/>
    <w:rsid w:val="00BA6487"/>
    <w:rsid w:val="00BA65C3"/>
    <w:rsid w:val="00BA65E6"/>
    <w:rsid w:val="00BA6615"/>
    <w:rsid w:val="00BA670C"/>
    <w:rsid w:val="00BA671D"/>
    <w:rsid w:val="00BA677D"/>
    <w:rsid w:val="00BA678C"/>
    <w:rsid w:val="00BA67A8"/>
    <w:rsid w:val="00BA67AB"/>
    <w:rsid w:val="00BA67BE"/>
    <w:rsid w:val="00BA68D7"/>
    <w:rsid w:val="00BA69A5"/>
    <w:rsid w:val="00BA69BA"/>
    <w:rsid w:val="00BA6A97"/>
    <w:rsid w:val="00BA6AAC"/>
    <w:rsid w:val="00BA6ACB"/>
    <w:rsid w:val="00BA6B58"/>
    <w:rsid w:val="00BA6BDC"/>
    <w:rsid w:val="00BA6BF4"/>
    <w:rsid w:val="00BA6BFA"/>
    <w:rsid w:val="00BA6C00"/>
    <w:rsid w:val="00BA6C10"/>
    <w:rsid w:val="00BA6C62"/>
    <w:rsid w:val="00BA6CD6"/>
    <w:rsid w:val="00BA6FBC"/>
    <w:rsid w:val="00BA6FE6"/>
    <w:rsid w:val="00BA7021"/>
    <w:rsid w:val="00BA7061"/>
    <w:rsid w:val="00BA706A"/>
    <w:rsid w:val="00BA70DB"/>
    <w:rsid w:val="00BA70EE"/>
    <w:rsid w:val="00BA70F4"/>
    <w:rsid w:val="00BA70F7"/>
    <w:rsid w:val="00BA714D"/>
    <w:rsid w:val="00BA728D"/>
    <w:rsid w:val="00BA72CC"/>
    <w:rsid w:val="00BA7300"/>
    <w:rsid w:val="00BA7349"/>
    <w:rsid w:val="00BA7374"/>
    <w:rsid w:val="00BA7397"/>
    <w:rsid w:val="00BA739D"/>
    <w:rsid w:val="00BA7445"/>
    <w:rsid w:val="00BA74AF"/>
    <w:rsid w:val="00BA7506"/>
    <w:rsid w:val="00BA7556"/>
    <w:rsid w:val="00BA7584"/>
    <w:rsid w:val="00BA75ED"/>
    <w:rsid w:val="00BA760C"/>
    <w:rsid w:val="00BA7619"/>
    <w:rsid w:val="00BA762D"/>
    <w:rsid w:val="00BA764E"/>
    <w:rsid w:val="00BA767B"/>
    <w:rsid w:val="00BA7689"/>
    <w:rsid w:val="00BA7768"/>
    <w:rsid w:val="00BA7906"/>
    <w:rsid w:val="00BA7977"/>
    <w:rsid w:val="00BA7A3D"/>
    <w:rsid w:val="00BA7A42"/>
    <w:rsid w:val="00BA7E0F"/>
    <w:rsid w:val="00BA7EA4"/>
    <w:rsid w:val="00BA7F26"/>
    <w:rsid w:val="00BA7FA3"/>
    <w:rsid w:val="00BA7FD9"/>
    <w:rsid w:val="00BA7FDD"/>
    <w:rsid w:val="00BB0055"/>
    <w:rsid w:val="00BB00D5"/>
    <w:rsid w:val="00BB00F5"/>
    <w:rsid w:val="00BB010C"/>
    <w:rsid w:val="00BB0121"/>
    <w:rsid w:val="00BB0365"/>
    <w:rsid w:val="00BB0383"/>
    <w:rsid w:val="00BB03A7"/>
    <w:rsid w:val="00BB03FD"/>
    <w:rsid w:val="00BB0415"/>
    <w:rsid w:val="00BB0417"/>
    <w:rsid w:val="00BB0438"/>
    <w:rsid w:val="00BB0461"/>
    <w:rsid w:val="00BB0517"/>
    <w:rsid w:val="00BB053E"/>
    <w:rsid w:val="00BB0549"/>
    <w:rsid w:val="00BB0553"/>
    <w:rsid w:val="00BB0557"/>
    <w:rsid w:val="00BB05C9"/>
    <w:rsid w:val="00BB05CE"/>
    <w:rsid w:val="00BB0602"/>
    <w:rsid w:val="00BB06D0"/>
    <w:rsid w:val="00BB072A"/>
    <w:rsid w:val="00BB07B2"/>
    <w:rsid w:val="00BB07DA"/>
    <w:rsid w:val="00BB07DD"/>
    <w:rsid w:val="00BB080F"/>
    <w:rsid w:val="00BB087B"/>
    <w:rsid w:val="00BB08E3"/>
    <w:rsid w:val="00BB0975"/>
    <w:rsid w:val="00BB0A24"/>
    <w:rsid w:val="00BB0AA6"/>
    <w:rsid w:val="00BB0B69"/>
    <w:rsid w:val="00BB0BDF"/>
    <w:rsid w:val="00BB0C1A"/>
    <w:rsid w:val="00BB0C32"/>
    <w:rsid w:val="00BB0C3D"/>
    <w:rsid w:val="00BB0CCC"/>
    <w:rsid w:val="00BB0D7B"/>
    <w:rsid w:val="00BB0DFF"/>
    <w:rsid w:val="00BB0F02"/>
    <w:rsid w:val="00BB0F43"/>
    <w:rsid w:val="00BB0F52"/>
    <w:rsid w:val="00BB1040"/>
    <w:rsid w:val="00BB1045"/>
    <w:rsid w:val="00BB10A6"/>
    <w:rsid w:val="00BB10AC"/>
    <w:rsid w:val="00BB10F5"/>
    <w:rsid w:val="00BB1116"/>
    <w:rsid w:val="00BB1163"/>
    <w:rsid w:val="00BB116A"/>
    <w:rsid w:val="00BB11AE"/>
    <w:rsid w:val="00BB123D"/>
    <w:rsid w:val="00BB1279"/>
    <w:rsid w:val="00BB13B6"/>
    <w:rsid w:val="00BB141D"/>
    <w:rsid w:val="00BB1487"/>
    <w:rsid w:val="00BB14A1"/>
    <w:rsid w:val="00BB152A"/>
    <w:rsid w:val="00BB1539"/>
    <w:rsid w:val="00BB159E"/>
    <w:rsid w:val="00BB15AC"/>
    <w:rsid w:val="00BB15BC"/>
    <w:rsid w:val="00BB15D0"/>
    <w:rsid w:val="00BB1609"/>
    <w:rsid w:val="00BB160B"/>
    <w:rsid w:val="00BB164F"/>
    <w:rsid w:val="00BB181B"/>
    <w:rsid w:val="00BB18E9"/>
    <w:rsid w:val="00BB1A3E"/>
    <w:rsid w:val="00BB1A8C"/>
    <w:rsid w:val="00BB1ABA"/>
    <w:rsid w:val="00BB1AC0"/>
    <w:rsid w:val="00BB1AE5"/>
    <w:rsid w:val="00BB1AFE"/>
    <w:rsid w:val="00BB1C35"/>
    <w:rsid w:val="00BB1CAF"/>
    <w:rsid w:val="00BB1CB4"/>
    <w:rsid w:val="00BB1CBC"/>
    <w:rsid w:val="00BB1CDC"/>
    <w:rsid w:val="00BB1D2C"/>
    <w:rsid w:val="00BB1D72"/>
    <w:rsid w:val="00BB1DFB"/>
    <w:rsid w:val="00BB1E70"/>
    <w:rsid w:val="00BB1E89"/>
    <w:rsid w:val="00BB1F21"/>
    <w:rsid w:val="00BB1F9D"/>
    <w:rsid w:val="00BB1FA4"/>
    <w:rsid w:val="00BB200B"/>
    <w:rsid w:val="00BB2072"/>
    <w:rsid w:val="00BB213E"/>
    <w:rsid w:val="00BB214B"/>
    <w:rsid w:val="00BB215C"/>
    <w:rsid w:val="00BB2173"/>
    <w:rsid w:val="00BB22D6"/>
    <w:rsid w:val="00BB2327"/>
    <w:rsid w:val="00BB23B0"/>
    <w:rsid w:val="00BB23FD"/>
    <w:rsid w:val="00BB2442"/>
    <w:rsid w:val="00BB244F"/>
    <w:rsid w:val="00BB2494"/>
    <w:rsid w:val="00BB24D0"/>
    <w:rsid w:val="00BB2569"/>
    <w:rsid w:val="00BB25D3"/>
    <w:rsid w:val="00BB25E7"/>
    <w:rsid w:val="00BB26CE"/>
    <w:rsid w:val="00BB26D6"/>
    <w:rsid w:val="00BB26ED"/>
    <w:rsid w:val="00BB271C"/>
    <w:rsid w:val="00BB2793"/>
    <w:rsid w:val="00BB28F1"/>
    <w:rsid w:val="00BB29D8"/>
    <w:rsid w:val="00BB29FE"/>
    <w:rsid w:val="00BB2AAF"/>
    <w:rsid w:val="00BB2AD6"/>
    <w:rsid w:val="00BB2B05"/>
    <w:rsid w:val="00BB2BB3"/>
    <w:rsid w:val="00BB2BE3"/>
    <w:rsid w:val="00BB2CDD"/>
    <w:rsid w:val="00BB2D87"/>
    <w:rsid w:val="00BB2DB0"/>
    <w:rsid w:val="00BB2DC2"/>
    <w:rsid w:val="00BB2DD3"/>
    <w:rsid w:val="00BB2E39"/>
    <w:rsid w:val="00BB2EEB"/>
    <w:rsid w:val="00BB2F21"/>
    <w:rsid w:val="00BB31F9"/>
    <w:rsid w:val="00BB3237"/>
    <w:rsid w:val="00BB325D"/>
    <w:rsid w:val="00BB32B6"/>
    <w:rsid w:val="00BB3308"/>
    <w:rsid w:val="00BB330F"/>
    <w:rsid w:val="00BB3328"/>
    <w:rsid w:val="00BB3373"/>
    <w:rsid w:val="00BB3389"/>
    <w:rsid w:val="00BB3461"/>
    <w:rsid w:val="00BB3499"/>
    <w:rsid w:val="00BB34F3"/>
    <w:rsid w:val="00BB359E"/>
    <w:rsid w:val="00BB35A3"/>
    <w:rsid w:val="00BB363E"/>
    <w:rsid w:val="00BB3673"/>
    <w:rsid w:val="00BB36B4"/>
    <w:rsid w:val="00BB3781"/>
    <w:rsid w:val="00BB37A6"/>
    <w:rsid w:val="00BB380D"/>
    <w:rsid w:val="00BB382D"/>
    <w:rsid w:val="00BB387A"/>
    <w:rsid w:val="00BB387E"/>
    <w:rsid w:val="00BB3949"/>
    <w:rsid w:val="00BB394D"/>
    <w:rsid w:val="00BB3A33"/>
    <w:rsid w:val="00BB3B27"/>
    <w:rsid w:val="00BB3B6E"/>
    <w:rsid w:val="00BB3B8B"/>
    <w:rsid w:val="00BB3C38"/>
    <w:rsid w:val="00BB3C6A"/>
    <w:rsid w:val="00BB3D05"/>
    <w:rsid w:val="00BB3D51"/>
    <w:rsid w:val="00BB3D6D"/>
    <w:rsid w:val="00BB3D76"/>
    <w:rsid w:val="00BB3E0F"/>
    <w:rsid w:val="00BB3E8F"/>
    <w:rsid w:val="00BB3F48"/>
    <w:rsid w:val="00BB3FB0"/>
    <w:rsid w:val="00BB4027"/>
    <w:rsid w:val="00BB40A3"/>
    <w:rsid w:val="00BB4175"/>
    <w:rsid w:val="00BB4176"/>
    <w:rsid w:val="00BB419F"/>
    <w:rsid w:val="00BB4221"/>
    <w:rsid w:val="00BB4296"/>
    <w:rsid w:val="00BB42AF"/>
    <w:rsid w:val="00BB44E6"/>
    <w:rsid w:val="00BB4514"/>
    <w:rsid w:val="00BB454B"/>
    <w:rsid w:val="00BB4564"/>
    <w:rsid w:val="00BB46CD"/>
    <w:rsid w:val="00BB46D8"/>
    <w:rsid w:val="00BB4749"/>
    <w:rsid w:val="00BB476B"/>
    <w:rsid w:val="00BB4785"/>
    <w:rsid w:val="00BB480F"/>
    <w:rsid w:val="00BB4820"/>
    <w:rsid w:val="00BB488C"/>
    <w:rsid w:val="00BB48B9"/>
    <w:rsid w:val="00BB4924"/>
    <w:rsid w:val="00BB49A1"/>
    <w:rsid w:val="00BB4C6A"/>
    <w:rsid w:val="00BB4DA0"/>
    <w:rsid w:val="00BB4DEE"/>
    <w:rsid w:val="00BB4E4B"/>
    <w:rsid w:val="00BB4E7C"/>
    <w:rsid w:val="00BB4F1D"/>
    <w:rsid w:val="00BB4FA2"/>
    <w:rsid w:val="00BB5063"/>
    <w:rsid w:val="00BB5092"/>
    <w:rsid w:val="00BB5165"/>
    <w:rsid w:val="00BB51E4"/>
    <w:rsid w:val="00BB51F8"/>
    <w:rsid w:val="00BB52AC"/>
    <w:rsid w:val="00BB52B5"/>
    <w:rsid w:val="00BB5320"/>
    <w:rsid w:val="00BB5374"/>
    <w:rsid w:val="00BB5378"/>
    <w:rsid w:val="00BB5471"/>
    <w:rsid w:val="00BB5490"/>
    <w:rsid w:val="00BB54B0"/>
    <w:rsid w:val="00BB54B9"/>
    <w:rsid w:val="00BB54EF"/>
    <w:rsid w:val="00BB550F"/>
    <w:rsid w:val="00BB5531"/>
    <w:rsid w:val="00BB5656"/>
    <w:rsid w:val="00BB570E"/>
    <w:rsid w:val="00BB577D"/>
    <w:rsid w:val="00BB577E"/>
    <w:rsid w:val="00BB580E"/>
    <w:rsid w:val="00BB582A"/>
    <w:rsid w:val="00BB5886"/>
    <w:rsid w:val="00BB589A"/>
    <w:rsid w:val="00BB58D8"/>
    <w:rsid w:val="00BB591E"/>
    <w:rsid w:val="00BB5960"/>
    <w:rsid w:val="00BB59D6"/>
    <w:rsid w:val="00BB5A09"/>
    <w:rsid w:val="00BB5A2E"/>
    <w:rsid w:val="00BB5AEE"/>
    <w:rsid w:val="00BB5B9E"/>
    <w:rsid w:val="00BB5BBB"/>
    <w:rsid w:val="00BB5C32"/>
    <w:rsid w:val="00BB5C5D"/>
    <w:rsid w:val="00BB5C81"/>
    <w:rsid w:val="00BB5D78"/>
    <w:rsid w:val="00BB5D8D"/>
    <w:rsid w:val="00BB5DA5"/>
    <w:rsid w:val="00BB5DBC"/>
    <w:rsid w:val="00BB5E2E"/>
    <w:rsid w:val="00BB5E37"/>
    <w:rsid w:val="00BB5E6D"/>
    <w:rsid w:val="00BB5EB6"/>
    <w:rsid w:val="00BB5F07"/>
    <w:rsid w:val="00BB5F09"/>
    <w:rsid w:val="00BB5FC2"/>
    <w:rsid w:val="00BB5FF0"/>
    <w:rsid w:val="00BB60E1"/>
    <w:rsid w:val="00BB60E2"/>
    <w:rsid w:val="00BB61F5"/>
    <w:rsid w:val="00BB622A"/>
    <w:rsid w:val="00BB62BC"/>
    <w:rsid w:val="00BB62C5"/>
    <w:rsid w:val="00BB630E"/>
    <w:rsid w:val="00BB636B"/>
    <w:rsid w:val="00BB655B"/>
    <w:rsid w:val="00BB6564"/>
    <w:rsid w:val="00BB65A0"/>
    <w:rsid w:val="00BB65C2"/>
    <w:rsid w:val="00BB672E"/>
    <w:rsid w:val="00BB67F6"/>
    <w:rsid w:val="00BB687A"/>
    <w:rsid w:val="00BB6976"/>
    <w:rsid w:val="00BB6AEA"/>
    <w:rsid w:val="00BB6BC4"/>
    <w:rsid w:val="00BB6C30"/>
    <w:rsid w:val="00BB6CF6"/>
    <w:rsid w:val="00BB6D26"/>
    <w:rsid w:val="00BB6EA3"/>
    <w:rsid w:val="00BB6EEE"/>
    <w:rsid w:val="00BB6F20"/>
    <w:rsid w:val="00BB6F51"/>
    <w:rsid w:val="00BB6F5C"/>
    <w:rsid w:val="00BB6FAD"/>
    <w:rsid w:val="00BB700B"/>
    <w:rsid w:val="00BB701F"/>
    <w:rsid w:val="00BB70A4"/>
    <w:rsid w:val="00BB7136"/>
    <w:rsid w:val="00BB720D"/>
    <w:rsid w:val="00BB7230"/>
    <w:rsid w:val="00BB73B1"/>
    <w:rsid w:val="00BB73C0"/>
    <w:rsid w:val="00BB7453"/>
    <w:rsid w:val="00BB752D"/>
    <w:rsid w:val="00BB75C8"/>
    <w:rsid w:val="00BB761C"/>
    <w:rsid w:val="00BB7696"/>
    <w:rsid w:val="00BB76A6"/>
    <w:rsid w:val="00BB76E2"/>
    <w:rsid w:val="00BB770A"/>
    <w:rsid w:val="00BB7754"/>
    <w:rsid w:val="00BB77FF"/>
    <w:rsid w:val="00BB780F"/>
    <w:rsid w:val="00BB783E"/>
    <w:rsid w:val="00BB7943"/>
    <w:rsid w:val="00BB7967"/>
    <w:rsid w:val="00BB796D"/>
    <w:rsid w:val="00BB79A3"/>
    <w:rsid w:val="00BB79F8"/>
    <w:rsid w:val="00BB7A17"/>
    <w:rsid w:val="00BB7AEC"/>
    <w:rsid w:val="00BB7B16"/>
    <w:rsid w:val="00BB7BBE"/>
    <w:rsid w:val="00BB7C8C"/>
    <w:rsid w:val="00BB7D01"/>
    <w:rsid w:val="00BB7D18"/>
    <w:rsid w:val="00BB7E1C"/>
    <w:rsid w:val="00BB7EE3"/>
    <w:rsid w:val="00BB7F20"/>
    <w:rsid w:val="00BB7F2F"/>
    <w:rsid w:val="00BB7F4A"/>
    <w:rsid w:val="00BC017C"/>
    <w:rsid w:val="00BC028A"/>
    <w:rsid w:val="00BC02DD"/>
    <w:rsid w:val="00BC02F7"/>
    <w:rsid w:val="00BC03E2"/>
    <w:rsid w:val="00BC04D0"/>
    <w:rsid w:val="00BC05DD"/>
    <w:rsid w:val="00BC0662"/>
    <w:rsid w:val="00BC06DF"/>
    <w:rsid w:val="00BC07A4"/>
    <w:rsid w:val="00BC084A"/>
    <w:rsid w:val="00BC0985"/>
    <w:rsid w:val="00BC09B1"/>
    <w:rsid w:val="00BC0AC8"/>
    <w:rsid w:val="00BC0B03"/>
    <w:rsid w:val="00BC0B07"/>
    <w:rsid w:val="00BC0B8E"/>
    <w:rsid w:val="00BC0BF9"/>
    <w:rsid w:val="00BC0C0F"/>
    <w:rsid w:val="00BC0CDC"/>
    <w:rsid w:val="00BC0DA1"/>
    <w:rsid w:val="00BC0DBB"/>
    <w:rsid w:val="00BC0DFB"/>
    <w:rsid w:val="00BC0E41"/>
    <w:rsid w:val="00BC0EA4"/>
    <w:rsid w:val="00BC0F0A"/>
    <w:rsid w:val="00BC0F47"/>
    <w:rsid w:val="00BC0FEC"/>
    <w:rsid w:val="00BC1009"/>
    <w:rsid w:val="00BC103F"/>
    <w:rsid w:val="00BC10C9"/>
    <w:rsid w:val="00BC1174"/>
    <w:rsid w:val="00BC1225"/>
    <w:rsid w:val="00BC12D5"/>
    <w:rsid w:val="00BC137A"/>
    <w:rsid w:val="00BC13AC"/>
    <w:rsid w:val="00BC13BA"/>
    <w:rsid w:val="00BC1421"/>
    <w:rsid w:val="00BC1451"/>
    <w:rsid w:val="00BC1589"/>
    <w:rsid w:val="00BC163C"/>
    <w:rsid w:val="00BC166A"/>
    <w:rsid w:val="00BC1702"/>
    <w:rsid w:val="00BC17F5"/>
    <w:rsid w:val="00BC1806"/>
    <w:rsid w:val="00BC191A"/>
    <w:rsid w:val="00BC1970"/>
    <w:rsid w:val="00BC1978"/>
    <w:rsid w:val="00BC19BA"/>
    <w:rsid w:val="00BC19E9"/>
    <w:rsid w:val="00BC1AE8"/>
    <w:rsid w:val="00BC1B12"/>
    <w:rsid w:val="00BC1B2D"/>
    <w:rsid w:val="00BC1C3D"/>
    <w:rsid w:val="00BC1C52"/>
    <w:rsid w:val="00BC1C9C"/>
    <w:rsid w:val="00BC1D34"/>
    <w:rsid w:val="00BC1DD0"/>
    <w:rsid w:val="00BC1E59"/>
    <w:rsid w:val="00BC1EC3"/>
    <w:rsid w:val="00BC1F2D"/>
    <w:rsid w:val="00BC1F45"/>
    <w:rsid w:val="00BC1F5C"/>
    <w:rsid w:val="00BC1F6D"/>
    <w:rsid w:val="00BC1F82"/>
    <w:rsid w:val="00BC204E"/>
    <w:rsid w:val="00BC206A"/>
    <w:rsid w:val="00BC20D9"/>
    <w:rsid w:val="00BC218C"/>
    <w:rsid w:val="00BC23A2"/>
    <w:rsid w:val="00BC241F"/>
    <w:rsid w:val="00BC242E"/>
    <w:rsid w:val="00BC2471"/>
    <w:rsid w:val="00BC271E"/>
    <w:rsid w:val="00BC27C1"/>
    <w:rsid w:val="00BC281E"/>
    <w:rsid w:val="00BC28A6"/>
    <w:rsid w:val="00BC28E6"/>
    <w:rsid w:val="00BC29A7"/>
    <w:rsid w:val="00BC2A49"/>
    <w:rsid w:val="00BC2A4B"/>
    <w:rsid w:val="00BC2B3C"/>
    <w:rsid w:val="00BC2B62"/>
    <w:rsid w:val="00BC2BE7"/>
    <w:rsid w:val="00BC2C2D"/>
    <w:rsid w:val="00BC2C64"/>
    <w:rsid w:val="00BC2C67"/>
    <w:rsid w:val="00BC2C8B"/>
    <w:rsid w:val="00BC2CBE"/>
    <w:rsid w:val="00BC2D25"/>
    <w:rsid w:val="00BC2DF6"/>
    <w:rsid w:val="00BC2E6F"/>
    <w:rsid w:val="00BC2F07"/>
    <w:rsid w:val="00BC2F12"/>
    <w:rsid w:val="00BC2FA1"/>
    <w:rsid w:val="00BC2FA4"/>
    <w:rsid w:val="00BC2FC6"/>
    <w:rsid w:val="00BC2FF5"/>
    <w:rsid w:val="00BC30F0"/>
    <w:rsid w:val="00BC3103"/>
    <w:rsid w:val="00BC310B"/>
    <w:rsid w:val="00BC317A"/>
    <w:rsid w:val="00BC31A6"/>
    <w:rsid w:val="00BC327C"/>
    <w:rsid w:val="00BC32E8"/>
    <w:rsid w:val="00BC3375"/>
    <w:rsid w:val="00BC3466"/>
    <w:rsid w:val="00BC34E2"/>
    <w:rsid w:val="00BC35EC"/>
    <w:rsid w:val="00BC368E"/>
    <w:rsid w:val="00BC372A"/>
    <w:rsid w:val="00BC3730"/>
    <w:rsid w:val="00BC37A2"/>
    <w:rsid w:val="00BC384D"/>
    <w:rsid w:val="00BC385A"/>
    <w:rsid w:val="00BC38AD"/>
    <w:rsid w:val="00BC3955"/>
    <w:rsid w:val="00BC39B0"/>
    <w:rsid w:val="00BC3B53"/>
    <w:rsid w:val="00BC3B7A"/>
    <w:rsid w:val="00BC3BF5"/>
    <w:rsid w:val="00BC3BF7"/>
    <w:rsid w:val="00BC3C46"/>
    <w:rsid w:val="00BC3CC6"/>
    <w:rsid w:val="00BC3D9E"/>
    <w:rsid w:val="00BC3D9F"/>
    <w:rsid w:val="00BC3DFD"/>
    <w:rsid w:val="00BC3E17"/>
    <w:rsid w:val="00BC3E2B"/>
    <w:rsid w:val="00BC3E9C"/>
    <w:rsid w:val="00BC3EB4"/>
    <w:rsid w:val="00BC3F7F"/>
    <w:rsid w:val="00BC3FAB"/>
    <w:rsid w:val="00BC3FC8"/>
    <w:rsid w:val="00BC3FF9"/>
    <w:rsid w:val="00BC40BA"/>
    <w:rsid w:val="00BC40D8"/>
    <w:rsid w:val="00BC4176"/>
    <w:rsid w:val="00BC427A"/>
    <w:rsid w:val="00BC42EA"/>
    <w:rsid w:val="00BC42FC"/>
    <w:rsid w:val="00BC4313"/>
    <w:rsid w:val="00BC4378"/>
    <w:rsid w:val="00BC43A1"/>
    <w:rsid w:val="00BC4440"/>
    <w:rsid w:val="00BC445C"/>
    <w:rsid w:val="00BC445D"/>
    <w:rsid w:val="00BC4488"/>
    <w:rsid w:val="00BC4490"/>
    <w:rsid w:val="00BC45E8"/>
    <w:rsid w:val="00BC463C"/>
    <w:rsid w:val="00BC4679"/>
    <w:rsid w:val="00BC4727"/>
    <w:rsid w:val="00BC4806"/>
    <w:rsid w:val="00BC4883"/>
    <w:rsid w:val="00BC48C0"/>
    <w:rsid w:val="00BC48EB"/>
    <w:rsid w:val="00BC4961"/>
    <w:rsid w:val="00BC49BB"/>
    <w:rsid w:val="00BC4AE1"/>
    <w:rsid w:val="00BC4CF2"/>
    <w:rsid w:val="00BC4D7D"/>
    <w:rsid w:val="00BC4E25"/>
    <w:rsid w:val="00BC4F57"/>
    <w:rsid w:val="00BC4F97"/>
    <w:rsid w:val="00BC4FC3"/>
    <w:rsid w:val="00BC4FE4"/>
    <w:rsid w:val="00BC4FFB"/>
    <w:rsid w:val="00BC505B"/>
    <w:rsid w:val="00BC516B"/>
    <w:rsid w:val="00BC5171"/>
    <w:rsid w:val="00BC523E"/>
    <w:rsid w:val="00BC5258"/>
    <w:rsid w:val="00BC5315"/>
    <w:rsid w:val="00BC5327"/>
    <w:rsid w:val="00BC5345"/>
    <w:rsid w:val="00BC53C4"/>
    <w:rsid w:val="00BC5436"/>
    <w:rsid w:val="00BC5446"/>
    <w:rsid w:val="00BC546D"/>
    <w:rsid w:val="00BC54B0"/>
    <w:rsid w:val="00BC55C5"/>
    <w:rsid w:val="00BC5617"/>
    <w:rsid w:val="00BC5620"/>
    <w:rsid w:val="00BC5646"/>
    <w:rsid w:val="00BC5651"/>
    <w:rsid w:val="00BC5684"/>
    <w:rsid w:val="00BC56C3"/>
    <w:rsid w:val="00BC56D1"/>
    <w:rsid w:val="00BC5721"/>
    <w:rsid w:val="00BC573D"/>
    <w:rsid w:val="00BC57EB"/>
    <w:rsid w:val="00BC5853"/>
    <w:rsid w:val="00BC58C6"/>
    <w:rsid w:val="00BC58DC"/>
    <w:rsid w:val="00BC59FA"/>
    <w:rsid w:val="00BC5AF3"/>
    <w:rsid w:val="00BC5B3E"/>
    <w:rsid w:val="00BC5BE0"/>
    <w:rsid w:val="00BC5C17"/>
    <w:rsid w:val="00BC5C5A"/>
    <w:rsid w:val="00BC5C5D"/>
    <w:rsid w:val="00BC5CD1"/>
    <w:rsid w:val="00BC5D0E"/>
    <w:rsid w:val="00BC5D3A"/>
    <w:rsid w:val="00BC5D3D"/>
    <w:rsid w:val="00BC5D43"/>
    <w:rsid w:val="00BC5D45"/>
    <w:rsid w:val="00BC5E5A"/>
    <w:rsid w:val="00BC5EB0"/>
    <w:rsid w:val="00BC5EC2"/>
    <w:rsid w:val="00BC5F22"/>
    <w:rsid w:val="00BC5F71"/>
    <w:rsid w:val="00BC5F8D"/>
    <w:rsid w:val="00BC603B"/>
    <w:rsid w:val="00BC6076"/>
    <w:rsid w:val="00BC6266"/>
    <w:rsid w:val="00BC62B0"/>
    <w:rsid w:val="00BC639D"/>
    <w:rsid w:val="00BC63CE"/>
    <w:rsid w:val="00BC641D"/>
    <w:rsid w:val="00BC657E"/>
    <w:rsid w:val="00BC65AB"/>
    <w:rsid w:val="00BC6675"/>
    <w:rsid w:val="00BC66CC"/>
    <w:rsid w:val="00BC66D6"/>
    <w:rsid w:val="00BC66DF"/>
    <w:rsid w:val="00BC6747"/>
    <w:rsid w:val="00BC675E"/>
    <w:rsid w:val="00BC67F1"/>
    <w:rsid w:val="00BC67FB"/>
    <w:rsid w:val="00BC684A"/>
    <w:rsid w:val="00BC6884"/>
    <w:rsid w:val="00BC699C"/>
    <w:rsid w:val="00BC69A6"/>
    <w:rsid w:val="00BC69F4"/>
    <w:rsid w:val="00BC69FF"/>
    <w:rsid w:val="00BC6A81"/>
    <w:rsid w:val="00BC6B14"/>
    <w:rsid w:val="00BC6B6D"/>
    <w:rsid w:val="00BC6B84"/>
    <w:rsid w:val="00BC6BB7"/>
    <w:rsid w:val="00BC6C2D"/>
    <w:rsid w:val="00BC6CB0"/>
    <w:rsid w:val="00BC6CC8"/>
    <w:rsid w:val="00BC6D23"/>
    <w:rsid w:val="00BC6DD1"/>
    <w:rsid w:val="00BC6E1E"/>
    <w:rsid w:val="00BC6E33"/>
    <w:rsid w:val="00BC6EEA"/>
    <w:rsid w:val="00BC6EF9"/>
    <w:rsid w:val="00BC6F5B"/>
    <w:rsid w:val="00BC6F5C"/>
    <w:rsid w:val="00BC6FEA"/>
    <w:rsid w:val="00BC6FF3"/>
    <w:rsid w:val="00BC7023"/>
    <w:rsid w:val="00BC7061"/>
    <w:rsid w:val="00BC708B"/>
    <w:rsid w:val="00BC70A7"/>
    <w:rsid w:val="00BC70D2"/>
    <w:rsid w:val="00BC70E2"/>
    <w:rsid w:val="00BC71C9"/>
    <w:rsid w:val="00BC71F3"/>
    <w:rsid w:val="00BC7273"/>
    <w:rsid w:val="00BC7274"/>
    <w:rsid w:val="00BC728E"/>
    <w:rsid w:val="00BC72AF"/>
    <w:rsid w:val="00BC72D0"/>
    <w:rsid w:val="00BC72DA"/>
    <w:rsid w:val="00BC72F1"/>
    <w:rsid w:val="00BC7302"/>
    <w:rsid w:val="00BC7316"/>
    <w:rsid w:val="00BC743F"/>
    <w:rsid w:val="00BC74B6"/>
    <w:rsid w:val="00BC7569"/>
    <w:rsid w:val="00BC758F"/>
    <w:rsid w:val="00BC765E"/>
    <w:rsid w:val="00BC7697"/>
    <w:rsid w:val="00BC76DB"/>
    <w:rsid w:val="00BC7753"/>
    <w:rsid w:val="00BC777C"/>
    <w:rsid w:val="00BC77DF"/>
    <w:rsid w:val="00BC7818"/>
    <w:rsid w:val="00BC7827"/>
    <w:rsid w:val="00BC7831"/>
    <w:rsid w:val="00BC785B"/>
    <w:rsid w:val="00BC7867"/>
    <w:rsid w:val="00BC7899"/>
    <w:rsid w:val="00BC7A11"/>
    <w:rsid w:val="00BC7A4F"/>
    <w:rsid w:val="00BC7A6C"/>
    <w:rsid w:val="00BC7A72"/>
    <w:rsid w:val="00BC7A74"/>
    <w:rsid w:val="00BC7AAB"/>
    <w:rsid w:val="00BC7AD7"/>
    <w:rsid w:val="00BC7C2D"/>
    <w:rsid w:val="00BC7C3A"/>
    <w:rsid w:val="00BC7C93"/>
    <w:rsid w:val="00BC7D1D"/>
    <w:rsid w:val="00BC7D20"/>
    <w:rsid w:val="00BC7D30"/>
    <w:rsid w:val="00BC7DA9"/>
    <w:rsid w:val="00BC7E24"/>
    <w:rsid w:val="00BC7E30"/>
    <w:rsid w:val="00BC7E42"/>
    <w:rsid w:val="00BC7E53"/>
    <w:rsid w:val="00BC7EFF"/>
    <w:rsid w:val="00BD0288"/>
    <w:rsid w:val="00BD02BE"/>
    <w:rsid w:val="00BD02DF"/>
    <w:rsid w:val="00BD0334"/>
    <w:rsid w:val="00BD0344"/>
    <w:rsid w:val="00BD0357"/>
    <w:rsid w:val="00BD0396"/>
    <w:rsid w:val="00BD03AB"/>
    <w:rsid w:val="00BD03AF"/>
    <w:rsid w:val="00BD03D0"/>
    <w:rsid w:val="00BD0457"/>
    <w:rsid w:val="00BD04BD"/>
    <w:rsid w:val="00BD04C4"/>
    <w:rsid w:val="00BD04CE"/>
    <w:rsid w:val="00BD0569"/>
    <w:rsid w:val="00BD0624"/>
    <w:rsid w:val="00BD067D"/>
    <w:rsid w:val="00BD06DE"/>
    <w:rsid w:val="00BD071F"/>
    <w:rsid w:val="00BD0772"/>
    <w:rsid w:val="00BD077E"/>
    <w:rsid w:val="00BD0784"/>
    <w:rsid w:val="00BD07A4"/>
    <w:rsid w:val="00BD07F2"/>
    <w:rsid w:val="00BD07F4"/>
    <w:rsid w:val="00BD0A31"/>
    <w:rsid w:val="00BD0A4C"/>
    <w:rsid w:val="00BD0B4C"/>
    <w:rsid w:val="00BD0C66"/>
    <w:rsid w:val="00BD0CCF"/>
    <w:rsid w:val="00BD0CD1"/>
    <w:rsid w:val="00BD0CF3"/>
    <w:rsid w:val="00BD0D45"/>
    <w:rsid w:val="00BD0D5C"/>
    <w:rsid w:val="00BD0D8A"/>
    <w:rsid w:val="00BD0D90"/>
    <w:rsid w:val="00BD0DB0"/>
    <w:rsid w:val="00BD0E47"/>
    <w:rsid w:val="00BD0EDE"/>
    <w:rsid w:val="00BD0F1D"/>
    <w:rsid w:val="00BD0F27"/>
    <w:rsid w:val="00BD0F28"/>
    <w:rsid w:val="00BD0F87"/>
    <w:rsid w:val="00BD0FCC"/>
    <w:rsid w:val="00BD109E"/>
    <w:rsid w:val="00BD109F"/>
    <w:rsid w:val="00BD10F4"/>
    <w:rsid w:val="00BD110D"/>
    <w:rsid w:val="00BD1154"/>
    <w:rsid w:val="00BD1175"/>
    <w:rsid w:val="00BD117D"/>
    <w:rsid w:val="00BD118A"/>
    <w:rsid w:val="00BD11C7"/>
    <w:rsid w:val="00BD1278"/>
    <w:rsid w:val="00BD12AE"/>
    <w:rsid w:val="00BD12D2"/>
    <w:rsid w:val="00BD14B0"/>
    <w:rsid w:val="00BD14B6"/>
    <w:rsid w:val="00BD14D4"/>
    <w:rsid w:val="00BD153D"/>
    <w:rsid w:val="00BD1543"/>
    <w:rsid w:val="00BD159B"/>
    <w:rsid w:val="00BD159C"/>
    <w:rsid w:val="00BD15D4"/>
    <w:rsid w:val="00BD15E0"/>
    <w:rsid w:val="00BD1632"/>
    <w:rsid w:val="00BD1665"/>
    <w:rsid w:val="00BD16CD"/>
    <w:rsid w:val="00BD1775"/>
    <w:rsid w:val="00BD17C3"/>
    <w:rsid w:val="00BD17CA"/>
    <w:rsid w:val="00BD17D9"/>
    <w:rsid w:val="00BD17EF"/>
    <w:rsid w:val="00BD1870"/>
    <w:rsid w:val="00BD18F0"/>
    <w:rsid w:val="00BD190B"/>
    <w:rsid w:val="00BD19D0"/>
    <w:rsid w:val="00BD19D5"/>
    <w:rsid w:val="00BD1A1E"/>
    <w:rsid w:val="00BD1A1F"/>
    <w:rsid w:val="00BD1A25"/>
    <w:rsid w:val="00BD1A43"/>
    <w:rsid w:val="00BD1AFE"/>
    <w:rsid w:val="00BD1B88"/>
    <w:rsid w:val="00BD1B9D"/>
    <w:rsid w:val="00BD1B9F"/>
    <w:rsid w:val="00BD1BB6"/>
    <w:rsid w:val="00BD1BD3"/>
    <w:rsid w:val="00BD1CA1"/>
    <w:rsid w:val="00BD1D7C"/>
    <w:rsid w:val="00BD1D84"/>
    <w:rsid w:val="00BD1DF1"/>
    <w:rsid w:val="00BD1E01"/>
    <w:rsid w:val="00BD1E51"/>
    <w:rsid w:val="00BD1E82"/>
    <w:rsid w:val="00BD1EE6"/>
    <w:rsid w:val="00BD1F1B"/>
    <w:rsid w:val="00BD1F29"/>
    <w:rsid w:val="00BD1F50"/>
    <w:rsid w:val="00BD208A"/>
    <w:rsid w:val="00BD21D5"/>
    <w:rsid w:val="00BD229D"/>
    <w:rsid w:val="00BD2313"/>
    <w:rsid w:val="00BD23E9"/>
    <w:rsid w:val="00BD2420"/>
    <w:rsid w:val="00BD24C9"/>
    <w:rsid w:val="00BD2501"/>
    <w:rsid w:val="00BD2583"/>
    <w:rsid w:val="00BD25B5"/>
    <w:rsid w:val="00BD25EC"/>
    <w:rsid w:val="00BD25FB"/>
    <w:rsid w:val="00BD2600"/>
    <w:rsid w:val="00BD2640"/>
    <w:rsid w:val="00BD27BA"/>
    <w:rsid w:val="00BD286E"/>
    <w:rsid w:val="00BD2A0E"/>
    <w:rsid w:val="00BD2BC6"/>
    <w:rsid w:val="00BD2BCC"/>
    <w:rsid w:val="00BD2CAE"/>
    <w:rsid w:val="00BD2E09"/>
    <w:rsid w:val="00BD2E34"/>
    <w:rsid w:val="00BD2E52"/>
    <w:rsid w:val="00BD2F21"/>
    <w:rsid w:val="00BD2F28"/>
    <w:rsid w:val="00BD2F83"/>
    <w:rsid w:val="00BD30B3"/>
    <w:rsid w:val="00BD3136"/>
    <w:rsid w:val="00BD31C3"/>
    <w:rsid w:val="00BD327A"/>
    <w:rsid w:val="00BD32A9"/>
    <w:rsid w:val="00BD3328"/>
    <w:rsid w:val="00BD3330"/>
    <w:rsid w:val="00BD3347"/>
    <w:rsid w:val="00BD3386"/>
    <w:rsid w:val="00BD339D"/>
    <w:rsid w:val="00BD33E7"/>
    <w:rsid w:val="00BD35A4"/>
    <w:rsid w:val="00BD35D7"/>
    <w:rsid w:val="00BD35EC"/>
    <w:rsid w:val="00BD361D"/>
    <w:rsid w:val="00BD3655"/>
    <w:rsid w:val="00BD3714"/>
    <w:rsid w:val="00BD388B"/>
    <w:rsid w:val="00BD3891"/>
    <w:rsid w:val="00BD38CA"/>
    <w:rsid w:val="00BD393A"/>
    <w:rsid w:val="00BD396D"/>
    <w:rsid w:val="00BD39C5"/>
    <w:rsid w:val="00BD3A0A"/>
    <w:rsid w:val="00BD3A34"/>
    <w:rsid w:val="00BD3A45"/>
    <w:rsid w:val="00BD3A56"/>
    <w:rsid w:val="00BD3B47"/>
    <w:rsid w:val="00BD3BB0"/>
    <w:rsid w:val="00BD3C0B"/>
    <w:rsid w:val="00BD3C17"/>
    <w:rsid w:val="00BD3CF1"/>
    <w:rsid w:val="00BD3DCC"/>
    <w:rsid w:val="00BD3E6D"/>
    <w:rsid w:val="00BD3E78"/>
    <w:rsid w:val="00BD3EBC"/>
    <w:rsid w:val="00BD3ED4"/>
    <w:rsid w:val="00BD3F22"/>
    <w:rsid w:val="00BD3F38"/>
    <w:rsid w:val="00BD400E"/>
    <w:rsid w:val="00BD401E"/>
    <w:rsid w:val="00BD40FC"/>
    <w:rsid w:val="00BD41B4"/>
    <w:rsid w:val="00BD4293"/>
    <w:rsid w:val="00BD42C5"/>
    <w:rsid w:val="00BD42FE"/>
    <w:rsid w:val="00BD4392"/>
    <w:rsid w:val="00BD439D"/>
    <w:rsid w:val="00BD43B8"/>
    <w:rsid w:val="00BD4485"/>
    <w:rsid w:val="00BD448B"/>
    <w:rsid w:val="00BD44C1"/>
    <w:rsid w:val="00BD4572"/>
    <w:rsid w:val="00BD45CA"/>
    <w:rsid w:val="00BD45DE"/>
    <w:rsid w:val="00BD461A"/>
    <w:rsid w:val="00BD465E"/>
    <w:rsid w:val="00BD4719"/>
    <w:rsid w:val="00BD473C"/>
    <w:rsid w:val="00BD47E2"/>
    <w:rsid w:val="00BD4836"/>
    <w:rsid w:val="00BD48B1"/>
    <w:rsid w:val="00BD48CB"/>
    <w:rsid w:val="00BD49A8"/>
    <w:rsid w:val="00BD49B4"/>
    <w:rsid w:val="00BD49B5"/>
    <w:rsid w:val="00BD49BE"/>
    <w:rsid w:val="00BD49F0"/>
    <w:rsid w:val="00BD4A28"/>
    <w:rsid w:val="00BD4A87"/>
    <w:rsid w:val="00BD4B03"/>
    <w:rsid w:val="00BD4B34"/>
    <w:rsid w:val="00BD4B7C"/>
    <w:rsid w:val="00BD4C5A"/>
    <w:rsid w:val="00BD4C88"/>
    <w:rsid w:val="00BD4CA9"/>
    <w:rsid w:val="00BD4CD4"/>
    <w:rsid w:val="00BD4CE8"/>
    <w:rsid w:val="00BD4DB4"/>
    <w:rsid w:val="00BD4E95"/>
    <w:rsid w:val="00BD4EC4"/>
    <w:rsid w:val="00BD4EE2"/>
    <w:rsid w:val="00BD4F2D"/>
    <w:rsid w:val="00BD4FBB"/>
    <w:rsid w:val="00BD501F"/>
    <w:rsid w:val="00BD50B8"/>
    <w:rsid w:val="00BD5107"/>
    <w:rsid w:val="00BD51C6"/>
    <w:rsid w:val="00BD5224"/>
    <w:rsid w:val="00BD522D"/>
    <w:rsid w:val="00BD5230"/>
    <w:rsid w:val="00BD532F"/>
    <w:rsid w:val="00BD5381"/>
    <w:rsid w:val="00BD538D"/>
    <w:rsid w:val="00BD5471"/>
    <w:rsid w:val="00BD5578"/>
    <w:rsid w:val="00BD56A6"/>
    <w:rsid w:val="00BD56AF"/>
    <w:rsid w:val="00BD56BE"/>
    <w:rsid w:val="00BD5931"/>
    <w:rsid w:val="00BD599C"/>
    <w:rsid w:val="00BD59EC"/>
    <w:rsid w:val="00BD5A93"/>
    <w:rsid w:val="00BD5B5B"/>
    <w:rsid w:val="00BD5B77"/>
    <w:rsid w:val="00BD5BF1"/>
    <w:rsid w:val="00BD5C2D"/>
    <w:rsid w:val="00BD5D1A"/>
    <w:rsid w:val="00BD5DE5"/>
    <w:rsid w:val="00BD5E4D"/>
    <w:rsid w:val="00BD5E84"/>
    <w:rsid w:val="00BD5EC3"/>
    <w:rsid w:val="00BD5F6E"/>
    <w:rsid w:val="00BD5FA2"/>
    <w:rsid w:val="00BD5FB3"/>
    <w:rsid w:val="00BD607F"/>
    <w:rsid w:val="00BD6165"/>
    <w:rsid w:val="00BD618E"/>
    <w:rsid w:val="00BD61CB"/>
    <w:rsid w:val="00BD61EC"/>
    <w:rsid w:val="00BD61EF"/>
    <w:rsid w:val="00BD6213"/>
    <w:rsid w:val="00BD6364"/>
    <w:rsid w:val="00BD6371"/>
    <w:rsid w:val="00BD637B"/>
    <w:rsid w:val="00BD6535"/>
    <w:rsid w:val="00BD656E"/>
    <w:rsid w:val="00BD663F"/>
    <w:rsid w:val="00BD6697"/>
    <w:rsid w:val="00BD66A9"/>
    <w:rsid w:val="00BD66DC"/>
    <w:rsid w:val="00BD67AF"/>
    <w:rsid w:val="00BD687B"/>
    <w:rsid w:val="00BD690A"/>
    <w:rsid w:val="00BD69EE"/>
    <w:rsid w:val="00BD6DC2"/>
    <w:rsid w:val="00BD6DD1"/>
    <w:rsid w:val="00BD6DFD"/>
    <w:rsid w:val="00BD6E29"/>
    <w:rsid w:val="00BD6E2C"/>
    <w:rsid w:val="00BD6E3B"/>
    <w:rsid w:val="00BD6E3C"/>
    <w:rsid w:val="00BD6E53"/>
    <w:rsid w:val="00BD7001"/>
    <w:rsid w:val="00BD7006"/>
    <w:rsid w:val="00BD707D"/>
    <w:rsid w:val="00BD709B"/>
    <w:rsid w:val="00BD7107"/>
    <w:rsid w:val="00BD7205"/>
    <w:rsid w:val="00BD722F"/>
    <w:rsid w:val="00BD723B"/>
    <w:rsid w:val="00BD7292"/>
    <w:rsid w:val="00BD7297"/>
    <w:rsid w:val="00BD72A7"/>
    <w:rsid w:val="00BD72EA"/>
    <w:rsid w:val="00BD736B"/>
    <w:rsid w:val="00BD73BD"/>
    <w:rsid w:val="00BD73C5"/>
    <w:rsid w:val="00BD7444"/>
    <w:rsid w:val="00BD753E"/>
    <w:rsid w:val="00BD7563"/>
    <w:rsid w:val="00BD75B6"/>
    <w:rsid w:val="00BD7646"/>
    <w:rsid w:val="00BD76D3"/>
    <w:rsid w:val="00BD76DC"/>
    <w:rsid w:val="00BD77B2"/>
    <w:rsid w:val="00BD79AD"/>
    <w:rsid w:val="00BD79FC"/>
    <w:rsid w:val="00BD7AF9"/>
    <w:rsid w:val="00BD7B04"/>
    <w:rsid w:val="00BD7B07"/>
    <w:rsid w:val="00BD7B30"/>
    <w:rsid w:val="00BD7BA7"/>
    <w:rsid w:val="00BD7C49"/>
    <w:rsid w:val="00BD7C54"/>
    <w:rsid w:val="00BD7CE2"/>
    <w:rsid w:val="00BD7CEC"/>
    <w:rsid w:val="00BD7DD8"/>
    <w:rsid w:val="00BD7EAF"/>
    <w:rsid w:val="00BD7ECB"/>
    <w:rsid w:val="00BD7F3D"/>
    <w:rsid w:val="00BE0070"/>
    <w:rsid w:val="00BE013D"/>
    <w:rsid w:val="00BE01C9"/>
    <w:rsid w:val="00BE01F6"/>
    <w:rsid w:val="00BE028A"/>
    <w:rsid w:val="00BE02D3"/>
    <w:rsid w:val="00BE03AB"/>
    <w:rsid w:val="00BE0421"/>
    <w:rsid w:val="00BE044C"/>
    <w:rsid w:val="00BE0470"/>
    <w:rsid w:val="00BE0605"/>
    <w:rsid w:val="00BE067F"/>
    <w:rsid w:val="00BE0696"/>
    <w:rsid w:val="00BE0732"/>
    <w:rsid w:val="00BE075A"/>
    <w:rsid w:val="00BE079E"/>
    <w:rsid w:val="00BE07B3"/>
    <w:rsid w:val="00BE0903"/>
    <w:rsid w:val="00BE090F"/>
    <w:rsid w:val="00BE0911"/>
    <w:rsid w:val="00BE0942"/>
    <w:rsid w:val="00BE0A1D"/>
    <w:rsid w:val="00BE0B05"/>
    <w:rsid w:val="00BE0B4B"/>
    <w:rsid w:val="00BE0BCB"/>
    <w:rsid w:val="00BE0C53"/>
    <w:rsid w:val="00BE0CB9"/>
    <w:rsid w:val="00BE0CD2"/>
    <w:rsid w:val="00BE0CDA"/>
    <w:rsid w:val="00BE0D9A"/>
    <w:rsid w:val="00BE0E2D"/>
    <w:rsid w:val="00BE0E93"/>
    <w:rsid w:val="00BE0ED0"/>
    <w:rsid w:val="00BE0EE3"/>
    <w:rsid w:val="00BE0F1C"/>
    <w:rsid w:val="00BE0F39"/>
    <w:rsid w:val="00BE0FEE"/>
    <w:rsid w:val="00BE1046"/>
    <w:rsid w:val="00BE10C1"/>
    <w:rsid w:val="00BE10D3"/>
    <w:rsid w:val="00BE10FB"/>
    <w:rsid w:val="00BE116D"/>
    <w:rsid w:val="00BE120D"/>
    <w:rsid w:val="00BE12F7"/>
    <w:rsid w:val="00BE1405"/>
    <w:rsid w:val="00BE1426"/>
    <w:rsid w:val="00BE144B"/>
    <w:rsid w:val="00BE14BA"/>
    <w:rsid w:val="00BE150B"/>
    <w:rsid w:val="00BE159A"/>
    <w:rsid w:val="00BE15C3"/>
    <w:rsid w:val="00BE15C7"/>
    <w:rsid w:val="00BE16E3"/>
    <w:rsid w:val="00BE17DE"/>
    <w:rsid w:val="00BE1802"/>
    <w:rsid w:val="00BE183A"/>
    <w:rsid w:val="00BE18B5"/>
    <w:rsid w:val="00BE18BD"/>
    <w:rsid w:val="00BE18E6"/>
    <w:rsid w:val="00BE1A37"/>
    <w:rsid w:val="00BE1A8B"/>
    <w:rsid w:val="00BE1AB3"/>
    <w:rsid w:val="00BE1B22"/>
    <w:rsid w:val="00BE1B88"/>
    <w:rsid w:val="00BE1BBF"/>
    <w:rsid w:val="00BE1C02"/>
    <w:rsid w:val="00BE1C1A"/>
    <w:rsid w:val="00BE1C4E"/>
    <w:rsid w:val="00BE1C59"/>
    <w:rsid w:val="00BE1CFB"/>
    <w:rsid w:val="00BE1D47"/>
    <w:rsid w:val="00BE1D48"/>
    <w:rsid w:val="00BE1D67"/>
    <w:rsid w:val="00BE1DDF"/>
    <w:rsid w:val="00BE1F2A"/>
    <w:rsid w:val="00BE1F66"/>
    <w:rsid w:val="00BE1F90"/>
    <w:rsid w:val="00BE1FA7"/>
    <w:rsid w:val="00BE1FFC"/>
    <w:rsid w:val="00BE20C4"/>
    <w:rsid w:val="00BE22A4"/>
    <w:rsid w:val="00BE22B0"/>
    <w:rsid w:val="00BE2374"/>
    <w:rsid w:val="00BE24AE"/>
    <w:rsid w:val="00BE24E7"/>
    <w:rsid w:val="00BE264D"/>
    <w:rsid w:val="00BE26C8"/>
    <w:rsid w:val="00BE2748"/>
    <w:rsid w:val="00BE275A"/>
    <w:rsid w:val="00BE275E"/>
    <w:rsid w:val="00BE276B"/>
    <w:rsid w:val="00BE279D"/>
    <w:rsid w:val="00BE2823"/>
    <w:rsid w:val="00BE2905"/>
    <w:rsid w:val="00BE290C"/>
    <w:rsid w:val="00BE293D"/>
    <w:rsid w:val="00BE29D1"/>
    <w:rsid w:val="00BE2A0B"/>
    <w:rsid w:val="00BE2A97"/>
    <w:rsid w:val="00BE2B92"/>
    <w:rsid w:val="00BE2BEE"/>
    <w:rsid w:val="00BE2BF4"/>
    <w:rsid w:val="00BE2C8A"/>
    <w:rsid w:val="00BE2C8E"/>
    <w:rsid w:val="00BE2D52"/>
    <w:rsid w:val="00BE2E8B"/>
    <w:rsid w:val="00BE2EC1"/>
    <w:rsid w:val="00BE2F71"/>
    <w:rsid w:val="00BE2F7C"/>
    <w:rsid w:val="00BE2FD8"/>
    <w:rsid w:val="00BE304C"/>
    <w:rsid w:val="00BE30A3"/>
    <w:rsid w:val="00BE3104"/>
    <w:rsid w:val="00BE3195"/>
    <w:rsid w:val="00BE3228"/>
    <w:rsid w:val="00BE3252"/>
    <w:rsid w:val="00BE327A"/>
    <w:rsid w:val="00BE3314"/>
    <w:rsid w:val="00BE333B"/>
    <w:rsid w:val="00BE33E4"/>
    <w:rsid w:val="00BE347B"/>
    <w:rsid w:val="00BE34AD"/>
    <w:rsid w:val="00BE34D2"/>
    <w:rsid w:val="00BE3542"/>
    <w:rsid w:val="00BE3855"/>
    <w:rsid w:val="00BE386A"/>
    <w:rsid w:val="00BE3904"/>
    <w:rsid w:val="00BE390B"/>
    <w:rsid w:val="00BE3957"/>
    <w:rsid w:val="00BE3A1C"/>
    <w:rsid w:val="00BE3A50"/>
    <w:rsid w:val="00BE3A58"/>
    <w:rsid w:val="00BE3AD4"/>
    <w:rsid w:val="00BE3B20"/>
    <w:rsid w:val="00BE3B36"/>
    <w:rsid w:val="00BE3D8E"/>
    <w:rsid w:val="00BE3E69"/>
    <w:rsid w:val="00BE3F4C"/>
    <w:rsid w:val="00BE3F89"/>
    <w:rsid w:val="00BE3F91"/>
    <w:rsid w:val="00BE4102"/>
    <w:rsid w:val="00BE4149"/>
    <w:rsid w:val="00BE4231"/>
    <w:rsid w:val="00BE425B"/>
    <w:rsid w:val="00BE428A"/>
    <w:rsid w:val="00BE42A7"/>
    <w:rsid w:val="00BE42F9"/>
    <w:rsid w:val="00BE4307"/>
    <w:rsid w:val="00BE4322"/>
    <w:rsid w:val="00BE435A"/>
    <w:rsid w:val="00BE43B0"/>
    <w:rsid w:val="00BE43B9"/>
    <w:rsid w:val="00BE4524"/>
    <w:rsid w:val="00BE4538"/>
    <w:rsid w:val="00BE453C"/>
    <w:rsid w:val="00BE454D"/>
    <w:rsid w:val="00BE45A6"/>
    <w:rsid w:val="00BE475E"/>
    <w:rsid w:val="00BE4960"/>
    <w:rsid w:val="00BE497D"/>
    <w:rsid w:val="00BE4A26"/>
    <w:rsid w:val="00BE4B00"/>
    <w:rsid w:val="00BE4BC1"/>
    <w:rsid w:val="00BE4CE6"/>
    <w:rsid w:val="00BE4D77"/>
    <w:rsid w:val="00BE4E2A"/>
    <w:rsid w:val="00BE4EC4"/>
    <w:rsid w:val="00BE4EE0"/>
    <w:rsid w:val="00BE4F12"/>
    <w:rsid w:val="00BE4F23"/>
    <w:rsid w:val="00BE4F31"/>
    <w:rsid w:val="00BE501F"/>
    <w:rsid w:val="00BE50C2"/>
    <w:rsid w:val="00BE5138"/>
    <w:rsid w:val="00BE5143"/>
    <w:rsid w:val="00BE5224"/>
    <w:rsid w:val="00BE52AA"/>
    <w:rsid w:val="00BE52D4"/>
    <w:rsid w:val="00BE53C1"/>
    <w:rsid w:val="00BE542D"/>
    <w:rsid w:val="00BE5451"/>
    <w:rsid w:val="00BE545D"/>
    <w:rsid w:val="00BE5466"/>
    <w:rsid w:val="00BE551D"/>
    <w:rsid w:val="00BE5528"/>
    <w:rsid w:val="00BE55B6"/>
    <w:rsid w:val="00BE55C7"/>
    <w:rsid w:val="00BE55DD"/>
    <w:rsid w:val="00BE5711"/>
    <w:rsid w:val="00BE57C0"/>
    <w:rsid w:val="00BE57CA"/>
    <w:rsid w:val="00BE57E8"/>
    <w:rsid w:val="00BE580E"/>
    <w:rsid w:val="00BE5829"/>
    <w:rsid w:val="00BE58CA"/>
    <w:rsid w:val="00BE58E7"/>
    <w:rsid w:val="00BE5934"/>
    <w:rsid w:val="00BE59CE"/>
    <w:rsid w:val="00BE59D5"/>
    <w:rsid w:val="00BE59D9"/>
    <w:rsid w:val="00BE5A42"/>
    <w:rsid w:val="00BE5A45"/>
    <w:rsid w:val="00BE5AFD"/>
    <w:rsid w:val="00BE5B1B"/>
    <w:rsid w:val="00BE5CE2"/>
    <w:rsid w:val="00BE5D82"/>
    <w:rsid w:val="00BE5D84"/>
    <w:rsid w:val="00BE5DC0"/>
    <w:rsid w:val="00BE5E03"/>
    <w:rsid w:val="00BE5E51"/>
    <w:rsid w:val="00BE5E97"/>
    <w:rsid w:val="00BE5F16"/>
    <w:rsid w:val="00BE6075"/>
    <w:rsid w:val="00BE6089"/>
    <w:rsid w:val="00BE617B"/>
    <w:rsid w:val="00BE61CD"/>
    <w:rsid w:val="00BE6258"/>
    <w:rsid w:val="00BE62C4"/>
    <w:rsid w:val="00BE6346"/>
    <w:rsid w:val="00BE6393"/>
    <w:rsid w:val="00BE63A8"/>
    <w:rsid w:val="00BE63C9"/>
    <w:rsid w:val="00BE6411"/>
    <w:rsid w:val="00BE642E"/>
    <w:rsid w:val="00BE6465"/>
    <w:rsid w:val="00BE6468"/>
    <w:rsid w:val="00BE6587"/>
    <w:rsid w:val="00BE65B1"/>
    <w:rsid w:val="00BE6600"/>
    <w:rsid w:val="00BE6744"/>
    <w:rsid w:val="00BE6752"/>
    <w:rsid w:val="00BE67CB"/>
    <w:rsid w:val="00BE67EE"/>
    <w:rsid w:val="00BE6861"/>
    <w:rsid w:val="00BE687F"/>
    <w:rsid w:val="00BE68F6"/>
    <w:rsid w:val="00BE6900"/>
    <w:rsid w:val="00BE693E"/>
    <w:rsid w:val="00BE69EF"/>
    <w:rsid w:val="00BE6A36"/>
    <w:rsid w:val="00BE6A77"/>
    <w:rsid w:val="00BE6AB8"/>
    <w:rsid w:val="00BE6AD5"/>
    <w:rsid w:val="00BE6AED"/>
    <w:rsid w:val="00BE6B09"/>
    <w:rsid w:val="00BE6B97"/>
    <w:rsid w:val="00BE6C05"/>
    <w:rsid w:val="00BE6C36"/>
    <w:rsid w:val="00BE6CD5"/>
    <w:rsid w:val="00BE6D34"/>
    <w:rsid w:val="00BE6DE0"/>
    <w:rsid w:val="00BE6DEA"/>
    <w:rsid w:val="00BE6E3C"/>
    <w:rsid w:val="00BE6F02"/>
    <w:rsid w:val="00BE6F59"/>
    <w:rsid w:val="00BE6F99"/>
    <w:rsid w:val="00BE700E"/>
    <w:rsid w:val="00BE70AF"/>
    <w:rsid w:val="00BE71CC"/>
    <w:rsid w:val="00BE7238"/>
    <w:rsid w:val="00BE7253"/>
    <w:rsid w:val="00BE7269"/>
    <w:rsid w:val="00BE72A1"/>
    <w:rsid w:val="00BE72DE"/>
    <w:rsid w:val="00BE7334"/>
    <w:rsid w:val="00BE7366"/>
    <w:rsid w:val="00BE7377"/>
    <w:rsid w:val="00BE7381"/>
    <w:rsid w:val="00BE7487"/>
    <w:rsid w:val="00BE74E7"/>
    <w:rsid w:val="00BE7531"/>
    <w:rsid w:val="00BE75B2"/>
    <w:rsid w:val="00BE7629"/>
    <w:rsid w:val="00BE766F"/>
    <w:rsid w:val="00BE7837"/>
    <w:rsid w:val="00BE7867"/>
    <w:rsid w:val="00BE79E4"/>
    <w:rsid w:val="00BE7B02"/>
    <w:rsid w:val="00BE7B8D"/>
    <w:rsid w:val="00BE7BC8"/>
    <w:rsid w:val="00BE7C02"/>
    <w:rsid w:val="00BE7C0C"/>
    <w:rsid w:val="00BE7C97"/>
    <w:rsid w:val="00BE7CB0"/>
    <w:rsid w:val="00BE7D7D"/>
    <w:rsid w:val="00BE7F9E"/>
    <w:rsid w:val="00BE7FAF"/>
    <w:rsid w:val="00BE7FC0"/>
    <w:rsid w:val="00BE7FF0"/>
    <w:rsid w:val="00BF002E"/>
    <w:rsid w:val="00BF0035"/>
    <w:rsid w:val="00BF00AA"/>
    <w:rsid w:val="00BF00FB"/>
    <w:rsid w:val="00BF0147"/>
    <w:rsid w:val="00BF01CB"/>
    <w:rsid w:val="00BF01CE"/>
    <w:rsid w:val="00BF02CF"/>
    <w:rsid w:val="00BF035D"/>
    <w:rsid w:val="00BF0398"/>
    <w:rsid w:val="00BF041F"/>
    <w:rsid w:val="00BF047E"/>
    <w:rsid w:val="00BF04C2"/>
    <w:rsid w:val="00BF052B"/>
    <w:rsid w:val="00BF057C"/>
    <w:rsid w:val="00BF05A8"/>
    <w:rsid w:val="00BF0631"/>
    <w:rsid w:val="00BF06A4"/>
    <w:rsid w:val="00BF06DD"/>
    <w:rsid w:val="00BF071D"/>
    <w:rsid w:val="00BF081F"/>
    <w:rsid w:val="00BF0853"/>
    <w:rsid w:val="00BF0939"/>
    <w:rsid w:val="00BF09C2"/>
    <w:rsid w:val="00BF09FA"/>
    <w:rsid w:val="00BF0BDB"/>
    <w:rsid w:val="00BF0BF9"/>
    <w:rsid w:val="00BF0D25"/>
    <w:rsid w:val="00BF0EC0"/>
    <w:rsid w:val="00BF0F22"/>
    <w:rsid w:val="00BF0FAE"/>
    <w:rsid w:val="00BF103A"/>
    <w:rsid w:val="00BF1055"/>
    <w:rsid w:val="00BF1061"/>
    <w:rsid w:val="00BF1064"/>
    <w:rsid w:val="00BF110B"/>
    <w:rsid w:val="00BF1143"/>
    <w:rsid w:val="00BF11B2"/>
    <w:rsid w:val="00BF11D2"/>
    <w:rsid w:val="00BF1237"/>
    <w:rsid w:val="00BF1291"/>
    <w:rsid w:val="00BF12EC"/>
    <w:rsid w:val="00BF1386"/>
    <w:rsid w:val="00BF13C7"/>
    <w:rsid w:val="00BF1437"/>
    <w:rsid w:val="00BF14E2"/>
    <w:rsid w:val="00BF1589"/>
    <w:rsid w:val="00BF15E3"/>
    <w:rsid w:val="00BF163E"/>
    <w:rsid w:val="00BF1650"/>
    <w:rsid w:val="00BF166D"/>
    <w:rsid w:val="00BF1728"/>
    <w:rsid w:val="00BF177A"/>
    <w:rsid w:val="00BF1795"/>
    <w:rsid w:val="00BF182F"/>
    <w:rsid w:val="00BF18AC"/>
    <w:rsid w:val="00BF18B9"/>
    <w:rsid w:val="00BF1989"/>
    <w:rsid w:val="00BF198A"/>
    <w:rsid w:val="00BF19CB"/>
    <w:rsid w:val="00BF19E3"/>
    <w:rsid w:val="00BF1A24"/>
    <w:rsid w:val="00BF1A39"/>
    <w:rsid w:val="00BF1AE1"/>
    <w:rsid w:val="00BF1B51"/>
    <w:rsid w:val="00BF1B9C"/>
    <w:rsid w:val="00BF1C39"/>
    <w:rsid w:val="00BF1C59"/>
    <w:rsid w:val="00BF1CE6"/>
    <w:rsid w:val="00BF1DAB"/>
    <w:rsid w:val="00BF1E21"/>
    <w:rsid w:val="00BF1F82"/>
    <w:rsid w:val="00BF1F95"/>
    <w:rsid w:val="00BF2009"/>
    <w:rsid w:val="00BF201E"/>
    <w:rsid w:val="00BF206A"/>
    <w:rsid w:val="00BF20A6"/>
    <w:rsid w:val="00BF21BD"/>
    <w:rsid w:val="00BF21E4"/>
    <w:rsid w:val="00BF21E7"/>
    <w:rsid w:val="00BF2201"/>
    <w:rsid w:val="00BF2203"/>
    <w:rsid w:val="00BF221C"/>
    <w:rsid w:val="00BF222F"/>
    <w:rsid w:val="00BF232D"/>
    <w:rsid w:val="00BF236F"/>
    <w:rsid w:val="00BF2378"/>
    <w:rsid w:val="00BF23BE"/>
    <w:rsid w:val="00BF2450"/>
    <w:rsid w:val="00BF24D8"/>
    <w:rsid w:val="00BF24E9"/>
    <w:rsid w:val="00BF24FC"/>
    <w:rsid w:val="00BF2540"/>
    <w:rsid w:val="00BF2547"/>
    <w:rsid w:val="00BF267A"/>
    <w:rsid w:val="00BF26F4"/>
    <w:rsid w:val="00BF2774"/>
    <w:rsid w:val="00BF2818"/>
    <w:rsid w:val="00BF287B"/>
    <w:rsid w:val="00BF2882"/>
    <w:rsid w:val="00BF28E3"/>
    <w:rsid w:val="00BF290B"/>
    <w:rsid w:val="00BF2920"/>
    <w:rsid w:val="00BF294E"/>
    <w:rsid w:val="00BF29E8"/>
    <w:rsid w:val="00BF2A48"/>
    <w:rsid w:val="00BF2A8E"/>
    <w:rsid w:val="00BF2AC6"/>
    <w:rsid w:val="00BF2B20"/>
    <w:rsid w:val="00BF2B82"/>
    <w:rsid w:val="00BF2BEB"/>
    <w:rsid w:val="00BF2BF3"/>
    <w:rsid w:val="00BF2D25"/>
    <w:rsid w:val="00BF2D4D"/>
    <w:rsid w:val="00BF2D52"/>
    <w:rsid w:val="00BF2D5C"/>
    <w:rsid w:val="00BF2DDD"/>
    <w:rsid w:val="00BF2E0C"/>
    <w:rsid w:val="00BF2E2A"/>
    <w:rsid w:val="00BF2E86"/>
    <w:rsid w:val="00BF2E88"/>
    <w:rsid w:val="00BF2EC4"/>
    <w:rsid w:val="00BF2F48"/>
    <w:rsid w:val="00BF2FE2"/>
    <w:rsid w:val="00BF3032"/>
    <w:rsid w:val="00BF303A"/>
    <w:rsid w:val="00BF30B7"/>
    <w:rsid w:val="00BF30E2"/>
    <w:rsid w:val="00BF30E9"/>
    <w:rsid w:val="00BF30FC"/>
    <w:rsid w:val="00BF312A"/>
    <w:rsid w:val="00BF314A"/>
    <w:rsid w:val="00BF3191"/>
    <w:rsid w:val="00BF31EB"/>
    <w:rsid w:val="00BF3230"/>
    <w:rsid w:val="00BF3266"/>
    <w:rsid w:val="00BF3337"/>
    <w:rsid w:val="00BF3339"/>
    <w:rsid w:val="00BF3346"/>
    <w:rsid w:val="00BF34F3"/>
    <w:rsid w:val="00BF3600"/>
    <w:rsid w:val="00BF3757"/>
    <w:rsid w:val="00BF38FB"/>
    <w:rsid w:val="00BF392F"/>
    <w:rsid w:val="00BF3947"/>
    <w:rsid w:val="00BF39F4"/>
    <w:rsid w:val="00BF3A14"/>
    <w:rsid w:val="00BF3ACE"/>
    <w:rsid w:val="00BF3C89"/>
    <w:rsid w:val="00BF3CAA"/>
    <w:rsid w:val="00BF3CB6"/>
    <w:rsid w:val="00BF3D3F"/>
    <w:rsid w:val="00BF3DE4"/>
    <w:rsid w:val="00BF3EED"/>
    <w:rsid w:val="00BF3F02"/>
    <w:rsid w:val="00BF3FD4"/>
    <w:rsid w:val="00BF417B"/>
    <w:rsid w:val="00BF420E"/>
    <w:rsid w:val="00BF424D"/>
    <w:rsid w:val="00BF42F6"/>
    <w:rsid w:val="00BF4353"/>
    <w:rsid w:val="00BF43BC"/>
    <w:rsid w:val="00BF43D6"/>
    <w:rsid w:val="00BF4421"/>
    <w:rsid w:val="00BF4492"/>
    <w:rsid w:val="00BF44B0"/>
    <w:rsid w:val="00BF4513"/>
    <w:rsid w:val="00BF462D"/>
    <w:rsid w:val="00BF463A"/>
    <w:rsid w:val="00BF4650"/>
    <w:rsid w:val="00BF46B1"/>
    <w:rsid w:val="00BF46FF"/>
    <w:rsid w:val="00BF473F"/>
    <w:rsid w:val="00BF4772"/>
    <w:rsid w:val="00BF47E5"/>
    <w:rsid w:val="00BF483A"/>
    <w:rsid w:val="00BF4899"/>
    <w:rsid w:val="00BF48A9"/>
    <w:rsid w:val="00BF48AB"/>
    <w:rsid w:val="00BF495A"/>
    <w:rsid w:val="00BF49AC"/>
    <w:rsid w:val="00BF49DC"/>
    <w:rsid w:val="00BF4A7A"/>
    <w:rsid w:val="00BF4B18"/>
    <w:rsid w:val="00BF4B5E"/>
    <w:rsid w:val="00BF4B64"/>
    <w:rsid w:val="00BF4CCA"/>
    <w:rsid w:val="00BF4CD8"/>
    <w:rsid w:val="00BF4D39"/>
    <w:rsid w:val="00BF4DE4"/>
    <w:rsid w:val="00BF4E3F"/>
    <w:rsid w:val="00BF4E60"/>
    <w:rsid w:val="00BF4E6F"/>
    <w:rsid w:val="00BF4E7B"/>
    <w:rsid w:val="00BF4EDA"/>
    <w:rsid w:val="00BF4EED"/>
    <w:rsid w:val="00BF4FAE"/>
    <w:rsid w:val="00BF5056"/>
    <w:rsid w:val="00BF50D3"/>
    <w:rsid w:val="00BF519B"/>
    <w:rsid w:val="00BF522B"/>
    <w:rsid w:val="00BF528C"/>
    <w:rsid w:val="00BF5290"/>
    <w:rsid w:val="00BF52C4"/>
    <w:rsid w:val="00BF52D9"/>
    <w:rsid w:val="00BF542D"/>
    <w:rsid w:val="00BF56A2"/>
    <w:rsid w:val="00BF57A4"/>
    <w:rsid w:val="00BF581B"/>
    <w:rsid w:val="00BF5849"/>
    <w:rsid w:val="00BF585A"/>
    <w:rsid w:val="00BF5884"/>
    <w:rsid w:val="00BF59AD"/>
    <w:rsid w:val="00BF59F6"/>
    <w:rsid w:val="00BF5A3B"/>
    <w:rsid w:val="00BF5A51"/>
    <w:rsid w:val="00BF5A63"/>
    <w:rsid w:val="00BF5AB5"/>
    <w:rsid w:val="00BF5B42"/>
    <w:rsid w:val="00BF5B91"/>
    <w:rsid w:val="00BF5BB5"/>
    <w:rsid w:val="00BF5BE6"/>
    <w:rsid w:val="00BF5BF7"/>
    <w:rsid w:val="00BF5C56"/>
    <w:rsid w:val="00BF5CA0"/>
    <w:rsid w:val="00BF5DF8"/>
    <w:rsid w:val="00BF5E08"/>
    <w:rsid w:val="00BF5E84"/>
    <w:rsid w:val="00BF5E94"/>
    <w:rsid w:val="00BF5F08"/>
    <w:rsid w:val="00BF5F85"/>
    <w:rsid w:val="00BF5FBB"/>
    <w:rsid w:val="00BF5FBF"/>
    <w:rsid w:val="00BF6043"/>
    <w:rsid w:val="00BF607D"/>
    <w:rsid w:val="00BF6142"/>
    <w:rsid w:val="00BF6150"/>
    <w:rsid w:val="00BF6170"/>
    <w:rsid w:val="00BF6196"/>
    <w:rsid w:val="00BF6249"/>
    <w:rsid w:val="00BF625C"/>
    <w:rsid w:val="00BF629B"/>
    <w:rsid w:val="00BF62FF"/>
    <w:rsid w:val="00BF6312"/>
    <w:rsid w:val="00BF63E0"/>
    <w:rsid w:val="00BF643C"/>
    <w:rsid w:val="00BF6598"/>
    <w:rsid w:val="00BF6609"/>
    <w:rsid w:val="00BF6733"/>
    <w:rsid w:val="00BF6800"/>
    <w:rsid w:val="00BF6890"/>
    <w:rsid w:val="00BF68AA"/>
    <w:rsid w:val="00BF693C"/>
    <w:rsid w:val="00BF696E"/>
    <w:rsid w:val="00BF6BC6"/>
    <w:rsid w:val="00BF6BCC"/>
    <w:rsid w:val="00BF6BE7"/>
    <w:rsid w:val="00BF6C00"/>
    <w:rsid w:val="00BF6C40"/>
    <w:rsid w:val="00BF6C54"/>
    <w:rsid w:val="00BF6C92"/>
    <w:rsid w:val="00BF6D99"/>
    <w:rsid w:val="00BF6E11"/>
    <w:rsid w:val="00BF6E8D"/>
    <w:rsid w:val="00BF6E8F"/>
    <w:rsid w:val="00BF6F4A"/>
    <w:rsid w:val="00BF70BA"/>
    <w:rsid w:val="00BF71A0"/>
    <w:rsid w:val="00BF71F3"/>
    <w:rsid w:val="00BF723B"/>
    <w:rsid w:val="00BF7291"/>
    <w:rsid w:val="00BF72D2"/>
    <w:rsid w:val="00BF7320"/>
    <w:rsid w:val="00BF73D6"/>
    <w:rsid w:val="00BF7407"/>
    <w:rsid w:val="00BF74BF"/>
    <w:rsid w:val="00BF74FE"/>
    <w:rsid w:val="00BF755D"/>
    <w:rsid w:val="00BF757F"/>
    <w:rsid w:val="00BF75F2"/>
    <w:rsid w:val="00BF7629"/>
    <w:rsid w:val="00BF76D1"/>
    <w:rsid w:val="00BF76D4"/>
    <w:rsid w:val="00BF7748"/>
    <w:rsid w:val="00BF7758"/>
    <w:rsid w:val="00BF77D0"/>
    <w:rsid w:val="00BF77F7"/>
    <w:rsid w:val="00BF783B"/>
    <w:rsid w:val="00BF78B8"/>
    <w:rsid w:val="00BF78F1"/>
    <w:rsid w:val="00BF792D"/>
    <w:rsid w:val="00BF795D"/>
    <w:rsid w:val="00BF7965"/>
    <w:rsid w:val="00BF7A34"/>
    <w:rsid w:val="00BF7B25"/>
    <w:rsid w:val="00BF7BB9"/>
    <w:rsid w:val="00BF7D13"/>
    <w:rsid w:val="00BF7D51"/>
    <w:rsid w:val="00BF7D60"/>
    <w:rsid w:val="00BF7E09"/>
    <w:rsid w:val="00BF7FD8"/>
    <w:rsid w:val="00C00047"/>
    <w:rsid w:val="00C00078"/>
    <w:rsid w:val="00C00151"/>
    <w:rsid w:val="00C0019B"/>
    <w:rsid w:val="00C00464"/>
    <w:rsid w:val="00C0048F"/>
    <w:rsid w:val="00C0057A"/>
    <w:rsid w:val="00C005C0"/>
    <w:rsid w:val="00C0061E"/>
    <w:rsid w:val="00C00659"/>
    <w:rsid w:val="00C006F3"/>
    <w:rsid w:val="00C0078E"/>
    <w:rsid w:val="00C007CE"/>
    <w:rsid w:val="00C007EC"/>
    <w:rsid w:val="00C00974"/>
    <w:rsid w:val="00C00AE7"/>
    <w:rsid w:val="00C00AED"/>
    <w:rsid w:val="00C00B0F"/>
    <w:rsid w:val="00C00BE2"/>
    <w:rsid w:val="00C00BF0"/>
    <w:rsid w:val="00C00BFC"/>
    <w:rsid w:val="00C00D68"/>
    <w:rsid w:val="00C00D76"/>
    <w:rsid w:val="00C00DB4"/>
    <w:rsid w:val="00C00DC2"/>
    <w:rsid w:val="00C00FA6"/>
    <w:rsid w:val="00C0100B"/>
    <w:rsid w:val="00C0105D"/>
    <w:rsid w:val="00C01091"/>
    <w:rsid w:val="00C010E3"/>
    <w:rsid w:val="00C010E7"/>
    <w:rsid w:val="00C011A1"/>
    <w:rsid w:val="00C011EB"/>
    <w:rsid w:val="00C0123D"/>
    <w:rsid w:val="00C01270"/>
    <w:rsid w:val="00C01272"/>
    <w:rsid w:val="00C0140D"/>
    <w:rsid w:val="00C0142E"/>
    <w:rsid w:val="00C01454"/>
    <w:rsid w:val="00C0145C"/>
    <w:rsid w:val="00C01545"/>
    <w:rsid w:val="00C015A3"/>
    <w:rsid w:val="00C015E5"/>
    <w:rsid w:val="00C01618"/>
    <w:rsid w:val="00C01669"/>
    <w:rsid w:val="00C016A9"/>
    <w:rsid w:val="00C01779"/>
    <w:rsid w:val="00C01791"/>
    <w:rsid w:val="00C017A8"/>
    <w:rsid w:val="00C01807"/>
    <w:rsid w:val="00C01878"/>
    <w:rsid w:val="00C01B55"/>
    <w:rsid w:val="00C01B72"/>
    <w:rsid w:val="00C01BAD"/>
    <w:rsid w:val="00C01C59"/>
    <w:rsid w:val="00C01D04"/>
    <w:rsid w:val="00C01D6C"/>
    <w:rsid w:val="00C01DB2"/>
    <w:rsid w:val="00C01E18"/>
    <w:rsid w:val="00C01E91"/>
    <w:rsid w:val="00C01EBA"/>
    <w:rsid w:val="00C01EDC"/>
    <w:rsid w:val="00C01EE6"/>
    <w:rsid w:val="00C01F9E"/>
    <w:rsid w:val="00C02097"/>
    <w:rsid w:val="00C020C0"/>
    <w:rsid w:val="00C02126"/>
    <w:rsid w:val="00C021B9"/>
    <w:rsid w:val="00C021BD"/>
    <w:rsid w:val="00C021EE"/>
    <w:rsid w:val="00C0225E"/>
    <w:rsid w:val="00C022F9"/>
    <w:rsid w:val="00C0238F"/>
    <w:rsid w:val="00C02398"/>
    <w:rsid w:val="00C0239B"/>
    <w:rsid w:val="00C024EB"/>
    <w:rsid w:val="00C02547"/>
    <w:rsid w:val="00C02626"/>
    <w:rsid w:val="00C026A6"/>
    <w:rsid w:val="00C026C5"/>
    <w:rsid w:val="00C026F5"/>
    <w:rsid w:val="00C0280F"/>
    <w:rsid w:val="00C02856"/>
    <w:rsid w:val="00C028CF"/>
    <w:rsid w:val="00C028D5"/>
    <w:rsid w:val="00C0291D"/>
    <w:rsid w:val="00C02A00"/>
    <w:rsid w:val="00C02A11"/>
    <w:rsid w:val="00C02AA6"/>
    <w:rsid w:val="00C02B3E"/>
    <w:rsid w:val="00C02B98"/>
    <w:rsid w:val="00C02C3F"/>
    <w:rsid w:val="00C02D45"/>
    <w:rsid w:val="00C02D52"/>
    <w:rsid w:val="00C02DF5"/>
    <w:rsid w:val="00C02E16"/>
    <w:rsid w:val="00C02E6E"/>
    <w:rsid w:val="00C03029"/>
    <w:rsid w:val="00C03045"/>
    <w:rsid w:val="00C0305E"/>
    <w:rsid w:val="00C030E7"/>
    <w:rsid w:val="00C030F2"/>
    <w:rsid w:val="00C03174"/>
    <w:rsid w:val="00C03182"/>
    <w:rsid w:val="00C03288"/>
    <w:rsid w:val="00C032C4"/>
    <w:rsid w:val="00C03421"/>
    <w:rsid w:val="00C034C3"/>
    <w:rsid w:val="00C036B5"/>
    <w:rsid w:val="00C03854"/>
    <w:rsid w:val="00C03866"/>
    <w:rsid w:val="00C038D5"/>
    <w:rsid w:val="00C039AC"/>
    <w:rsid w:val="00C03AA3"/>
    <w:rsid w:val="00C03B30"/>
    <w:rsid w:val="00C03B5C"/>
    <w:rsid w:val="00C03BB0"/>
    <w:rsid w:val="00C03C1D"/>
    <w:rsid w:val="00C03C41"/>
    <w:rsid w:val="00C03C6C"/>
    <w:rsid w:val="00C03C7C"/>
    <w:rsid w:val="00C03D69"/>
    <w:rsid w:val="00C03DA7"/>
    <w:rsid w:val="00C03DB5"/>
    <w:rsid w:val="00C03DE0"/>
    <w:rsid w:val="00C03EA1"/>
    <w:rsid w:val="00C03F08"/>
    <w:rsid w:val="00C0408B"/>
    <w:rsid w:val="00C04106"/>
    <w:rsid w:val="00C04108"/>
    <w:rsid w:val="00C04142"/>
    <w:rsid w:val="00C0415E"/>
    <w:rsid w:val="00C04179"/>
    <w:rsid w:val="00C041CA"/>
    <w:rsid w:val="00C041F8"/>
    <w:rsid w:val="00C0428D"/>
    <w:rsid w:val="00C042D7"/>
    <w:rsid w:val="00C04358"/>
    <w:rsid w:val="00C043DE"/>
    <w:rsid w:val="00C04418"/>
    <w:rsid w:val="00C0442F"/>
    <w:rsid w:val="00C044DF"/>
    <w:rsid w:val="00C04518"/>
    <w:rsid w:val="00C0452C"/>
    <w:rsid w:val="00C04558"/>
    <w:rsid w:val="00C045DF"/>
    <w:rsid w:val="00C046B9"/>
    <w:rsid w:val="00C046CA"/>
    <w:rsid w:val="00C0487F"/>
    <w:rsid w:val="00C048AC"/>
    <w:rsid w:val="00C049CB"/>
    <w:rsid w:val="00C04A27"/>
    <w:rsid w:val="00C04A7A"/>
    <w:rsid w:val="00C04AA5"/>
    <w:rsid w:val="00C04AAA"/>
    <w:rsid w:val="00C04AD3"/>
    <w:rsid w:val="00C04AD7"/>
    <w:rsid w:val="00C04BDB"/>
    <w:rsid w:val="00C04C6F"/>
    <w:rsid w:val="00C04D1E"/>
    <w:rsid w:val="00C04D5A"/>
    <w:rsid w:val="00C04DC9"/>
    <w:rsid w:val="00C04DE0"/>
    <w:rsid w:val="00C04EF1"/>
    <w:rsid w:val="00C04F35"/>
    <w:rsid w:val="00C04F70"/>
    <w:rsid w:val="00C04FC6"/>
    <w:rsid w:val="00C05025"/>
    <w:rsid w:val="00C0507C"/>
    <w:rsid w:val="00C050DE"/>
    <w:rsid w:val="00C05144"/>
    <w:rsid w:val="00C05232"/>
    <w:rsid w:val="00C0524D"/>
    <w:rsid w:val="00C0544E"/>
    <w:rsid w:val="00C054AE"/>
    <w:rsid w:val="00C054BF"/>
    <w:rsid w:val="00C0551C"/>
    <w:rsid w:val="00C0557C"/>
    <w:rsid w:val="00C0558D"/>
    <w:rsid w:val="00C057A3"/>
    <w:rsid w:val="00C057DC"/>
    <w:rsid w:val="00C05832"/>
    <w:rsid w:val="00C0586F"/>
    <w:rsid w:val="00C0587A"/>
    <w:rsid w:val="00C058C6"/>
    <w:rsid w:val="00C058E1"/>
    <w:rsid w:val="00C058F2"/>
    <w:rsid w:val="00C05922"/>
    <w:rsid w:val="00C0597E"/>
    <w:rsid w:val="00C05A62"/>
    <w:rsid w:val="00C05ABC"/>
    <w:rsid w:val="00C05D21"/>
    <w:rsid w:val="00C05E69"/>
    <w:rsid w:val="00C05F0A"/>
    <w:rsid w:val="00C05F26"/>
    <w:rsid w:val="00C05F4A"/>
    <w:rsid w:val="00C05FB9"/>
    <w:rsid w:val="00C0600B"/>
    <w:rsid w:val="00C060A7"/>
    <w:rsid w:val="00C060C4"/>
    <w:rsid w:val="00C060E9"/>
    <w:rsid w:val="00C0617E"/>
    <w:rsid w:val="00C06186"/>
    <w:rsid w:val="00C061C7"/>
    <w:rsid w:val="00C061ED"/>
    <w:rsid w:val="00C06210"/>
    <w:rsid w:val="00C06299"/>
    <w:rsid w:val="00C0632D"/>
    <w:rsid w:val="00C0636D"/>
    <w:rsid w:val="00C063B8"/>
    <w:rsid w:val="00C06471"/>
    <w:rsid w:val="00C06473"/>
    <w:rsid w:val="00C06491"/>
    <w:rsid w:val="00C066E1"/>
    <w:rsid w:val="00C066F4"/>
    <w:rsid w:val="00C0672F"/>
    <w:rsid w:val="00C06792"/>
    <w:rsid w:val="00C06813"/>
    <w:rsid w:val="00C068D1"/>
    <w:rsid w:val="00C068DE"/>
    <w:rsid w:val="00C06A5C"/>
    <w:rsid w:val="00C06AB9"/>
    <w:rsid w:val="00C06B49"/>
    <w:rsid w:val="00C06B65"/>
    <w:rsid w:val="00C06B6A"/>
    <w:rsid w:val="00C06CB1"/>
    <w:rsid w:val="00C06D16"/>
    <w:rsid w:val="00C06D5F"/>
    <w:rsid w:val="00C06D8C"/>
    <w:rsid w:val="00C06DE4"/>
    <w:rsid w:val="00C06E72"/>
    <w:rsid w:val="00C06EDD"/>
    <w:rsid w:val="00C06F08"/>
    <w:rsid w:val="00C06F4A"/>
    <w:rsid w:val="00C06FB1"/>
    <w:rsid w:val="00C070F0"/>
    <w:rsid w:val="00C07116"/>
    <w:rsid w:val="00C0716F"/>
    <w:rsid w:val="00C0725B"/>
    <w:rsid w:val="00C0737A"/>
    <w:rsid w:val="00C07460"/>
    <w:rsid w:val="00C07477"/>
    <w:rsid w:val="00C0748B"/>
    <w:rsid w:val="00C074A9"/>
    <w:rsid w:val="00C074E9"/>
    <w:rsid w:val="00C07555"/>
    <w:rsid w:val="00C07569"/>
    <w:rsid w:val="00C075FD"/>
    <w:rsid w:val="00C07627"/>
    <w:rsid w:val="00C076C7"/>
    <w:rsid w:val="00C07704"/>
    <w:rsid w:val="00C07742"/>
    <w:rsid w:val="00C07845"/>
    <w:rsid w:val="00C07878"/>
    <w:rsid w:val="00C07894"/>
    <w:rsid w:val="00C0796E"/>
    <w:rsid w:val="00C079D8"/>
    <w:rsid w:val="00C079E5"/>
    <w:rsid w:val="00C07AB2"/>
    <w:rsid w:val="00C07AFF"/>
    <w:rsid w:val="00C07B01"/>
    <w:rsid w:val="00C07B47"/>
    <w:rsid w:val="00C07B9F"/>
    <w:rsid w:val="00C07CF3"/>
    <w:rsid w:val="00C07D0D"/>
    <w:rsid w:val="00C07D45"/>
    <w:rsid w:val="00C07D88"/>
    <w:rsid w:val="00C07DE3"/>
    <w:rsid w:val="00C07E34"/>
    <w:rsid w:val="00C07E9F"/>
    <w:rsid w:val="00C07EC7"/>
    <w:rsid w:val="00C07ED2"/>
    <w:rsid w:val="00C07EF1"/>
    <w:rsid w:val="00C07F20"/>
    <w:rsid w:val="00C07F3E"/>
    <w:rsid w:val="00C10023"/>
    <w:rsid w:val="00C1008D"/>
    <w:rsid w:val="00C100D8"/>
    <w:rsid w:val="00C100ED"/>
    <w:rsid w:val="00C1016A"/>
    <w:rsid w:val="00C101D7"/>
    <w:rsid w:val="00C10272"/>
    <w:rsid w:val="00C10295"/>
    <w:rsid w:val="00C10371"/>
    <w:rsid w:val="00C10373"/>
    <w:rsid w:val="00C103FA"/>
    <w:rsid w:val="00C10547"/>
    <w:rsid w:val="00C10606"/>
    <w:rsid w:val="00C10646"/>
    <w:rsid w:val="00C1067B"/>
    <w:rsid w:val="00C106D5"/>
    <w:rsid w:val="00C106EA"/>
    <w:rsid w:val="00C10721"/>
    <w:rsid w:val="00C1074F"/>
    <w:rsid w:val="00C10765"/>
    <w:rsid w:val="00C10797"/>
    <w:rsid w:val="00C107D4"/>
    <w:rsid w:val="00C10827"/>
    <w:rsid w:val="00C108EE"/>
    <w:rsid w:val="00C109A7"/>
    <w:rsid w:val="00C109BB"/>
    <w:rsid w:val="00C10A3E"/>
    <w:rsid w:val="00C10AC2"/>
    <w:rsid w:val="00C10AC6"/>
    <w:rsid w:val="00C10AE4"/>
    <w:rsid w:val="00C10B5B"/>
    <w:rsid w:val="00C10BDB"/>
    <w:rsid w:val="00C10CE5"/>
    <w:rsid w:val="00C10D29"/>
    <w:rsid w:val="00C10DAE"/>
    <w:rsid w:val="00C10DD3"/>
    <w:rsid w:val="00C10DDF"/>
    <w:rsid w:val="00C10E5F"/>
    <w:rsid w:val="00C10E65"/>
    <w:rsid w:val="00C10FD4"/>
    <w:rsid w:val="00C11057"/>
    <w:rsid w:val="00C1106F"/>
    <w:rsid w:val="00C110C6"/>
    <w:rsid w:val="00C11174"/>
    <w:rsid w:val="00C111DB"/>
    <w:rsid w:val="00C112C4"/>
    <w:rsid w:val="00C112D5"/>
    <w:rsid w:val="00C1130C"/>
    <w:rsid w:val="00C1131F"/>
    <w:rsid w:val="00C1132C"/>
    <w:rsid w:val="00C11333"/>
    <w:rsid w:val="00C11359"/>
    <w:rsid w:val="00C11377"/>
    <w:rsid w:val="00C113AE"/>
    <w:rsid w:val="00C11460"/>
    <w:rsid w:val="00C114FE"/>
    <w:rsid w:val="00C11520"/>
    <w:rsid w:val="00C11561"/>
    <w:rsid w:val="00C115CD"/>
    <w:rsid w:val="00C115F1"/>
    <w:rsid w:val="00C115F7"/>
    <w:rsid w:val="00C11755"/>
    <w:rsid w:val="00C11782"/>
    <w:rsid w:val="00C117A9"/>
    <w:rsid w:val="00C118C2"/>
    <w:rsid w:val="00C11A21"/>
    <w:rsid w:val="00C11A39"/>
    <w:rsid w:val="00C11A44"/>
    <w:rsid w:val="00C11A70"/>
    <w:rsid w:val="00C11AD3"/>
    <w:rsid w:val="00C11B3F"/>
    <w:rsid w:val="00C11B79"/>
    <w:rsid w:val="00C11BC2"/>
    <w:rsid w:val="00C11C1D"/>
    <w:rsid w:val="00C11C26"/>
    <w:rsid w:val="00C11C29"/>
    <w:rsid w:val="00C11CBF"/>
    <w:rsid w:val="00C11D04"/>
    <w:rsid w:val="00C11D3C"/>
    <w:rsid w:val="00C11D7E"/>
    <w:rsid w:val="00C11D80"/>
    <w:rsid w:val="00C11DCC"/>
    <w:rsid w:val="00C11EC3"/>
    <w:rsid w:val="00C11EE2"/>
    <w:rsid w:val="00C1206F"/>
    <w:rsid w:val="00C1208B"/>
    <w:rsid w:val="00C120B4"/>
    <w:rsid w:val="00C12126"/>
    <w:rsid w:val="00C1235D"/>
    <w:rsid w:val="00C12426"/>
    <w:rsid w:val="00C1242C"/>
    <w:rsid w:val="00C12448"/>
    <w:rsid w:val="00C124EB"/>
    <w:rsid w:val="00C124F2"/>
    <w:rsid w:val="00C12668"/>
    <w:rsid w:val="00C12681"/>
    <w:rsid w:val="00C12697"/>
    <w:rsid w:val="00C126AB"/>
    <w:rsid w:val="00C126C7"/>
    <w:rsid w:val="00C12737"/>
    <w:rsid w:val="00C12775"/>
    <w:rsid w:val="00C127AC"/>
    <w:rsid w:val="00C12805"/>
    <w:rsid w:val="00C128ED"/>
    <w:rsid w:val="00C12961"/>
    <w:rsid w:val="00C12A2C"/>
    <w:rsid w:val="00C12B81"/>
    <w:rsid w:val="00C12D1C"/>
    <w:rsid w:val="00C12E16"/>
    <w:rsid w:val="00C12EE4"/>
    <w:rsid w:val="00C12F9A"/>
    <w:rsid w:val="00C1306C"/>
    <w:rsid w:val="00C131FD"/>
    <w:rsid w:val="00C13293"/>
    <w:rsid w:val="00C133A0"/>
    <w:rsid w:val="00C134A1"/>
    <w:rsid w:val="00C135DB"/>
    <w:rsid w:val="00C13790"/>
    <w:rsid w:val="00C137A2"/>
    <w:rsid w:val="00C1380F"/>
    <w:rsid w:val="00C13822"/>
    <w:rsid w:val="00C13834"/>
    <w:rsid w:val="00C13AAC"/>
    <w:rsid w:val="00C13B57"/>
    <w:rsid w:val="00C13C13"/>
    <w:rsid w:val="00C13C91"/>
    <w:rsid w:val="00C13CA3"/>
    <w:rsid w:val="00C13CD8"/>
    <w:rsid w:val="00C13D1E"/>
    <w:rsid w:val="00C13D23"/>
    <w:rsid w:val="00C13D34"/>
    <w:rsid w:val="00C13D81"/>
    <w:rsid w:val="00C13DD2"/>
    <w:rsid w:val="00C13E44"/>
    <w:rsid w:val="00C13EB1"/>
    <w:rsid w:val="00C13EF2"/>
    <w:rsid w:val="00C13EF5"/>
    <w:rsid w:val="00C13F97"/>
    <w:rsid w:val="00C13FD6"/>
    <w:rsid w:val="00C1400D"/>
    <w:rsid w:val="00C14044"/>
    <w:rsid w:val="00C1408A"/>
    <w:rsid w:val="00C140AD"/>
    <w:rsid w:val="00C140F5"/>
    <w:rsid w:val="00C14187"/>
    <w:rsid w:val="00C1421A"/>
    <w:rsid w:val="00C142C3"/>
    <w:rsid w:val="00C142D0"/>
    <w:rsid w:val="00C14306"/>
    <w:rsid w:val="00C1433A"/>
    <w:rsid w:val="00C1433F"/>
    <w:rsid w:val="00C14342"/>
    <w:rsid w:val="00C143E2"/>
    <w:rsid w:val="00C14466"/>
    <w:rsid w:val="00C14485"/>
    <w:rsid w:val="00C1452D"/>
    <w:rsid w:val="00C145B3"/>
    <w:rsid w:val="00C146B6"/>
    <w:rsid w:val="00C147F2"/>
    <w:rsid w:val="00C14845"/>
    <w:rsid w:val="00C14888"/>
    <w:rsid w:val="00C1488D"/>
    <w:rsid w:val="00C148A1"/>
    <w:rsid w:val="00C148FF"/>
    <w:rsid w:val="00C14937"/>
    <w:rsid w:val="00C1494B"/>
    <w:rsid w:val="00C149E9"/>
    <w:rsid w:val="00C149F4"/>
    <w:rsid w:val="00C14AC2"/>
    <w:rsid w:val="00C14B11"/>
    <w:rsid w:val="00C14B9A"/>
    <w:rsid w:val="00C14BF8"/>
    <w:rsid w:val="00C14C64"/>
    <w:rsid w:val="00C14C90"/>
    <w:rsid w:val="00C14D1C"/>
    <w:rsid w:val="00C14D23"/>
    <w:rsid w:val="00C14E83"/>
    <w:rsid w:val="00C14EB5"/>
    <w:rsid w:val="00C14EFA"/>
    <w:rsid w:val="00C14F03"/>
    <w:rsid w:val="00C14F23"/>
    <w:rsid w:val="00C14F31"/>
    <w:rsid w:val="00C15017"/>
    <w:rsid w:val="00C15031"/>
    <w:rsid w:val="00C15046"/>
    <w:rsid w:val="00C1507E"/>
    <w:rsid w:val="00C15101"/>
    <w:rsid w:val="00C151BC"/>
    <w:rsid w:val="00C151E9"/>
    <w:rsid w:val="00C151F4"/>
    <w:rsid w:val="00C152A1"/>
    <w:rsid w:val="00C152AF"/>
    <w:rsid w:val="00C15375"/>
    <w:rsid w:val="00C1539D"/>
    <w:rsid w:val="00C153BB"/>
    <w:rsid w:val="00C15411"/>
    <w:rsid w:val="00C15416"/>
    <w:rsid w:val="00C154FC"/>
    <w:rsid w:val="00C155A2"/>
    <w:rsid w:val="00C15609"/>
    <w:rsid w:val="00C157F8"/>
    <w:rsid w:val="00C1587A"/>
    <w:rsid w:val="00C15882"/>
    <w:rsid w:val="00C15919"/>
    <w:rsid w:val="00C15992"/>
    <w:rsid w:val="00C159A7"/>
    <w:rsid w:val="00C159E3"/>
    <w:rsid w:val="00C15CB5"/>
    <w:rsid w:val="00C15E83"/>
    <w:rsid w:val="00C15EA3"/>
    <w:rsid w:val="00C15F0E"/>
    <w:rsid w:val="00C15F75"/>
    <w:rsid w:val="00C15FF4"/>
    <w:rsid w:val="00C1601A"/>
    <w:rsid w:val="00C16038"/>
    <w:rsid w:val="00C16067"/>
    <w:rsid w:val="00C1615E"/>
    <w:rsid w:val="00C16190"/>
    <w:rsid w:val="00C16239"/>
    <w:rsid w:val="00C1627B"/>
    <w:rsid w:val="00C1646E"/>
    <w:rsid w:val="00C16472"/>
    <w:rsid w:val="00C164CC"/>
    <w:rsid w:val="00C16606"/>
    <w:rsid w:val="00C16634"/>
    <w:rsid w:val="00C1663D"/>
    <w:rsid w:val="00C1668D"/>
    <w:rsid w:val="00C16708"/>
    <w:rsid w:val="00C16723"/>
    <w:rsid w:val="00C16751"/>
    <w:rsid w:val="00C16795"/>
    <w:rsid w:val="00C16818"/>
    <w:rsid w:val="00C1681C"/>
    <w:rsid w:val="00C1681F"/>
    <w:rsid w:val="00C16827"/>
    <w:rsid w:val="00C1684C"/>
    <w:rsid w:val="00C16862"/>
    <w:rsid w:val="00C16AAA"/>
    <w:rsid w:val="00C16AC1"/>
    <w:rsid w:val="00C16C20"/>
    <w:rsid w:val="00C16C6D"/>
    <w:rsid w:val="00C16D00"/>
    <w:rsid w:val="00C16D39"/>
    <w:rsid w:val="00C16D4E"/>
    <w:rsid w:val="00C16E55"/>
    <w:rsid w:val="00C16E95"/>
    <w:rsid w:val="00C16EA0"/>
    <w:rsid w:val="00C16F19"/>
    <w:rsid w:val="00C16F33"/>
    <w:rsid w:val="00C16F9B"/>
    <w:rsid w:val="00C17216"/>
    <w:rsid w:val="00C17285"/>
    <w:rsid w:val="00C172AA"/>
    <w:rsid w:val="00C17303"/>
    <w:rsid w:val="00C173C2"/>
    <w:rsid w:val="00C173FD"/>
    <w:rsid w:val="00C17423"/>
    <w:rsid w:val="00C174D4"/>
    <w:rsid w:val="00C174E5"/>
    <w:rsid w:val="00C174EA"/>
    <w:rsid w:val="00C17565"/>
    <w:rsid w:val="00C175C6"/>
    <w:rsid w:val="00C17652"/>
    <w:rsid w:val="00C176C1"/>
    <w:rsid w:val="00C1778C"/>
    <w:rsid w:val="00C178A4"/>
    <w:rsid w:val="00C178F8"/>
    <w:rsid w:val="00C17905"/>
    <w:rsid w:val="00C1792C"/>
    <w:rsid w:val="00C17B1E"/>
    <w:rsid w:val="00C17B45"/>
    <w:rsid w:val="00C17BEC"/>
    <w:rsid w:val="00C17C41"/>
    <w:rsid w:val="00C17C6B"/>
    <w:rsid w:val="00C17D7E"/>
    <w:rsid w:val="00C17DB6"/>
    <w:rsid w:val="00C17DFA"/>
    <w:rsid w:val="00C17E19"/>
    <w:rsid w:val="00C17E77"/>
    <w:rsid w:val="00C17EA0"/>
    <w:rsid w:val="00C17EA1"/>
    <w:rsid w:val="00C17F1B"/>
    <w:rsid w:val="00C20034"/>
    <w:rsid w:val="00C20156"/>
    <w:rsid w:val="00C20167"/>
    <w:rsid w:val="00C20245"/>
    <w:rsid w:val="00C20261"/>
    <w:rsid w:val="00C202A1"/>
    <w:rsid w:val="00C202BA"/>
    <w:rsid w:val="00C20323"/>
    <w:rsid w:val="00C20333"/>
    <w:rsid w:val="00C20340"/>
    <w:rsid w:val="00C2044D"/>
    <w:rsid w:val="00C204DB"/>
    <w:rsid w:val="00C204E3"/>
    <w:rsid w:val="00C204F4"/>
    <w:rsid w:val="00C2051D"/>
    <w:rsid w:val="00C20529"/>
    <w:rsid w:val="00C20617"/>
    <w:rsid w:val="00C2069F"/>
    <w:rsid w:val="00C206A8"/>
    <w:rsid w:val="00C206AB"/>
    <w:rsid w:val="00C206AE"/>
    <w:rsid w:val="00C206C7"/>
    <w:rsid w:val="00C207F4"/>
    <w:rsid w:val="00C2095F"/>
    <w:rsid w:val="00C20A56"/>
    <w:rsid w:val="00C20AA1"/>
    <w:rsid w:val="00C20ACB"/>
    <w:rsid w:val="00C20B29"/>
    <w:rsid w:val="00C20B3C"/>
    <w:rsid w:val="00C20B6A"/>
    <w:rsid w:val="00C20C04"/>
    <w:rsid w:val="00C20C19"/>
    <w:rsid w:val="00C20C96"/>
    <w:rsid w:val="00C20D81"/>
    <w:rsid w:val="00C20E1E"/>
    <w:rsid w:val="00C20E8E"/>
    <w:rsid w:val="00C20E96"/>
    <w:rsid w:val="00C20EDA"/>
    <w:rsid w:val="00C20EF2"/>
    <w:rsid w:val="00C20F5E"/>
    <w:rsid w:val="00C20FEB"/>
    <w:rsid w:val="00C2102D"/>
    <w:rsid w:val="00C2108F"/>
    <w:rsid w:val="00C210B1"/>
    <w:rsid w:val="00C210C1"/>
    <w:rsid w:val="00C211E3"/>
    <w:rsid w:val="00C21317"/>
    <w:rsid w:val="00C213CC"/>
    <w:rsid w:val="00C21422"/>
    <w:rsid w:val="00C2142F"/>
    <w:rsid w:val="00C21439"/>
    <w:rsid w:val="00C2143E"/>
    <w:rsid w:val="00C214D7"/>
    <w:rsid w:val="00C214E4"/>
    <w:rsid w:val="00C214FA"/>
    <w:rsid w:val="00C2157E"/>
    <w:rsid w:val="00C21610"/>
    <w:rsid w:val="00C2164A"/>
    <w:rsid w:val="00C21654"/>
    <w:rsid w:val="00C21673"/>
    <w:rsid w:val="00C216AF"/>
    <w:rsid w:val="00C216F6"/>
    <w:rsid w:val="00C21731"/>
    <w:rsid w:val="00C2174D"/>
    <w:rsid w:val="00C217C5"/>
    <w:rsid w:val="00C217E8"/>
    <w:rsid w:val="00C217EC"/>
    <w:rsid w:val="00C2180F"/>
    <w:rsid w:val="00C218CD"/>
    <w:rsid w:val="00C21972"/>
    <w:rsid w:val="00C219E3"/>
    <w:rsid w:val="00C219FF"/>
    <w:rsid w:val="00C21ABC"/>
    <w:rsid w:val="00C21ADD"/>
    <w:rsid w:val="00C21BA4"/>
    <w:rsid w:val="00C21BAE"/>
    <w:rsid w:val="00C21C00"/>
    <w:rsid w:val="00C21CAA"/>
    <w:rsid w:val="00C21DA9"/>
    <w:rsid w:val="00C21DC8"/>
    <w:rsid w:val="00C21E0D"/>
    <w:rsid w:val="00C21E78"/>
    <w:rsid w:val="00C21ED9"/>
    <w:rsid w:val="00C2206E"/>
    <w:rsid w:val="00C220F5"/>
    <w:rsid w:val="00C22136"/>
    <w:rsid w:val="00C221A4"/>
    <w:rsid w:val="00C221BC"/>
    <w:rsid w:val="00C2232A"/>
    <w:rsid w:val="00C223B8"/>
    <w:rsid w:val="00C223DC"/>
    <w:rsid w:val="00C223EC"/>
    <w:rsid w:val="00C22405"/>
    <w:rsid w:val="00C224A8"/>
    <w:rsid w:val="00C224DF"/>
    <w:rsid w:val="00C225C5"/>
    <w:rsid w:val="00C226C6"/>
    <w:rsid w:val="00C226CA"/>
    <w:rsid w:val="00C226E2"/>
    <w:rsid w:val="00C2273A"/>
    <w:rsid w:val="00C22741"/>
    <w:rsid w:val="00C2278B"/>
    <w:rsid w:val="00C227C3"/>
    <w:rsid w:val="00C227E9"/>
    <w:rsid w:val="00C229DE"/>
    <w:rsid w:val="00C229F8"/>
    <w:rsid w:val="00C22B35"/>
    <w:rsid w:val="00C22B6D"/>
    <w:rsid w:val="00C22B73"/>
    <w:rsid w:val="00C22BFE"/>
    <w:rsid w:val="00C22C9C"/>
    <w:rsid w:val="00C22D1A"/>
    <w:rsid w:val="00C22D22"/>
    <w:rsid w:val="00C22D2C"/>
    <w:rsid w:val="00C22DFC"/>
    <w:rsid w:val="00C22E0D"/>
    <w:rsid w:val="00C22EDE"/>
    <w:rsid w:val="00C22F09"/>
    <w:rsid w:val="00C2304D"/>
    <w:rsid w:val="00C23097"/>
    <w:rsid w:val="00C230E4"/>
    <w:rsid w:val="00C230EA"/>
    <w:rsid w:val="00C2311F"/>
    <w:rsid w:val="00C23174"/>
    <w:rsid w:val="00C231DA"/>
    <w:rsid w:val="00C231F7"/>
    <w:rsid w:val="00C23234"/>
    <w:rsid w:val="00C2327E"/>
    <w:rsid w:val="00C232A3"/>
    <w:rsid w:val="00C233A8"/>
    <w:rsid w:val="00C233E5"/>
    <w:rsid w:val="00C2346D"/>
    <w:rsid w:val="00C234B1"/>
    <w:rsid w:val="00C23572"/>
    <w:rsid w:val="00C23595"/>
    <w:rsid w:val="00C23598"/>
    <w:rsid w:val="00C235AE"/>
    <w:rsid w:val="00C235F8"/>
    <w:rsid w:val="00C23675"/>
    <w:rsid w:val="00C2368C"/>
    <w:rsid w:val="00C236C7"/>
    <w:rsid w:val="00C23712"/>
    <w:rsid w:val="00C2378C"/>
    <w:rsid w:val="00C237BC"/>
    <w:rsid w:val="00C23801"/>
    <w:rsid w:val="00C23973"/>
    <w:rsid w:val="00C23A05"/>
    <w:rsid w:val="00C23B00"/>
    <w:rsid w:val="00C23B2D"/>
    <w:rsid w:val="00C23C3E"/>
    <w:rsid w:val="00C23CD9"/>
    <w:rsid w:val="00C23D28"/>
    <w:rsid w:val="00C23DA1"/>
    <w:rsid w:val="00C23DD4"/>
    <w:rsid w:val="00C23ED9"/>
    <w:rsid w:val="00C23F30"/>
    <w:rsid w:val="00C24011"/>
    <w:rsid w:val="00C2405E"/>
    <w:rsid w:val="00C240A0"/>
    <w:rsid w:val="00C240C6"/>
    <w:rsid w:val="00C24125"/>
    <w:rsid w:val="00C24192"/>
    <w:rsid w:val="00C241A3"/>
    <w:rsid w:val="00C2423B"/>
    <w:rsid w:val="00C24268"/>
    <w:rsid w:val="00C24409"/>
    <w:rsid w:val="00C24419"/>
    <w:rsid w:val="00C244E5"/>
    <w:rsid w:val="00C2460D"/>
    <w:rsid w:val="00C24748"/>
    <w:rsid w:val="00C24806"/>
    <w:rsid w:val="00C248B7"/>
    <w:rsid w:val="00C24B18"/>
    <w:rsid w:val="00C24C60"/>
    <w:rsid w:val="00C24CF9"/>
    <w:rsid w:val="00C24D31"/>
    <w:rsid w:val="00C24EAC"/>
    <w:rsid w:val="00C24ED6"/>
    <w:rsid w:val="00C24EE7"/>
    <w:rsid w:val="00C24F03"/>
    <w:rsid w:val="00C24F2B"/>
    <w:rsid w:val="00C24F66"/>
    <w:rsid w:val="00C24FA4"/>
    <w:rsid w:val="00C24FCC"/>
    <w:rsid w:val="00C25049"/>
    <w:rsid w:val="00C250DE"/>
    <w:rsid w:val="00C250FC"/>
    <w:rsid w:val="00C25141"/>
    <w:rsid w:val="00C25156"/>
    <w:rsid w:val="00C254C6"/>
    <w:rsid w:val="00C25503"/>
    <w:rsid w:val="00C25525"/>
    <w:rsid w:val="00C2552C"/>
    <w:rsid w:val="00C255CA"/>
    <w:rsid w:val="00C255EC"/>
    <w:rsid w:val="00C2563B"/>
    <w:rsid w:val="00C25662"/>
    <w:rsid w:val="00C25718"/>
    <w:rsid w:val="00C2576C"/>
    <w:rsid w:val="00C25780"/>
    <w:rsid w:val="00C2585E"/>
    <w:rsid w:val="00C25906"/>
    <w:rsid w:val="00C2596A"/>
    <w:rsid w:val="00C25A23"/>
    <w:rsid w:val="00C25A6A"/>
    <w:rsid w:val="00C25A78"/>
    <w:rsid w:val="00C25A9D"/>
    <w:rsid w:val="00C25B4A"/>
    <w:rsid w:val="00C25B4D"/>
    <w:rsid w:val="00C25B95"/>
    <w:rsid w:val="00C25D00"/>
    <w:rsid w:val="00C25D24"/>
    <w:rsid w:val="00C25D55"/>
    <w:rsid w:val="00C25D85"/>
    <w:rsid w:val="00C25E08"/>
    <w:rsid w:val="00C25EEC"/>
    <w:rsid w:val="00C25F8B"/>
    <w:rsid w:val="00C25FA1"/>
    <w:rsid w:val="00C26070"/>
    <w:rsid w:val="00C2607A"/>
    <w:rsid w:val="00C260B9"/>
    <w:rsid w:val="00C2616B"/>
    <w:rsid w:val="00C26190"/>
    <w:rsid w:val="00C2620D"/>
    <w:rsid w:val="00C26213"/>
    <w:rsid w:val="00C262B7"/>
    <w:rsid w:val="00C26359"/>
    <w:rsid w:val="00C26369"/>
    <w:rsid w:val="00C26448"/>
    <w:rsid w:val="00C26491"/>
    <w:rsid w:val="00C26550"/>
    <w:rsid w:val="00C265A0"/>
    <w:rsid w:val="00C26607"/>
    <w:rsid w:val="00C266A9"/>
    <w:rsid w:val="00C266B5"/>
    <w:rsid w:val="00C2674C"/>
    <w:rsid w:val="00C267AA"/>
    <w:rsid w:val="00C26910"/>
    <w:rsid w:val="00C2697C"/>
    <w:rsid w:val="00C269DA"/>
    <w:rsid w:val="00C269DD"/>
    <w:rsid w:val="00C26A75"/>
    <w:rsid w:val="00C26A81"/>
    <w:rsid w:val="00C26AD4"/>
    <w:rsid w:val="00C26AF8"/>
    <w:rsid w:val="00C26B28"/>
    <w:rsid w:val="00C26BE6"/>
    <w:rsid w:val="00C26BEF"/>
    <w:rsid w:val="00C26BF6"/>
    <w:rsid w:val="00C26BF9"/>
    <w:rsid w:val="00C26CB9"/>
    <w:rsid w:val="00C26DC3"/>
    <w:rsid w:val="00C26EA4"/>
    <w:rsid w:val="00C26EAC"/>
    <w:rsid w:val="00C26EFB"/>
    <w:rsid w:val="00C26F62"/>
    <w:rsid w:val="00C26F87"/>
    <w:rsid w:val="00C26FA5"/>
    <w:rsid w:val="00C2705F"/>
    <w:rsid w:val="00C27073"/>
    <w:rsid w:val="00C27192"/>
    <w:rsid w:val="00C271FC"/>
    <w:rsid w:val="00C272AA"/>
    <w:rsid w:val="00C27352"/>
    <w:rsid w:val="00C27396"/>
    <w:rsid w:val="00C273D2"/>
    <w:rsid w:val="00C27447"/>
    <w:rsid w:val="00C27465"/>
    <w:rsid w:val="00C27477"/>
    <w:rsid w:val="00C274AB"/>
    <w:rsid w:val="00C274D3"/>
    <w:rsid w:val="00C2752B"/>
    <w:rsid w:val="00C2761E"/>
    <w:rsid w:val="00C2766B"/>
    <w:rsid w:val="00C2769E"/>
    <w:rsid w:val="00C2770F"/>
    <w:rsid w:val="00C27732"/>
    <w:rsid w:val="00C27738"/>
    <w:rsid w:val="00C27769"/>
    <w:rsid w:val="00C277C0"/>
    <w:rsid w:val="00C27951"/>
    <w:rsid w:val="00C27957"/>
    <w:rsid w:val="00C27992"/>
    <w:rsid w:val="00C27C51"/>
    <w:rsid w:val="00C27CAB"/>
    <w:rsid w:val="00C27CD4"/>
    <w:rsid w:val="00C27CF3"/>
    <w:rsid w:val="00C27DD1"/>
    <w:rsid w:val="00C27E0D"/>
    <w:rsid w:val="00C27E34"/>
    <w:rsid w:val="00C27E69"/>
    <w:rsid w:val="00C27F24"/>
    <w:rsid w:val="00C27F95"/>
    <w:rsid w:val="00C30180"/>
    <w:rsid w:val="00C301D7"/>
    <w:rsid w:val="00C3024F"/>
    <w:rsid w:val="00C302CD"/>
    <w:rsid w:val="00C302F0"/>
    <w:rsid w:val="00C303BE"/>
    <w:rsid w:val="00C3047B"/>
    <w:rsid w:val="00C304B7"/>
    <w:rsid w:val="00C30553"/>
    <w:rsid w:val="00C305D7"/>
    <w:rsid w:val="00C30648"/>
    <w:rsid w:val="00C30678"/>
    <w:rsid w:val="00C307F8"/>
    <w:rsid w:val="00C3082B"/>
    <w:rsid w:val="00C30881"/>
    <w:rsid w:val="00C308C2"/>
    <w:rsid w:val="00C308EE"/>
    <w:rsid w:val="00C308FA"/>
    <w:rsid w:val="00C30A4D"/>
    <w:rsid w:val="00C30A74"/>
    <w:rsid w:val="00C30A83"/>
    <w:rsid w:val="00C30B2D"/>
    <w:rsid w:val="00C30B4C"/>
    <w:rsid w:val="00C30BE1"/>
    <w:rsid w:val="00C30BE7"/>
    <w:rsid w:val="00C30C0D"/>
    <w:rsid w:val="00C30C98"/>
    <w:rsid w:val="00C30CB1"/>
    <w:rsid w:val="00C30CBB"/>
    <w:rsid w:val="00C30CE3"/>
    <w:rsid w:val="00C30D41"/>
    <w:rsid w:val="00C30E87"/>
    <w:rsid w:val="00C30EA8"/>
    <w:rsid w:val="00C30FA4"/>
    <w:rsid w:val="00C30FD8"/>
    <w:rsid w:val="00C30FF4"/>
    <w:rsid w:val="00C30FFA"/>
    <w:rsid w:val="00C31055"/>
    <w:rsid w:val="00C3116B"/>
    <w:rsid w:val="00C311F7"/>
    <w:rsid w:val="00C3128E"/>
    <w:rsid w:val="00C31304"/>
    <w:rsid w:val="00C3138F"/>
    <w:rsid w:val="00C313F6"/>
    <w:rsid w:val="00C31467"/>
    <w:rsid w:val="00C314C8"/>
    <w:rsid w:val="00C315D2"/>
    <w:rsid w:val="00C31837"/>
    <w:rsid w:val="00C318E6"/>
    <w:rsid w:val="00C31941"/>
    <w:rsid w:val="00C31984"/>
    <w:rsid w:val="00C31A75"/>
    <w:rsid w:val="00C31A8D"/>
    <w:rsid w:val="00C31A92"/>
    <w:rsid w:val="00C31ADF"/>
    <w:rsid w:val="00C31B14"/>
    <w:rsid w:val="00C31BD6"/>
    <w:rsid w:val="00C31BE8"/>
    <w:rsid w:val="00C31BF5"/>
    <w:rsid w:val="00C31BFD"/>
    <w:rsid w:val="00C31CED"/>
    <w:rsid w:val="00C31D79"/>
    <w:rsid w:val="00C31E53"/>
    <w:rsid w:val="00C31E88"/>
    <w:rsid w:val="00C31F03"/>
    <w:rsid w:val="00C31FA5"/>
    <w:rsid w:val="00C32033"/>
    <w:rsid w:val="00C3204A"/>
    <w:rsid w:val="00C32064"/>
    <w:rsid w:val="00C32098"/>
    <w:rsid w:val="00C3211B"/>
    <w:rsid w:val="00C321E1"/>
    <w:rsid w:val="00C321F6"/>
    <w:rsid w:val="00C321FB"/>
    <w:rsid w:val="00C32229"/>
    <w:rsid w:val="00C322C2"/>
    <w:rsid w:val="00C322D7"/>
    <w:rsid w:val="00C322DD"/>
    <w:rsid w:val="00C3230B"/>
    <w:rsid w:val="00C3230D"/>
    <w:rsid w:val="00C32339"/>
    <w:rsid w:val="00C3234A"/>
    <w:rsid w:val="00C323BA"/>
    <w:rsid w:val="00C323BC"/>
    <w:rsid w:val="00C323CB"/>
    <w:rsid w:val="00C32430"/>
    <w:rsid w:val="00C32591"/>
    <w:rsid w:val="00C325B0"/>
    <w:rsid w:val="00C3263E"/>
    <w:rsid w:val="00C32702"/>
    <w:rsid w:val="00C3272F"/>
    <w:rsid w:val="00C32870"/>
    <w:rsid w:val="00C328C4"/>
    <w:rsid w:val="00C32951"/>
    <w:rsid w:val="00C329CE"/>
    <w:rsid w:val="00C32A16"/>
    <w:rsid w:val="00C32A89"/>
    <w:rsid w:val="00C32AB8"/>
    <w:rsid w:val="00C32ACC"/>
    <w:rsid w:val="00C32AF2"/>
    <w:rsid w:val="00C32AF7"/>
    <w:rsid w:val="00C32B27"/>
    <w:rsid w:val="00C32BE5"/>
    <w:rsid w:val="00C32D55"/>
    <w:rsid w:val="00C32DB3"/>
    <w:rsid w:val="00C32EF5"/>
    <w:rsid w:val="00C32EFD"/>
    <w:rsid w:val="00C32F2C"/>
    <w:rsid w:val="00C32FA6"/>
    <w:rsid w:val="00C32FEA"/>
    <w:rsid w:val="00C33061"/>
    <w:rsid w:val="00C330E2"/>
    <w:rsid w:val="00C33160"/>
    <w:rsid w:val="00C33216"/>
    <w:rsid w:val="00C33408"/>
    <w:rsid w:val="00C33423"/>
    <w:rsid w:val="00C33455"/>
    <w:rsid w:val="00C334B3"/>
    <w:rsid w:val="00C334E4"/>
    <w:rsid w:val="00C334F3"/>
    <w:rsid w:val="00C33534"/>
    <w:rsid w:val="00C33563"/>
    <w:rsid w:val="00C335C4"/>
    <w:rsid w:val="00C335D1"/>
    <w:rsid w:val="00C335E3"/>
    <w:rsid w:val="00C336EF"/>
    <w:rsid w:val="00C33827"/>
    <w:rsid w:val="00C33868"/>
    <w:rsid w:val="00C33871"/>
    <w:rsid w:val="00C338D8"/>
    <w:rsid w:val="00C33910"/>
    <w:rsid w:val="00C3396F"/>
    <w:rsid w:val="00C33A68"/>
    <w:rsid w:val="00C33B0A"/>
    <w:rsid w:val="00C33B24"/>
    <w:rsid w:val="00C33B66"/>
    <w:rsid w:val="00C33BA0"/>
    <w:rsid w:val="00C33BBC"/>
    <w:rsid w:val="00C33C36"/>
    <w:rsid w:val="00C33C61"/>
    <w:rsid w:val="00C33CBC"/>
    <w:rsid w:val="00C33E83"/>
    <w:rsid w:val="00C33EBA"/>
    <w:rsid w:val="00C33EEE"/>
    <w:rsid w:val="00C340E7"/>
    <w:rsid w:val="00C34140"/>
    <w:rsid w:val="00C34191"/>
    <w:rsid w:val="00C341C8"/>
    <w:rsid w:val="00C34234"/>
    <w:rsid w:val="00C3426B"/>
    <w:rsid w:val="00C342D4"/>
    <w:rsid w:val="00C342D5"/>
    <w:rsid w:val="00C3435C"/>
    <w:rsid w:val="00C3437B"/>
    <w:rsid w:val="00C34468"/>
    <w:rsid w:val="00C344AC"/>
    <w:rsid w:val="00C344C7"/>
    <w:rsid w:val="00C34516"/>
    <w:rsid w:val="00C3453A"/>
    <w:rsid w:val="00C34557"/>
    <w:rsid w:val="00C346F1"/>
    <w:rsid w:val="00C34836"/>
    <w:rsid w:val="00C34937"/>
    <w:rsid w:val="00C34A36"/>
    <w:rsid w:val="00C34ADB"/>
    <w:rsid w:val="00C34B21"/>
    <w:rsid w:val="00C34B22"/>
    <w:rsid w:val="00C34BE3"/>
    <w:rsid w:val="00C34CD6"/>
    <w:rsid w:val="00C34D48"/>
    <w:rsid w:val="00C34DBA"/>
    <w:rsid w:val="00C34DFF"/>
    <w:rsid w:val="00C34E1D"/>
    <w:rsid w:val="00C34E55"/>
    <w:rsid w:val="00C34ED2"/>
    <w:rsid w:val="00C34F1F"/>
    <w:rsid w:val="00C34F70"/>
    <w:rsid w:val="00C34F8D"/>
    <w:rsid w:val="00C34FF7"/>
    <w:rsid w:val="00C35024"/>
    <w:rsid w:val="00C35172"/>
    <w:rsid w:val="00C3518D"/>
    <w:rsid w:val="00C351C0"/>
    <w:rsid w:val="00C352A5"/>
    <w:rsid w:val="00C352AF"/>
    <w:rsid w:val="00C352C4"/>
    <w:rsid w:val="00C35350"/>
    <w:rsid w:val="00C35499"/>
    <w:rsid w:val="00C354C0"/>
    <w:rsid w:val="00C354CD"/>
    <w:rsid w:val="00C354F3"/>
    <w:rsid w:val="00C35594"/>
    <w:rsid w:val="00C355F5"/>
    <w:rsid w:val="00C355F7"/>
    <w:rsid w:val="00C3560D"/>
    <w:rsid w:val="00C35684"/>
    <w:rsid w:val="00C356DA"/>
    <w:rsid w:val="00C35757"/>
    <w:rsid w:val="00C35820"/>
    <w:rsid w:val="00C3582B"/>
    <w:rsid w:val="00C35867"/>
    <w:rsid w:val="00C35881"/>
    <w:rsid w:val="00C3589C"/>
    <w:rsid w:val="00C358A9"/>
    <w:rsid w:val="00C35967"/>
    <w:rsid w:val="00C35982"/>
    <w:rsid w:val="00C35A73"/>
    <w:rsid w:val="00C35AB6"/>
    <w:rsid w:val="00C35AD5"/>
    <w:rsid w:val="00C35B06"/>
    <w:rsid w:val="00C35B38"/>
    <w:rsid w:val="00C35B6F"/>
    <w:rsid w:val="00C35C5B"/>
    <w:rsid w:val="00C35CEB"/>
    <w:rsid w:val="00C35D23"/>
    <w:rsid w:val="00C35D29"/>
    <w:rsid w:val="00C35E7B"/>
    <w:rsid w:val="00C35EBA"/>
    <w:rsid w:val="00C35ECE"/>
    <w:rsid w:val="00C35F1D"/>
    <w:rsid w:val="00C35F55"/>
    <w:rsid w:val="00C35FBC"/>
    <w:rsid w:val="00C35FCB"/>
    <w:rsid w:val="00C35FF1"/>
    <w:rsid w:val="00C35FF2"/>
    <w:rsid w:val="00C3608D"/>
    <w:rsid w:val="00C36092"/>
    <w:rsid w:val="00C360B6"/>
    <w:rsid w:val="00C360DF"/>
    <w:rsid w:val="00C360E0"/>
    <w:rsid w:val="00C36141"/>
    <w:rsid w:val="00C361A7"/>
    <w:rsid w:val="00C362C3"/>
    <w:rsid w:val="00C3630E"/>
    <w:rsid w:val="00C36383"/>
    <w:rsid w:val="00C36393"/>
    <w:rsid w:val="00C36476"/>
    <w:rsid w:val="00C36484"/>
    <w:rsid w:val="00C364C7"/>
    <w:rsid w:val="00C36536"/>
    <w:rsid w:val="00C3653F"/>
    <w:rsid w:val="00C365F9"/>
    <w:rsid w:val="00C36693"/>
    <w:rsid w:val="00C367BE"/>
    <w:rsid w:val="00C367F1"/>
    <w:rsid w:val="00C36810"/>
    <w:rsid w:val="00C36856"/>
    <w:rsid w:val="00C3688B"/>
    <w:rsid w:val="00C369A6"/>
    <w:rsid w:val="00C369E6"/>
    <w:rsid w:val="00C36A4A"/>
    <w:rsid w:val="00C36AED"/>
    <w:rsid w:val="00C36B2A"/>
    <w:rsid w:val="00C36B88"/>
    <w:rsid w:val="00C36BD6"/>
    <w:rsid w:val="00C36C26"/>
    <w:rsid w:val="00C36CB7"/>
    <w:rsid w:val="00C36D11"/>
    <w:rsid w:val="00C36D44"/>
    <w:rsid w:val="00C36E11"/>
    <w:rsid w:val="00C36EAA"/>
    <w:rsid w:val="00C36EBC"/>
    <w:rsid w:val="00C36F4C"/>
    <w:rsid w:val="00C36FE9"/>
    <w:rsid w:val="00C37045"/>
    <w:rsid w:val="00C3705D"/>
    <w:rsid w:val="00C3706F"/>
    <w:rsid w:val="00C370AE"/>
    <w:rsid w:val="00C370BB"/>
    <w:rsid w:val="00C37257"/>
    <w:rsid w:val="00C372FE"/>
    <w:rsid w:val="00C3736B"/>
    <w:rsid w:val="00C373FA"/>
    <w:rsid w:val="00C37458"/>
    <w:rsid w:val="00C37459"/>
    <w:rsid w:val="00C3745B"/>
    <w:rsid w:val="00C37495"/>
    <w:rsid w:val="00C375C1"/>
    <w:rsid w:val="00C375D5"/>
    <w:rsid w:val="00C37646"/>
    <w:rsid w:val="00C37658"/>
    <w:rsid w:val="00C3768F"/>
    <w:rsid w:val="00C376FC"/>
    <w:rsid w:val="00C37774"/>
    <w:rsid w:val="00C377BD"/>
    <w:rsid w:val="00C377CC"/>
    <w:rsid w:val="00C3782F"/>
    <w:rsid w:val="00C37880"/>
    <w:rsid w:val="00C378AF"/>
    <w:rsid w:val="00C3798A"/>
    <w:rsid w:val="00C379C7"/>
    <w:rsid w:val="00C379DA"/>
    <w:rsid w:val="00C379F3"/>
    <w:rsid w:val="00C37ABC"/>
    <w:rsid w:val="00C37AD9"/>
    <w:rsid w:val="00C37ADB"/>
    <w:rsid w:val="00C37AEE"/>
    <w:rsid w:val="00C37B6F"/>
    <w:rsid w:val="00C37BA3"/>
    <w:rsid w:val="00C37DDC"/>
    <w:rsid w:val="00C37DF1"/>
    <w:rsid w:val="00C37F98"/>
    <w:rsid w:val="00C40074"/>
    <w:rsid w:val="00C40084"/>
    <w:rsid w:val="00C40099"/>
    <w:rsid w:val="00C400A3"/>
    <w:rsid w:val="00C400FF"/>
    <w:rsid w:val="00C4013C"/>
    <w:rsid w:val="00C4018A"/>
    <w:rsid w:val="00C40209"/>
    <w:rsid w:val="00C4023F"/>
    <w:rsid w:val="00C40349"/>
    <w:rsid w:val="00C4036C"/>
    <w:rsid w:val="00C403E5"/>
    <w:rsid w:val="00C40580"/>
    <w:rsid w:val="00C405B5"/>
    <w:rsid w:val="00C4060A"/>
    <w:rsid w:val="00C40654"/>
    <w:rsid w:val="00C40691"/>
    <w:rsid w:val="00C406A1"/>
    <w:rsid w:val="00C406B9"/>
    <w:rsid w:val="00C406DF"/>
    <w:rsid w:val="00C40775"/>
    <w:rsid w:val="00C40817"/>
    <w:rsid w:val="00C408E1"/>
    <w:rsid w:val="00C408ED"/>
    <w:rsid w:val="00C409A8"/>
    <w:rsid w:val="00C40A21"/>
    <w:rsid w:val="00C40A2F"/>
    <w:rsid w:val="00C40A9D"/>
    <w:rsid w:val="00C40B7B"/>
    <w:rsid w:val="00C40CD3"/>
    <w:rsid w:val="00C40E12"/>
    <w:rsid w:val="00C40E42"/>
    <w:rsid w:val="00C40E65"/>
    <w:rsid w:val="00C40E7F"/>
    <w:rsid w:val="00C40E94"/>
    <w:rsid w:val="00C40EF9"/>
    <w:rsid w:val="00C40F02"/>
    <w:rsid w:val="00C40FE6"/>
    <w:rsid w:val="00C41019"/>
    <w:rsid w:val="00C41116"/>
    <w:rsid w:val="00C411DE"/>
    <w:rsid w:val="00C411E8"/>
    <w:rsid w:val="00C411F3"/>
    <w:rsid w:val="00C41204"/>
    <w:rsid w:val="00C41206"/>
    <w:rsid w:val="00C41209"/>
    <w:rsid w:val="00C41243"/>
    <w:rsid w:val="00C41274"/>
    <w:rsid w:val="00C412B5"/>
    <w:rsid w:val="00C41341"/>
    <w:rsid w:val="00C4135B"/>
    <w:rsid w:val="00C4140B"/>
    <w:rsid w:val="00C41424"/>
    <w:rsid w:val="00C4143D"/>
    <w:rsid w:val="00C414DA"/>
    <w:rsid w:val="00C41559"/>
    <w:rsid w:val="00C41578"/>
    <w:rsid w:val="00C41585"/>
    <w:rsid w:val="00C415F2"/>
    <w:rsid w:val="00C4162B"/>
    <w:rsid w:val="00C4173D"/>
    <w:rsid w:val="00C41741"/>
    <w:rsid w:val="00C41763"/>
    <w:rsid w:val="00C4176A"/>
    <w:rsid w:val="00C41896"/>
    <w:rsid w:val="00C418BB"/>
    <w:rsid w:val="00C41941"/>
    <w:rsid w:val="00C4198A"/>
    <w:rsid w:val="00C419DD"/>
    <w:rsid w:val="00C41A2D"/>
    <w:rsid w:val="00C41A47"/>
    <w:rsid w:val="00C41AA1"/>
    <w:rsid w:val="00C41AD4"/>
    <w:rsid w:val="00C41CD7"/>
    <w:rsid w:val="00C41CF5"/>
    <w:rsid w:val="00C41D04"/>
    <w:rsid w:val="00C41D0C"/>
    <w:rsid w:val="00C41D1E"/>
    <w:rsid w:val="00C41D9F"/>
    <w:rsid w:val="00C41DEF"/>
    <w:rsid w:val="00C41E9D"/>
    <w:rsid w:val="00C41ED9"/>
    <w:rsid w:val="00C41F42"/>
    <w:rsid w:val="00C42051"/>
    <w:rsid w:val="00C42055"/>
    <w:rsid w:val="00C42082"/>
    <w:rsid w:val="00C4208A"/>
    <w:rsid w:val="00C420EF"/>
    <w:rsid w:val="00C421AD"/>
    <w:rsid w:val="00C42261"/>
    <w:rsid w:val="00C422D5"/>
    <w:rsid w:val="00C4238F"/>
    <w:rsid w:val="00C423AF"/>
    <w:rsid w:val="00C42494"/>
    <w:rsid w:val="00C424FE"/>
    <w:rsid w:val="00C4250D"/>
    <w:rsid w:val="00C426E9"/>
    <w:rsid w:val="00C42769"/>
    <w:rsid w:val="00C4277D"/>
    <w:rsid w:val="00C427C5"/>
    <w:rsid w:val="00C4284B"/>
    <w:rsid w:val="00C4285A"/>
    <w:rsid w:val="00C42885"/>
    <w:rsid w:val="00C4293A"/>
    <w:rsid w:val="00C429D9"/>
    <w:rsid w:val="00C42A63"/>
    <w:rsid w:val="00C42A66"/>
    <w:rsid w:val="00C42B0A"/>
    <w:rsid w:val="00C42B71"/>
    <w:rsid w:val="00C42BDD"/>
    <w:rsid w:val="00C42BFE"/>
    <w:rsid w:val="00C42C83"/>
    <w:rsid w:val="00C42C89"/>
    <w:rsid w:val="00C42D12"/>
    <w:rsid w:val="00C42E76"/>
    <w:rsid w:val="00C42E80"/>
    <w:rsid w:val="00C42EA5"/>
    <w:rsid w:val="00C42EAA"/>
    <w:rsid w:val="00C42F92"/>
    <w:rsid w:val="00C42FAA"/>
    <w:rsid w:val="00C42FD8"/>
    <w:rsid w:val="00C43013"/>
    <w:rsid w:val="00C4306A"/>
    <w:rsid w:val="00C43095"/>
    <w:rsid w:val="00C430FC"/>
    <w:rsid w:val="00C43180"/>
    <w:rsid w:val="00C4318E"/>
    <w:rsid w:val="00C43297"/>
    <w:rsid w:val="00C432B4"/>
    <w:rsid w:val="00C43374"/>
    <w:rsid w:val="00C4339D"/>
    <w:rsid w:val="00C433F9"/>
    <w:rsid w:val="00C4346E"/>
    <w:rsid w:val="00C434A9"/>
    <w:rsid w:val="00C434FC"/>
    <w:rsid w:val="00C43513"/>
    <w:rsid w:val="00C4379B"/>
    <w:rsid w:val="00C43834"/>
    <w:rsid w:val="00C4383E"/>
    <w:rsid w:val="00C4387C"/>
    <w:rsid w:val="00C4389B"/>
    <w:rsid w:val="00C438A5"/>
    <w:rsid w:val="00C438BA"/>
    <w:rsid w:val="00C439A2"/>
    <w:rsid w:val="00C43A5D"/>
    <w:rsid w:val="00C43B14"/>
    <w:rsid w:val="00C43BFA"/>
    <w:rsid w:val="00C43CD2"/>
    <w:rsid w:val="00C43E54"/>
    <w:rsid w:val="00C43E62"/>
    <w:rsid w:val="00C43E83"/>
    <w:rsid w:val="00C43F4F"/>
    <w:rsid w:val="00C43F79"/>
    <w:rsid w:val="00C43F89"/>
    <w:rsid w:val="00C43FA9"/>
    <w:rsid w:val="00C43FF0"/>
    <w:rsid w:val="00C440C9"/>
    <w:rsid w:val="00C440D5"/>
    <w:rsid w:val="00C44132"/>
    <w:rsid w:val="00C441C8"/>
    <w:rsid w:val="00C442F6"/>
    <w:rsid w:val="00C44325"/>
    <w:rsid w:val="00C44366"/>
    <w:rsid w:val="00C44376"/>
    <w:rsid w:val="00C4439F"/>
    <w:rsid w:val="00C443A7"/>
    <w:rsid w:val="00C4441F"/>
    <w:rsid w:val="00C44442"/>
    <w:rsid w:val="00C44575"/>
    <w:rsid w:val="00C44637"/>
    <w:rsid w:val="00C44686"/>
    <w:rsid w:val="00C446D2"/>
    <w:rsid w:val="00C446D5"/>
    <w:rsid w:val="00C44752"/>
    <w:rsid w:val="00C447C1"/>
    <w:rsid w:val="00C4482C"/>
    <w:rsid w:val="00C44A51"/>
    <w:rsid w:val="00C44A75"/>
    <w:rsid w:val="00C44ADF"/>
    <w:rsid w:val="00C44B27"/>
    <w:rsid w:val="00C44B8E"/>
    <w:rsid w:val="00C44BBE"/>
    <w:rsid w:val="00C44C0D"/>
    <w:rsid w:val="00C44C56"/>
    <w:rsid w:val="00C44C9C"/>
    <w:rsid w:val="00C44EC0"/>
    <w:rsid w:val="00C44F57"/>
    <w:rsid w:val="00C44F72"/>
    <w:rsid w:val="00C44FE6"/>
    <w:rsid w:val="00C45069"/>
    <w:rsid w:val="00C4509C"/>
    <w:rsid w:val="00C4512D"/>
    <w:rsid w:val="00C45134"/>
    <w:rsid w:val="00C4513D"/>
    <w:rsid w:val="00C45221"/>
    <w:rsid w:val="00C45388"/>
    <w:rsid w:val="00C453C4"/>
    <w:rsid w:val="00C453EF"/>
    <w:rsid w:val="00C453F8"/>
    <w:rsid w:val="00C45426"/>
    <w:rsid w:val="00C45438"/>
    <w:rsid w:val="00C454D3"/>
    <w:rsid w:val="00C454DF"/>
    <w:rsid w:val="00C455E1"/>
    <w:rsid w:val="00C45621"/>
    <w:rsid w:val="00C45647"/>
    <w:rsid w:val="00C45672"/>
    <w:rsid w:val="00C456F4"/>
    <w:rsid w:val="00C45744"/>
    <w:rsid w:val="00C457AF"/>
    <w:rsid w:val="00C4586D"/>
    <w:rsid w:val="00C45885"/>
    <w:rsid w:val="00C4590F"/>
    <w:rsid w:val="00C45957"/>
    <w:rsid w:val="00C45C60"/>
    <w:rsid w:val="00C45C7C"/>
    <w:rsid w:val="00C45CA5"/>
    <w:rsid w:val="00C45CAD"/>
    <w:rsid w:val="00C45D26"/>
    <w:rsid w:val="00C45D5E"/>
    <w:rsid w:val="00C45D87"/>
    <w:rsid w:val="00C45DA1"/>
    <w:rsid w:val="00C45E12"/>
    <w:rsid w:val="00C45E2F"/>
    <w:rsid w:val="00C45E43"/>
    <w:rsid w:val="00C45EF0"/>
    <w:rsid w:val="00C45F70"/>
    <w:rsid w:val="00C46086"/>
    <w:rsid w:val="00C46099"/>
    <w:rsid w:val="00C46152"/>
    <w:rsid w:val="00C4616D"/>
    <w:rsid w:val="00C4617E"/>
    <w:rsid w:val="00C461A7"/>
    <w:rsid w:val="00C46284"/>
    <w:rsid w:val="00C462DD"/>
    <w:rsid w:val="00C46375"/>
    <w:rsid w:val="00C463D6"/>
    <w:rsid w:val="00C46432"/>
    <w:rsid w:val="00C46462"/>
    <w:rsid w:val="00C46463"/>
    <w:rsid w:val="00C46483"/>
    <w:rsid w:val="00C464C4"/>
    <w:rsid w:val="00C4653A"/>
    <w:rsid w:val="00C46685"/>
    <w:rsid w:val="00C4669C"/>
    <w:rsid w:val="00C466A4"/>
    <w:rsid w:val="00C466C3"/>
    <w:rsid w:val="00C466DE"/>
    <w:rsid w:val="00C466E7"/>
    <w:rsid w:val="00C4671B"/>
    <w:rsid w:val="00C4677C"/>
    <w:rsid w:val="00C4686E"/>
    <w:rsid w:val="00C468C3"/>
    <w:rsid w:val="00C46947"/>
    <w:rsid w:val="00C46969"/>
    <w:rsid w:val="00C46996"/>
    <w:rsid w:val="00C469C4"/>
    <w:rsid w:val="00C46B09"/>
    <w:rsid w:val="00C46C2E"/>
    <w:rsid w:val="00C46C78"/>
    <w:rsid w:val="00C46DE2"/>
    <w:rsid w:val="00C46DEA"/>
    <w:rsid w:val="00C46E18"/>
    <w:rsid w:val="00C46E85"/>
    <w:rsid w:val="00C46EB2"/>
    <w:rsid w:val="00C46EE2"/>
    <w:rsid w:val="00C46F0D"/>
    <w:rsid w:val="00C46F58"/>
    <w:rsid w:val="00C47060"/>
    <w:rsid w:val="00C47094"/>
    <w:rsid w:val="00C470ED"/>
    <w:rsid w:val="00C47128"/>
    <w:rsid w:val="00C4717C"/>
    <w:rsid w:val="00C471CA"/>
    <w:rsid w:val="00C471D3"/>
    <w:rsid w:val="00C471FE"/>
    <w:rsid w:val="00C47228"/>
    <w:rsid w:val="00C47356"/>
    <w:rsid w:val="00C47369"/>
    <w:rsid w:val="00C4743B"/>
    <w:rsid w:val="00C474F7"/>
    <w:rsid w:val="00C475B4"/>
    <w:rsid w:val="00C475B9"/>
    <w:rsid w:val="00C4760F"/>
    <w:rsid w:val="00C476BC"/>
    <w:rsid w:val="00C47759"/>
    <w:rsid w:val="00C4775E"/>
    <w:rsid w:val="00C47793"/>
    <w:rsid w:val="00C477B7"/>
    <w:rsid w:val="00C477EE"/>
    <w:rsid w:val="00C4781D"/>
    <w:rsid w:val="00C478CD"/>
    <w:rsid w:val="00C478CF"/>
    <w:rsid w:val="00C478E6"/>
    <w:rsid w:val="00C478EB"/>
    <w:rsid w:val="00C478F2"/>
    <w:rsid w:val="00C47989"/>
    <w:rsid w:val="00C47A9D"/>
    <w:rsid w:val="00C47ACC"/>
    <w:rsid w:val="00C47ADE"/>
    <w:rsid w:val="00C47BD8"/>
    <w:rsid w:val="00C47C93"/>
    <w:rsid w:val="00C47FA7"/>
    <w:rsid w:val="00C47FE9"/>
    <w:rsid w:val="00C5001A"/>
    <w:rsid w:val="00C50062"/>
    <w:rsid w:val="00C50085"/>
    <w:rsid w:val="00C5009D"/>
    <w:rsid w:val="00C500A4"/>
    <w:rsid w:val="00C500F2"/>
    <w:rsid w:val="00C50190"/>
    <w:rsid w:val="00C50262"/>
    <w:rsid w:val="00C502BB"/>
    <w:rsid w:val="00C502F6"/>
    <w:rsid w:val="00C50315"/>
    <w:rsid w:val="00C50366"/>
    <w:rsid w:val="00C50436"/>
    <w:rsid w:val="00C50439"/>
    <w:rsid w:val="00C50791"/>
    <w:rsid w:val="00C507C5"/>
    <w:rsid w:val="00C507DF"/>
    <w:rsid w:val="00C508A1"/>
    <w:rsid w:val="00C508D6"/>
    <w:rsid w:val="00C50935"/>
    <w:rsid w:val="00C50947"/>
    <w:rsid w:val="00C509D5"/>
    <w:rsid w:val="00C50A8D"/>
    <w:rsid w:val="00C50B4E"/>
    <w:rsid w:val="00C50BC6"/>
    <w:rsid w:val="00C50BC7"/>
    <w:rsid w:val="00C50C19"/>
    <w:rsid w:val="00C50D2A"/>
    <w:rsid w:val="00C50D59"/>
    <w:rsid w:val="00C50DF6"/>
    <w:rsid w:val="00C50EA8"/>
    <w:rsid w:val="00C50F35"/>
    <w:rsid w:val="00C50F9D"/>
    <w:rsid w:val="00C50FC6"/>
    <w:rsid w:val="00C5118E"/>
    <w:rsid w:val="00C511D3"/>
    <w:rsid w:val="00C51265"/>
    <w:rsid w:val="00C51379"/>
    <w:rsid w:val="00C51388"/>
    <w:rsid w:val="00C5146E"/>
    <w:rsid w:val="00C5148B"/>
    <w:rsid w:val="00C514CB"/>
    <w:rsid w:val="00C514E5"/>
    <w:rsid w:val="00C515DD"/>
    <w:rsid w:val="00C515E6"/>
    <w:rsid w:val="00C51669"/>
    <w:rsid w:val="00C517D4"/>
    <w:rsid w:val="00C517E6"/>
    <w:rsid w:val="00C517F8"/>
    <w:rsid w:val="00C5183C"/>
    <w:rsid w:val="00C51942"/>
    <w:rsid w:val="00C51AAC"/>
    <w:rsid w:val="00C51B59"/>
    <w:rsid w:val="00C51B98"/>
    <w:rsid w:val="00C51BEE"/>
    <w:rsid w:val="00C51BF6"/>
    <w:rsid w:val="00C51C34"/>
    <w:rsid w:val="00C51CFE"/>
    <w:rsid w:val="00C51D10"/>
    <w:rsid w:val="00C51D4C"/>
    <w:rsid w:val="00C51D88"/>
    <w:rsid w:val="00C51DC2"/>
    <w:rsid w:val="00C51DCD"/>
    <w:rsid w:val="00C5204D"/>
    <w:rsid w:val="00C520AF"/>
    <w:rsid w:val="00C52172"/>
    <w:rsid w:val="00C5226C"/>
    <w:rsid w:val="00C5226E"/>
    <w:rsid w:val="00C52350"/>
    <w:rsid w:val="00C523D3"/>
    <w:rsid w:val="00C523F3"/>
    <w:rsid w:val="00C5241C"/>
    <w:rsid w:val="00C5243A"/>
    <w:rsid w:val="00C524A2"/>
    <w:rsid w:val="00C524B4"/>
    <w:rsid w:val="00C52527"/>
    <w:rsid w:val="00C5254E"/>
    <w:rsid w:val="00C52565"/>
    <w:rsid w:val="00C525CF"/>
    <w:rsid w:val="00C52652"/>
    <w:rsid w:val="00C52688"/>
    <w:rsid w:val="00C5268F"/>
    <w:rsid w:val="00C526D4"/>
    <w:rsid w:val="00C5291C"/>
    <w:rsid w:val="00C52939"/>
    <w:rsid w:val="00C529E3"/>
    <w:rsid w:val="00C529F5"/>
    <w:rsid w:val="00C52A12"/>
    <w:rsid w:val="00C52AA6"/>
    <w:rsid w:val="00C52B20"/>
    <w:rsid w:val="00C52C43"/>
    <w:rsid w:val="00C52D23"/>
    <w:rsid w:val="00C52D55"/>
    <w:rsid w:val="00C52D75"/>
    <w:rsid w:val="00C52DD3"/>
    <w:rsid w:val="00C52E3A"/>
    <w:rsid w:val="00C52F31"/>
    <w:rsid w:val="00C52FE4"/>
    <w:rsid w:val="00C53288"/>
    <w:rsid w:val="00C533A9"/>
    <w:rsid w:val="00C53408"/>
    <w:rsid w:val="00C5344E"/>
    <w:rsid w:val="00C5348F"/>
    <w:rsid w:val="00C53504"/>
    <w:rsid w:val="00C53554"/>
    <w:rsid w:val="00C53570"/>
    <w:rsid w:val="00C53576"/>
    <w:rsid w:val="00C5359B"/>
    <w:rsid w:val="00C53626"/>
    <w:rsid w:val="00C5367E"/>
    <w:rsid w:val="00C536AF"/>
    <w:rsid w:val="00C53716"/>
    <w:rsid w:val="00C5377A"/>
    <w:rsid w:val="00C538D0"/>
    <w:rsid w:val="00C53982"/>
    <w:rsid w:val="00C53A54"/>
    <w:rsid w:val="00C53AA0"/>
    <w:rsid w:val="00C53AD7"/>
    <w:rsid w:val="00C53BB4"/>
    <w:rsid w:val="00C53CA6"/>
    <w:rsid w:val="00C53E03"/>
    <w:rsid w:val="00C53EB4"/>
    <w:rsid w:val="00C53F9B"/>
    <w:rsid w:val="00C53FA8"/>
    <w:rsid w:val="00C53FF9"/>
    <w:rsid w:val="00C54098"/>
    <w:rsid w:val="00C54137"/>
    <w:rsid w:val="00C54160"/>
    <w:rsid w:val="00C54196"/>
    <w:rsid w:val="00C5419B"/>
    <w:rsid w:val="00C5420C"/>
    <w:rsid w:val="00C54237"/>
    <w:rsid w:val="00C542FA"/>
    <w:rsid w:val="00C5433B"/>
    <w:rsid w:val="00C543A7"/>
    <w:rsid w:val="00C54460"/>
    <w:rsid w:val="00C54519"/>
    <w:rsid w:val="00C5451D"/>
    <w:rsid w:val="00C54536"/>
    <w:rsid w:val="00C54597"/>
    <w:rsid w:val="00C545F2"/>
    <w:rsid w:val="00C54659"/>
    <w:rsid w:val="00C5469F"/>
    <w:rsid w:val="00C546B9"/>
    <w:rsid w:val="00C5470B"/>
    <w:rsid w:val="00C5473A"/>
    <w:rsid w:val="00C54753"/>
    <w:rsid w:val="00C5479C"/>
    <w:rsid w:val="00C547F9"/>
    <w:rsid w:val="00C54839"/>
    <w:rsid w:val="00C54857"/>
    <w:rsid w:val="00C548A5"/>
    <w:rsid w:val="00C54983"/>
    <w:rsid w:val="00C549AF"/>
    <w:rsid w:val="00C54A24"/>
    <w:rsid w:val="00C54A74"/>
    <w:rsid w:val="00C54B6B"/>
    <w:rsid w:val="00C54BE4"/>
    <w:rsid w:val="00C54C3C"/>
    <w:rsid w:val="00C54D12"/>
    <w:rsid w:val="00C54D55"/>
    <w:rsid w:val="00C54D7F"/>
    <w:rsid w:val="00C54E42"/>
    <w:rsid w:val="00C54E6F"/>
    <w:rsid w:val="00C54EDA"/>
    <w:rsid w:val="00C54EF8"/>
    <w:rsid w:val="00C54F28"/>
    <w:rsid w:val="00C54FFE"/>
    <w:rsid w:val="00C5505C"/>
    <w:rsid w:val="00C550D4"/>
    <w:rsid w:val="00C5517C"/>
    <w:rsid w:val="00C55185"/>
    <w:rsid w:val="00C55190"/>
    <w:rsid w:val="00C551B8"/>
    <w:rsid w:val="00C551ED"/>
    <w:rsid w:val="00C55317"/>
    <w:rsid w:val="00C553C9"/>
    <w:rsid w:val="00C553D5"/>
    <w:rsid w:val="00C553EE"/>
    <w:rsid w:val="00C5541A"/>
    <w:rsid w:val="00C5549B"/>
    <w:rsid w:val="00C554A9"/>
    <w:rsid w:val="00C554FF"/>
    <w:rsid w:val="00C5551C"/>
    <w:rsid w:val="00C55629"/>
    <w:rsid w:val="00C5567B"/>
    <w:rsid w:val="00C5568B"/>
    <w:rsid w:val="00C5570C"/>
    <w:rsid w:val="00C55817"/>
    <w:rsid w:val="00C5583D"/>
    <w:rsid w:val="00C55903"/>
    <w:rsid w:val="00C55914"/>
    <w:rsid w:val="00C55985"/>
    <w:rsid w:val="00C559A1"/>
    <w:rsid w:val="00C559D6"/>
    <w:rsid w:val="00C55A74"/>
    <w:rsid w:val="00C55B56"/>
    <w:rsid w:val="00C55B8E"/>
    <w:rsid w:val="00C55B92"/>
    <w:rsid w:val="00C55C33"/>
    <w:rsid w:val="00C55CF1"/>
    <w:rsid w:val="00C55DBB"/>
    <w:rsid w:val="00C55E41"/>
    <w:rsid w:val="00C55EB2"/>
    <w:rsid w:val="00C55EC7"/>
    <w:rsid w:val="00C55FC5"/>
    <w:rsid w:val="00C560C3"/>
    <w:rsid w:val="00C560CA"/>
    <w:rsid w:val="00C56131"/>
    <w:rsid w:val="00C56159"/>
    <w:rsid w:val="00C561AF"/>
    <w:rsid w:val="00C561CB"/>
    <w:rsid w:val="00C56201"/>
    <w:rsid w:val="00C56228"/>
    <w:rsid w:val="00C562E2"/>
    <w:rsid w:val="00C56345"/>
    <w:rsid w:val="00C56397"/>
    <w:rsid w:val="00C563FA"/>
    <w:rsid w:val="00C563FE"/>
    <w:rsid w:val="00C564C0"/>
    <w:rsid w:val="00C56521"/>
    <w:rsid w:val="00C56572"/>
    <w:rsid w:val="00C5668A"/>
    <w:rsid w:val="00C566B1"/>
    <w:rsid w:val="00C566B7"/>
    <w:rsid w:val="00C567CE"/>
    <w:rsid w:val="00C5692A"/>
    <w:rsid w:val="00C56986"/>
    <w:rsid w:val="00C56A02"/>
    <w:rsid w:val="00C56A8E"/>
    <w:rsid w:val="00C56B05"/>
    <w:rsid w:val="00C56B2A"/>
    <w:rsid w:val="00C56BD5"/>
    <w:rsid w:val="00C56D54"/>
    <w:rsid w:val="00C56D77"/>
    <w:rsid w:val="00C56E4E"/>
    <w:rsid w:val="00C56EF0"/>
    <w:rsid w:val="00C57012"/>
    <w:rsid w:val="00C57034"/>
    <w:rsid w:val="00C570B6"/>
    <w:rsid w:val="00C570C9"/>
    <w:rsid w:val="00C570CA"/>
    <w:rsid w:val="00C57181"/>
    <w:rsid w:val="00C5722A"/>
    <w:rsid w:val="00C5729D"/>
    <w:rsid w:val="00C57324"/>
    <w:rsid w:val="00C57332"/>
    <w:rsid w:val="00C573C5"/>
    <w:rsid w:val="00C574CE"/>
    <w:rsid w:val="00C574EE"/>
    <w:rsid w:val="00C574FD"/>
    <w:rsid w:val="00C57509"/>
    <w:rsid w:val="00C57653"/>
    <w:rsid w:val="00C57735"/>
    <w:rsid w:val="00C57767"/>
    <w:rsid w:val="00C57796"/>
    <w:rsid w:val="00C577B6"/>
    <w:rsid w:val="00C577E8"/>
    <w:rsid w:val="00C57818"/>
    <w:rsid w:val="00C57837"/>
    <w:rsid w:val="00C57990"/>
    <w:rsid w:val="00C57A68"/>
    <w:rsid w:val="00C57A94"/>
    <w:rsid w:val="00C57AEB"/>
    <w:rsid w:val="00C57B58"/>
    <w:rsid w:val="00C57BAD"/>
    <w:rsid w:val="00C57C26"/>
    <w:rsid w:val="00C57D84"/>
    <w:rsid w:val="00C57D8D"/>
    <w:rsid w:val="00C57D9A"/>
    <w:rsid w:val="00C57DCA"/>
    <w:rsid w:val="00C57E13"/>
    <w:rsid w:val="00C57F5F"/>
    <w:rsid w:val="00C57FEC"/>
    <w:rsid w:val="00C60059"/>
    <w:rsid w:val="00C6009D"/>
    <w:rsid w:val="00C600B2"/>
    <w:rsid w:val="00C600DE"/>
    <w:rsid w:val="00C6014B"/>
    <w:rsid w:val="00C60260"/>
    <w:rsid w:val="00C603AC"/>
    <w:rsid w:val="00C603BE"/>
    <w:rsid w:val="00C603F2"/>
    <w:rsid w:val="00C60435"/>
    <w:rsid w:val="00C6047F"/>
    <w:rsid w:val="00C6048E"/>
    <w:rsid w:val="00C604C2"/>
    <w:rsid w:val="00C6053E"/>
    <w:rsid w:val="00C60562"/>
    <w:rsid w:val="00C6057E"/>
    <w:rsid w:val="00C6066A"/>
    <w:rsid w:val="00C606A7"/>
    <w:rsid w:val="00C606C4"/>
    <w:rsid w:val="00C60763"/>
    <w:rsid w:val="00C607FD"/>
    <w:rsid w:val="00C60813"/>
    <w:rsid w:val="00C60840"/>
    <w:rsid w:val="00C609C4"/>
    <w:rsid w:val="00C60AEE"/>
    <w:rsid w:val="00C60B9D"/>
    <w:rsid w:val="00C60BBA"/>
    <w:rsid w:val="00C60C0B"/>
    <w:rsid w:val="00C60C46"/>
    <w:rsid w:val="00C60C8D"/>
    <w:rsid w:val="00C60CA9"/>
    <w:rsid w:val="00C60CBD"/>
    <w:rsid w:val="00C60E05"/>
    <w:rsid w:val="00C60E17"/>
    <w:rsid w:val="00C60E70"/>
    <w:rsid w:val="00C60F4C"/>
    <w:rsid w:val="00C61044"/>
    <w:rsid w:val="00C6106E"/>
    <w:rsid w:val="00C61120"/>
    <w:rsid w:val="00C61125"/>
    <w:rsid w:val="00C61223"/>
    <w:rsid w:val="00C6128A"/>
    <w:rsid w:val="00C612A4"/>
    <w:rsid w:val="00C61335"/>
    <w:rsid w:val="00C61383"/>
    <w:rsid w:val="00C61398"/>
    <w:rsid w:val="00C614BF"/>
    <w:rsid w:val="00C6154B"/>
    <w:rsid w:val="00C61594"/>
    <w:rsid w:val="00C615DF"/>
    <w:rsid w:val="00C615F5"/>
    <w:rsid w:val="00C6164F"/>
    <w:rsid w:val="00C61652"/>
    <w:rsid w:val="00C6166D"/>
    <w:rsid w:val="00C6169B"/>
    <w:rsid w:val="00C6173E"/>
    <w:rsid w:val="00C617FD"/>
    <w:rsid w:val="00C61809"/>
    <w:rsid w:val="00C61821"/>
    <w:rsid w:val="00C618B9"/>
    <w:rsid w:val="00C6192F"/>
    <w:rsid w:val="00C6197A"/>
    <w:rsid w:val="00C619F8"/>
    <w:rsid w:val="00C61A1E"/>
    <w:rsid w:val="00C61A52"/>
    <w:rsid w:val="00C61A59"/>
    <w:rsid w:val="00C61AA7"/>
    <w:rsid w:val="00C61ADC"/>
    <w:rsid w:val="00C61AFB"/>
    <w:rsid w:val="00C61B60"/>
    <w:rsid w:val="00C61BA9"/>
    <w:rsid w:val="00C61BCC"/>
    <w:rsid w:val="00C61BF0"/>
    <w:rsid w:val="00C61BFC"/>
    <w:rsid w:val="00C61C46"/>
    <w:rsid w:val="00C61C7D"/>
    <w:rsid w:val="00C61CC1"/>
    <w:rsid w:val="00C61CC2"/>
    <w:rsid w:val="00C61CCE"/>
    <w:rsid w:val="00C61DC1"/>
    <w:rsid w:val="00C61DF4"/>
    <w:rsid w:val="00C61E41"/>
    <w:rsid w:val="00C61EC8"/>
    <w:rsid w:val="00C61F12"/>
    <w:rsid w:val="00C61F36"/>
    <w:rsid w:val="00C61F93"/>
    <w:rsid w:val="00C62018"/>
    <w:rsid w:val="00C62053"/>
    <w:rsid w:val="00C620C9"/>
    <w:rsid w:val="00C62112"/>
    <w:rsid w:val="00C6211A"/>
    <w:rsid w:val="00C621A5"/>
    <w:rsid w:val="00C621F1"/>
    <w:rsid w:val="00C62206"/>
    <w:rsid w:val="00C62212"/>
    <w:rsid w:val="00C62310"/>
    <w:rsid w:val="00C6242B"/>
    <w:rsid w:val="00C62507"/>
    <w:rsid w:val="00C6257C"/>
    <w:rsid w:val="00C625A4"/>
    <w:rsid w:val="00C625E1"/>
    <w:rsid w:val="00C626F8"/>
    <w:rsid w:val="00C62704"/>
    <w:rsid w:val="00C6273A"/>
    <w:rsid w:val="00C62809"/>
    <w:rsid w:val="00C62880"/>
    <w:rsid w:val="00C628A8"/>
    <w:rsid w:val="00C629E9"/>
    <w:rsid w:val="00C62A03"/>
    <w:rsid w:val="00C62AC3"/>
    <w:rsid w:val="00C62BAC"/>
    <w:rsid w:val="00C62C1F"/>
    <w:rsid w:val="00C62C2F"/>
    <w:rsid w:val="00C62C35"/>
    <w:rsid w:val="00C62CC1"/>
    <w:rsid w:val="00C62D6F"/>
    <w:rsid w:val="00C62DED"/>
    <w:rsid w:val="00C62E99"/>
    <w:rsid w:val="00C62EF2"/>
    <w:rsid w:val="00C62F6B"/>
    <w:rsid w:val="00C62F77"/>
    <w:rsid w:val="00C62FFB"/>
    <w:rsid w:val="00C63056"/>
    <w:rsid w:val="00C63101"/>
    <w:rsid w:val="00C63119"/>
    <w:rsid w:val="00C63120"/>
    <w:rsid w:val="00C6330F"/>
    <w:rsid w:val="00C633C4"/>
    <w:rsid w:val="00C633F9"/>
    <w:rsid w:val="00C6345E"/>
    <w:rsid w:val="00C634ED"/>
    <w:rsid w:val="00C63510"/>
    <w:rsid w:val="00C63549"/>
    <w:rsid w:val="00C6357B"/>
    <w:rsid w:val="00C63590"/>
    <w:rsid w:val="00C635E5"/>
    <w:rsid w:val="00C63660"/>
    <w:rsid w:val="00C636D3"/>
    <w:rsid w:val="00C63775"/>
    <w:rsid w:val="00C638FB"/>
    <w:rsid w:val="00C63957"/>
    <w:rsid w:val="00C63A07"/>
    <w:rsid w:val="00C63B0D"/>
    <w:rsid w:val="00C63B50"/>
    <w:rsid w:val="00C63B57"/>
    <w:rsid w:val="00C63B93"/>
    <w:rsid w:val="00C63BEE"/>
    <w:rsid w:val="00C63C08"/>
    <w:rsid w:val="00C63C60"/>
    <w:rsid w:val="00C63C66"/>
    <w:rsid w:val="00C63C90"/>
    <w:rsid w:val="00C63D0C"/>
    <w:rsid w:val="00C63D2C"/>
    <w:rsid w:val="00C63D4F"/>
    <w:rsid w:val="00C63D50"/>
    <w:rsid w:val="00C63DCD"/>
    <w:rsid w:val="00C63DEE"/>
    <w:rsid w:val="00C63E21"/>
    <w:rsid w:val="00C63E2B"/>
    <w:rsid w:val="00C63E51"/>
    <w:rsid w:val="00C63F16"/>
    <w:rsid w:val="00C6405C"/>
    <w:rsid w:val="00C64169"/>
    <w:rsid w:val="00C64172"/>
    <w:rsid w:val="00C641EB"/>
    <w:rsid w:val="00C64203"/>
    <w:rsid w:val="00C6423B"/>
    <w:rsid w:val="00C6424E"/>
    <w:rsid w:val="00C642B0"/>
    <w:rsid w:val="00C64354"/>
    <w:rsid w:val="00C64373"/>
    <w:rsid w:val="00C643C7"/>
    <w:rsid w:val="00C643F6"/>
    <w:rsid w:val="00C6441D"/>
    <w:rsid w:val="00C6443A"/>
    <w:rsid w:val="00C644C4"/>
    <w:rsid w:val="00C644CD"/>
    <w:rsid w:val="00C644D3"/>
    <w:rsid w:val="00C644D6"/>
    <w:rsid w:val="00C644DE"/>
    <w:rsid w:val="00C645D7"/>
    <w:rsid w:val="00C6469C"/>
    <w:rsid w:val="00C646EA"/>
    <w:rsid w:val="00C64785"/>
    <w:rsid w:val="00C64794"/>
    <w:rsid w:val="00C64817"/>
    <w:rsid w:val="00C64847"/>
    <w:rsid w:val="00C6485D"/>
    <w:rsid w:val="00C648A3"/>
    <w:rsid w:val="00C6490A"/>
    <w:rsid w:val="00C6491A"/>
    <w:rsid w:val="00C6498B"/>
    <w:rsid w:val="00C64995"/>
    <w:rsid w:val="00C64A0A"/>
    <w:rsid w:val="00C64A10"/>
    <w:rsid w:val="00C64A3D"/>
    <w:rsid w:val="00C64A72"/>
    <w:rsid w:val="00C64BF7"/>
    <w:rsid w:val="00C64CD2"/>
    <w:rsid w:val="00C64CED"/>
    <w:rsid w:val="00C64D26"/>
    <w:rsid w:val="00C64D80"/>
    <w:rsid w:val="00C64DB9"/>
    <w:rsid w:val="00C64DC3"/>
    <w:rsid w:val="00C64DC8"/>
    <w:rsid w:val="00C64E64"/>
    <w:rsid w:val="00C64EFC"/>
    <w:rsid w:val="00C65044"/>
    <w:rsid w:val="00C650B9"/>
    <w:rsid w:val="00C6512A"/>
    <w:rsid w:val="00C65130"/>
    <w:rsid w:val="00C6518C"/>
    <w:rsid w:val="00C651D5"/>
    <w:rsid w:val="00C65247"/>
    <w:rsid w:val="00C652FE"/>
    <w:rsid w:val="00C6539A"/>
    <w:rsid w:val="00C653FB"/>
    <w:rsid w:val="00C653FE"/>
    <w:rsid w:val="00C65478"/>
    <w:rsid w:val="00C654DC"/>
    <w:rsid w:val="00C6550B"/>
    <w:rsid w:val="00C65584"/>
    <w:rsid w:val="00C6566F"/>
    <w:rsid w:val="00C656DF"/>
    <w:rsid w:val="00C65737"/>
    <w:rsid w:val="00C657C6"/>
    <w:rsid w:val="00C657D6"/>
    <w:rsid w:val="00C6586E"/>
    <w:rsid w:val="00C65880"/>
    <w:rsid w:val="00C65960"/>
    <w:rsid w:val="00C659E4"/>
    <w:rsid w:val="00C65A68"/>
    <w:rsid w:val="00C65A6A"/>
    <w:rsid w:val="00C65A74"/>
    <w:rsid w:val="00C65BC3"/>
    <w:rsid w:val="00C65C8D"/>
    <w:rsid w:val="00C65CFC"/>
    <w:rsid w:val="00C65D06"/>
    <w:rsid w:val="00C65D3D"/>
    <w:rsid w:val="00C65DD0"/>
    <w:rsid w:val="00C65E05"/>
    <w:rsid w:val="00C65F2A"/>
    <w:rsid w:val="00C65F60"/>
    <w:rsid w:val="00C65F6A"/>
    <w:rsid w:val="00C660D1"/>
    <w:rsid w:val="00C660E1"/>
    <w:rsid w:val="00C66100"/>
    <w:rsid w:val="00C66115"/>
    <w:rsid w:val="00C66131"/>
    <w:rsid w:val="00C661EF"/>
    <w:rsid w:val="00C66298"/>
    <w:rsid w:val="00C662BB"/>
    <w:rsid w:val="00C66332"/>
    <w:rsid w:val="00C66346"/>
    <w:rsid w:val="00C6636A"/>
    <w:rsid w:val="00C6639B"/>
    <w:rsid w:val="00C663BB"/>
    <w:rsid w:val="00C663E1"/>
    <w:rsid w:val="00C6640A"/>
    <w:rsid w:val="00C6642D"/>
    <w:rsid w:val="00C6648B"/>
    <w:rsid w:val="00C664EA"/>
    <w:rsid w:val="00C66556"/>
    <w:rsid w:val="00C665B8"/>
    <w:rsid w:val="00C66603"/>
    <w:rsid w:val="00C66639"/>
    <w:rsid w:val="00C6671B"/>
    <w:rsid w:val="00C6676D"/>
    <w:rsid w:val="00C667F7"/>
    <w:rsid w:val="00C6695C"/>
    <w:rsid w:val="00C66975"/>
    <w:rsid w:val="00C669F7"/>
    <w:rsid w:val="00C66A62"/>
    <w:rsid w:val="00C66B88"/>
    <w:rsid w:val="00C66B9F"/>
    <w:rsid w:val="00C66BC3"/>
    <w:rsid w:val="00C66BDD"/>
    <w:rsid w:val="00C66BE9"/>
    <w:rsid w:val="00C66C53"/>
    <w:rsid w:val="00C66C9C"/>
    <w:rsid w:val="00C66D4B"/>
    <w:rsid w:val="00C66DE9"/>
    <w:rsid w:val="00C66E3E"/>
    <w:rsid w:val="00C66EA2"/>
    <w:rsid w:val="00C66EBC"/>
    <w:rsid w:val="00C67077"/>
    <w:rsid w:val="00C670D8"/>
    <w:rsid w:val="00C6710B"/>
    <w:rsid w:val="00C6710C"/>
    <w:rsid w:val="00C67113"/>
    <w:rsid w:val="00C6718A"/>
    <w:rsid w:val="00C67223"/>
    <w:rsid w:val="00C6736C"/>
    <w:rsid w:val="00C67401"/>
    <w:rsid w:val="00C67472"/>
    <w:rsid w:val="00C674D2"/>
    <w:rsid w:val="00C67518"/>
    <w:rsid w:val="00C67590"/>
    <w:rsid w:val="00C675A7"/>
    <w:rsid w:val="00C675EC"/>
    <w:rsid w:val="00C676E4"/>
    <w:rsid w:val="00C676F1"/>
    <w:rsid w:val="00C677D2"/>
    <w:rsid w:val="00C67897"/>
    <w:rsid w:val="00C679B3"/>
    <w:rsid w:val="00C679FC"/>
    <w:rsid w:val="00C67A56"/>
    <w:rsid w:val="00C67A74"/>
    <w:rsid w:val="00C67A80"/>
    <w:rsid w:val="00C67AF9"/>
    <w:rsid w:val="00C67BD2"/>
    <w:rsid w:val="00C67C6A"/>
    <w:rsid w:val="00C67CBA"/>
    <w:rsid w:val="00C67D2A"/>
    <w:rsid w:val="00C67D95"/>
    <w:rsid w:val="00C67E22"/>
    <w:rsid w:val="00C67E4A"/>
    <w:rsid w:val="00C67EB4"/>
    <w:rsid w:val="00C67F48"/>
    <w:rsid w:val="00C67F83"/>
    <w:rsid w:val="00C67F8C"/>
    <w:rsid w:val="00C67F9D"/>
    <w:rsid w:val="00C67FAE"/>
    <w:rsid w:val="00C7003D"/>
    <w:rsid w:val="00C700AD"/>
    <w:rsid w:val="00C70265"/>
    <w:rsid w:val="00C70281"/>
    <w:rsid w:val="00C702B4"/>
    <w:rsid w:val="00C70303"/>
    <w:rsid w:val="00C7033D"/>
    <w:rsid w:val="00C703A1"/>
    <w:rsid w:val="00C703C1"/>
    <w:rsid w:val="00C703E4"/>
    <w:rsid w:val="00C70425"/>
    <w:rsid w:val="00C7049A"/>
    <w:rsid w:val="00C70597"/>
    <w:rsid w:val="00C705A9"/>
    <w:rsid w:val="00C70602"/>
    <w:rsid w:val="00C70639"/>
    <w:rsid w:val="00C7063F"/>
    <w:rsid w:val="00C70698"/>
    <w:rsid w:val="00C707CE"/>
    <w:rsid w:val="00C70811"/>
    <w:rsid w:val="00C70824"/>
    <w:rsid w:val="00C7088A"/>
    <w:rsid w:val="00C708B8"/>
    <w:rsid w:val="00C70955"/>
    <w:rsid w:val="00C709C2"/>
    <w:rsid w:val="00C709E7"/>
    <w:rsid w:val="00C70A85"/>
    <w:rsid w:val="00C70BF5"/>
    <w:rsid w:val="00C70C54"/>
    <w:rsid w:val="00C70C55"/>
    <w:rsid w:val="00C70C6A"/>
    <w:rsid w:val="00C70C8E"/>
    <w:rsid w:val="00C70D24"/>
    <w:rsid w:val="00C70D95"/>
    <w:rsid w:val="00C70DAE"/>
    <w:rsid w:val="00C70DE6"/>
    <w:rsid w:val="00C70DF8"/>
    <w:rsid w:val="00C70E02"/>
    <w:rsid w:val="00C70EAA"/>
    <w:rsid w:val="00C70F9C"/>
    <w:rsid w:val="00C710AC"/>
    <w:rsid w:val="00C71130"/>
    <w:rsid w:val="00C7114E"/>
    <w:rsid w:val="00C71184"/>
    <w:rsid w:val="00C711A1"/>
    <w:rsid w:val="00C711A8"/>
    <w:rsid w:val="00C711CB"/>
    <w:rsid w:val="00C711D9"/>
    <w:rsid w:val="00C71244"/>
    <w:rsid w:val="00C71275"/>
    <w:rsid w:val="00C712F1"/>
    <w:rsid w:val="00C713B0"/>
    <w:rsid w:val="00C71419"/>
    <w:rsid w:val="00C7147F"/>
    <w:rsid w:val="00C715AC"/>
    <w:rsid w:val="00C715B0"/>
    <w:rsid w:val="00C71641"/>
    <w:rsid w:val="00C71643"/>
    <w:rsid w:val="00C71669"/>
    <w:rsid w:val="00C71692"/>
    <w:rsid w:val="00C717DF"/>
    <w:rsid w:val="00C717E4"/>
    <w:rsid w:val="00C71815"/>
    <w:rsid w:val="00C71866"/>
    <w:rsid w:val="00C71925"/>
    <w:rsid w:val="00C71A09"/>
    <w:rsid w:val="00C71A44"/>
    <w:rsid w:val="00C71AB2"/>
    <w:rsid w:val="00C71B22"/>
    <w:rsid w:val="00C71BA5"/>
    <w:rsid w:val="00C71BFB"/>
    <w:rsid w:val="00C71C6A"/>
    <w:rsid w:val="00C71E27"/>
    <w:rsid w:val="00C71E75"/>
    <w:rsid w:val="00C71F33"/>
    <w:rsid w:val="00C72010"/>
    <w:rsid w:val="00C72029"/>
    <w:rsid w:val="00C72062"/>
    <w:rsid w:val="00C72076"/>
    <w:rsid w:val="00C72082"/>
    <w:rsid w:val="00C72090"/>
    <w:rsid w:val="00C720DC"/>
    <w:rsid w:val="00C72196"/>
    <w:rsid w:val="00C721C9"/>
    <w:rsid w:val="00C721D3"/>
    <w:rsid w:val="00C72226"/>
    <w:rsid w:val="00C72273"/>
    <w:rsid w:val="00C7228C"/>
    <w:rsid w:val="00C722C2"/>
    <w:rsid w:val="00C722FE"/>
    <w:rsid w:val="00C7233A"/>
    <w:rsid w:val="00C724F1"/>
    <w:rsid w:val="00C72525"/>
    <w:rsid w:val="00C72555"/>
    <w:rsid w:val="00C72583"/>
    <w:rsid w:val="00C7269D"/>
    <w:rsid w:val="00C72738"/>
    <w:rsid w:val="00C7277F"/>
    <w:rsid w:val="00C72795"/>
    <w:rsid w:val="00C727A0"/>
    <w:rsid w:val="00C727A7"/>
    <w:rsid w:val="00C727CF"/>
    <w:rsid w:val="00C728CF"/>
    <w:rsid w:val="00C728D9"/>
    <w:rsid w:val="00C72934"/>
    <w:rsid w:val="00C729A1"/>
    <w:rsid w:val="00C72A6F"/>
    <w:rsid w:val="00C72A74"/>
    <w:rsid w:val="00C72A81"/>
    <w:rsid w:val="00C72AE7"/>
    <w:rsid w:val="00C72AF2"/>
    <w:rsid w:val="00C72BE7"/>
    <w:rsid w:val="00C72BFB"/>
    <w:rsid w:val="00C72C0F"/>
    <w:rsid w:val="00C72C1B"/>
    <w:rsid w:val="00C72CB0"/>
    <w:rsid w:val="00C72CC5"/>
    <w:rsid w:val="00C72DA4"/>
    <w:rsid w:val="00C72DB0"/>
    <w:rsid w:val="00C72EE8"/>
    <w:rsid w:val="00C72EF7"/>
    <w:rsid w:val="00C72FE4"/>
    <w:rsid w:val="00C7311D"/>
    <w:rsid w:val="00C7315E"/>
    <w:rsid w:val="00C7321D"/>
    <w:rsid w:val="00C73301"/>
    <w:rsid w:val="00C7334F"/>
    <w:rsid w:val="00C73376"/>
    <w:rsid w:val="00C7341F"/>
    <w:rsid w:val="00C73435"/>
    <w:rsid w:val="00C7345A"/>
    <w:rsid w:val="00C7361A"/>
    <w:rsid w:val="00C736F8"/>
    <w:rsid w:val="00C7374C"/>
    <w:rsid w:val="00C7376D"/>
    <w:rsid w:val="00C73770"/>
    <w:rsid w:val="00C7377F"/>
    <w:rsid w:val="00C737FE"/>
    <w:rsid w:val="00C7380F"/>
    <w:rsid w:val="00C73810"/>
    <w:rsid w:val="00C73840"/>
    <w:rsid w:val="00C73862"/>
    <w:rsid w:val="00C738F6"/>
    <w:rsid w:val="00C7395D"/>
    <w:rsid w:val="00C739CE"/>
    <w:rsid w:val="00C73A7E"/>
    <w:rsid w:val="00C73B39"/>
    <w:rsid w:val="00C73B65"/>
    <w:rsid w:val="00C73C28"/>
    <w:rsid w:val="00C73C44"/>
    <w:rsid w:val="00C73CB6"/>
    <w:rsid w:val="00C73D23"/>
    <w:rsid w:val="00C73D4B"/>
    <w:rsid w:val="00C73DC4"/>
    <w:rsid w:val="00C73F56"/>
    <w:rsid w:val="00C73F62"/>
    <w:rsid w:val="00C73FC9"/>
    <w:rsid w:val="00C73FE4"/>
    <w:rsid w:val="00C7400B"/>
    <w:rsid w:val="00C74110"/>
    <w:rsid w:val="00C7413B"/>
    <w:rsid w:val="00C7415F"/>
    <w:rsid w:val="00C74200"/>
    <w:rsid w:val="00C7421C"/>
    <w:rsid w:val="00C74234"/>
    <w:rsid w:val="00C742D6"/>
    <w:rsid w:val="00C74380"/>
    <w:rsid w:val="00C7441D"/>
    <w:rsid w:val="00C744C4"/>
    <w:rsid w:val="00C744F2"/>
    <w:rsid w:val="00C745A6"/>
    <w:rsid w:val="00C745DA"/>
    <w:rsid w:val="00C7461D"/>
    <w:rsid w:val="00C747FC"/>
    <w:rsid w:val="00C74938"/>
    <w:rsid w:val="00C749A4"/>
    <w:rsid w:val="00C74AB3"/>
    <w:rsid w:val="00C74ACA"/>
    <w:rsid w:val="00C74B40"/>
    <w:rsid w:val="00C74B6F"/>
    <w:rsid w:val="00C74BB5"/>
    <w:rsid w:val="00C74C76"/>
    <w:rsid w:val="00C74CA6"/>
    <w:rsid w:val="00C74D0E"/>
    <w:rsid w:val="00C74D3E"/>
    <w:rsid w:val="00C74DE1"/>
    <w:rsid w:val="00C74DED"/>
    <w:rsid w:val="00C74DFD"/>
    <w:rsid w:val="00C74E1C"/>
    <w:rsid w:val="00C74ECB"/>
    <w:rsid w:val="00C750B7"/>
    <w:rsid w:val="00C750F0"/>
    <w:rsid w:val="00C7522B"/>
    <w:rsid w:val="00C7533B"/>
    <w:rsid w:val="00C753C5"/>
    <w:rsid w:val="00C753F8"/>
    <w:rsid w:val="00C75418"/>
    <w:rsid w:val="00C754D0"/>
    <w:rsid w:val="00C75526"/>
    <w:rsid w:val="00C75620"/>
    <w:rsid w:val="00C7567C"/>
    <w:rsid w:val="00C75682"/>
    <w:rsid w:val="00C7569C"/>
    <w:rsid w:val="00C756B4"/>
    <w:rsid w:val="00C756F8"/>
    <w:rsid w:val="00C75720"/>
    <w:rsid w:val="00C7573B"/>
    <w:rsid w:val="00C7575A"/>
    <w:rsid w:val="00C75871"/>
    <w:rsid w:val="00C7591B"/>
    <w:rsid w:val="00C7593F"/>
    <w:rsid w:val="00C75965"/>
    <w:rsid w:val="00C75A12"/>
    <w:rsid w:val="00C75A56"/>
    <w:rsid w:val="00C75A62"/>
    <w:rsid w:val="00C75ABD"/>
    <w:rsid w:val="00C75B53"/>
    <w:rsid w:val="00C75B99"/>
    <w:rsid w:val="00C75BCD"/>
    <w:rsid w:val="00C75BDC"/>
    <w:rsid w:val="00C75BF3"/>
    <w:rsid w:val="00C75C2A"/>
    <w:rsid w:val="00C75C99"/>
    <w:rsid w:val="00C75D42"/>
    <w:rsid w:val="00C75DC0"/>
    <w:rsid w:val="00C75E62"/>
    <w:rsid w:val="00C75FB1"/>
    <w:rsid w:val="00C75FC1"/>
    <w:rsid w:val="00C76052"/>
    <w:rsid w:val="00C761CF"/>
    <w:rsid w:val="00C761DA"/>
    <w:rsid w:val="00C76237"/>
    <w:rsid w:val="00C76453"/>
    <w:rsid w:val="00C7645F"/>
    <w:rsid w:val="00C764BA"/>
    <w:rsid w:val="00C764D4"/>
    <w:rsid w:val="00C764EB"/>
    <w:rsid w:val="00C7650A"/>
    <w:rsid w:val="00C76522"/>
    <w:rsid w:val="00C76590"/>
    <w:rsid w:val="00C7660B"/>
    <w:rsid w:val="00C76740"/>
    <w:rsid w:val="00C76743"/>
    <w:rsid w:val="00C7675E"/>
    <w:rsid w:val="00C7682E"/>
    <w:rsid w:val="00C76876"/>
    <w:rsid w:val="00C76884"/>
    <w:rsid w:val="00C76976"/>
    <w:rsid w:val="00C769A0"/>
    <w:rsid w:val="00C76A03"/>
    <w:rsid w:val="00C76AF9"/>
    <w:rsid w:val="00C76BCB"/>
    <w:rsid w:val="00C76BE8"/>
    <w:rsid w:val="00C76D5D"/>
    <w:rsid w:val="00C76D95"/>
    <w:rsid w:val="00C76F0B"/>
    <w:rsid w:val="00C76F44"/>
    <w:rsid w:val="00C76FA2"/>
    <w:rsid w:val="00C7702D"/>
    <w:rsid w:val="00C77033"/>
    <w:rsid w:val="00C77131"/>
    <w:rsid w:val="00C7713B"/>
    <w:rsid w:val="00C771A7"/>
    <w:rsid w:val="00C77207"/>
    <w:rsid w:val="00C77228"/>
    <w:rsid w:val="00C7727D"/>
    <w:rsid w:val="00C77356"/>
    <w:rsid w:val="00C7742A"/>
    <w:rsid w:val="00C77468"/>
    <w:rsid w:val="00C774EF"/>
    <w:rsid w:val="00C77502"/>
    <w:rsid w:val="00C77570"/>
    <w:rsid w:val="00C775DE"/>
    <w:rsid w:val="00C775F8"/>
    <w:rsid w:val="00C77641"/>
    <w:rsid w:val="00C776A1"/>
    <w:rsid w:val="00C776F5"/>
    <w:rsid w:val="00C776FB"/>
    <w:rsid w:val="00C7778D"/>
    <w:rsid w:val="00C777C7"/>
    <w:rsid w:val="00C777E6"/>
    <w:rsid w:val="00C778B8"/>
    <w:rsid w:val="00C778D1"/>
    <w:rsid w:val="00C778DC"/>
    <w:rsid w:val="00C778F2"/>
    <w:rsid w:val="00C7791B"/>
    <w:rsid w:val="00C77964"/>
    <w:rsid w:val="00C7797C"/>
    <w:rsid w:val="00C779F7"/>
    <w:rsid w:val="00C77AE3"/>
    <w:rsid w:val="00C77BCC"/>
    <w:rsid w:val="00C77C98"/>
    <w:rsid w:val="00C77CF4"/>
    <w:rsid w:val="00C77CFD"/>
    <w:rsid w:val="00C77D6E"/>
    <w:rsid w:val="00C77E42"/>
    <w:rsid w:val="00C77E53"/>
    <w:rsid w:val="00C77E7E"/>
    <w:rsid w:val="00C77EDA"/>
    <w:rsid w:val="00C800BA"/>
    <w:rsid w:val="00C802E1"/>
    <w:rsid w:val="00C80479"/>
    <w:rsid w:val="00C8048B"/>
    <w:rsid w:val="00C804C9"/>
    <w:rsid w:val="00C8062B"/>
    <w:rsid w:val="00C8063B"/>
    <w:rsid w:val="00C8065E"/>
    <w:rsid w:val="00C806A3"/>
    <w:rsid w:val="00C80747"/>
    <w:rsid w:val="00C8074B"/>
    <w:rsid w:val="00C807D0"/>
    <w:rsid w:val="00C80814"/>
    <w:rsid w:val="00C80846"/>
    <w:rsid w:val="00C808D8"/>
    <w:rsid w:val="00C8090C"/>
    <w:rsid w:val="00C80994"/>
    <w:rsid w:val="00C809D9"/>
    <w:rsid w:val="00C80CD4"/>
    <w:rsid w:val="00C80CDA"/>
    <w:rsid w:val="00C80D4B"/>
    <w:rsid w:val="00C80E19"/>
    <w:rsid w:val="00C80E6B"/>
    <w:rsid w:val="00C80F9B"/>
    <w:rsid w:val="00C8103E"/>
    <w:rsid w:val="00C8106E"/>
    <w:rsid w:val="00C810FA"/>
    <w:rsid w:val="00C8112B"/>
    <w:rsid w:val="00C8113C"/>
    <w:rsid w:val="00C81169"/>
    <w:rsid w:val="00C81183"/>
    <w:rsid w:val="00C811C1"/>
    <w:rsid w:val="00C811FC"/>
    <w:rsid w:val="00C81203"/>
    <w:rsid w:val="00C81299"/>
    <w:rsid w:val="00C812A9"/>
    <w:rsid w:val="00C8133E"/>
    <w:rsid w:val="00C81361"/>
    <w:rsid w:val="00C8149A"/>
    <w:rsid w:val="00C81631"/>
    <w:rsid w:val="00C816BF"/>
    <w:rsid w:val="00C816D6"/>
    <w:rsid w:val="00C81734"/>
    <w:rsid w:val="00C81803"/>
    <w:rsid w:val="00C81876"/>
    <w:rsid w:val="00C8195A"/>
    <w:rsid w:val="00C8196B"/>
    <w:rsid w:val="00C819E4"/>
    <w:rsid w:val="00C81A28"/>
    <w:rsid w:val="00C81AB5"/>
    <w:rsid w:val="00C81AB6"/>
    <w:rsid w:val="00C81AD7"/>
    <w:rsid w:val="00C81B38"/>
    <w:rsid w:val="00C81B9E"/>
    <w:rsid w:val="00C81BF0"/>
    <w:rsid w:val="00C81C3A"/>
    <w:rsid w:val="00C81CDB"/>
    <w:rsid w:val="00C81D0C"/>
    <w:rsid w:val="00C81D9D"/>
    <w:rsid w:val="00C81DAF"/>
    <w:rsid w:val="00C81DDE"/>
    <w:rsid w:val="00C81DEC"/>
    <w:rsid w:val="00C81E39"/>
    <w:rsid w:val="00C81EFF"/>
    <w:rsid w:val="00C82054"/>
    <w:rsid w:val="00C8210C"/>
    <w:rsid w:val="00C821D4"/>
    <w:rsid w:val="00C822A7"/>
    <w:rsid w:val="00C823D1"/>
    <w:rsid w:val="00C82473"/>
    <w:rsid w:val="00C824F6"/>
    <w:rsid w:val="00C82523"/>
    <w:rsid w:val="00C825AD"/>
    <w:rsid w:val="00C82659"/>
    <w:rsid w:val="00C82731"/>
    <w:rsid w:val="00C8282D"/>
    <w:rsid w:val="00C82861"/>
    <w:rsid w:val="00C828CB"/>
    <w:rsid w:val="00C8292C"/>
    <w:rsid w:val="00C82946"/>
    <w:rsid w:val="00C82975"/>
    <w:rsid w:val="00C82A26"/>
    <w:rsid w:val="00C82A4B"/>
    <w:rsid w:val="00C82A56"/>
    <w:rsid w:val="00C82BDA"/>
    <w:rsid w:val="00C82C94"/>
    <w:rsid w:val="00C82CF8"/>
    <w:rsid w:val="00C82E7C"/>
    <w:rsid w:val="00C82EBD"/>
    <w:rsid w:val="00C82EEA"/>
    <w:rsid w:val="00C82F40"/>
    <w:rsid w:val="00C82FBB"/>
    <w:rsid w:val="00C82FCB"/>
    <w:rsid w:val="00C831DC"/>
    <w:rsid w:val="00C83344"/>
    <w:rsid w:val="00C83475"/>
    <w:rsid w:val="00C83478"/>
    <w:rsid w:val="00C834F7"/>
    <w:rsid w:val="00C83595"/>
    <w:rsid w:val="00C8359B"/>
    <w:rsid w:val="00C83621"/>
    <w:rsid w:val="00C837E2"/>
    <w:rsid w:val="00C837FF"/>
    <w:rsid w:val="00C83813"/>
    <w:rsid w:val="00C8393B"/>
    <w:rsid w:val="00C8398F"/>
    <w:rsid w:val="00C83A2C"/>
    <w:rsid w:val="00C83A78"/>
    <w:rsid w:val="00C83B0B"/>
    <w:rsid w:val="00C83B7C"/>
    <w:rsid w:val="00C83BF6"/>
    <w:rsid w:val="00C83C07"/>
    <w:rsid w:val="00C83C27"/>
    <w:rsid w:val="00C83C37"/>
    <w:rsid w:val="00C83C48"/>
    <w:rsid w:val="00C83C7D"/>
    <w:rsid w:val="00C83CD4"/>
    <w:rsid w:val="00C83CF7"/>
    <w:rsid w:val="00C83D05"/>
    <w:rsid w:val="00C83D07"/>
    <w:rsid w:val="00C83D56"/>
    <w:rsid w:val="00C83D99"/>
    <w:rsid w:val="00C83DE5"/>
    <w:rsid w:val="00C83E02"/>
    <w:rsid w:val="00C83E6C"/>
    <w:rsid w:val="00C83F14"/>
    <w:rsid w:val="00C83F52"/>
    <w:rsid w:val="00C83F89"/>
    <w:rsid w:val="00C83FAD"/>
    <w:rsid w:val="00C83FFE"/>
    <w:rsid w:val="00C8400F"/>
    <w:rsid w:val="00C840DE"/>
    <w:rsid w:val="00C84131"/>
    <w:rsid w:val="00C8418F"/>
    <w:rsid w:val="00C84297"/>
    <w:rsid w:val="00C84326"/>
    <w:rsid w:val="00C843BA"/>
    <w:rsid w:val="00C84427"/>
    <w:rsid w:val="00C84432"/>
    <w:rsid w:val="00C844CE"/>
    <w:rsid w:val="00C84518"/>
    <w:rsid w:val="00C845B7"/>
    <w:rsid w:val="00C845CD"/>
    <w:rsid w:val="00C845F2"/>
    <w:rsid w:val="00C846F3"/>
    <w:rsid w:val="00C8479C"/>
    <w:rsid w:val="00C8487C"/>
    <w:rsid w:val="00C848E4"/>
    <w:rsid w:val="00C84976"/>
    <w:rsid w:val="00C84AA0"/>
    <w:rsid w:val="00C84AB8"/>
    <w:rsid w:val="00C84B48"/>
    <w:rsid w:val="00C84BA2"/>
    <w:rsid w:val="00C84BE4"/>
    <w:rsid w:val="00C84C29"/>
    <w:rsid w:val="00C84C54"/>
    <w:rsid w:val="00C84C6A"/>
    <w:rsid w:val="00C84C93"/>
    <w:rsid w:val="00C84CC0"/>
    <w:rsid w:val="00C84D19"/>
    <w:rsid w:val="00C84D75"/>
    <w:rsid w:val="00C84D9D"/>
    <w:rsid w:val="00C84DF0"/>
    <w:rsid w:val="00C84E1F"/>
    <w:rsid w:val="00C84E3A"/>
    <w:rsid w:val="00C84F5D"/>
    <w:rsid w:val="00C85076"/>
    <w:rsid w:val="00C850A8"/>
    <w:rsid w:val="00C850DA"/>
    <w:rsid w:val="00C8513E"/>
    <w:rsid w:val="00C8528C"/>
    <w:rsid w:val="00C85296"/>
    <w:rsid w:val="00C8529A"/>
    <w:rsid w:val="00C852B3"/>
    <w:rsid w:val="00C852F3"/>
    <w:rsid w:val="00C8532A"/>
    <w:rsid w:val="00C85331"/>
    <w:rsid w:val="00C85421"/>
    <w:rsid w:val="00C8552F"/>
    <w:rsid w:val="00C855E8"/>
    <w:rsid w:val="00C8567F"/>
    <w:rsid w:val="00C856A6"/>
    <w:rsid w:val="00C856EC"/>
    <w:rsid w:val="00C85746"/>
    <w:rsid w:val="00C85785"/>
    <w:rsid w:val="00C85818"/>
    <w:rsid w:val="00C8583E"/>
    <w:rsid w:val="00C85849"/>
    <w:rsid w:val="00C85879"/>
    <w:rsid w:val="00C8593F"/>
    <w:rsid w:val="00C85A3E"/>
    <w:rsid w:val="00C85A54"/>
    <w:rsid w:val="00C85B05"/>
    <w:rsid w:val="00C85B20"/>
    <w:rsid w:val="00C85B8F"/>
    <w:rsid w:val="00C85D0D"/>
    <w:rsid w:val="00C85DD3"/>
    <w:rsid w:val="00C85E16"/>
    <w:rsid w:val="00C85E30"/>
    <w:rsid w:val="00C85EB3"/>
    <w:rsid w:val="00C85FAC"/>
    <w:rsid w:val="00C86015"/>
    <w:rsid w:val="00C86024"/>
    <w:rsid w:val="00C860F1"/>
    <w:rsid w:val="00C8612D"/>
    <w:rsid w:val="00C86156"/>
    <w:rsid w:val="00C8616A"/>
    <w:rsid w:val="00C8616B"/>
    <w:rsid w:val="00C861AB"/>
    <w:rsid w:val="00C861FB"/>
    <w:rsid w:val="00C86214"/>
    <w:rsid w:val="00C86237"/>
    <w:rsid w:val="00C8629C"/>
    <w:rsid w:val="00C862E4"/>
    <w:rsid w:val="00C8633C"/>
    <w:rsid w:val="00C86375"/>
    <w:rsid w:val="00C863CE"/>
    <w:rsid w:val="00C8644F"/>
    <w:rsid w:val="00C86452"/>
    <w:rsid w:val="00C864D2"/>
    <w:rsid w:val="00C864F4"/>
    <w:rsid w:val="00C86521"/>
    <w:rsid w:val="00C865D2"/>
    <w:rsid w:val="00C86605"/>
    <w:rsid w:val="00C86658"/>
    <w:rsid w:val="00C8667D"/>
    <w:rsid w:val="00C86734"/>
    <w:rsid w:val="00C86735"/>
    <w:rsid w:val="00C86831"/>
    <w:rsid w:val="00C86917"/>
    <w:rsid w:val="00C8696D"/>
    <w:rsid w:val="00C869A9"/>
    <w:rsid w:val="00C869BF"/>
    <w:rsid w:val="00C869D2"/>
    <w:rsid w:val="00C86A16"/>
    <w:rsid w:val="00C86A66"/>
    <w:rsid w:val="00C86A6F"/>
    <w:rsid w:val="00C86A8C"/>
    <w:rsid w:val="00C86AA6"/>
    <w:rsid w:val="00C86B06"/>
    <w:rsid w:val="00C86B5F"/>
    <w:rsid w:val="00C86BED"/>
    <w:rsid w:val="00C86C30"/>
    <w:rsid w:val="00C86C64"/>
    <w:rsid w:val="00C86D1C"/>
    <w:rsid w:val="00C86D27"/>
    <w:rsid w:val="00C86D7E"/>
    <w:rsid w:val="00C86E9D"/>
    <w:rsid w:val="00C86EF0"/>
    <w:rsid w:val="00C86F3D"/>
    <w:rsid w:val="00C8709E"/>
    <w:rsid w:val="00C87103"/>
    <w:rsid w:val="00C8712E"/>
    <w:rsid w:val="00C871A2"/>
    <w:rsid w:val="00C871CB"/>
    <w:rsid w:val="00C87227"/>
    <w:rsid w:val="00C87236"/>
    <w:rsid w:val="00C872A3"/>
    <w:rsid w:val="00C872D9"/>
    <w:rsid w:val="00C87309"/>
    <w:rsid w:val="00C8733A"/>
    <w:rsid w:val="00C8741D"/>
    <w:rsid w:val="00C87424"/>
    <w:rsid w:val="00C874EF"/>
    <w:rsid w:val="00C87530"/>
    <w:rsid w:val="00C87538"/>
    <w:rsid w:val="00C87587"/>
    <w:rsid w:val="00C875F5"/>
    <w:rsid w:val="00C87626"/>
    <w:rsid w:val="00C876DD"/>
    <w:rsid w:val="00C876FA"/>
    <w:rsid w:val="00C876FC"/>
    <w:rsid w:val="00C877D4"/>
    <w:rsid w:val="00C877E6"/>
    <w:rsid w:val="00C8781B"/>
    <w:rsid w:val="00C878E3"/>
    <w:rsid w:val="00C87901"/>
    <w:rsid w:val="00C879AD"/>
    <w:rsid w:val="00C879E2"/>
    <w:rsid w:val="00C87A31"/>
    <w:rsid w:val="00C87A3C"/>
    <w:rsid w:val="00C87A82"/>
    <w:rsid w:val="00C87A94"/>
    <w:rsid w:val="00C87A96"/>
    <w:rsid w:val="00C87AB6"/>
    <w:rsid w:val="00C87B3B"/>
    <w:rsid w:val="00C87C08"/>
    <w:rsid w:val="00C87C97"/>
    <w:rsid w:val="00C87CAB"/>
    <w:rsid w:val="00C87CAC"/>
    <w:rsid w:val="00C87CF0"/>
    <w:rsid w:val="00C87D70"/>
    <w:rsid w:val="00C87D84"/>
    <w:rsid w:val="00C87E91"/>
    <w:rsid w:val="00C87EC1"/>
    <w:rsid w:val="00C90001"/>
    <w:rsid w:val="00C90037"/>
    <w:rsid w:val="00C90053"/>
    <w:rsid w:val="00C9007F"/>
    <w:rsid w:val="00C9012B"/>
    <w:rsid w:val="00C90225"/>
    <w:rsid w:val="00C90285"/>
    <w:rsid w:val="00C90318"/>
    <w:rsid w:val="00C90346"/>
    <w:rsid w:val="00C903AF"/>
    <w:rsid w:val="00C9047D"/>
    <w:rsid w:val="00C90517"/>
    <w:rsid w:val="00C90633"/>
    <w:rsid w:val="00C9064F"/>
    <w:rsid w:val="00C9068F"/>
    <w:rsid w:val="00C90775"/>
    <w:rsid w:val="00C907BB"/>
    <w:rsid w:val="00C90878"/>
    <w:rsid w:val="00C908FB"/>
    <w:rsid w:val="00C909A5"/>
    <w:rsid w:val="00C909AE"/>
    <w:rsid w:val="00C909E7"/>
    <w:rsid w:val="00C90A76"/>
    <w:rsid w:val="00C90AAD"/>
    <w:rsid w:val="00C90ACD"/>
    <w:rsid w:val="00C90AE3"/>
    <w:rsid w:val="00C90AEA"/>
    <w:rsid w:val="00C90AF5"/>
    <w:rsid w:val="00C90BD6"/>
    <w:rsid w:val="00C90C6D"/>
    <w:rsid w:val="00C90CC1"/>
    <w:rsid w:val="00C90D9B"/>
    <w:rsid w:val="00C90E68"/>
    <w:rsid w:val="00C91107"/>
    <w:rsid w:val="00C91267"/>
    <w:rsid w:val="00C912D0"/>
    <w:rsid w:val="00C913E7"/>
    <w:rsid w:val="00C91464"/>
    <w:rsid w:val="00C9151C"/>
    <w:rsid w:val="00C9155A"/>
    <w:rsid w:val="00C91586"/>
    <w:rsid w:val="00C915FC"/>
    <w:rsid w:val="00C9168F"/>
    <w:rsid w:val="00C916AF"/>
    <w:rsid w:val="00C916B0"/>
    <w:rsid w:val="00C9173C"/>
    <w:rsid w:val="00C91763"/>
    <w:rsid w:val="00C91798"/>
    <w:rsid w:val="00C917DA"/>
    <w:rsid w:val="00C917FC"/>
    <w:rsid w:val="00C91829"/>
    <w:rsid w:val="00C9182A"/>
    <w:rsid w:val="00C91A19"/>
    <w:rsid w:val="00C91A24"/>
    <w:rsid w:val="00C91B14"/>
    <w:rsid w:val="00C91C1A"/>
    <w:rsid w:val="00C91C2D"/>
    <w:rsid w:val="00C91C75"/>
    <w:rsid w:val="00C91C8C"/>
    <w:rsid w:val="00C91CD0"/>
    <w:rsid w:val="00C91D49"/>
    <w:rsid w:val="00C91EC1"/>
    <w:rsid w:val="00C91FA3"/>
    <w:rsid w:val="00C92027"/>
    <w:rsid w:val="00C9204D"/>
    <w:rsid w:val="00C9215E"/>
    <w:rsid w:val="00C9218E"/>
    <w:rsid w:val="00C92254"/>
    <w:rsid w:val="00C922D2"/>
    <w:rsid w:val="00C92364"/>
    <w:rsid w:val="00C92558"/>
    <w:rsid w:val="00C925DE"/>
    <w:rsid w:val="00C9267B"/>
    <w:rsid w:val="00C92681"/>
    <w:rsid w:val="00C926E8"/>
    <w:rsid w:val="00C926EC"/>
    <w:rsid w:val="00C927BC"/>
    <w:rsid w:val="00C927E1"/>
    <w:rsid w:val="00C92823"/>
    <w:rsid w:val="00C92840"/>
    <w:rsid w:val="00C9284E"/>
    <w:rsid w:val="00C92893"/>
    <w:rsid w:val="00C928DE"/>
    <w:rsid w:val="00C92904"/>
    <w:rsid w:val="00C92916"/>
    <w:rsid w:val="00C9291E"/>
    <w:rsid w:val="00C9299D"/>
    <w:rsid w:val="00C929CA"/>
    <w:rsid w:val="00C92A4F"/>
    <w:rsid w:val="00C92AD2"/>
    <w:rsid w:val="00C92BBF"/>
    <w:rsid w:val="00C92BFA"/>
    <w:rsid w:val="00C92BFD"/>
    <w:rsid w:val="00C92D11"/>
    <w:rsid w:val="00C92D7C"/>
    <w:rsid w:val="00C92E00"/>
    <w:rsid w:val="00C92E0E"/>
    <w:rsid w:val="00C92E80"/>
    <w:rsid w:val="00C92FA0"/>
    <w:rsid w:val="00C93200"/>
    <w:rsid w:val="00C9322D"/>
    <w:rsid w:val="00C93231"/>
    <w:rsid w:val="00C93276"/>
    <w:rsid w:val="00C93360"/>
    <w:rsid w:val="00C9345D"/>
    <w:rsid w:val="00C93486"/>
    <w:rsid w:val="00C9355D"/>
    <w:rsid w:val="00C93564"/>
    <w:rsid w:val="00C935AE"/>
    <w:rsid w:val="00C935B5"/>
    <w:rsid w:val="00C937A0"/>
    <w:rsid w:val="00C937CC"/>
    <w:rsid w:val="00C93813"/>
    <w:rsid w:val="00C9386D"/>
    <w:rsid w:val="00C93882"/>
    <w:rsid w:val="00C938AF"/>
    <w:rsid w:val="00C9390C"/>
    <w:rsid w:val="00C93B6C"/>
    <w:rsid w:val="00C93BBD"/>
    <w:rsid w:val="00C93BF6"/>
    <w:rsid w:val="00C93CAE"/>
    <w:rsid w:val="00C93CB1"/>
    <w:rsid w:val="00C93D39"/>
    <w:rsid w:val="00C93E67"/>
    <w:rsid w:val="00C93EFC"/>
    <w:rsid w:val="00C93F64"/>
    <w:rsid w:val="00C93F84"/>
    <w:rsid w:val="00C94030"/>
    <w:rsid w:val="00C940B5"/>
    <w:rsid w:val="00C94139"/>
    <w:rsid w:val="00C941B0"/>
    <w:rsid w:val="00C941FE"/>
    <w:rsid w:val="00C942B1"/>
    <w:rsid w:val="00C942B9"/>
    <w:rsid w:val="00C942F7"/>
    <w:rsid w:val="00C94390"/>
    <w:rsid w:val="00C943DA"/>
    <w:rsid w:val="00C94474"/>
    <w:rsid w:val="00C94554"/>
    <w:rsid w:val="00C94571"/>
    <w:rsid w:val="00C94637"/>
    <w:rsid w:val="00C94648"/>
    <w:rsid w:val="00C9468C"/>
    <w:rsid w:val="00C9474F"/>
    <w:rsid w:val="00C94799"/>
    <w:rsid w:val="00C9479D"/>
    <w:rsid w:val="00C94973"/>
    <w:rsid w:val="00C9498D"/>
    <w:rsid w:val="00C9499F"/>
    <w:rsid w:val="00C949D3"/>
    <w:rsid w:val="00C94B4F"/>
    <w:rsid w:val="00C94B74"/>
    <w:rsid w:val="00C94C30"/>
    <w:rsid w:val="00C94C47"/>
    <w:rsid w:val="00C94C54"/>
    <w:rsid w:val="00C94C86"/>
    <w:rsid w:val="00C94CE2"/>
    <w:rsid w:val="00C94D61"/>
    <w:rsid w:val="00C94D77"/>
    <w:rsid w:val="00C94DAC"/>
    <w:rsid w:val="00C94DAF"/>
    <w:rsid w:val="00C94DDE"/>
    <w:rsid w:val="00C94DE3"/>
    <w:rsid w:val="00C94E5B"/>
    <w:rsid w:val="00C94F1B"/>
    <w:rsid w:val="00C94F63"/>
    <w:rsid w:val="00C94F74"/>
    <w:rsid w:val="00C94FE0"/>
    <w:rsid w:val="00C95011"/>
    <w:rsid w:val="00C9508C"/>
    <w:rsid w:val="00C9512E"/>
    <w:rsid w:val="00C95194"/>
    <w:rsid w:val="00C951B2"/>
    <w:rsid w:val="00C95246"/>
    <w:rsid w:val="00C953D8"/>
    <w:rsid w:val="00C9545F"/>
    <w:rsid w:val="00C954A3"/>
    <w:rsid w:val="00C954B4"/>
    <w:rsid w:val="00C9571A"/>
    <w:rsid w:val="00C95779"/>
    <w:rsid w:val="00C9579C"/>
    <w:rsid w:val="00C957B9"/>
    <w:rsid w:val="00C95A07"/>
    <w:rsid w:val="00C95A0D"/>
    <w:rsid w:val="00C95A3C"/>
    <w:rsid w:val="00C95AA9"/>
    <w:rsid w:val="00C95B5C"/>
    <w:rsid w:val="00C95B85"/>
    <w:rsid w:val="00C95BE3"/>
    <w:rsid w:val="00C95BE6"/>
    <w:rsid w:val="00C95BEC"/>
    <w:rsid w:val="00C95BED"/>
    <w:rsid w:val="00C95BF4"/>
    <w:rsid w:val="00C95E7B"/>
    <w:rsid w:val="00C95EF0"/>
    <w:rsid w:val="00C95F4F"/>
    <w:rsid w:val="00C95FBF"/>
    <w:rsid w:val="00C96139"/>
    <w:rsid w:val="00C96147"/>
    <w:rsid w:val="00C961FF"/>
    <w:rsid w:val="00C9620F"/>
    <w:rsid w:val="00C9627C"/>
    <w:rsid w:val="00C962C4"/>
    <w:rsid w:val="00C962E9"/>
    <w:rsid w:val="00C96338"/>
    <w:rsid w:val="00C964DF"/>
    <w:rsid w:val="00C96520"/>
    <w:rsid w:val="00C9652E"/>
    <w:rsid w:val="00C96533"/>
    <w:rsid w:val="00C9658C"/>
    <w:rsid w:val="00C965B4"/>
    <w:rsid w:val="00C966BD"/>
    <w:rsid w:val="00C967E9"/>
    <w:rsid w:val="00C96817"/>
    <w:rsid w:val="00C96857"/>
    <w:rsid w:val="00C96870"/>
    <w:rsid w:val="00C96890"/>
    <w:rsid w:val="00C9690B"/>
    <w:rsid w:val="00C96978"/>
    <w:rsid w:val="00C96A6A"/>
    <w:rsid w:val="00C96A6B"/>
    <w:rsid w:val="00C96BDC"/>
    <w:rsid w:val="00C96CBB"/>
    <w:rsid w:val="00C96FA7"/>
    <w:rsid w:val="00C97186"/>
    <w:rsid w:val="00C971A9"/>
    <w:rsid w:val="00C971EF"/>
    <w:rsid w:val="00C97241"/>
    <w:rsid w:val="00C9727F"/>
    <w:rsid w:val="00C97289"/>
    <w:rsid w:val="00C9739B"/>
    <w:rsid w:val="00C973A3"/>
    <w:rsid w:val="00C97456"/>
    <w:rsid w:val="00C9749C"/>
    <w:rsid w:val="00C974B2"/>
    <w:rsid w:val="00C975B6"/>
    <w:rsid w:val="00C9762B"/>
    <w:rsid w:val="00C97691"/>
    <w:rsid w:val="00C976A2"/>
    <w:rsid w:val="00C97703"/>
    <w:rsid w:val="00C977C2"/>
    <w:rsid w:val="00C97826"/>
    <w:rsid w:val="00C97836"/>
    <w:rsid w:val="00C97946"/>
    <w:rsid w:val="00C9794D"/>
    <w:rsid w:val="00C97976"/>
    <w:rsid w:val="00C97B3E"/>
    <w:rsid w:val="00C97B43"/>
    <w:rsid w:val="00C97BFB"/>
    <w:rsid w:val="00C97C0A"/>
    <w:rsid w:val="00C97CE0"/>
    <w:rsid w:val="00C97D10"/>
    <w:rsid w:val="00C97DF5"/>
    <w:rsid w:val="00C97E87"/>
    <w:rsid w:val="00C97ECA"/>
    <w:rsid w:val="00C97F17"/>
    <w:rsid w:val="00C97FC1"/>
    <w:rsid w:val="00CA002D"/>
    <w:rsid w:val="00CA006C"/>
    <w:rsid w:val="00CA00AE"/>
    <w:rsid w:val="00CA011F"/>
    <w:rsid w:val="00CA013D"/>
    <w:rsid w:val="00CA0150"/>
    <w:rsid w:val="00CA0275"/>
    <w:rsid w:val="00CA027C"/>
    <w:rsid w:val="00CA02AA"/>
    <w:rsid w:val="00CA02B4"/>
    <w:rsid w:val="00CA02F1"/>
    <w:rsid w:val="00CA02F4"/>
    <w:rsid w:val="00CA02FA"/>
    <w:rsid w:val="00CA0300"/>
    <w:rsid w:val="00CA0301"/>
    <w:rsid w:val="00CA030E"/>
    <w:rsid w:val="00CA0372"/>
    <w:rsid w:val="00CA03C9"/>
    <w:rsid w:val="00CA03EF"/>
    <w:rsid w:val="00CA0586"/>
    <w:rsid w:val="00CA059E"/>
    <w:rsid w:val="00CA067C"/>
    <w:rsid w:val="00CA06F7"/>
    <w:rsid w:val="00CA0803"/>
    <w:rsid w:val="00CA087F"/>
    <w:rsid w:val="00CA089D"/>
    <w:rsid w:val="00CA0A61"/>
    <w:rsid w:val="00CA0AEB"/>
    <w:rsid w:val="00CA0BAA"/>
    <w:rsid w:val="00CA0C06"/>
    <w:rsid w:val="00CA0C7E"/>
    <w:rsid w:val="00CA0CBE"/>
    <w:rsid w:val="00CA0D01"/>
    <w:rsid w:val="00CA0D6C"/>
    <w:rsid w:val="00CA0DA0"/>
    <w:rsid w:val="00CA0E6A"/>
    <w:rsid w:val="00CA0EA4"/>
    <w:rsid w:val="00CA0EB3"/>
    <w:rsid w:val="00CA0EC2"/>
    <w:rsid w:val="00CA0EE5"/>
    <w:rsid w:val="00CA0F0C"/>
    <w:rsid w:val="00CA107B"/>
    <w:rsid w:val="00CA1080"/>
    <w:rsid w:val="00CA10BD"/>
    <w:rsid w:val="00CA10D0"/>
    <w:rsid w:val="00CA112B"/>
    <w:rsid w:val="00CA1208"/>
    <w:rsid w:val="00CA1221"/>
    <w:rsid w:val="00CA1247"/>
    <w:rsid w:val="00CA12F5"/>
    <w:rsid w:val="00CA135C"/>
    <w:rsid w:val="00CA143A"/>
    <w:rsid w:val="00CA1441"/>
    <w:rsid w:val="00CA1485"/>
    <w:rsid w:val="00CA1493"/>
    <w:rsid w:val="00CA154A"/>
    <w:rsid w:val="00CA162D"/>
    <w:rsid w:val="00CA1661"/>
    <w:rsid w:val="00CA166E"/>
    <w:rsid w:val="00CA16DE"/>
    <w:rsid w:val="00CA16E8"/>
    <w:rsid w:val="00CA1717"/>
    <w:rsid w:val="00CA1722"/>
    <w:rsid w:val="00CA19A2"/>
    <w:rsid w:val="00CA19E8"/>
    <w:rsid w:val="00CA1A15"/>
    <w:rsid w:val="00CA1A2F"/>
    <w:rsid w:val="00CA1A38"/>
    <w:rsid w:val="00CA1A7F"/>
    <w:rsid w:val="00CA1A95"/>
    <w:rsid w:val="00CA1B15"/>
    <w:rsid w:val="00CA1BE9"/>
    <w:rsid w:val="00CA1CE6"/>
    <w:rsid w:val="00CA1D53"/>
    <w:rsid w:val="00CA1D95"/>
    <w:rsid w:val="00CA1D9C"/>
    <w:rsid w:val="00CA1DF9"/>
    <w:rsid w:val="00CA1E0B"/>
    <w:rsid w:val="00CA1E48"/>
    <w:rsid w:val="00CA1E71"/>
    <w:rsid w:val="00CA1EF5"/>
    <w:rsid w:val="00CA1F9D"/>
    <w:rsid w:val="00CA2007"/>
    <w:rsid w:val="00CA200B"/>
    <w:rsid w:val="00CA2031"/>
    <w:rsid w:val="00CA205E"/>
    <w:rsid w:val="00CA2088"/>
    <w:rsid w:val="00CA20B6"/>
    <w:rsid w:val="00CA212D"/>
    <w:rsid w:val="00CA213A"/>
    <w:rsid w:val="00CA2167"/>
    <w:rsid w:val="00CA228D"/>
    <w:rsid w:val="00CA2349"/>
    <w:rsid w:val="00CA2369"/>
    <w:rsid w:val="00CA2384"/>
    <w:rsid w:val="00CA23CD"/>
    <w:rsid w:val="00CA24DB"/>
    <w:rsid w:val="00CA2508"/>
    <w:rsid w:val="00CA2586"/>
    <w:rsid w:val="00CA25C6"/>
    <w:rsid w:val="00CA25CE"/>
    <w:rsid w:val="00CA25EA"/>
    <w:rsid w:val="00CA287D"/>
    <w:rsid w:val="00CA28DF"/>
    <w:rsid w:val="00CA28EA"/>
    <w:rsid w:val="00CA29F1"/>
    <w:rsid w:val="00CA2A89"/>
    <w:rsid w:val="00CA2AA2"/>
    <w:rsid w:val="00CA2AB3"/>
    <w:rsid w:val="00CA2AC6"/>
    <w:rsid w:val="00CA2AC7"/>
    <w:rsid w:val="00CA2BA5"/>
    <w:rsid w:val="00CA2C08"/>
    <w:rsid w:val="00CA2C45"/>
    <w:rsid w:val="00CA2C8A"/>
    <w:rsid w:val="00CA2CAD"/>
    <w:rsid w:val="00CA2D71"/>
    <w:rsid w:val="00CA2DBD"/>
    <w:rsid w:val="00CA2DDA"/>
    <w:rsid w:val="00CA2F4E"/>
    <w:rsid w:val="00CA2FF0"/>
    <w:rsid w:val="00CA3036"/>
    <w:rsid w:val="00CA3037"/>
    <w:rsid w:val="00CA3060"/>
    <w:rsid w:val="00CA3104"/>
    <w:rsid w:val="00CA3138"/>
    <w:rsid w:val="00CA3145"/>
    <w:rsid w:val="00CA316D"/>
    <w:rsid w:val="00CA3216"/>
    <w:rsid w:val="00CA321E"/>
    <w:rsid w:val="00CA3280"/>
    <w:rsid w:val="00CA3298"/>
    <w:rsid w:val="00CA32A4"/>
    <w:rsid w:val="00CA331F"/>
    <w:rsid w:val="00CA3461"/>
    <w:rsid w:val="00CA3482"/>
    <w:rsid w:val="00CA34A9"/>
    <w:rsid w:val="00CA34BB"/>
    <w:rsid w:val="00CA353A"/>
    <w:rsid w:val="00CA35BB"/>
    <w:rsid w:val="00CA35CC"/>
    <w:rsid w:val="00CA364E"/>
    <w:rsid w:val="00CA3728"/>
    <w:rsid w:val="00CA37E8"/>
    <w:rsid w:val="00CA384C"/>
    <w:rsid w:val="00CA387E"/>
    <w:rsid w:val="00CA38A6"/>
    <w:rsid w:val="00CA38B4"/>
    <w:rsid w:val="00CA391B"/>
    <w:rsid w:val="00CA396A"/>
    <w:rsid w:val="00CA3997"/>
    <w:rsid w:val="00CA3A12"/>
    <w:rsid w:val="00CA3A63"/>
    <w:rsid w:val="00CA3A95"/>
    <w:rsid w:val="00CA3AB1"/>
    <w:rsid w:val="00CA3AD9"/>
    <w:rsid w:val="00CA3AF4"/>
    <w:rsid w:val="00CA3B55"/>
    <w:rsid w:val="00CA3B90"/>
    <w:rsid w:val="00CA3BEA"/>
    <w:rsid w:val="00CA3C4C"/>
    <w:rsid w:val="00CA3CEF"/>
    <w:rsid w:val="00CA3D2C"/>
    <w:rsid w:val="00CA3DAE"/>
    <w:rsid w:val="00CA3DF0"/>
    <w:rsid w:val="00CA3DF2"/>
    <w:rsid w:val="00CA3E73"/>
    <w:rsid w:val="00CA3ED5"/>
    <w:rsid w:val="00CA3F54"/>
    <w:rsid w:val="00CA3F96"/>
    <w:rsid w:val="00CA3FAB"/>
    <w:rsid w:val="00CA3FB0"/>
    <w:rsid w:val="00CA4059"/>
    <w:rsid w:val="00CA405A"/>
    <w:rsid w:val="00CA4094"/>
    <w:rsid w:val="00CA4342"/>
    <w:rsid w:val="00CA4359"/>
    <w:rsid w:val="00CA4459"/>
    <w:rsid w:val="00CA445B"/>
    <w:rsid w:val="00CA446F"/>
    <w:rsid w:val="00CA4557"/>
    <w:rsid w:val="00CA455D"/>
    <w:rsid w:val="00CA4595"/>
    <w:rsid w:val="00CA45B4"/>
    <w:rsid w:val="00CA45E6"/>
    <w:rsid w:val="00CA45F5"/>
    <w:rsid w:val="00CA460B"/>
    <w:rsid w:val="00CA4661"/>
    <w:rsid w:val="00CA466D"/>
    <w:rsid w:val="00CA46EB"/>
    <w:rsid w:val="00CA47FC"/>
    <w:rsid w:val="00CA48AB"/>
    <w:rsid w:val="00CA4A08"/>
    <w:rsid w:val="00CA4A28"/>
    <w:rsid w:val="00CA4A2B"/>
    <w:rsid w:val="00CA4A2E"/>
    <w:rsid w:val="00CA4A31"/>
    <w:rsid w:val="00CA4A80"/>
    <w:rsid w:val="00CA4A9E"/>
    <w:rsid w:val="00CA4AF3"/>
    <w:rsid w:val="00CA4AFB"/>
    <w:rsid w:val="00CA4AFF"/>
    <w:rsid w:val="00CA4B6C"/>
    <w:rsid w:val="00CA4C68"/>
    <w:rsid w:val="00CA4D49"/>
    <w:rsid w:val="00CA4D6D"/>
    <w:rsid w:val="00CA4D7B"/>
    <w:rsid w:val="00CA4DE2"/>
    <w:rsid w:val="00CA4E7A"/>
    <w:rsid w:val="00CA4EB7"/>
    <w:rsid w:val="00CA4F15"/>
    <w:rsid w:val="00CA4F98"/>
    <w:rsid w:val="00CA4FCD"/>
    <w:rsid w:val="00CA50C7"/>
    <w:rsid w:val="00CA50C9"/>
    <w:rsid w:val="00CA5116"/>
    <w:rsid w:val="00CA518F"/>
    <w:rsid w:val="00CA5217"/>
    <w:rsid w:val="00CA5222"/>
    <w:rsid w:val="00CA5288"/>
    <w:rsid w:val="00CA54D9"/>
    <w:rsid w:val="00CA550E"/>
    <w:rsid w:val="00CA55A5"/>
    <w:rsid w:val="00CA5601"/>
    <w:rsid w:val="00CA5614"/>
    <w:rsid w:val="00CA567A"/>
    <w:rsid w:val="00CA5709"/>
    <w:rsid w:val="00CA570B"/>
    <w:rsid w:val="00CA57DD"/>
    <w:rsid w:val="00CA5851"/>
    <w:rsid w:val="00CA58A6"/>
    <w:rsid w:val="00CA58D5"/>
    <w:rsid w:val="00CA594C"/>
    <w:rsid w:val="00CA59D7"/>
    <w:rsid w:val="00CA59FF"/>
    <w:rsid w:val="00CA5A0C"/>
    <w:rsid w:val="00CA5A49"/>
    <w:rsid w:val="00CA5AAC"/>
    <w:rsid w:val="00CA5AE8"/>
    <w:rsid w:val="00CA5B63"/>
    <w:rsid w:val="00CA5B7A"/>
    <w:rsid w:val="00CA5B8B"/>
    <w:rsid w:val="00CA5BA0"/>
    <w:rsid w:val="00CA5BAA"/>
    <w:rsid w:val="00CA5BB6"/>
    <w:rsid w:val="00CA5C78"/>
    <w:rsid w:val="00CA5D25"/>
    <w:rsid w:val="00CA5D5A"/>
    <w:rsid w:val="00CA5D77"/>
    <w:rsid w:val="00CA5DA8"/>
    <w:rsid w:val="00CA5DCE"/>
    <w:rsid w:val="00CA5E06"/>
    <w:rsid w:val="00CA5EED"/>
    <w:rsid w:val="00CA5F2E"/>
    <w:rsid w:val="00CA5F3D"/>
    <w:rsid w:val="00CA5F60"/>
    <w:rsid w:val="00CA5F65"/>
    <w:rsid w:val="00CA5FD2"/>
    <w:rsid w:val="00CA5FDC"/>
    <w:rsid w:val="00CA606B"/>
    <w:rsid w:val="00CA616F"/>
    <w:rsid w:val="00CA6271"/>
    <w:rsid w:val="00CA62D1"/>
    <w:rsid w:val="00CA6357"/>
    <w:rsid w:val="00CA63AF"/>
    <w:rsid w:val="00CA63BF"/>
    <w:rsid w:val="00CA63FB"/>
    <w:rsid w:val="00CA64BA"/>
    <w:rsid w:val="00CA64F5"/>
    <w:rsid w:val="00CA6507"/>
    <w:rsid w:val="00CA6621"/>
    <w:rsid w:val="00CA6689"/>
    <w:rsid w:val="00CA66E1"/>
    <w:rsid w:val="00CA673E"/>
    <w:rsid w:val="00CA676A"/>
    <w:rsid w:val="00CA6826"/>
    <w:rsid w:val="00CA6832"/>
    <w:rsid w:val="00CA6834"/>
    <w:rsid w:val="00CA68A2"/>
    <w:rsid w:val="00CA68B4"/>
    <w:rsid w:val="00CA69C4"/>
    <w:rsid w:val="00CA6AA6"/>
    <w:rsid w:val="00CA6AFC"/>
    <w:rsid w:val="00CA6B8F"/>
    <w:rsid w:val="00CA6B9D"/>
    <w:rsid w:val="00CA6BA1"/>
    <w:rsid w:val="00CA6BCA"/>
    <w:rsid w:val="00CA6BF7"/>
    <w:rsid w:val="00CA6C5A"/>
    <w:rsid w:val="00CA6D87"/>
    <w:rsid w:val="00CA6E75"/>
    <w:rsid w:val="00CA6E8E"/>
    <w:rsid w:val="00CA6E9A"/>
    <w:rsid w:val="00CA6ED0"/>
    <w:rsid w:val="00CA6ED3"/>
    <w:rsid w:val="00CA6EE1"/>
    <w:rsid w:val="00CA6F0B"/>
    <w:rsid w:val="00CA6F65"/>
    <w:rsid w:val="00CA6F87"/>
    <w:rsid w:val="00CA6F9F"/>
    <w:rsid w:val="00CA6FA6"/>
    <w:rsid w:val="00CA6FEA"/>
    <w:rsid w:val="00CA700D"/>
    <w:rsid w:val="00CA701C"/>
    <w:rsid w:val="00CA7069"/>
    <w:rsid w:val="00CA71A9"/>
    <w:rsid w:val="00CA7341"/>
    <w:rsid w:val="00CA7385"/>
    <w:rsid w:val="00CA73B5"/>
    <w:rsid w:val="00CA73D2"/>
    <w:rsid w:val="00CA742B"/>
    <w:rsid w:val="00CA7488"/>
    <w:rsid w:val="00CA763D"/>
    <w:rsid w:val="00CA773F"/>
    <w:rsid w:val="00CA78C3"/>
    <w:rsid w:val="00CA7921"/>
    <w:rsid w:val="00CA7999"/>
    <w:rsid w:val="00CA7A3B"/>
    <w:rsid w:val="00CA7A91"/>
    <w:rsid w:val="00CA7ABE"/>
    <w:rsid w:val="00CA7AE8"/>
    <w:rsid w:val="00CA7B2A"/>
    <w:rsid w:val="00CA7BBE"/>
    <w:rsid w:val="00CA7BFA"/>
    <w:rsid w:val="00CA7DCD"/>
    <w:rsid w:val="00CA7EAB"/>
    <w:rsid w:val="00CA7F07"/>
    <w:rsid w:val="00CA7F32"/>
    <w:rsid w:val="00CA7F51"/>
    <w:rsid w:val="00CA7F54"/>
    <w:rsid w:val="00CA7F9C"/>
    <w:rsid w:val="00CA7FDC"/>
    <w:rsid w:val="00CA7FEE"/>
    <w:rsid w:val="00CB0010"/>
    <w:rsid w:val="00CB0069"/>
    <w:rsid w:val="00CB00B5"/>
    <w:rsid w:val="00CB00C3"/>
    <w:rsid w:val="00CB00DD"/>
    <w:rsid w:val="00CB01BF"/>
    <w:rsid w:val="00CB02A2"/>
    <w:rsid w:val="00CB02E5"/>
    <w:rsid w:val="00CB037F"/>
    <w:rsid w:val="00CB03E7"/>
    <w:rsid w:val="00CB04F8"/>
    <w:rsid w:val="00CB05C4"/>
    <w:rsid w:val="00CB0620"/>
    <w:rsid w:val="00CB0703"/>
    <w:rsid w:val="00CB077B"/>
    <w:rsid w:val="00CB079B"/>
    <w:rsid w:val="00CB07ED"/>
    <w:rsid w:val="00CB083B"/>
    <w:rsid w:val="00CB0847"/>
    <w:rsid w:val="00CB0892"/>
    <w:rsid w:val="00CB08D5"/>
    <w:rsid w:val="00CB08EA"/>
    <w:rsid w:val="00CB08F9"/>
    <w:rsid w:val="00CB093B"/>
    <w:rsid w:val="00CB0A54"/>
    <w:rsid w:val="00CB0A9B"/>
    <w:rsid w:val="00CB0AB6"/>
    <w:rsid w:val="00CB0AC5"/>
    <w:rsid w:val="00CB0B00"/>
    <w:rsid w:val="00CB0B8D"/>
    <w:rsid w:val="00CB0B9D"/>
    <w:rsid w:val="00CB0C5F"/>
    <w:rsid w:val="00CB0CAC"/>
    <w:rsid w:val="00CB0D03"/>
    <w:rsid w:val="00CB0DA5"/>
    <w:rsid w:val="00CB0ED2"/>
    <w:rsid w:val="00CB0ED6"/>
    <w:rsid w:val="00CB0F73"/>
    <w:rsid w:val="00CB0FEA"/>
    <w:rsid w:val="00CB1049"/>
    <w:rsid w:val="00CB10A0"/>
    <w:rsid w:val="00CB10C7"/>
    <w:rsid w:val="00CB10D4"/>
    <w:rsid w:val="00CB10DE"/>
    <w:rsid w:val="00CB1165"/>
    <w:rsid w:val="00CB116E"/>
    <w:rsid w:val="00CB12A4"/>
    <w:rsid w:val="00CB14AA"/>
    <w:rsid w:val="00CB14AF"/>
    <w:rsid w:val="00CB14BC"/>
    <w:rsid w:val="00CB14EC"/>
    <w:rsid w:val="00CB15F2"/>
    <w:rsid w:val="00CB1640"/>
    <w:rsid w:val="00CB167C"/>
    <w:rsid w:val="00CB17B2"/>
    <w:rsid w:val="00CB17BC"/>
    <w:rsid w:val="00CB17E3"/>
    <w:rsid w:val="00CB17FA"/>
    <w:rsid w:val="00CB1843"/>
    <w:rsid w:val="00CB1844"/>
    <w:rsid w:val="00CB18C2"/>
    <w:rsid w:val="00CB18E7"/>
    <w:rsid w:val="00CB18E8"/>
    <w:rsid w:val="00CB194C"/>
    <w:rsid w:val="00CB19CC"/>
    <w:rsid w:val="00CB19FF"/>
    <w:rsid w:val="00CB1AAC"/>
    <w:rsid w:val="00CB1AFA"/>
    <w:rsid w:val="00CB1B98"/>
    <w:rsid w:val="00CB1BE6"/>
    <w:rsid w:val="00CB1C10"/>
    <w:rsid w:val="00CB1C33"/>
    <w:rsid w:val="00CB1C7A"/>
    <w:rsid w:val="00CB1CC4"/>
    <w:rsid w:val="00CB1D54"/>
    <w:rsid w:val="00CB1D57"/>
    <w:rsid w:val="00CB1D90"/>
    <w:rsid w:val="00CB1E86"/>
    <w:rsid w:val="00CB1EEC"/>
    <w:rsid w:val="00CB1EF2"/>
    <w:rsid w:val="00CB1F34"/>
    <w:rsid w:val="00CB20D2"/>
    <w:rsid w:val="00CB2117"/>
    <w:rsid w:val="00CB212C"/>
    <w:rsid w:val="00CB216C"/>
    <w:rsid w:val="00CB21AA"/>
    <w:rsid w:val="00CB223A"/>
    <w:rsid w:val="00CB22B4"/>
    <w:rsid w:val="00CB22CC"/>
    <w:rsid w:val="00CB22FE"/>
    <w:rsid w:val="00CB2337"/>
    <w:rsid w:val="00CB2366"/>
    <w:rsid w:val="00CB236F"/>
    <w:rsid w:val="00CB23B5"/>
    <w:rsid w:val="00CB2508"/>
    <w:rsid w:val="00CB2538"/>
    <w:rsid w:val="00CB25A6"/>
    <w:rsid w:val="00CB25CA"/>
    <w:rsid w:val="00CB25F8"/>
    <w:rsid w:val="00CB261B"/>
    <w:rsid w:val="00CB2747"/>
    <w:rsid w:val="00CB284D"/>
    <w:rsid w:val="00CB28ED"/>
    <w:rsid w:val="00CB299B"/>
    <w:rsid w:val="00CB2A83"/>
    <w:rsid w:val="00CB2B14"/>
    <w:rsid w:val="00CB2BB1"/>
    <w:rsid w:val="00CB2D88"/>
    <w:rsid w:val="00CB2DAC"/>
    <w:rsid w:val="00CB2E7E"/>
    <w:rsid w:val="00CB2F1D"/>
    <w:rsid w:val="00CB2F27"/>
    <w:rsid w:val="00CB2F33"/>
    <w:rsid w:val="00CB2F55"/>
    <w:rsid w:val="00CB2FAB"/>
    <w:rsid w:val="00CB2FC8"/>
    <w:rsid w:val="00CB3003"/>
    <w:rsid w:val="00CB30D0"/>
    <w:rsid w:val="00CB30EF"/>
    <w:rsid w:val="00CB3100"/>
    <w:rsid w:val="00CB31F2"/>
    <w:rsid w:val="00CB3248"/>
    <w:rsid w:val="00CB329D"/>
    <w:rsid w:val="00CB32AE"/>
    <w:rsid w:val="00CB333B"/>
    <w:rsid w:val="00CB344D"/>
    <w:rsid w:val="00CB345F"/>
    <w:rsid w:val="00CB346F"/>
    <w:rsid w:val="00CB34F3"/>
    <w:rsid w:val="00CB353A"/>
    <w:rsid w:val="00CB3652"/>
    <w:rsid w:val="00CB3747"/>
    <w:rsid w:val="00CB3773"/>
    <w:rsid w:val="00CB3898"/>
    <w:rsid w:val="00CB38F9"/>
    <w:rsid w:val="00CB38FB"/>
    <w:rsid w:val="00CB3999"/>
    <w:rsid w:val="00CB39DF"/>
    <w:rsid w:val="00CB3AB3"/>
    <w:rsid w:val="00CB3BE4"/>
    <w:rsid w:val="00CB3C58"/>
    <w:rsid w:val="00CB3D02"/>
    <w:rsid w:val="00CB3D15"/>
    <w:rsid w:val="00CB3D2F"/>
    <w:rsid w:val="00CB3D92"/>
    <w:rsid w:val="00CB3D9F"/>
    <w:rsid w:val="00CB3DDE"/>
    <w:rsid w:val="00CB3DF4"/>
    <w:rsid w:val="00CB3DFB"/>
    <w:rsid w:val="00CB3E90"/>
    <w:rsid w:val="00CB3F35"/>
    <w:rsid w:val="00CB3F3F"/>
    <w:rsid w:val="00CB3F6D"/>
    <w:rsid w:val="00CB40C2"/>
    <w:rsid w:val="00CB4110"/>
    <w:rsid w:val="00CB411B"/>
    <w:rsid w:val="00CB4175"/>
    <w:rsid w:val="00CB4190"/>
    <w:rsid w:val="00CB41D2"/>
    <w:rsid w:val="00CB41F0"/>
    <w:rsid w:val="00CB4250"/>
    <w:rsid w:val="00CB42A9"/>
    <w:rsid w:val="00CB43F5"/>
    <w:rsid w:val="00CB442A"/>
    <w:rsid w:val="00CB44AD"/>
    <w:rsid w:val="00CB44B9"/>
    <w:rsid w:val="00CB44D1"/>
    <w:rsid w:val="00CB450A"/>
    <w:rsid w:val="00CB45DA"/>
    <w:rsid w:val="00CB46CB"/>
    <w:rsid w:val="00CB46ED"/>
    <w:rsid w:val="00CB4722"/>
    <w:rsid w:val="00CB4778"/>
    <w:rsid w:val="00CB4935"/>
    <w:rsid w:val="00CB498B"/>
    <w:rsid w:val="00CB49DF"/>
    <w:rsid w:val="00CB4A1A"/>
    <w:rsid w:val="00CB4B79"/>
    <w:rsid w:val="00CB4BDA"/>
    <w:rsid w:val="00CB4C59"/>
    <w:rsid w:val="00CB4CAF"/>
    <w:rsid w:val="00CB4D14"/>
    <w:rsid w:val="00CB4E3C"/>
    <w:rsid w:val="00CB4E7B"/>
    <w:rsid w:val="00CB4EBC"/>
    <w:rsid w:val="00CB4EFA"/>
    <w:rsid w:val="00CB4F2A"/>
    <w:rsid w:val="00CB4FBA"/>
    <w:rsid w:val="00CB4FCC"/>
    <w:rsid w:val="00CB4FCF"/>
    <w:rsid w:val="00CB502D"/>
    <w:rsid w:val="00CB5075"/>
    <w:rsid w:val="00CB509D"/>
    <w:rsid w:val="00CB50A4"/>
    <w:rsid w:val="00CB50C7"/>
    <w:rsid w:val="00CB50FC"/>
    <w:rsid w:val="00CB5208"/>
    <w:rsid w:val="00CB5232"/>
    <w:rsid w:val="00CB533A"/>
    <w:rsid w:val="00CB5344"/>
    <w:rsid w:val="00CB535F"/>
    <w:rsid w:val="00CB53A2"/>
    <w:rsid w:val="00CB5447"/>
    <w:rsid w:val="00CB549A"/>
    <w:rsid w:val="00CB54D6"/>
    <w:rsid w:val="00CB550A"/>
    <w:rsid w:val="00CB562B"/>
    <w:rsid w:val="00CB5667"/>
    <w:rsid w:val="00CB5693"/>
    <w:rsid w:val="00CB56C7"/>
    <w:rsid w:val="00CB5703"/>
    <w:rsid w:val="00CB576B"/>
    <w:rsid w:val="00CB5787"/>
    <w:rsid w:val="00CB5790"/>
    <w:rsid w:val="00CB57A4"/>
    <w:rsid w:val="00CB583E"/>
    <w:rsid w:val="00CB5851"/>
    <w:rsid w:val="00CB5897"/>
    <w:rsid w:val="00CB5916"/>
    <w:rsid w:val="00CB59B0"/>
    <w:rsid w:val="00CB59BD"/>
    <w:rsid w:val="00CB5AD7"/>
    <w:rsid w:val="00CB5AE9"/>
    <w:rsid w:val="00CB5B90"/>
    <w:rsid w:val="00CB5BC1"/>
    <w:rsid w:val="00CB5C39"/>
    <w:rsid w:val="00CB5C4C"/>
    <w:rsid w:val="00CB5CB8"/>
    <w:rsid w:val="00CB5CFB"/>
    <w:rsid w:val="00CB5D65"/>
    <w:rsid w:val="00CB5DDB"/>
    <w:rsid w:val="00CB5DDC"/>
    <w:rsid w:val="00CB5E2D"/>
    <w:rsid w:val="00CB5E55"/>
    <w:rsid w:val="00CB5F0C"/>
    <w:rsid w:val="00CB5F7F"/>
    <w:rsid w:val="00CB5FA2"/>
    <w:rsid w:val="00CB5FA6"/>
    <w:rsid w:val="00CB5FD3"/>
    <w:rsid w:val="00CB602F"/>
    <w:rsid w:val="00CB611B"/>
    <w:rsid w:val="00CB6189"/>
    <w:rsid w:val="00CB6197"/>
    <w:rsid w:val="00CB6216"/>
    <w:rsid w:val="00CB6370"/>
    <w:rsid w:val="00CB63B9"/>
    <w:rsid w:val="00CB643E"/>
    <w:rsid w:val="00CB6505"/>
    <w:rsid w:val="00CB65B2"/>
    <w:rsid w:val="00CB66DC"/>
    <w:rsid w:val="00CB66E7"/>
    <w:rsid w:val="00CB6735"/>
    <w:rsid w:val="00CB68DF"/>
    <w:rsid w:val="00CB68FD"/>
    <w:rsid w:val="00CB696D"/>
    <w:rsid w:val="00CB698A"/>
    <w:rsid w:val="00CB699A"/>
    <w:rsid w:val="00CB6C18"/>
    <w:rsid w:val="00CB6DB7"/>
    <w:rsid w:val="00CB6F95"/>
    <w:rsid w:val="00CB6FE1"/>
    <w:rsid w:val="00CB7194"/>
    <w:rsid w:val="00CB71BE"/>
    <w:rsid w:val="00CB721A"/>
    <w:rsid w:val="00CB7228"/>
    <w:rsid w:val="00CB73A6"/>
    <w:rsid w:val="00CB73B1"/>
    <w:rsid w:val="00CB7416"/>
    <w:rsid w:val="00CB7418"/>
    <w:rsid w:val="00CB7501"/>
    <w:rsid w:val="00CB7510"/>
    <w:rsid w:val="00CB7575"/>
    <w:rsid w:val="00CB7587"/>
    <w:rsid w:val="00CB75D2"/>
    <w:rsid w:val="00CB7641"/>
    <w:rsid w:val="00CB773F"/>
    <w:rsid w:val="00CB778D"/>
    <w:rsid w:val="00CB77AC"/>
    <w:rsid w:val="00CB77B0"/>
    <w:rsid w:val="00CB77F9"/>
    <w:rsid w:val="00CB7839"/>
    <w:rsid w:val="00CB784C"/>
    <w:rsid w:val="00CB7879"/>
    <w:rsid w:val="00CB7909"/>
    <w:rsid w:val="00CB7914"/>
    <w:rsid w:val="00CB7917"/>
    <w:rsid w:val="00CB7955"/>
    <w:rsid w:val="00CB79BC"/>
    <w:rsid w:val="00CB7A3D"/>
    <w:rsid w:val="00CB7A80"/>
    <w:rsid w:val="00CB7AAC"/>
    <w:rsid w:val="00CB7BEC"/>
    <w:rsid w:val="00CB7D6B"/>
    <w:rsid w:val="00CB7D7C"/>
    <w:rsid w:val="00CB7DE4"/>
    <w:rsid w:val="00CB7E4F"/>
    <w:rsid w:val="00CB7EDC"/>
    <w:rsid w:val="00CB7F42"/>
    <w:rsid w:val="00CB7F4A"/>
    <w:rsid w:val="00CB7F7F"/>
    <w:rsid w:val="00CB7FA1"/>
    <w:rsid w:val="00CC0049"/>
    <w:rsid w:val="00CC00AD"/>
    <w:rsid w:val="00CC0108"/>
    <w:rsid w:val="00CC0145"/>
    <w:rsid w:val="00CC01E6"/>
    <w:rsid w:val="00CC021E"/>
    <w:rsid w:val="00CC0250"/>
    <w:rsid w:val="00CC0302"/>
    <w:rsid w:val="00CC035E"/>
    <w:rsid w:val="00CC036F"/>
    <w:rsid w:val="00CC0395"/>
    <w:rsid w:val="00CC03DA"/>
    <w:rsid w:val="00CC03F7"/>
    <w:rsid w:val="00CC0458"/>
    <w:rsid w:val="00CC058D"/>
    <w:rsid w:val="00CC05AD"/>
    <w:rsid w:val="00CC0657"/>
    <w:rsid w:val="00CC070F"/>
    <w:rsid w:val="00CC0744"/>
    <w:rsid w:val="00CC0770"/>
    <w:rsid w:val="00CC07E2"/>
    <w:rsid w:val="00CC0961"/>
    <w:rsid w:val="00CC0962"/>
    <w:rsid w:val="00CC0A27"/>
    <w:rsid w:val="00CC0A49"/>
    <w:rsid w:val="00CC0A6C"/>
    <w:rsid w:val="00CC0AF4"/>
    <w:rsid w:val="00CC0BC2"/>
    <w:rsid w:val="00CC0BCA"/>
    <w:rsid w:val="00CC0C13"/>
    <w:rsid w:val="00CC0D1B"/>
    <w:rsid w:val="00CC0D3A"/>
    <w:rsid w:val="00CC0DBD"/>
    <w:rsid w:val="00CC0DC9"/>
    <w:rsid w:val="00CC0DDF"/>
    <w:rsid w:val="00CC0E68"/>
    <w:rsid w:val="00CC0E96"/>
    <w:rsid w:val="00CC0F29"/>
    <w:rsid w:val="00CC107A"/>
    <w:rsid w:val="00CC10D0"/>
    <w:rsid w:val="00CC110E"/>
    <w:rsid w:val="00CC1259"/>
    <w:rsid w:val="00CC12EF"/>
    <w:rsid w:val="00CC1326"/>
    <w:rsid w:val="00CC1369"/>
    <w:rsid w:val="00CC1386"/>
    <w:rsid w:val="00CC14DF"/>
    <w:rsid w:val="00CC1508"/>
    <w:rsid w:val="00CC1512"/>
    <w:rsid w:val="00CC1531"/>
    <w:rsid w:val="00CC158D"/>
    <w:rsid w:val="00CC15B1"/>
    <w:rsid w:val="00CC15BD"/>
    <w:rsid w:val="00CC160F"/>
    <w:rsid w:val="00CC1642"/>
    <w:rsid w:val="00CC17CD"/>
    <w:rsid w:val="00CC1804"/>
    <w:rsid w:val="00CC1837"/>
    <w:rsid w:val="00CC1864"/>
    <w:rsid w:val="00CC18D3"/>
    <w:rsid w:val="00CC18F1"/>
    <w:rsid w:val="00CC18FD"/>
    <w:rsid w:val="00CC191E"/>
    <w:rsid w:val="00CC1983"/>
    <w:rsid w:val="00CC1A06"/>
    <w:rsid w:val="00CC1A10"/>
    <w:rsid w:val="00CC1A34"/>
    <w:rsid w:val="00CC1A88"/>
    <w:rsid w:val="00CC1ABA"/>
    <w:rsid w:val="00CC1B59"/>
    <w:rsid w:val="00CC1B8D"/>
    <w:rsid w:val="00CC1C0A"/>
    <w:rsid w:val="00CC1C70"/>
    <w:rsid w:val="00CC1CC3"/>
    <w:rsid w:val="00CC1CED"/>
    <w:rsid w:val="00CC1D05"/>
    <w:rsid w:val="00CC1D9D"/>
    <w:rsid w:val="00CC1DE0"/>
    <w:rsid w:val="00CC1E04"/>
    <w:rsid w:val="00CC1E67"/>
    <w:rsid w:val="00CC1F20"/>
    <w:rsid w:val="00CC1F2F"/>
    <w:rsid w:val="00CC1F76"/>
    <w:rsid w:val="00CC1FB5"/>
    <w:rsid w:val="00CC1FDE"/>
    <w:rsid w:val="00CC2023"/>
    <w:rsid w:val="00CC20A2"/>
    <w:rsid w:val="00CC2158"/>
    <w:rsid w:val="00CC21AF"/>
    <w:rsid w:val="00CC2237"/>
    <w:rsid w:val="00CC22F2"/>
    <w:rsid w:val="00CC22FA"/>
    <w:rsid w:val="00CC2320"/>
    <w:rsid w:val="00CC2372"/>
    <w:rsid w:val="00CC23C8"/>
    <w:rsid w:val="00CC23D6"/>
    <w:rsid w:val="00CC244C"/>
    <w:rsid w:val="00CC25A6"/>
    <w:rsid w:val="00CC25D9"/>
    <w:rsid w:val="00CC2604"/>
    <w:rsid w:val="00CC2614"/>
    <w:rsid w:val="00CC263A"/>
    <w:rsid w:val="00CC263B"/>
    <w:rsid w:val="00CC2730"/>
    <w:rsid w:val="00CC27E5"/>
    <w:rsid w:val="00CC2889"/>
    <w:rsid w:val="00CC295B"/>
    <w:rsid w:val="00CC29B0"/>
    <w:rsid w:val="00CC29C7"/>
    <w:rsid w:val="00CC2A54"/>
    <w:rsid w:val="00CC2AB7"/>
    <w:rsid w:val="00CC2AC3"/>
    <w:rsid w:val="00CC2AFF"/>
    <w:rsid w:val="00CC2B01"/>
    <w:rsid w:val="00CC2B0F"/>
    <w:rsid w:val="00CC2B85"/>
    <w:rsid w:val="00CC2C51"/>
    <w:rsid w:val="00CC2C5C"/>
    <w:rsid w:val="00CC2C8C"/>
    <w:rsid w:val="00CC2CA0"/>
    <w:rsid w:val="00CC2CF7"/>
    <w:rsid w:val="00CC2D68"/>
    <w:rsid w:val="00CC2DDF"/>
    <w:rsid w:val="00CC2DE8"/>
    <w:rsid w:val="00CC2E02"/>
    <w:rsid w:val="00CC2E32"/>
    <w:rsid w:val="00CC2EC7"/>
    <w:rsid w:val="00CC2FA4"/>
    <w:rsid w:val="00CC302D"/>
    <w:rsid w:val="00CC3048"/>
    <w:rsid w:val="00CC3064"/>
    <w:rsid w:val="00CC307A"/>
    <w:rsid w:val="00CC30B4"/>
    <w:rsid w:val="00CC30CB"/>
    <w:rsid w:val="00CC30E9"/>
    <w:rsid w:val="00CC31BE"/>
    <w:rsid w:val="00CC31C3"/>
    <w:rsid w:val="00CC3259"/>
    <w:rsid w:val="00CC32D2"/>
    <w:rsid w:val="00CC3305"/>
    <w:rsid w:val="00CC3388"/>
    <w:rsid w:val="00CC3397"/>
    <w:rsid w:val="00CC33B3"/>
    <w:rsid w:val="00CC3495"/>
    <w:rsid w:val="00CC3511"/>
    <w:rsid w:val="00CC3555"/>
    <w:rsid w:val="00CC356D"/>
    <w:rsid w:val="00CC3572"/>
    <w:rsid w:val="00CC3577"/>
    <w:rsid w:val="00CC35FA"/>
    <w:rsid w:val="00CC3703"/>
    <w:rsid w:val="00CC382F"/>
    <w:rsid w:val="00CC38D2"/>
    <w:rsid w:val="00CC39EE"/>
    <w:rsid w:val="00CC39FF"/>
    <w:rsid w:val="00CC3A87"/>
    <w:rsid w:val="00CC3A8A"/>
    <w:rsid w:val="00CC3B15"/>
    <w:rsid w:val="00CC3B40"/>
    <w:rsid w:val="00CC3BC0"/>
    <w:rsid w:val="00CC3C0D"/>
    <w:rsid w:val="00CC3C13"/>
    <w:rsid w:val="00CC3C47"/>
    <w:rsid w:val="00CC3D38"/>
    <w:rsid w:val="00CC3D40"/>
    <w:rsid w:val="00CC3D87"/>
    <w:rsid w:val="00CC3DE4"/>
    <w:rsid w:val="00CC3E36"/>
    <w:rsid w:val="00CC3EA0"/>
    <w:rsid w:val="00CC3ED3"/>
    <w:rsid w:val="00CC4084"/>
    <w:rsid w:val="00CC4095"/>
    <w:rsid w:val="00CC42E5"/>
    <w:rsid w:val="00CC4419"/>
    <w:rsid w:val="00CC442F"/>
    <w:rsid w:val="00CC4449"/>
    <w:rsid w:val="00CC4483"/>
    <w:rsid w:val="00CC44F1"/>
    <w:rsid w:val="00CC4568"/>
    <w:rsid w:val="00CC4628"/>
    <w:rsid w:val="00CC467B"/>
    <w:rsid w:val="00CC4683"/>
    <w:rsid w:val="00CC4692"/>
    <w:rsid w:val="00CC470F"/>
    <w:rsid w:val="00CC4850"/>
    <w:rsid w:val="00CC48E2"/>
    <w:rsid w:val="00CC496F"/>
    <w:rsid w:val="00CC49FF"/>
    <w:rsid w:val="00CC4A01"/>
    <w:rsid w:val="00CC4A52"/>
    <w:rsid w:val="00CC4AEF"/>
    <w:rsid w:val="00CC4C1F"/>
    <w:rsid w:val="00CC4C3B"/>
    <w:rsid w:val="00CC4D5F"/>
    <w:rsid w:val="00CC4E3A"/>
    <w:rsid w:val="00CC4E99"/>
    <w:rsid w:val="00CC4F97"/>
    <w:rsid w:val="00CC4FCD"/>
    <w:rsid w:val="00CC4FE7"/>
    <w:rsid w:val="00CC4FF6"/>
    <w:rsid w:val="00CC505F"/>
    <w:rsid w:val="00CC508E"/>
    <w:rsid w:val="00CC52C1"/>
    <w:rsid w:val="00CC52E7"/>
    <w:rsid w:val="00CC52ED"/>
    <w:rsid w:val="00CC531A"/>
    <w:rsid w:val="00CC5559"/>
    <w:rsid w:val="00CC5596"/>
    <w:rsid w:val="00CC55A7"/>
    <w:rsid w:val="00CC55AB"/>
    <w:rsid w:val="00CC55BD"/>
    <w:rsid w:val="00CC568F"/>
    <w:rsid w:val="00CC56BC"/>
    <w:rsid w:val="00CC57BF"/>
    <w:rsid w:val="00CC57F7"/>
    <w:rsid w:val="00CC5810"/>
    <w:rsid w:val="00CC5879"/>
    <w:rsid w:val="00CC58E0"/>
    <w:rsid w:val="00CC5906"/>
    <w:rsid w:val="00CC5962"/>
    <w:rsid w:val="00CC5A22"/>
    <w:rsid w:val="00CC5A3D"/>
    <w:rsid w:val="00CC5B0E"/>
    <w:rsid w:val="00CC5B12"/>
    <w:rsid w:val="00CC5C26"/>
    <w:rsid w:val="00CC5CD8"/>
    <w:rsid w:val="00CC5D37"/>
    <w:rsid w:val="00CC5D78"/>
    <w:rsid w:val="00CC5D89"/>
    <w:rsid w:val="00CC5E6D"/>
    <w:rsid w:val="00CC5ECC"/>
    <w:rsid w:val="00CC5F8F"/>
    <w:rsid w:val="00CC602F"/>
    <w:rsid w:val="00CC60F9"/>
    <w:rsid w:val="00CC6174"/>
    <w:rsid w:val="00CC6182"/>
    <w:rsid w:val="00CC61AE"/>
    <w:rsid w:val="00CC61B2"/>
    <w:rsid w:val="00CC6204"/>
    <w:rsid w:val="00CC62BC"/>
    <w:rsid w:val="00CC62DC"/>
    <w:rsid w:val="00CC6311"/>
    <w:rsid w:val="00CC632B"/>
    <w:rsid w:val="00CC6368"/>
    <w:rsid w:val="00CC63E9"/>
    <w:rsid w:val="00CC641D"/>
    <w:rsid w:val="00CC64F1"/>
    <w:rsid w:val="00CC6538"/>
    <w:rsid w:val="00CC65F3"/>
    <w:rsid w:val="00CC664F"/>
    <w:rsid w:val="00CC66A7"/>
    <w:rsid w:val="00CC67AE"/>
    <w:rsid w:val="00CC6841"/>
    <w:rsid w:val="00CC684A"/>
    <w:rsid w:val="00CC690D"/>
    <w:rsid w:val="00CC690F"/>
    <w:rsid w:val="00CC6958"/>
    <w:rsid w:val="00CC6963"/>
    <w:rsid w:val="00CC69EA"/>
    <w:rsid w:val="00CC6A11"/>
    <w:rsid w:val="00CC6A34"/>
    <w:rsid w:val="00CC6B7C"/>
    <w:rsid w:val="00CC6BC3"/>
    <w:rsid w:val="00CC6C30"/>
    <w:rsid w:val="00CC6C55"/>
    <w:rsid w:val="00CC6C8C"/>
    <w:rsid w:val="00CC6CAB"/>
    <w:rsid w:val="00CC6CD5"/>
    <w:rsid w:val="00CC6CE5"/>
    <w:rsid w:val="00CC6DDA"/>
    <w:rsid w:val="00CC6E4A"/>
    <w:rsid w:val="00CC6F18"/>
    <w:rsid w:val="00CC6F92"/>
    <w:rsid w:val="00CC6FF3"/>
    <w:rsid w:val="00CC704C"/>
    <w:rsid w:val="00CC7088"/>
    <w:rsid w:val="00CC7134"/>
    <w:rsid w:val="00CC71B1"/>
    <w:rsid w:val="00CC72C5"/>
    <w:rsid w:val="00CC72FF"/>
    <w:rsid w:val="00CC7392"/>
    <w:rsid w:val="00CC73F0"/>
    <w:rsid w:val="00CC7493"/>
    <w:rsid w:val="00CC7550"/>
    <w:rsid w:val="00CC756A"/>
    <w:rsid w:val="00CC7589"/>
    <w:rsid w:val="00CC7605"/>
    <w:rsid w:val="00CC7621"/>
    <w:rsid w:val="00CC765C"/>
    <w:rsid w:val="00CC7732"/>
    <w:rsid w:val="00CC7754"/>
    <w:rsid w:val="00CC785E"/>
    <w:rsid w:val="00CC78A5"/>
    <w:rsid w:val="00CC78D6"/>
    <w:rsid w:val="00CC7926"/>
    <w:rsid w:val="00CC7934"/>
    <w:rsid w:val="00CC7974"/>
    <w:rsid w:val="00CC7981"/>
    <w:rsid w:val="00CC79F6"/>
    <w:rsid w:val="00CC7A59"/>
    <w:rsid w:val="00CC7ADB"/>
    <w:rsid w:val="00CC7AFC"/>
    <w:rsid w:val="00CC7BBA"/>
    <w:rsid w:val="00CC7C03"/>
    <w:rsid w:val="00CC7C1C"/>
    <w:rsid w:val="00CC7CC3"/>
    <w:rsid w:val="00CC7CF5"/>
    <w:rsid w:val="00CC7D49"/>
    <w:rsid w:val="00CC7D6B"/>
    <w:rsid w:val="00CC7E00"/>
    <w:rsid w:val="00CC7EA3"/>
    <w:rsid w:val="00CC7EE9"/>
    <w:rsid w:val="00CC7EEA"/>
    <w:rsid w:val="00CD0329"/>
    <w:rsid w:val="00CD0338"/>
    <w:rsid w:val="00CD03A4"/>
    <w:rsid w:val="00CD03D9"/>
    <w:rsid w:val="00CD046F"/>
    <w:rsid w:val="00CD04D3"/>
    <w:rsid w:val="00CD050A"/>
    <w:rsid w:val="00CD05F9"/>
    <w:rsid w:val="00CD067E"/>
    <w:rsid w:val="00CD06B6"/>
    <w:rsid w:val="00CD06F9"/>
    <w:rsid w:val="00CD0717"/>
    <w:rsid w:val="00CD0733"/>
    <w:rsid w:val="00CD075D"/>
    <w:rsid w:val="00CD0821"/>
    <w:rsid w:val="00CD088E"/>
    <w:rsid w:val="00CD090E"/>
    <w:rsid w:val="00CD0927"/>
    <w:rsid w:val="00CD0A02"/>
    <w:rsid w:val="00CD0A50"/>
    <w:rsid w:val="00CD0A74"/>
    <w:rsid w:val="00CD0A87"/>
    <w:rsid w:val="00CD0A90"/>
    <w:rsid w:val="00CD0AB3"/>
    <w:rsid w:val="00CD0B75"/>
    <w:rsid w:val="00CD0B9A"/>
    <w:rsid w:val="00CD0BED"/>
    <w:rsid w:val="00CD0C56"/>
    <w:rsid w:val="00CD0C64"/>
    <w:rsid w:val="00CD0C6B"/>
    <w:rsid w:val="00CD0C87"/>
    <w:rsid w:val="00CD0CA5"/>
    <w:rsid w:val="00CD0CFD"/>
    <w:rsid w:val="00CD0D1A"/>
    <w:rsid w:val="00CD0D29"/>
    <w:rsid w:val="00CD0D55"/>
    <w:rsid w:val="00CD0D95"/>
    <w:rsid w:val="00CD0E8C"/>
    <w:rsid w:val="00CD0EE2"/>
    <w:rsid w:val="00CD0EF4"/>
    <w:rsid w:val="00CD0F04"/>
    <w:rsid w:val="00CD0F32"/>
    <w:rsid w:val="00CD0FC5"/>
    <w:rsid w:val="00CD1033"/>
    <w:rsid w:val="00CD111C"/>
    <w:rsid w:val="00CD1140"/>
    <w:rsid w:val="00CD1199"/>
    <w:rsid w:val="00CD11F1"/>
    <w:rsid w:val="00CD12AA"/>
    <w:rsid w:val="00CD1349"/>
    <w:rsid w:val="00CD1388"/>
    <w:rsid w:val="00CD13EE"/>
    <w:rsid w:val="00CD13F3"/>
    <w:rsid w:val="00CD1423"/>
    <w:rsid w:val="00CD143F"/>
    <w:rsid w:val="00CD1540"/>
    <w:rsid w:val="00CD1567"/>
    <w:rsid w:val="00CD1590"/>
    <w:rsid w:val="00CD160D"/>
    <w:rsid w:val="00CD161A"/>
    <w:rsid w:val="00CD167E"/>
    <w:rsid w:val="00CD171A"/>
    <w:rsid w:val="00CD1746"/>
    <w:rsid w:val="00CD17DB"/>
    <w:rsid w:val="00CD18F5"/>
    <w:rsid w:val="00CD1A19"/>
    <w:rsid w:val="00CD1A9C"/>
    <w:rsid w:val="00CD1AAC"/>
    <w:rsid w:val="00CD1B23"/>
    <w:rsid w:val="00CD1B26"/>
    <w:rsid w:val="00CD1BEC"/>
    <w:rsid w:val="00CD1C6C"/>
    <w:rsid w:val="00CD1C79"/>
    <w:rsid w:val="00CD1E32"/>
    <w:rsid w:val="00CD1E7F"/>
    <w:rsid w:val="00CD2002"/>
    <w:rsid w:val="00CD2006"/>
    <w:rsid w:val="00CD202F"/>
    <w:rsid w:val="00CD206E"/>
    <w:rsid w:val="00CD20A3"/>
    <w:rsid w:val="00CD2126"/>
    <w:rsid w:val="00CD216E"/>
    <w:rsid w:val="00CD21DF"/>
    <w:rsid w:val="00CD222E"/>
    <w:rsid w:val="00CD2253"/>
    <w:rsid w:val="00CD2279"/>
    <w:rsid w:val="00CD22AA"/>
    <w:rsid w:val="00CD22AC"/>
    <w:rsid w:val="00CD22E9"/>
    <w:rsid w:val="00CD232B"/>
    <w:rsid w:val="00CD233B"/>
    <w:rsid w:val="00CD2367"/>
    <w:rsid w:val="00CD2381"/>
    <w:rsid w:val="00CD23A7"/>
    <w:rsid w:val="00CD241D"/>
    <w:rsid w:val="00CD245F"/>
    <w:rsid w:val="00CD252D"/>
    <w:rsid w:val="00CD254E"/>
    <w:rsid w:val="00CD2608"/>
    <w:rsid w:val="00CD26B1"/>
    <w:rsid w:val="00CD273F"/>
    <w:rsid w:val="00CD27DB"/>
    <w:rsid w:val="00CD2841"/>
    <w:rsid w:val="00CD284B"/>
    <w:rsid w:val="00CD2895"/>
    <w:rsid w:val="00CD2908"/>
    <w:rsid w:val="00CD29A0"/>
    <w:rsid w:val="00CD2ADF"/>
    <w:rsid w:val="00CD2AEF"/>
    <w:rsid w:val="00CD2BC0"/>
    <w:rsid w:val="00CD2C52"/>
    <w:rsid w:val="00CD2C69"/>
    <w:rsid w:val="00CD2D16"/>
    <w:rsid w:val="00CD2D38"/>
    <w:rsid w:val="00CD2DB6"/>
    <w:rsid w:val="00CD2E27"/>
    <w:rsid w:val="00CD2E5B"/>
    <w:rsid w:val="00CD2F2A"/>
    <w:rsid w:val="00CD2F74"/>
    <w:rsid w:val="00CD30DF"/>
    <w:rsid w:val="00CD30E5"/>
    <w:rsid w:val="00CD3179"/>
    <w:rsid w:val="00CD3183"/>
    <w:rsid w:val="00CD31D4"/>
    <w:rsid w:val="00CD325F"/>
    <w:rsid w:val="00CD32CA"/>
    <w:rsid w:val="00CD3434"/>
    <w:rsid w:val="00CD34AC"/>
    <w:rsid w:val="00CD34CF"/>
    <w:rsid w:val="00CD3504"/>
    <w:rsid w:val="00CD363E"/>
    <w:rsid w:val="00CD3691"/>
    <w:rsid w:val="00CD36CA"/>
    <w:rsid w:val="00CD36F3"/>
    <w:rsid w:val="00CD379D"/>
    <w:rsid w:val="00CD3839"/>
    <w:rsid w:val="00CD388E"/>
    <w:rsid w:val="00CD38AB"/>
    <w:rsid w:val="00CD38CB"/>
    <w:rsid w:val="00CD3989"/>
    <w:rsid w:val="00CD39A3"/>
    <w:rsid w:val="00CD3A0A"/>
    <w:rsid w:val="00CD3A25"/>
    <w:rsid w:val="00CD3AD1"/>
    <w:rsid w:val="00CD3AEF"/>
    <w:rsid w:val="00CD3B4D"/>
    <w:rsid w:val="00CD3C25"/>
    <w:rsid w:val="00CD3CE8"/>
    <w:rsid w:val="00CD3CFA"/>
    <w:rsid w:val="00CD3DCD"/>
    <w:rsid w:val="00CD3DFE"/>
    <w:rsid w:val="00CD3E6C"/>
    <w:rsid w:val="00CD3EA3"/>
    <w:rsid w:val="00CD3EAE"/>
    <w:rsid w:val="00CD3F42"/>
    <w:rsid w:val="00CD4008"/>
    <w:rsid w:val="00CD400C"/>
    <w:rsid w:val="00CD4123"/>
    <w:rsid w:val="00CD4171"/>
    <w:rsid w:val="00CD41CE"/>
    <w:rsid w:val="00CD4253"/>
    <w:rsid w:val="00CD425A"/>
    <w:rsid w:val="00CD42AA"/>
    <w:rsid w:val="00CD42DD"/>
    <w:rsid w:val="00CD42DE"/>
    <w:rsid w:val="00CD438A"/>
    <w:rsid w:val="00CD440C"/>
    <w:rsid w:val="00CD444E"/>
    <w:rsid w:val="00CD453E"/>
    <w:rsid w:val="00CD459A"/>
    <w:rsid w:val="00CD45D9"/>
    <w:rsid w:val="00CD45E1"/>
    <w:rsid w:val="00CD45F8"/>
    <w:rsid w:val="00CD46DD"/>
    <w:rsid w:val="00CD4772"/>
    <w:rsid w:val="00CD488C"/>
    <w:rsid w:val="00CD496C"/>
    <w:rsid w:val="00CD49D2"/>
    <w:rsid w:val="00CD49FF"/>
    <w:rsid w:val="00CD4B05"/>
    <w:rsid w:val="00CD4C59"/>
    <w:rsid w:val="00CD4C61"/>
    <w:rsid w:val="00CD4C82"/>
    <w:rsid w:val="00CD4D4A"/>
    <w:rsid w:val="00CD4D74"/>
    <w:rsid w:val="00CD4D95"/>
    <w:rsid w:val="00CD4DAC"/>
    <w:rsid w:val="00CD4E53"/>
    <w:rsid w:val="00CD4E7E"/>
    <w:rsid w:val="00CD4EA2"/>
    <w:rsid w:val="00CD4F4F"/>
    <w:rsid w:val="00CD4F71"/>
    <w:rsid w:val="00CD5028"/>
    <w:rsid w:val="00CD503E"/>
    <w:rsid w:val="00CD50F6"/>
    <w:rsid w:val="00CD5102"/>
    <w:rsid w:val="00CD518D"/>
    <w:rsid w:val="00CD51B9"/>
    <w:rsid w:val="00CD51C5"/>
    <w:rsid w:val="00CD5237"/>
    <w:rsid w:val="00CD528C"/>
    <w:rsid w:val="00CD52A6"/>
    <w:rsid w:val="00CD52F0"/>
    <w:rsid w:val="00CD52FA"/>
    <w:rsid w:val="00CD538E"/>
    <w:rsid w:val="00CD5392"/>
    <w:rsid w:val="00CD539C"/>
    <w:rsid w:val="00CD53CE"/>
    <w:rsid w:val="00CD5456"/>
    <w:rsid w:val="00CD54D9"/>
    <w:rsid w:val="00CD5577"/>
    <w:rsid w:val="00CD55AD"/>
    <w:rsid w:val="00CD5624"/>
    <w:rsid w:val="00CD5634"/>
    <w:rsid w:val="00CD5691"/>
    <w:rsid w:val="00CD56DE"/>
    <w:rsid w:val="00CD577C"/>
    <w:rsid w:val="00CD57B1"/>
    <w:rsid w:val="00CD5836"/>
    <w:rsid w:val="00CD5854"/>
    <w:rsid w:val="00CD5866"/>
    <w:rsid w:val="00CD593B"/>
    <w:rsid w:val="00CD5964"/>
    <w:rsid w:val="00CD596E"/>
    <w:rsid w:val="00CD59A0"/>
    <w:rsid w:val="00CD59BF"/>
    <w:rsid w:val="00CD5A5C"/>
    <w:rsid w:val="00CD5AE2"/>
    <w:rsid w:val="00CD5B79"/>
    <w:rsid w:val="00CD5BA7"/>
    <w:rsid w:val="00CD5BE6"/>
    <w:rsid w:val="00CD5C10"/>
    <w:rsid w:val="00CD5C3C"/>
    <w:rsid w:val="00CD5C3D"/>
    <w:rsid w:val="00CD5C87"/>
    <w:rsid w:val="00CD5CD5"/>
    <w:rsid w:val="00CD5CF4"/>
    <w:rsid w:val="00CD5D38"/>
    <w:rsid w:val="00CD5D7F"/>
    <w:rsid w:val="00CD5DE9"/>
    <w:rsid w:val="00CD5E2B"/>
    <w:rsid w:val="00CD5E96"/>
    <w:rsid w:val="00CD5F0D"/>
    <w:rsid w:val="00CD5FA8"/>
    <w:rsid w:val="00CD603F"/>
    <w:rsid w:val="00CD6059"/>
    <w:rsid w:val="00CD619F"/>
    <w:rsid w:val="00CD6389"/>
    <w:rsid w:val="00CD6409"/>
    <w:rsid w:val="00CD646A"/>
    <w:rsid w:val="00CD64D2"/>
    <w:rsid w:val="00CD6532"/>
    <w:rsid w:val="00CD656E"/>
    <w:rsid w:val="00CD664E"/>
    <w:rsid w:val="00CD6673"/>
    <w:rsid w:val="00CD66C2"/>
    <w:rsid w:val="00CD66D5"/>
    <w:rsid w:val="00CD671F"/>
    <w:rsid w:val="00CD6724"/>
    <w:rsid w:val="00CD67EE"/>
    <w:rsid w:val="00CD684C"/>
    <w:rsid w:val="00CD6854"/>
    <w:rsid w:val="00CD689D"/>
    <w:rsid w:val="00CD692C"/>
    <w:rsid w:val="00CD69A6"/>
    <w:rsid w:val="00CD69D2"/>
    <w:rsid w:val="00CD6A4E"/>
    <w:rsid w:val="00CD6A5C"/>
    <w:rsid w:val="00CD6BCF"/>
    <w:rsid w:val="00CD6BF2"/>
    <w:rsid w:val="00CD6BF6"/>
    <w:rsid w:val="00CD6C00"/>
    <w:rsid w:val="00CD6CC9"/>
    <w:rsid w:val="00CD6D49"/>
    <w:rsid w:val="00CD6D55"/>
    <w:rsid w:val="00CD6E4D"/>
    <w:rsid w:val="00CD6E9C"/>
    <w:rsid w:val="00CD6ECF"/>
    <w:rsid w:val="00CD6F48"/>
    <w:rsid w:val="00CD6FD1"/>
    <w:rsid w:val="00CD7060"/>
    <w:rsid w:val="00CD70F0"/>
    <w:rsid w:val="00CD7176"/>
    <w:rsid w:val="00CD71BD"/>
    <w:rsid w:val="00CD7214"/>
    <w:rsid w:val="00CD7244"/>
    <w:rsid w:val="00CD7259"/>
    <w:rsid w:val="00CD728A"/>
    <w:rsid w:val="00CD72C6"/>
    <w:rsid w:val="00CD74A4"/>
    <w:rsid w:val="00CD74CF"/>
    <w:rsid w:val="00CD74E1"/>
    <w:rsid w:val="00CD7672"/>
    <w:rsid w:val="00CD7772"/>
    <w:rsid w:val="00CD782E"/>
    <w:rsid w:val="00CD78B3"/>
    <w:rsid w:val="00CD7964"/>
    <w:rsid w:val="00CD7978"/>
    <w:rsid w:val="00CD79AA"/>
    <w:rsid w:val="00CD79B4"/>
    <w:rsid w:val="00CD79B7"/>
    <w:rsid w:val="00CD79E0"/>
    <w:rsid w:val="00CD7A67"/>
    <w:rsid w:val="00CD7C0E"/>
    <w:rsid w:val="00CD7C75"/>
    <w:rsid w:val="00CD7D01"/>
    <w:rsid w:val="00CD7D0C"/>
    <w:rsid w:val="00CD7D84"/>
    <w:rsid w:val="00CD7DA3"/>
    <w:rsid w:val="00CD7ECE"/>
    <w:rsid w:val="00CD7F72"/>
    <w:rsid w:val="00CD7F8E"/>
    <w:rsid w:val="00CD7FBC"/>
    <w:rsid w:val="00CE008C"/>
    <w:rsid w:val="00CE00D8"/>
    <w:rsid w:val="00CE0204"/>
    <w:rsid w:val="00CE02A3"/>
    <w:rsid w:val="00CE02AB"/>
    <w:rsid w:val="00CE02B3"/>
    <w:rsid w:val="00CE0370"/>
    <w:rsid w:val="00CE038A"/>
    <w:rsid w:val="00CE03BC"/>
    <w:rsid w:val="00CE047D"/>
    <w:rsid w:val="00CE0485"/>
    <w:rsid w:val="00CE0500"/>
    <w:rsid w:val="00CE0564"/>
    <w:rsid w:val="00CE05F8"/>
    <w:rsid w:val="00CE0693"/>
    <w:rsid w:val="00CE06B8"/>
    <w:rsid w:val="00CE0800"/>
    <w:rsid w:val="00CE085C"/>
    <w:rsid w:val="00CE0899"/>
    <w:rsid w:val="00CE089B"/>
    <w:rsid w:val="00CE08F6"/>
    <w:rsid w:val="00CE095D"/>
    <w:rsid w:val="00CE097C"/>
    <w:rsid w:val="00CE09DF"/>
    <w:rsid w:val="00CE0C24"/>
    <w:rsid w:val="00CE0D4F"/>
    <w:rsid w:val="00CE0D57"/>
    <w:rsid w:val="00CE0D5B"/>
    <w:rsid w:val="00CE0DBA"/>
    <w:rsid w:val="00CE0DE7"/>
    <w:rsid w:val="00CE0E71"/>
    <w:rsid w:val="00CE0E92"/>
    <w:rsid w:val="00CE1034"/>
    <w:rsid w:val="00CE104E"/>
    <w:rsid w:val="00CE106E"/>
    <w:rsid w:val="00CE11C7"/>
    <w:rsid w:val="00CE11F0"/>
    <w:rsid w:val="00CE1206"/>
    <w:rsid w:val="00CE1210"/>
    <w:rsid w:val="00CE126B"/>
    <w:rsid w:val="00CE12DC"/>
    <w:rsid w:val="00CE1341"/>
    <w:rsid w:val="00CE1396"/>
    <w:rsid w:val="00CE151B"/>
    <w:rsid w:val="00CE155E"/>
    <w:rsid w:val="00CE1583"/>
    <w:rsid w:val="00CE158D"/>
    <w:rsid w:val="00CE1598"/>
    <w:rsid w:val="00CE159E"/>
    <w:rsid w:val="00CE165C"/>
    <w:rsid w:val="00CE1669"/>
    <w:rsid w:val="00CE1719"/>
    <w:rsid w:val="00CE1722"/>
    <w:rsid w:val="00CE1748"/>
    <w:rsid w:val="00CE17C9"/>
    <w:rsid w:val="00CE181A"/>
    <w:rsid w:val="00CE18FF"/>
    <w:rsid w:val="00CE1903"/>
    <w:rsid w:val="00CE199D"/>
    <w:rsid w:val="00CE199F"/>
    <w:rsid w:val="00CE19A2"/>
    <w:rsid w:val="00CE1A03"/>
    <w:rsid w:val="00CE1B28"/>
    <w:rsid w:val="00CE1B94"/>
    <w:rsid w:val="00CE1BC1"/>
    <w:rsid w:val="00CE1BFD"/>
    <w:rsid w:val="00CE1C01"/>
    <w:rsid w:val="00CE1C87"/>
    <w:rsid w:val="00CE1E04"/>
    <w:rsid w:val="00CE1E33"/>
    <w:rsid w:val="00CE1EB0"/>
    <w:rsid w:val="00CE1F3D"/>
    <w:rsid w:val="00CE1F8F"/>
    <w:rsid w:val="00CE1FAB"/>
    <w:rsid w:val="00CE1FFB"/>
    <w:rsid w:val="00CE2002"/>
    <w:rsid w:val="00CE20A7"/>
    <w:rsid w:val="00CE2199"/>
    <w:rsid w:val="00CE21A6"/>
    <w:rsid w:val="00CE21CE"/>
    <w:rsid w:val="00CE21FB"/>
    <w:rsid w:val="00CE2202"/>
    <w:rsid w:val="00CE22EC"/>
    <w:rsid w:val="00CE237B"/>
    <w:rsid w:val="00CE2388"/>
    <w:rsid w:val="00CE2393"/>
    <w:rsid w:val="00CE23C9"/>
    <w:rsid w:val="00CE244F"/>
    <w:rsid w:val="00CE2463"/>
    <w:rsid w:val="00CE25B2"/>
    <w:rsid w:val="00CE26D5"/>
    <w:rsid w:val="00CE2887"/>
    <w:rsid w:val="00CE294B"/>
    <w:rsid w:val="00CE2960"/>
    <w:rsid w:val="00CE2967"/>
    <w:rsid w:val="00CE2AAB"/>
    <w:rsid w:val="00CE2AD3"/>
    <w:rsid w:val="00CE2B19"/>
    <w:rsid w:val="00CE2C1F"/>
    <w:rsid w:val="00CE2C7F"/>
    <w:rsid w:val="00CE2C9F"/>
    <w:rsid w:val="00CE2D2D"/>
    <w:rsid w:val="00CE2DCC"/>
    <w:rsid w:val="00CE2DEA"/>
    <w:rsid w:val="00CE2E4D"/>
    <w:rsid w:val="00CE2ED6"/>
    <w:rsid w:val="00CE2EE1"/>
    <w:rsid w:val="00CE2F56"/>
    <w:rsid w:val="00CE2FFD"/>
    <w:rsid w:val="00CE3054"/>
    <w:rsid w:val="00CE30C8"/>
    <w:rsid w:val="00CE30E8"/>
    <w:rsid w:val="00CE3159"/>
    <w:rsid w:val="00CE31CF"/>
    <w:rsid w:val="00CE31EA"/>
    <w:rsid w:val="00CE3221"/>
    <w:rsid w:val="00CE33A0"/>
    <w:rsid w:val="00CE34CE"/>
    <w:rsid w:val="00CE34FA"/>
    <w:rsid w:val="00CE3571"/>
    <w:rsid w:val="00CE3676"/>
    <w:rsid w:val="00CE36BB"/>
    <w:rsid w:val="00CE370A"/>
    <w:rsid w:val="00CE377F"/>
    <w:rsid w:val="00CE39C1"/>
    <w:rsid w:val="00CE39D0"/>
    <w:rsid w:val="00CE39FF"/>
    <w:rsid w:val="00CE3B3C"/>
    <w:rsid w:val="00CE3C53"/>
    <w:rsid w:val="00CE3EC8"/>
    <w:rsid w:val="00CE3ECA"/>
    <w:rsid w:val="00CE3EFE"/>
    <w:rsid w:val="00CE3F0D"/>
    <w:rsid w:val="00CE3F0E"/>
    <w:rsid w:val="00CE3F0F"/>
    <w:rsid w:val="00CE3FAA"/>
    <w:rsid w:val="00CE40BC"/>
    <w:rsid w:val="00CE4106"/>
    <w:rsid w:val="00CE41BE"/>
    <w:rsid w:val="00CE420A"/>
    <w:rsid w:val="00CE4240"/>
    <w:rsid w:val="00CE438A"/>
    <w:rsid w:val="00CE43A2"/>
    <w:rsid w:val="00CE443C"/>
    <w:rsid w:val="00CE4464"/>
    <w:rsid w:val="00CE44D0"/>
    <w:rsid w:val="00CE4500"/>
    <w:rsid w:val="00CE4591"/>
    <w:rsid w:val="00CE4619"/>
    <w:rsid w:val="00CE4766"/>
    <w:rsid w:val="00CE4796"/>
    <w:rsid w:val="00CE47CF"/>
    <w:rsid w:val="00CE4929"/>
    <w:rsid w:val="00CE49DB"/>
    <w:rsid w:val="00CE49DC"/>
    <w:rsid w:val="00CE4A00"/>
    <w:rsid w:val="00CE4A64"/>
    <w:rsid w:val="00CE4A71"/>
    <w:rsid w:val="00CE4A8B"/>
    <w:rsid w:val="00CE4BD2"/>
    <w:rsid w:val="00CE4C23"/>
    <w:rsid w:val="00CE4CD1"/>
    <w:rsid w:val="00CE4E54"/>
    <w:rsid w:val="00CE4E97"/>
    <w:rsid w:val="00CE4EAD"/>
    <w:rsid w:val="00CE4EC0"/>
    <w:rsid w:val="00CE4ED9"/>
    <w:rsid w:val="00CE4FB9"/>
    <w:rsid w:val="00CE5009"/>
    <w:rsid w:val="00CE50AA"/>
    <w:rsid w:val="00CE50BD"/>
    <w:rsid w:val="00CE50EB"/>
    <w:rsid w:val="00CE511B"/>
    <w:rsid w:val="00CE51AD"/>
    <w:rsid w:val="00CE51F3"/>
    <w:rsid w:val="00CE52BE"/>
    <w:rsid w:val="00CE53DA"/>
    <w:rsid w:val="00CE5472"/>
    <w:rsid w:val="00CE54EF"/>
    <w:rsid w:val="00CE5582"/>
    <w:rsid w:val="00CE567D"/>
    <w:rsid w:val="00CE56EB"/>
    <w:rsid w:val="00CE5798"/>
    <w:rsid w:val="00CE57BA"/>
    <w:rsid w:val="00CE582E"/>
    <w:rsid w:val="00CE588C"/>
    <w:rsid w:val="00CE591B"/>
    <w:rsid w:val="00CE597D"/>
    <w:rsid w:val="00CE5A8D"/>
    <w:rsid w:val="00CE5ACD"/>
    <w:rsid w:val="00CE5AE5"/>
    <w:rsid w:val="00CE5B46"/>
    <w:rsid w:val="00CE5B5D"/>
    <w:rsid w:val="00CE5B6D"/>
    <w:rsid w:val="00CE5B98"/>
    <w:rsid w:val="00CE5C1D"/>
    <w:rsid w:val="00CE5C49"/>
    <w:rsid w:val="00CE5C4E"/>
    <w:rsid w:val="00CE5D0A"/>
    <w:rsid w:val="00CE5D42"/>
    <w:rsid w:val="00CE5D5A"/>
    <w:rsid w:val="00CE5D99"/>
    <w:rsid w:val="00CE5DE9"/>
    <w:rsid w:val="00CE605B"/>
    <w:rsid w:val="00CE605D"/>
    <w:rsid w:val="00CE6060"/>
    <w:rsid w:val="00CE60B0"/>
    <w:rsid w:val="00CE60F8"/>
    <w:rsid w:val="00CE620E"/>
    <w:rsid w:val="00CE622B"/>
    <w:rsid w:val="00CE6258"/>
    <w:rsid w:val="00CE62A2"/>
    <w:rsid w:val="00CE62F6"/>
    <w:rsid w:val="00CE63B7"/>
    <w:rsid w:val="00CE63C4"/>
    <w:rsid w:val="00CE6451"/>
    <w:rsid w:val="00CE6505"/>
    <w:rsid w:val="00CE6563"/>
    <w:rsid w:val="00CE6597"/>
    <w:rsid w:val="00CE6665"/>
    <w:rsid w:val="00CE6689"/>
    <w:rsid w:val="00CE66B5"/>
    <w:rsid w:val="00CE66D1"/>
    <w:rsid w:val="00CE673F"/>
    <w:rsid w:val="00CE6746"/>
    <w:rsid w:val="00CE6777"/>
    <w:rsid w:val="00CE678A"/>
    <w:rsid w:val="00CE6791"/>
    <w:rsid w:val="00CE686E"/>
    <w:rsid w:val="00CE6974"/>
    <w:rsid w:val="00CE6A4B"/>
    <w:rsid w:val="00CE6B4D"/>
    <w:rsid w:val="00CE6B7E"/>
    <w:rsid w:val="00CE6BA5"/>
    <w:rsid w:val="00CE6C58"/>
    <w:rsid w:val="00CE6C9C"/>
    <w:rsid w:val="00CE6CD5"/>
    <w:rsid w:val="00CE6CE7"/>
    <w:rsid w:val="00CE6D44"/>
    <w:rsid w:val="00CE6D84"/>
    <w:rsid w:val="00CE6DA6"/>
    <w:rsid w:val="00CE6E3C"/>
    <w:rsid w:val="00CE6E75"/>
    <w:rsid w:val="00CE6F74"/>
    <w:rsid w:val="00CE70BB"/>
    <w:rsid w:val="00CE714C"/>
    <w:rsid w:val="00CE7166"/>
    <w:rsid w:val="00CE71CE"/>
    <w:rsid w:val="00CE7215"/>
    <w:rsid w:val="00CE7276"/>
    <w:rsid w:val="00CE7313"/>
    <w:rsid w:val="00CE740B"/>
    <w:rsid w:val="00CE7416"/>
    <w:rsid w:val="00CE747E"/>
    <w:rsid w:val="00CE74F6"/>
    <w:rsid w:val="00CE759B"/>
    <w:rsid w:val="00CE75D1"/>
    <w:rsid w:val="00CE763A"/>
    <w:rsid w:val="00CE76B8"/>
    <w:rsid w:val="00CE76EA"/>
    <w:rsid w:val="00CE770C"/>
    <w:rsid w:val="00CE7860"/>
    <w:rsid w:val="00CE7949"/>
    <w:rsid w:val="00CE7A5E"/>
    <w:rsid w:val="00CE7AAB"/>
    <w:rsid w:val="00CE7AB7"/>
    <w:rsid w:val="00CE7B24"/>
    <w:rsid w:val="00CE7B42"/>
    <w:rsid w:val="00CE7B9D"/>
    <w:rsid w:val="00CE7B9E"/>
    <w:rsid w:val="00CE7BB2"/>
    <w:rsid w:val="00CE7BBA"/>
    <w:rsid w:val="00CE7C7A"/>
    <w:rsid w:val="00CE7C7E"/>
    <w:rsid w:val="00CE7CE9"/>
    <w:rsid w:val="00CE7D18"/>
    <w:rsid w:val="00CE7D73"/>
    <w:rsid w:val="00CE7DE9"/>
    <w:rsid w:val="00CE7E3F"/>
    <w:rsid w:val="00CE7EED"/>
    <w:rsid w:val="00CE7EFF"/>
    <w:rsid w:val="00CE7F08"/>
    <w:rsid w:val="00CE7F9F"/>
    <w:rsid w:val="00CF0016"/>
    <w:rsid w:val="00CF0181"/>
    <w:rsid w:val="00CF0211"/>
    <w:rsid w:val="00CF0217"/>
    <w:rsid w:val="00CF02CC"/>
    <w:rsid w:val="00CF02F6"/>
    <w:rsid w:val="00CF0329"/>
    <w:rsid w:val="00CF03A3"/>
    <w:rsid w:val="00CF03A4"/>
    <w:rsid w:val="00CF0471"/>
    <w:rsid w:val="00CF0581"/>
    <w:rsid w:val="00CF05CE"/>
    <w:rsid w:val="00CF05D7"/>
    <w:rsid w:val="00CF05DB"/>
    <w:rsid w:val="00CF05ED"/>
    <w:rsid w:val="00CF05FD"/>
    <w:rsid w:val="00CF060A"/>
    <w:rsid w:val="00CF0631"/>
    <w:rsid w:val="00CF0683"/>
    <w:rsid w:val="00CF06B8"/>
    <w:rsid w:val="00CF06FB"/>
    <w:rsid w:val="00CF07B9"/>
    <w:rsid w:val="00CF07CC"/>
    <w:rsid w:val="00CF07F4"/>
    <w:rsid w:val="00CF08A8"/>
    <w:rsid w:val="00CF09AA"/>
    <w:rsid w:val="00CF0A1B"/>
    <w:rsid w:val="00CF0A7A"/>
    <w:rsid w:val="00CF0A96"/>
    <w:rsid w:val="00CF0A98"/>
    <w:rsid w:val="00CF0B01"/>
    <w:rsid w:val="00CF0B16"/>
    <w:rsid w:val="00CF0BD4"/>
    <w:rsid w:val="00CF0BF1"/>
    <w:rsid w:val="00CF0C64"/>
    <w:rsid w:val="00CF0C8A"/>
    <w:rsid w:val="00CF0D02"/>
    <w:rsid w:val="00CF0D43"/>
    <w:rsid w:val="00CF0DC3"/>
    <w:rsid w:val="00CF0DCB"/>
    <w:rsid w:val="00CF0E40"/>
    <w:rsid w:val="00CF0E7C"/>
    <w:rsid w:val="00CF0FDE"/>
    <w:rsid w:val="00CF1117"/>
    <w:rsid w:val="00CF1175"/>
    <w:rsid w:val="00CF1199"/>
    <w:rsid w:val="00CF11E6"/>
    <w:rsid w:val="00CF12DF"/>
    <w:rsid w:val="00CF12E6"/>
    <w:rsid w:val="00CF1375"/>
    <w:rsid w:val="00CF1417"/>
    <w:rsid w:val="00CF14EC"/>
    <w:rsid w:val="00CF162E"/>
    <w:rsid w:val="00CF16CB"/>
    <w:rsid w:val="00CF16D7"/>
    <w:rsid w:val="00CF170F"/>
    <w:rsid w:val="00CF177C"/>
    <w:rsid w:val="00CF1811"/>
    <w:rsid w:val="00CF1860"/>
    <w:rsid w:val="00CF1970"/>
    <w:rsid w:val="00CF1998"/>
    <w:rsid w:val="00CF1A76"/>
    <w:rsid w:val="00CF1A9B"/>
    <w:rsid w:val="00CF1ACC"/>
    <w:rsid w:val="00CF1AF4"/>
    <w:rsid w:val="00CF1B69"/>
    <w:rsid w:val="00CF1B98"/>
    <w:rsid w:val="00CF1C3F"/>
    <w:rsid w:val="00CF1C7D"/>
    <w:rsid w:val="00CF1CBE"/>
    <w:rsid w:val="00CF1D5E"/>
    <w:rsid w:val="00CF1D8D"/>
    <w:rsid w:val="00CF1DD0"/>
    <w:rsid w:val="00CF1DE5"/>
    <w:rsid w:val="00CF1DFE"/>
    <w:rsid w:val="00CF1E08"/>
    <w:rsid w:val="00CF1E8D"/>
    <w:rsid w:val="00CF1EA0"/>
    <w:rsid w:val="00CF1FD6"/>
    <w:rsid w:val="00CF2081"/>
    <w:rsid w:val="00CF20BA"/>
    <w:rsid w:val="00CF211B"/>
    <w:rsid w:val="00CF2132"/>
    <w:rsid w:val="00CF2202"/>
    <w:rsid w:val="00CF2214"/>
    <w:rsid w:val="00CF2289"/>
    <w:rsid w:val="00CF22D7"/>
    <w:rsid w:val="00CF2349"/>
    <w:rsid w:val="00CF23CE"/>
    <w:rsid w:val="00CF244F"/>
    <w:rsid w:val="00CF246E"/>
    <w:rsid w:val="00CF24E4"/>
    <w:rsid w:val="00CF2528"/>
    <w:rsid w:val="00CF257E"/>
    <w:rsid w:val="00CF263C"/>
    <w:rsid w:val="00CF2701"/>
    <w:rsid w:val="00CF272D"/>
    <w:rsid w:val="00CF273E"/>
    <w:rsid w:val="00CF28BC"/>
    <w:rsid w:val="00CF2962"/>
    <w:rsid w:val="00CF2A4C"/>
    <w:rsid w:val="00CF2A57"/>
    <w:rsid w:val="00CF2A90"/>
    <w:rsid w:val="00CF2B55"/>
    <w:rsid w:val="00CF2B7D"/>
    <w:rsid w:val="00CF2BCB"/>
    <w:rsid w:val="00CF2BE7"/>
    <w:rsid w:val="00CF2C02"/>
    <w:rsid w:val="00CF2C09"/>
    <w:rsid w:val="00CF2C3E"/>
    <w:rsid w:val="00CF2C60"/>
    <w:rsid w:val="00CF2C65"/>
    <w:rsid w:val="00CF2CF0"/>
    <w:rsid w:val="00CF2D47"/>
    <w:rsid w:val="00CF2D72"/>
    <w:rsid w:val="00CF2DFA"/>
    <w:rsid w:val="00CF2E47"/>
    <w:rsid w:val="00CF2E8E"/>
    <w:rsid w:val="00CF2ED6"/>
    <w:rsid w:val="00CF2EE8"/>
    <w:rsid w:val="00CF2F12"/>
    <w:rsid w:val="00CF2F99"/>
    <w:rsid w:val="00CF303A"/>
    <w:rsid w:val="00CF3049"/>
    <w:rsid w:val="00CF3103"/>
    <w:rsid w:val="00CF319B"/>
    <w:rsid w:val="00CF33B3"/>
    <w:rsid w:val="00CF33EE"/>
    <w:rsid w:val="00CF34FF"/>
    <w:rsid w:val="00CF3540"/>
    <w:rsid w:val="00CF35A8"/>
    <w:rsid w:val="00CF35D4"/>
    <w:rsid w:val="00CF3605"/>
    <w:rsid w:val="00CF362A"/>
    <w:rsid w:val="00CF36BB"/>
    <w:rsid w:val="00CF36D1"/>
    <w:rsid w:val="00CF36E6"/>
    <w:rsid w:val="00CF36EF"/>
    <w:rsid w:val="00CF3751"/>
    <w:rsid w:val="00CF3821"/>
    <w:rsid w:val="00CF383B"/>
    <w:rsid w:val="00CF3855"/>
    <w:rsid w:val="00CF387B"/>
    <w:rsid w:val="00CF3908"/>
    <w:rsid w:val="00CF3912"/>
    <w:rsid w:val="00CF3990"/>
    <w:rsid w:val="00CF39E1"/>
    <w:rsid w:val="00CF3A48"/>
    <w:rsid w:val="00CF3AB4"/>
    <w:rsid w:val="00CF3AF5"/>
    <w:rsid w:val="00CF3B0E"/>
    <w:rsid w:val="00CF3B94"/>
    <w:rsid w:val="00CF3C82"/>
    <w:rsid w:val="00CF3D21"/>
    <w:rsid w:val="00CF3D9E"/>
    <w:rsid w:val="00CF3DA7"/>
    <w:rsid w:val="00CF3DBF"/>
    <w:rsid w:val="00CF3E38"/>
    <w:rsid w:val="00CF3E5F"/>
    <w:rsid w:val="00CF3EAC"/>
    <w:rsid w:val="00CF3F03"/>
    <w:rsid w:val="00CF3F0F"/>
    <w:rsid w:val="00CF3F8D"/>
    <w:rsid w:val="00CF3F97"/>
    <w:rsid w:val="00CF3FA8"/>
    <w:rsid w:val="00CF400B"/>
    <w:rsid w:val="00CF4047"/>
    <w:rsid w:val="00CF4082"/>
    <w:rsid w:val="00CF40BE"/>
    <w:rsid w:val="00CF4180"/>
    <w:rsid w:val="00CF41A3"/>
    <w:rsid w:val="00CF4207"/>
    <w:rsid w:val="00CF4242"/>
    <w:rsid w:val="00CF4353"/>
    <w:rsid w:val="00CF43BF"/>
    <w:rsid w:val="00CF448C"/>
    <w:rsid w:val="00CF450B"/>
    <w:rsid w:val="00CF4537"/>
    <w:rsid w:val="00CF4552"/>
    <w:rsid w:val="00CF456F"/>
    <w:rsid w:val="00CF4686"/>
    <w:rsid w:val="00CF47E7"/>
    <w:rsid w:val="00CF4827"/>
    <w:rsid w:val="00CF4877"/>
    <w:rsid w:val="00CF4896"/>
    <w:rsid w:val="00CF48E2"/>
    <w:rsid w:val="00CF4928"/>
    <w:rsid w:val="00CF4962"/>
    <w:rsid w:val="00CF4A1E"/>
    <w:rsid w:val="00CF4AB9"/>
    <w:rsid w:val="00CF4B25"/>
    <w:rsid w:val="00CF4B4F"/>
    <w:rsid w:val="00CF4C06"/>
    <w:rsid w:val="00CF4C3B"/>
    <w:rsid w:val="00CF4C7E"/>
    <w:rsid w:val="00CF4D73"/>
    <w:rsid w:val="00CF4E15"/>
    <w:rsid w:val="00CF4EB5"/>
    <w:rsid w:val="00CF4F7B"/>
    <w:rsid w:val="00CF4F97"/>
    <w:rsid w:val="00CF4FC4"/>
    <w:rsid w:val="00CF510E"/>
    <w:rsid w:val="00CF52D9"/>
    <w:rsid w:val="00CF52E7"/>
    <w:rsid w:val="00CF52F8"/>
    <w:rsid w:val="00CF531C"/>
    <w:rsid w:val="00CF537C"/>
    <w:rsid w:val="00CF5399"/>
    <w:rsid w:val="00CF53C6"/>
    <w:rsid w:val="00CF53F0"/>
    <w:rsid w:val="00CF5401"/>
    <w:rsid w:val="00CF550C"/>
    <w:rsid w:val="00CF5569"/>
    <w:rsid w:val="00CF558F"/>
    <w:rsid w:val="00CF55D5"/>
    <w:rsid w:val="00CF55EF"/>
    <w:rsid w:val="00CF564A"/>
    <w:rsid w:val="00CF56A4"/>
    <w:rsid w:val="00CF573F"/>
    <w:rsid w:val="00CF5794"/>
    <w:rsid w:val="00CF57F3"/>
    <w:rsid w:val="00CF5820"/>
    <w:rsid w:val="00CF5849"/>
    <w:rsid w:val="00CF587C"/>
    <w:rsid w:val="00CF58D4"/>
    <w:rsid w:val="00CF5986"/>
    <w:rsid w:val="00CF5A47"/>
    <w:rsid w:val="00CF5B79"/>
    <w:rsid w:val="00CF5BC3"/>
    <w:rsid w:val="00CF5D54"/>
    <w:rsid w:val="00CF5D58"/>
    <w:rsid w:val="00CF5E1F"/>
    <w:rsid w:val="00CF5EB0"/>
    <w:rsid w:val="00CF5F6F"/>
    <w:rsid w:val="00CF5F79"/>
    <w:rsid w:val="00CF5F9A"/>
    <w:rsid w:val="00CF5FCB"/>
    <w:rsid w:val="00CF5FD1"/>
    <w:rsid w:val="00CF5FE5"/>
    <w:rsid w:val="00CF60A7"/>
    <w:rsid w:val="00CF61C0"/>
    <w:rsid w:val="00CF61E7"/>
    <w:rsid w:val="00CF61EB"/>
    <w:rsid w:val="00CF6327"/>
    <w:rsid w:val="00CF633C"/>
    <w:rsid w:val="00CF638D"/>
    <w:rsid w:val="00CF645F"/>
    <w:rsid w:val="00CF6497"/>
    <w:rsid w:val="00CF6545"/>
    <w:rsid w:val="00CF658D"/>
    <w:rsid w:val="00CF659E"/>
    <w:rsid w:val="00CF65B5"/>
    <w:rsid w:val="00CF65B8"/>
    <w:rsid w:val="00CF668C"/>
    <w:rsid w:val="00CF6718"/>
    <w:rsid w:val="00CF684E"/>
    <w:rsid w:val="00CF6896"/>
    <w:rsid w:val="00CF6899"/>
    <w:rsid w:val="00CF691B"/>
    <w:rsid w:val="00CF6946"/>
    <w:rsid w:val="00CF6961"/>
    <w:rsid w:val="00CF6A6C"/>
    <w:rsid w:val="00CF6A82"/>
    <w:rsid w:val="00CF6A93"/>
    <w:rsid w:val="00CF6A9A"/>
    <w:rsid w:val="00CF6B96"/>
    <w:rsid w:val="00CF6C58"/>
    <w:rsid w:val="00CF6C5B"/>
    <w:rsid w:val="00CF6C5F"/>
    <w:rsid w:val="00CF6C65"/>
    <w:rsid w:val="00CF6CEC"/>
    <w:rsid w:val="00CF6D17"/>
    <w:rsid w:val="00CF6D46"/>
    <w:rsid w:val="00CF6D68"/>
    <w:rsid w:val="00CF6D96"/>
    <w:rsid w:val="00CF6DA2"/>
    <w:rsid w:val="00CF6F14"/>
    <w:rsid w:val="00CF6FB7"/>
    <w:rsid w:val="00CF6FD7"/>
    <w:rsid w:val="00CF7058"/>
    <w:rsid w:val="00CF7131"/>
    <w:rsid w:val="00CF7141"/>
    <w:rsid w:val="00CF71B6"/>
    <w:rsid w:val="00CF71C7"/>
    <w:rsid w:val="00CF7289"/>
    <w:rsid w:val="00CF7295"/>
    <w:rsid w:val="00CF7328"/>
    <w:rsid w:val="00CF73D8"/>
    <w:rsid w:val="00CF74F3"/>
    <w:rsid w:val="00CF7670"/>
    <w:rsid w:val="00CF768B"/>
    <w:rsid w:val="00CF76D4"/>
    <w:rsid w:val="00CF77AF"/>
    <w:rsid w:val="00CF788D"/>
    <w:rsid w:val="00CF78A5"/>
    <w:rsid w:val="00CF78CF"/>
    <w:rsid w:val="00CF7946"/>
    <w:rsid w:val="00CF7976"/>
    <w:rsid w:val="00CF7997"/>
    <w:rsid w:val="00CF7A77"/>
    <w:rsid w:val="00CF7A79"/>
    <w:rsid w:val="00CF7AA9"/>
    <w:rsid w:val="00CF7AFB"/>
    <w:rsid w:val="00CF7B17"/>
    <w:rsid w:val="00CF7B19"/>
    <w:rsid w:val="00CF7B63"/>
    <w:rsid w:val="00CF7C08"/>
    <w:rsid w:val="00CF7D6B"/>
    <w:rsid w:val="00CF7E03"/>
    <w:rsid w:val="00CF7E13"/>
    <w:rsid w:val="00CF7E18"/>
    <w:rsid w:val="00CF7E7D"/>
    <w:rsid w:val="00CF7E85"/>
    <w:rsid w:val="00CF7E8E"/>
    <w:rsid w:val="00CF7EF1"/>
    <w:rsid w:val="00CF7F05"/>
    <w:rsid w:val="00CF7F42"/>
    <w:rsid w:val="00D0010E"/>
    <w:rsid w:val="00D00318"/>
    <w:rsid w:val="00D00334"/>
    <w:rsid w:val="00D0035D"/>
    <w:rsid w:val="00D0037C"/>
    <w:rsid w:val="00D00436"/>
    <w:rsid w:val="00D004C0"/>
    <w:rsid w:val="00D004CA"/>
    <w:rsid w:val="00D006C8"/>
    <w:rsid w:val="00D00750"/>
    <w:rsid w:val="00D00768"/>
    <w:rsid w:val="00D007A1"/>
    <w:rsid w:val="00D007AD"/>
    <w:rsid w:val="00D007C5"/>
    <w:rsid w:val="00D0084A"/>
    <w:rsid w:val="00D0084C"/>
    <w:rsid w:val="00D00873"/>
    <w:rsid w:val="00D0092F"/>
    <w:rsid w:val="00D0099D"/>
    <w:rsid w:val="00D00A93"/>
    <w:rsid w:val="00D00ABF"/>
    <w:rsid w:val="00D00AF2"/>
    <w:rsid w:val="00D00AF3"/>
    <w:rsid w:val="00D00AFA"/>
    <w:rsid w:val="00D00BE6"/>
    <w:rsid w:val="00D00C4E"/>
    <w:rsid w:val="00D00C52"/>
    <w:rsid w:val="00D00C89"/>
    <w:rsid w:val="00D00D34"/>
    <w:rsid w:val="00D00DA6"/>
    <w:rsid w:val="00D00DEE"/>
    <w:rsid w:val="00D00E3F"/>
    <w:rsid w:val="00D00F09"/>
    <w:rsid w:val="00D00F48"/>
    <w:rsid w:val="00D00F53"/>
    <w:rsid w:val="00D00FFB"/>
    <w:rsid w:val="00D0100E"/>
    <w:rsid w:val="00D01033"/>
    <w:rsid w:val="00D0103B"/>
    <w:rsid w:val="00D01059"/>
    <w:rsid w:val="00D010C9"/>
    <w:rsid w:val="00D011AD"/>
    <w:rsid w:val="00D0129E"/>
    <w:rsid w:val="00D01316"/>
    <w:rsid w:val="00D01467"/>
    <w:rsid w:val="00D0163E"/>
    <w:rsid w:val="00D01650"/>
    <w:rsid w:val="00D01659"/>
    <w:rsid w:val="00D017CF"/>
    <w:rsid w:val="00D017DF"/>
    <w:rsid w:val="00D01816"/>
    <w:rsid w:val="00D0187A"/>
    <w:rsid w:val="00D01933"/>
    <w:rsid w:val="00D01945"/>
    <w:rsid w:val="00D01952"/>
    <w:rsid w:val="00D019E3"/>
    <w:rsid w:val="00D01AB4"/>
    <w:rsid w:val="00D01AE3"/>
    <w:rsid w:val="00D01B56"/>
    <w:rsid w:val="00D01C02"/>
    <w:rsid w:val="00D01C2A"/>
    <w:rsid w:val="00D01C3A"/>
    <w:rsid w:val="00D01CA3"/>
    <w:rsid w:val="00D01DA2"/>
    <w:rsid w:val="00D01DEA"/>
    <w:rsid w:val="00D01DFA"/>
    <w:rsid w:val="00D01F3D"/>
    <w:rsid w:val="00D01FDA"/>
    <w:rsid w:val="00D020ED"/>
    <w:rsid w:val="00D02152"/>
    <w:rsid w:val="00D0215D"/>
    <w:rsid w:val="00D021FA"/>
    <w:rsid w:val="00D021FB"/>
    <w:rsid w:val="00D02239"/>
    <w:rsid w:val="00D022DB"/>
    <w:rsid w:val="00D02309"/>
    <w:rsid w:val="00D02322"/>
    <w:rsid w:val="00D02331"/>
    <w:rsid w:val="00D02391"/>
    <w:rsid w:val="00D023AC"/>
    <w:rsid w:val="00D023EC"/>
    <w:rsid w:val="00D02400"/>
    <w:rsid w:val="00D024C3"/>
    <w:rsid w:val="00D024CC"/>
    <w:rsid w:val="00D02595"/>
    <w:rsid w:val="00D025D0"/>
    <w:rsid w:val="00D02685"/>
    <w:rsid w:val="00D0273F"/>
    <w:rsid w:val="00D0276D"/>
    <w:rsid w:val="00D02794"/>
    <w:rsid w:val="00D02796"/>
    <w:rsid w:val="00D027DF"/>
    <w:rsid w:val="00D028C4"/>
    <w:rsid w:val="00D028CB"/>
    <w:rsid w:val="00D028F6"/>
    <w:rsid w:val="00D02A61"/>
    <w:rsid w:val="00D02A68"/>
    <w:rsid w:val="00D02A7E"/>
    <w:rsid w:val="00D02AD2"/>
    <w:rsid w:val="00D02BEC"/>
    <w:rsid w:val="00D02C6A"/>
    <w:rsid w:val="00D02CB8"/>
    <w:rsid w:val="00D02CD9"/>
    <w:rsid w:val="00D02D54"/>
    <w:rsid w:val="00D02DBB"/>
    <w:rsid w:val="00D02DEF"/>
    <w:rsid w:val="00D02E33"/>
    <w:rsid w:val="00D02E9D"/>
    <w:rsid w:val="00D02F0C"/>
    <w:rsid w:val="00D02F68"/>
    <w:rsid w:val="00D02F77"/>
    <w:rsid w:val="00D03036"/>
    <w:rsid w:val="00D03124"/>
    <w:rsid w:val="00D03132"/>
    <w:rsid w:val="00D03162"/>
    <w:rsid w:val="00D03171"/>
    <w:rsid w:val="00D03191"/>
    <w:rsid w:val="00D03217"/>
    <w:rsid w:val="00D032B6"/>
    <w:rsid w:val="00D0336E"/>
    <w:rsid w:val="00D033DD"/>
    <w:rsid w:val="00D03490"/>
    <w:rsid w:val="00D034A3"/>
    <w:rsid w:val="00D03546"/>
    <w:rsid w:val="00D0358F"/>
    <w:rsid w:val="00D035D3"/>
    <w:rsid w:val="00D03615"/>
    <w:rsid w:val="00D036BB"/>
    <w:rsid w:val="00D036D1"/>
    <w:rsid w:val="00D036DA"/>
    <w:rsid w:val="00D036DD"/>
    <w:rsid w:val="00D03710"/>
    <w:rsid w:val="00D0371D"/>
    <w:rsid w:val="00D03780"/>
    <w:rsid w:val="00D03912"/>
    <w:rsid w:val="00D03A8E"/>
    <w:rsid w:val="00D03AAF"/>
    <w:rsid w:val="00D03AF9"/>
    <w:rsid w:val="00D03B18"/>
    <w:rsid w:val="00D03B1D"/>
    <w:rsid w:val="00D03B7A"/>
    <w:rsid w:val="00D03B89"/>
    <w:rsid w:val="00D03C69"/>
    <w:rsid w:val="00D03D13"/>
    <w:rsid w:val="00D03D3E"/>
    <w:rsid w:val="00D03DE6"/>
    <w:rsid w:val="00D03E80"/>
    <w:rsid w:val="00D03ED0"/>
    <w:rsid w:val="00D03EDE"/>
    <w:rsid w:val="00D03F34"/>
    <w:rsid w:val="00D03F4A"/>
    <w:rsid w:val="00D03FB9"/>
    <w:rsid w:val="00D03FD9"/>
    <w:rsid w:val="00D040A2"/>
    <w:rsid w:val="00D040F6"/>
    <w:rsid w:val="00D04211"/>
    <w:rsid w:val="00D0426B"/>
    <w:rsid w:val="00D04316"/>
    <w:rsid w:val="00D0431E"/>
    <w:rsid w:val="00D043DB"/>
    <w:rsid w:val="00D04417"/>
    <w:rsid w:val="00D04421"/>
    <w:rsid w:val="00D0443E"/>
    <w:rsid w:val="00D0447E"/>
    <w:rsid w:val="00D04509"/>
    <w:rsid w:val="00D04514"/>
    <w:rsid w:val="00D04538"/>
    <w:rsid w:val="00D04546"/>
    <w:rsid w:val="00D04612"/>
    <w:rsid w:val="00D046F0"/>
    <w:rsid w:val="00D0475B"/>
    <w:rsid w:val="00D047D7"/>
    <w:rsid w:val="00D04947"/>
    <w:rsid w:val="00D04980"/>
    <w:rsid w:val="00D04A00"/>
    <w:rsid w:val="00D04A5B"/>
    <w:rsid w:val="00D04B03"/>
    <w:rsid w:val="00D04BCA"/>
    <w:rsid w:val="00D04BE5"/>
    <w:rsid w:val="00D04BFC"/>
    <w:rsid w:val="00D04C11"/>
    <w:rsid w:val="00D04C1F"/>
    <w:rsid w:val="00D04C39"/>
    <w:rsid w:val="00D04C52"/>
    <w:rsid w:val="00D04C58"/>
    <w:rsid w:val="00D04C6C"/>
    <w:rsid w:val="00D04C7E"/>
    <w:rsid w:val="00D04C8D"/>
    <w:rsid w:val="00D04C92"/>
    <w:rsid w:val="00D04C93"/>
    <w:rsid w:val="00D04CF8"/>
    <w:rsid w:val="00D04D59"/>
    <w:rsid w:val="00D04DD7"/>
    <w:rsid w:val="00D04E3E"/>
    <w:rsid w:val="00D04E7F"/>
    <w:rsid w:val="00D04E95"/>
    <w:rsid w:val="00D04F11"/>
    <w:rsid w:val="00D04F46"/>
    <w:rsid w:val="00D04FC8"/>
    <w:rsid w:val="00D04FCE"/>
    <w:rsid w:val="00D04FCF"/>
    <w:rsid w:val="00D05062"/>
    <w:rsid w:val="00D050BF"/>
    <w:rsid w:val="00D05185"/>
    <w:rsid w:val="00D05196"/>
    <w:rsid w:val="00D051A2"/>
    <w:rsid w:val="00D051B8"/>
    <w:rsid w:val="00D0520E"/>
    <w:rsid w:val="00D05256"/>
    <w:rsid w:val="00D052A3"/>
    <w:rsid w:val="00D052B3"/>
    <w:rsid w:val="00D053B4"/>
    <w:rsid w:val="00D053F2"/>
    <w:rsid w:val="00D05434"/>
    <w:rsid w:val="00D05492"/>
    <w:rsid w:val="00D054E6"/>
    <w:rsid w:val="00D054FE"/>
    <w:rsid w:val="00D05670"/>
    <w:rsid w:val="00D0576D"/>
    <w:rsid w:val="00D05770"/>
    <w:rsid w:val="00D05775"/>
    <w:rsid w:val="00D05793"/>
    <w:rsid w:val="00D057BA"/>
    <w:rsid w:val="00D057EE"/>
    <w:rsid w:val="00D05910"/>
    <w:rsid w:val="00D0596E"/>
    <w:rsid w:val="00D05982"/>
    <w:rsid w:val="00D05B11"/>
    <w:rsid w:val="00D05C40"/>
    <w:rsid w:val="00D05C45"/>
    <w:rsid w:val="00D05C6E"/>
    <w:rsid w:val="00D05CBE"/>
    <w:rsid w:val="00D05D53"/>
    <w:rsid w:val="00D05D5D"/>
    <w:rsid w:val="00D05E02"/>
    <w:rsid w:val="00D05E63"/>
    <w:rsid w:val="00D05E8B"/>
    <w:rsid w:val="00D05F61"/>
    <w:rsid w:val="00D05FAA"/>
    <w:rsid w:val="00D06027"/>
    <w:rsid w:val="00D06105"/>
    <w:rsid w:val="00D0610F"/>
    <w:rsid w:val="00D0616E"/>
    <w:rsid w:val="00D061AD"/>
    <w:rsid w:val="00D06248"/>
    <w:rsid w:val="00D0624A"/>
    <w:rsid w:val="00D06253"/>
    <w:rsid w:val="00D06300"/>
    <w:rsid w:val="00D0632D"/>
    <w:rsid w:val="00D06421"/>
    <w:rsid w:val="00D06467"/>
    <w:rsid w:val="00D06492"/>
    <w:rsid w:val="00D064D3"/>
    <w:rsid w:val="00D0652C"/>
    <w:rsid w:val="00D06539"/>
    <w:rsid w:val="00D06540"/>
    <w:rsid w:val="00D065E2"/>
    <w:rsid w:val="00D0667F"/>
    <w:rsid w:val="00D066C9"/>
    <w:rsid w:val="00D06711"/>
    <w:rsid w:val="00D06734"/>
    <w:rsid w:val="00D067BD"/>
    <w:rsid w:val="00D06833"/>
    <w:rsid w:val="00D06878"/>
    <w:rsid w:val="00D069D1"/>
    <w:rsid w:val="00D06A31"/>
    <w:rsid w:val="00D06ADC"/>
    <w:rsid w:val="00D06B07"/>
    <w:rsid w:val="00D06B51"/>
    <w:rsid w:val="00D06B90"/>
    <w:rsid w:val="00D06B9B"/>
    <w:rsid w:val="00D06BBD"/>
    <w:rsid w:val="00D06C31"/>
    <w:rsid w:val="00D06D27"/>
    <w:rsid w:val="00D06D68"/>
    <w:rsid w:val="00D06DD6"/>
    <w:rsid w:val="00D06DE4"/>
    <w:rsid w:val="00D06E31"/>
    <w:rsid w:val="00D06EE9"/>
    <w:rsid w:val="00D06F07"/>
    <w:rsid w:val="00D06F80"/>
    <w:rsid w:val="00D06F87"/>
    <w:rsid w:val="00D06FB7"/>
    <w:rsid w:val="00D06FF9"/>
    <w:rsid w:val="00D0705D"/>
    <w:rsid w:val="00D070DE"/>
    <w:rsid w:val="00D070F9"/>
    <w:rsid w:val="00D0710B"/>
    <w:rsid w:val="00D0711D"/>
    <w:rsid w:val="00D07169"/>
    <w:rsid w:val="00D071C4"/>
    <w:rsid w:val="00D07260"/>
    <w:rsid w:val="00D072CF"/>
    <w:rsid w:val="00D07389"/>
    <w:rsid w:val="00D073C9"/>
    <w:rsid w:val="00D0741F"/>
    <w:rsid w:val="00D07514"/>
    <w:rsid w:val="00D0753D"/>
    <w:rsid w:val="00D07555"/>
    <w:rsid w:val="00D07562"/>
    <w:rsid w:val="00D0756B"/>
    <w:rsid w:val="00D07585"/>
    <w:rsid w:val="00D0759B"/>
    <w:rsid w:val="00D075B5"/>
    <w:rsid w:val="00D075B8"/>
    <w:rsid w:val="00D076AB"/>
    <w:rsid w:val="00D0774F"/>
    <w:rsid w:val="00D0775D"/>
    <w:rsid w:val="00D077A0"/>
    <w:rsid w:val="00D077A5"/>
    <w:rsid w:val="00D078DA"/>
    <w:rsid w:val="00D078F1"/>
    <w:rsid w:val="00D078F4"/>
    <w:rsid w:val="00D07A12"/>
    <w:rsid w:val="00D07A13"/>
    <w:rsid w:val="00D07A15"/>
    <w:rsid w:val="00D07AD5"/>
    <w:rsid w:val="00D07B1B"/>
    <w:rsid w:val="00D07C09"/>
    <w:rsid w:val="00D07CD1"/>
    <w:rsid w:val="00D07DAF"/>
    <w:rsid w:val="00D07DC1"/>
    <w:rsid w:val="00D07EFC"/>
    <w:rsid w:val="00D07FFD"/>
    <w:rsid w:val="00D10030"/>
    <w:rsid w:val="00D100A9"/>
    <w:rsid w:val="00D100AD"/>
    <w:rsid w:val="00D100CC"/>
    <w:rsid w:val="00D10139"/>
    <w:rsid w:val="00D101D0"/>
    <w:rsid w:val="00D101F2"/>
    <w:rsid w:val="00D1024D"/>
    <w:rsid w:val="00D102AB"/>
    <w:rsid w:val="00D102D2"/>
    <w:rsid w:val="00D102DA"/>
    <w:rsid w:val="00D10310"/>
    <w:rsid w:val="00D10400"/>
    <w:rsid w:val="00D1046E"/>
    <w:rsid w:val="00D10472"/>
    <w:rsid w:val="00D10539"/>
    <w:rsid w:val="00D1055A"/>
    <w:rsid w:val="00D1056B"/>
    <w:rsid w:val="00D10607"/>
    <w:rsid w:val="00D10640"/>
    <w:rsid w:val="00D10698"/>
    <w:rsid w:val="00D10718"/>
    <w:rsid w:val="00D1090E"/>
    <w:rsid w:val="00D10A6D"/>
    <w:rsid w:val="00D10AAC"/>
    <w:rsid w:val="00D10B2E"/>
    <w:rsid w:val="00D10C70"/>
    <w:rsid w:val="00D10CB4"/>
    <w:rsid w:val="00D10CB5"/>
    <w:rsid w:val="00D10D6B"/>
    <w:rsid w:val="00D10DC2"/>
    <w:rsid w:val="00D10F84"/>
    <w:rsid w:val="00D10FB5"/>
    <w:rsid w:val="00D10FC4"/>
    <w:rsid w:val="00D1105E"/>
    <w:rsid w:val="00D11091"/>
    <w:rsid w:val="00D110C5"/>
    <w:rsid w:val="00D11118"/>
    <w:rsid w:val="00D11154"/>
    <w:rsid w:val="00D11343"/>
    <w:rsid w:val="00D11467"/>
    <w:rsid w:val="00D11473"/>
    <w:rsid w:val="00D11477"/>
    <w:rsid w:val="00D114C3"/>
    <w:rsid w:val="00D1153F"/>
    <w:rsid w:val="00D115D1"/>
    <w:rsid w:val="00D115DE"/>
    <w:rsid w:val="00D115E3"/>
    <w:rsid w:val="00D1161B"/>
    <w:rsid w:val="00D11693"/>
    <w:rsid w:val="00D117A5"/>
    <w:rsid w:val="00D117FE"/>
    <w:rsid w:val="00D11844"/>
    <w:rsid w:val="00D1187F"/>
    <w:rsid w:val="00D1190C"/>
    <w:rsid w:val="00D11B08"/>
    <w:rsid w:val="00D11B11"/>
    <w:rsid w:val="00D11B22"/>
    <w:rsid w:val="00D11B4C"/>
    <w:rsid w:val="00D11C8F"/>
    <w:rsid w:val="00D11D5C"/>
    <w:rsid w:val="00D11E23"/>
    <w:rsid w:val="00D11E38"/>
    <w:rsid w:val="00D11E4E"/>
    <w:rsid w:val="00D11E5A"/>
    <w:rsid w:val="00D11E69"/>
    <w:rsid w:val="00D11F54"/>
    <w:rsid w:val="00D11F80"/>
    <w:rsid w:val="00D11FC0"/>
    <w:rsid w:val="00D11FE1"/>
    <w:rsid w:val="00D12114"/>
    <w:rsid w:val="00D1219E"/>
    <w:rsid w:val="00D121E9"/>
    <w:rsid w:val="00D1227D"/>
    <w:rsid w:val="00D1232E"/>
    <w:rsid w:val="00D1236C"/>
    <w:rsid w:val="00D12394"/>
    <w:rsid w:val="00D12447"/>
    <w:rsid w:val="00D124BD"/>
    <w:rsid w:val="00D124CA"/>
    <w:rsid w:val="00D1254C"/>
    <w:rsid w:val="00D1271B"/>
    <w:rsid w:val="00D1275A"/>
    <w:rsid w:val="00D12788"/>
    <w:rsid w:val="00D127AD"/>
    <w:rsid w:val="00D12834"/>
    <w:rsid w:val="00D128C5"/>
    <w:rsid w:val="00D128D4"/>
    <w:rsid w:val="00D12954"/>
    <w:rsid w:val="00D129AD"/>
    <w:rsid w:val="00D129B2"/>
    <w:rsid w:val="00D129D0"/>
    <w:rsid w:val="00D12B31"/>
    <w:rsid w:val="00D12B90"/>
    <w:rsid w:val="00D12C36"/>
    <w:rsid w:val="00D12C46"/>
    <w:rsid w:val="00D12CC7"/>
    <w:rsid w:val="00D12CE2"/>
    <w:rsid w:val="00D12E19"/>
    <w:rsid w:val="00D12E90"/>
    <w:rsid w:val="00D12ED4"/>
    <w:rsid w:val="00D12F56"/>
    <w:rsid w:val="00D13041"/>
    <w:rsid w:val="00D13088"/>
    <w:rsid w:val="00D13096"/>
    <w:rsid w:val="00D13097"/>
    <w:rsid w:val="00D130AF"/>
    <w:rsid w:val="00D130BB"/>
    <w:rsid w:val="00D132E2"/>
    <w:rsid w:val="00D13300"/>
    <w:rsid w:val="00D13445"/>
    <w:rsid w:val="00D134E3"/>
    <w:rsid w:val="00D1351F"/>
    <w:rsid w:val="00D1353F"/>
    <w:rsid w:val="00D13545"/>
    <w:rsid w:val="00D135ED"/>
    <w:rsid w:val="00D1361C"/>
    <w:rsid w:val="00D1363C"/>
    <w:rsid w:val="00D13699"/>
    <w:rsid w:val="00D1377C"/>
    <w:rsid w:val="00D1386B"/>
    <w:rsid w:val="00D13953"/>
    <w:rsid w:val="00D13A0E"/>
    <w:rsid w:val="00D13A18"/>
    <w:rsid w:val="00D13A86"/>
    <w:rsid w:val="00D13ADA"/>
    <w:rsid w:val="00D13B42"/>
    <w:rsid w:val="00D13B54"/>
    <w:rsid w:val="00D13B9B"/>
    <w:rsid w:val="00D13BA8"/>
    <w:rsid w:val="00D13BD2"/>
    <w:rsid w:val="00D13BE0"/>
    <w:rsid w:val="00D13C4D"/>
    <w:rsid w:val="00D13D2A"/>
    <w:rsid w:val="00D13D3F"/>
    <w:rsid w:val="00D13D71"/>
    <w:rsid w:val="00D13E19"/>
    <w:rsid w:val="00D13EB3"/>
    <w:rsid w:val="00D13F13"/>
    <w:rsid w:val="00D13F24"/>
    <w:rsid w:val="00D13F39"/>
    <w:rsid w:val="00D1402B"/>
    <w:rsid w:val="00D1404D"/>
    <w:rsid w:val="00D1408E"/>
    <w:rsid w:val="00D140FE"/>
    <w:rsid w:val="00D14190"/>
    <w:rsid w:val="00D1419F"/>
    <w:rsid w:val="00D14264"/>
    <w:rsid w:val="00D1427B"/>
    <w:rsid w:val="00D14290"/>
    <w:rsid w:val="00D142BD"/>
    <w:rsid w:val="00D14301"/>
    <w:rsid w:val="00D1431A"/>
    <w:rsid w:val="00D143B9"/>
    <w:rsid w:val="00D143BE"/>
    <w:rsid w:val="00D14484"/>
    <w:rsid w:val="00D14541"/>
    <w:rsid w:val="00D145AA"/>
    <w:rsid w:val="00D145BB"/>
    <w:rsid w:val="00D145EA"/>
    <w:rsid w:val="00D1465A"/>
    <w:rsid w:val="00D14686"/>
    <w:rsid w:val="00D146A7"/>
    <w:rsid w:val="00D146D9"/>
    <w:rsid w:val="00D146FA"/>
    <w:rsid w:val="00D147AC"/>
    <w:rsid w:val="00D1480F"/>
    <w:rsid w:val="00D1482F"/>
    <w:rsid w:val="00D14863"/>
    <w:rsid w:val="00D148DF"/>
    <w:rsid w:val="00D14908"/>
    <w:rsid w:val="00D14941"/>
    <w:rsid w:val="00D14974"/>
    <w:rsid w:val="00D14A59"/>
    <w:rsid w:val="00D14A91"/>
    <w:rsid w:val="00D14A97"/>
    <w:rsid w:val="00D14AD0"/>
    <w:rsid w:val="00D14AF8"/>
    <w:rsid w:val="00D14B54"/>
    <w:rsid w:val="00D14BAD"/>
    <w:rsid w:val="00D14BE3"/>
    <w:rsid w:val="00D14C02"/>
    <w:rsid w:val="00D14C20"/>
    <w:rsid w:val="00D14CDE"/>
    <w:rsid w:val="00D14CE3"/>
    <w:rsid w:val="00D14D2F"/>
    <w:rsid w:val="00D14D3B"/>
    <w:rsid w:val="00D14DBA"/>
    <w:rsid w:val="00D14DC3"/>
    <w:rsid w:val="00D14E5B"/>
    <w:rsid w:val="00D14E5D"/>
    <w:rsid w:val="00D14E6B"/>
    <w:rsid w:val="00D14F10"/>
    <w:rsid w:val="00D14F43"/>
    <w:rsid w:val="00D14F65"/>
    <w:rsid w:val="00D15099"/>
    <w:rsid w:val="00D150BF"/>
    <w:rsid w:val="00D1514B"/>
    <w:rsid w:val="00D151A9"/>
    <w:rsid w:val="00D151E5"/>
    <w:rsid w:val="00D151FC"/>
    <w:rsid w:val="00D15249"/>
    <w:rsid w:val="00D15380"/>
    <w:rsid w:val="00D1540F"/>
    <w:rsid w:val="00D15486"/>
    <w:rsid w:val="00D154D6"/>
    <w:rsid w:val="00D15510"/>
    <w:rsid w:val="00D1551C"/>
    <w:rsid w:val="00D15550"/>
    <w:rsid w:val="00D1563F"/>
    <w:rsid w:val="00D1572D"/>
    <w:rsid w:val="00D15737"/>
    <w:rsid w:val="00D1577C"/>
    <w:rsid w:val="00D157E1"/>
    <w:rsid w:val="00D158AE"/>
    <w:rsid w:val="00D1591F"/>
    <w:rsid w:val="00D15986"/>
    <w:rsid w:val="00D15A57"/>
    <w:rsid w:val="00D15AD9"/>
    <w:rsid w:val="00D15ADC"/>
    <w:rsid w:val="00D15AFD"/>
    <w:rsid w:val="00D15B06"/>
    <w:rsid w:val="00D15BB4"/>
    <w:rsid w:val="00D15C78"/>
    <w:rsid w:val="00D15D36"/>
    <w:rsid w:val="00D15DCA"/>
    <w:rsid w:val="00D15E22"/>
    <w:rsid w:val="00D15E32"/>
    <w:rsid w:val="00D15F22"/>
    <w:rsid w:val="00D15F99"/>
    <w:rsid w:val="00D15FF8"/>
    <w:rsid w:val="00D160BC"/>
    <w:rsid w:val="00D16133"/>
    <w:rsid w:val="00D16280"/>
    <w:rsid w:val="00D16290"/>
    <w:rsid w:val="00D1630B"/>
    <w:rsid w:val="00D1632C"/>
    <w:rsid w:val="00D164A2"/>
    <w:rsid w:val="00D16539"/>
    <w:rsid w:val="00D1653A"/>
    <w:rsid w:val="00D1655F"/>
    <w:rsid w:val="00D16573"/>
    <w:rsid w:val="00D166BE"/>
    <w:rsid w:val="00D16717"/>
    <w:rsid w:val="00D1672E"/>
    <w:rsid w:val="00D16772"/>
    <w:rsid w:val="00D1688D"/>
    <w:rsid w:val="00D1697F"/>
    <w:rsid w:val="00D16A4B"/>
    <w:rsid w:val="00D16A60"/>
    <w:rsid w:val="00D16AFD"/>
    <w:rsid w:val="00D16B03"/>
    <w:rsid w:val="00D16B40"/>
    <w:rsid w:val="00D16B44"/>
    <w:rsid w:val="00D16BDF"/>
    <w:rsid w:val="00D16C4C"/>
    <w:rsid w:val="00D16C59"/>
    <w:rsid w:val="00D16C7C"/>
    <w:rsid w:val="00D16CF9"/>
    <w:rsid w:val="00D16CFA"/>
    <w:rsid w:val="00D16D38"/>
    <w:rsid w:val="00D16D81"/>
    <w:rsid w:val="00D16DB2"/>
    <w:rsid w:val="00D16E79"/>
    <w:rsid w:val="00D16EEE"/>
    <w:rsid w:val="00D170F5"/>
    <w:rsid w:val="00D1714B"/>
    <w:rsid w:val="00D1727C"/>
    <w:rsid w:val="00D17357"/>
    <w:rsid w:val="00D17380"/>
    <w:rsid w:val="00D17448"/>
    <w:rsid w:val="00D175DC"/>
    <w:rsid w:val="00D175DE"/>
    <w:rsid w:val="00D1760B"/>
    <w:rsid w:val="00D176EE"/>
    <w:rsid w:val="00D17739"/>
    <w:rsid w:val="00D1774A"/>
    <w:rsid w:val="00D17773"/>
    <w:rsid w:val="00D1784B"/>
    <w:rsid w:val="00D17992"/>
    <w:rsid w:val="00D17993"/>
    <w:rsid w:val="00D179DD"/>
    <w:rsid w:val="00D17A57"/>
    <w:rsid w:val="00D17ABE"/>
    <w:rsid w:val="00D17B3B"/>
    <w:rsid w:val="00D17B3E"/>
    <w:rsid w:val="00D17C80"/>
    <w:rsid w:val="00D17D0A"/>
    <w:rsid w:val="00D17D18"/>
    <w:rsid w:val="00D17D50"/>
    <w:rsid w:val="00D17DE6"/>
    <w:rsid w:val="00D17ED0"/>
    <w:rsid w:val="00D17F86"/>
    <w:rsid w:val="00D20088"/>
    <w:rsid w:val="00D200B0"/>
    <w:rsid w:val="00D200E6"/>
    <w:rsid w:val="00D2013A"/>
    <w:rsid w:val="00D201B6"/>
    <w:rsid w:val="00D201E3"/>
    <w:rsid w:val="00D202B0"/>
    <w:rsid w:val="00D202CE"/>
    <w:rsid w:val="00D20300"/>
    <w:rsid w:val="00D203A1"/>
    <w:rsid w:val="00D203BB"/>
    <w:rsid w:val="00D2041E"/>
    <w:rsid w:val="00D20422"/>
    <w:rsid w:val="00D2042B"/>
    <w:rsid w:val="00D20443"/>
    <w:rsid w:val="00D20650"/>
    <w:rsid w:val="00D207C2"/>
    <w:rsid w:val="00D20803"/>
    <w:rsid w:val="00D20822"/>
    <w:rsid w:val="00D20828"/>
    <w:rsid w:val="00D208BB"/>
    <w:rsid w:val="00D20930"/>
    <w:rsid w:val="00D20A1F"/>
    <w:rsid w:val="00D20A90"/>
    <w:rsid w:val="00D20A9C"/>
    <w:rsid w:val="00D20AD0"/>
    <w:rsid w:val="00D20B5D"/>
    <w:rsid w:val="00D20C49"/>
    <w:rsid w:val="00D20C5C"/>
    <w:rsid w:val="00D20EE9"/>
    <w:rsid w:val="00D20F89"/>
    <w:rsid w:val="00D20F98"/>
    <w:rsid w:val="00D21070"/>
    <w:rsid w:val="00D2108B"/>
    <w:rsid w:val="00D210BD"/>
    <w:rsid w:val="00D2114D"/>
    <w:rsid w:val="00D211CD"/>
    <w:rsid w:val="00D21221"/>
    <w:rsid w:val="00D212C0"/>
    <w:rsid w:val="00D21342"/>
    <w:rsid w:val="00D2138D"/>
    <w:rsid w:val="00D213C8"/>
    <w:rsid w:val="00D213DB"/>
    <w:rsid w:val="00D2143F"/>
    <w:rsid w:val="00D214D1"/>
    <w:rsid w:val="00D2154B"/>
    <w:rsid w:val="00D21569"/>
    <w:rsid w:val="00D21658"/>
    <w:rsid w:val="00D216BE"/>
    <w:rsid w:val="00D21797"/>
    <w:rsid w:val="00D21798"/>
    <w:rsid w:val="00D217AE"/>
    <w:rsid w:val="00D217D7"/>
    <w:rsid w:val="00D217E2"/>
    <w:rsid w:val="00D219A7"/>
    <w:rsid w:val="00D21A31"/>
    <w:rsid w:val="00D21A64"/>
    <w:rsid w:val="00D21B83"/>
    <w:rsid w:val="00D21C11"/>
    <w:rsid w:val="00D21C87"/>
    <w:rsid w:val="00D21CE1"/>
    <w:rsid w:val="00D21D24"/>
    <w:rsid w:val="00D21E04"/>
    <w:rsid w:val="00D21E8B"/>
    <w:rsid w:val="00D21E95"/>
    <w:rsid w:val="00D21EAB"/>
    <w:rsid w:val="00D21EB8"/>
    <w:rsid w:val="00D21EBA"/>
    <w:rsid w:val="00D21EC3"/>
    <w:rsid w:val="00D21F45"/>
    <w:rsid w:val="00D21FAA"/>
    <w:rsid w:val="00D21FB1"/>
    <w:rsid w:val="00D21FB8"/>
    <w:rsid w:val="00D21FF9"/>
    <w:rsid w:val="00D2203F"/>
    <w:rsid w:val="00D2209B"/>
    <w:rsid w:val="00D2217D"/>
    <w:rsid w:val="00D221AF"/>
    <w:rsid w:val="00D221B2"/>
    <w:rsid w:val="00D221EB"/>
    <w:rsid w:val="00D2226A"/>
    <w:rsid w:val="00D22319"/>
    <w:rsid w:val="00D22406"/>
    <w:rsid w:val="00D22438"/>
    <w:rsid w:val="00D22454"/>
    <w:rsid w:val="00D22490"/>
    <w:rsid w:val="00D224D0"/>
    <w:rsid w:val="00D2254F"/>
    <w:rsid w:val="00D22610"/>
    <w:rsid w:val="00D22640"/>
    <w:rsid w:val="00D22719"/>
    <w:rsid w:val="00D22736"/>
    <w:rsid w:val="00D227F1"/>
    <w:rsid w:val="00D2282A"/>
    <w:rsid w:val="00D22860"/>
    <w:rsid w:val="00D228B0"/>
    <w:rsid w:val="00D2297B"/>
    <w:rsid w:val="00D229EB"/>
    <w:rsid w:val="00D22A87"/>
    <w:rsid w:val="00D22C25"/>
    <w:rsid w:val="00D22C27"/>
    <w:rsid w:val="00D22C48"/>
    <w:rsid w:val="00D22C94"/>
    <w:rsid w:val="00D22D95"/>
    <w:rsid w:val="00D22DD7"/>
    <w:rsid w:val="00D22E1E"/>
    <w:rsid w:val="00D22E94"/>
    <w:rsid w:val="00D22F56"/>
    <w:rsid w:val="00D2301E"/>
    <w:rsid w:val="00D23089"/>
    <w:rsid w:val="00D23113"/>
    <w:rsid w:val="00D2315E"/>
    <w:rsid w:val="00D232D9"/>
    <w:rsid w:val="00D23303"/>
    <w:rsid w:val="00D23314"/>
    <w:rsid w:val="00D2334B"/>
    <w:rsid w:val="00D233A1"/>
    <w:rsid w:val="00D233A6"/>
    <w:rsid w:val="00D2346B"/>
    <w:rsid w:val="00D234C9"/>
    <w:rsid w:val="00D23550"/>
    <w:rsid w:val="00D235F9"/>
    <w:rsid w:val="00D23607"/>
    <w:rsid w:val="00D23634"/>
    <w:rsid w:val="00D23695"/>
    <w:rsid w:val="00D236B6"/>
    <w:rsid w:val="00D236BE"/>
    <w:rsid w:val="00D23812"/>
    <w:rsid w:val="00D23814"/>
    <w:rsid w:val="00D23816"/>
    <w:rsid w:val="00D2385A"/>
    <w:rsid w:val="00D238E3"/>
    <w:rsid w:val="00D238F0"/>
    <w:rsid w:val="00D2393C"/>
    <w:rsid w:val="00D2397C"/>
    <w:rsid w:val="00D239F1"/>
    <w:rsid w:val="00D23AC7"/>
    <w:rsid w:val="00D23B30"/>
    <w:rsid w:val="00D23B41"/>
    <w:rsid w:val="00D23C34"/>
    <w:rsid w:val="00D23C73"/>
    <w:rsid w:val="00D23D50"/>
    <w:rsid w:val="00D23DCE"/>
    <w:rsid w:val="00D23DF4"/>
    <w:rsid w:val="00D23DFC"/>
    <w:rsid w:val="00D23F2A"/>
    <w:rsid w:val="00D23F34"/>
    <w:rsid w:val="00D23F7C"/>
    <w:rsid w:val="00D23FA3"/>
    <w:rsid w:val="00D23FAD"/>
    <w:rsid w:val="00D23FE1"/>
    <w:rsid w:val="00D2400D"/>
    <w:rsid w:val="00D24091"/>
    <w:rsid w:val="00D240D1"/>
    <w:rsid w:val="00D24136"/>
    <w:rsid w:val="00D2418F"/>
    <w:rsid w:val="00D24195"/>
    <w:rsid w:val="00D2419C"/>
    <w:rsid w:val="00D24204"/>
    <w:rsid w:val="00D2428B"/>
    <w:rsid w:val="00D242CC"/>
    <w:rsid w:val="00D242E8"/>
    <w:rsid w:val="00D242EA"/>
    <w:rsid w:val="00D24348"/>
    <w:rsid w:val="00D24369"/>
    <w:rsid w:val="00D243EB"/>
    <w:rsid w:val="00D24464"/>
    <w:rsid w:val="00D24470"/>
    <w:rsid w:val="00D2448F"/>
    <w:rsid w:val="00D244CE"/>
    <w:rsid w:val="00D2456B"/>
    <w:rsid w:val="00D245AF"/>
    <w:rsid w:val="00D24615"/>
    <w:rsid w:val="00D246BB"/>
    <w:rsid w:val="00D246F5"/>
    <w:rsid w:val="00D24761"/>
    <w:rsid w:val="00D2484D"/>
    <w:rsid w:val="00D2485E"/>
    <w:rsid w:val="00D24893"/>
    <w:rsid w:val="00D248DD"/>
    <w:rsid w:val="00D24955"/>
    <w:rsid w:val="00D249E2"/>
    <w:rsid w:val="00D24ABD"/>
    <w:rsid w:val="00D24AE4"/>
    <w:rsid w:val="00D24B07"/>
    <w:rsid w:val="00D24B80"/>
    <w:rsid w:val="00D24D3F"/>
    <w:rsid w:val="00D24F93"/>
    <w:rsid w:val="00D25010"/>
    <w:rsid w:val="00D2501C"/>
    <w:rsid w:val="00D25027"/>
    <w:rsid w:val="00D25077"/>
    <w:rsid w:val="00D250B4"/>
    <w:rsid w:val="00D250F2"/>
    <w:rsid w:val="00D25105"/>
    <w:rsid w:val="00D25185"/>
    <w:rsid w:val="00D251FC"/>
    <w:rsid w:val="00D25207"/>
    <w:rsid w:val="00D2529A"/>
    <w:rsid w:val="00D252AC"/>
    <w:rsid w:val="00D252C6"/>
    <w:rsid w:val="00D253BC"/>
    <w:rsid w:val="00D2541E"/>
    <w:rsid w:val="00D25452"/>
    <w:rsid w:val="00D254F7"/>
    <w:rsid w:val="00D2555F"/>
    <w:rsid w:val="00D25631"/>
    <w:rsid w:val="00D25658"/>
    <w:rsid w:val="00D2566D"/>
    <w:rsid w:val="00D25697"/>
    <w:rsid w:val="00D25735"/>
    <w:rsid w:val="00D25755"/>
    <w:rsid w:val="00D25780"/>
    <w:rsid w:val="00D25797"/>
    <w:rsid w:val="00D257A8"/>
    <w:rsid w:val="00D257D0"/>
    <w:rsid w:val="00D25849"/>
    <w:rsid w:val="00D25858"/>
    <w:rsid w:val="00D25916"/>
    <w:rsid w:val="00D2593A"/>
    <w:rsid w:val="00D25A6C"/>
    <w:rsid w:val="00D25ABA"/>
    <w:rsid w:val="00D25AC0"/>
    <w:rsid w:val="00D25B07"/>
    <w:rsid w:val="00D25B3B"/>
    <w:rsid w:val="00D25B7F"/>
    <w:rsid w:val="00D25C03"/>
    <w:rsid w:val="00D25C9F"/>
    <w:rsid w:val="00D25CFA"/>
    <w:rsid w:val="00D25D8B"/>
    <w:rsid w:val="00D25E3E"/>
    <w:rsid w:val="00D25E7E"/>
    <w:rsid w:val="00D25F18"/>
    <w:rsid w:val="00D25F77"/>
    <w:rsid w:val="00D25F7F"/>
    <w:rsid w:val="00D25FD2"/>
    <w:rsid w:val="00D26094"/>
    <w:rsid w:val="00D260D4"/>
    <w:rsid w:val="00D262C3"/>
    <w:rsid w:val="00D2631C"/>
    <w:rsid w:val="00D263B2"/>
    <w:rsid w:val="00D263F9"/>
    <w:rsid w:val="00D26443"/>
    <w:rsid w:val="00D26460"/>
    <w:rsid w:val="00D26472"/>
    <w:rsid w:val="00D264B0"/>
    <w:rsid w:val="00D26523"/>
    <w:rsid w:val="00D26637"/>
    <w:rsid w:val="00D26692"/>
    <w:rsid w:val="00D266A0"/>
    <w:rsid w:val="00D26717"/>
    <w:rsid w:val="00D26733"/>
    <w:rsid w:val="00D26782"/>
    <w:rsid w:val="00D267D2"/>
    <w:rsid w:val="00D2680B"/>
    <w:rsid w:val="00D2685B"/>
    <w:rsid w:val="00D26AC0"/>
    <w:rsid w:val="00D26AC9"/>
    <w:rsid w:val="00D26B45"/>
    <w:rsid w:val="00D26BA7"/>
    <w:rsid w:val="00D26BE6"/>
    <w:rsid w:val="00D26C77"/>
    <w:rsid w:val="00D26C7A"/>
    <w:rsid w:val="00D26C9B"/>
    <w:rsid w:val="00D26C9D"/>
    <w:rsid w:val="00D26D2B"/>
    <w:rsid w:val="00D26D6E"/>
    <w:rsid w:val="00D26D9A"/>
    <w:rsid w:val="00D26EF4"/>
    <w:rsid w:val="00D26EF8"/>
    <w:rsid w:val="00D26F32"/>
    <w:rsid w:val="00D26FD2"/>
    <w:rsid w:val="00D27035"/>
    <w:rsid w:val="00D270B1"/>
    <w:rsid w:val="00D270C2"/>
    <w:rsid w:val="00D271AC"/>
    <w:rsid w:val="00D27223"/>
    <w:rsid w:val="00D2725D"/>
    <w:rsid w:val="00D272E6"/>
    <w:rsid w:val="00D272F3"/>
    <w:rsid w:val="00D272F8"/>
    <w:rsid w:val="00D2740F"/>
    <w:rsid w:val="00D2741B"/>
    <w:rsid w:val="00D27460"/>
    <w:rsid w:val="00D274FC"/>
    <w:rsid w:val="00D27530"/>
    <w:rsid w:val="00D27536"/>
    <w:rsid w:val="00D275EA"/>
    <w:rsid w:val="00D27636"/>
    <w:rsid w:val="00D27647"/>
    <w:rsid w:val="00D27673"/>
    <w:rsid w:val="00D2768A"/>
    <w:rsid w:val="00D276F0"/>
    <w:rsid w:val="00D27733"/>
    <w:rsid w:val="00D27875"/>
    <w:rsid w:val="00D2788A"/>
    <w:rsid w:val="00D2793D"/>
    <w:rsid w:val="00D27997"/>
    <w:rsid w:val="00D279D0"/>
    <w:rsid w:val="00D27A24"/>
    <w:rsid w:val="00D27A98"/>
    <w:rsid w:val="00D27B6A"/>
    <w:rsid w:val="00D27BA1"/>
    <w:rsid w:val="00D27C6E"/>
    <w:rsid w:val="00D27C87"/>
    <w:rsid w:val="00D27CE0"/>
    <w:rsid w:val="00D27D5D"/>
    <w:rsid w:val="00D27DBC"/>
    <w:rsid w:val="00D27DD3"/>
    <w:rsid w:val="00D27E76"/>
    <w:rsid w:val="00D27F36"/>
    <w:rsid w:val="00D27F64"/>
    <w:rsid w:val="00D27F72"/>
    <w:rsid w:val="00D27F87"/>
    <w:rsid w:val="00D3003A"/>
    <w:rsid w:val="00D3004B"/>
    <w:rsid w:val="00D3010A"/>
    <w:rsid w:val="00D30187"/>
    <w:rsid w:val="00D301AD"/>
    <w:rsid w:val="00D30226"/>
    <w:rsid w:val="00D30288"/>
    <w:rsid w:val="00D302EC"/>
    <w:rsid w:val="00D3038A"/>
    <w:rsid w:val="00D3041D"/>
    <w:rsid w:val="00D30448"/>
    <w:rsid w:val="00D304AB"/>
    <w:rsid w:val="00D304D0"/>
    <w:rsid w:val="00D304F4"/>
    <w:rsid w:val="00D30511"/>
    <w:rsid w:val="00D30579"/>
    <w:rsid w:val="00D305C6"/>
    <w:rsid w:val="00D305D1"/>
    <w:rsid w:val="00D305F1"/>
    <w:rsid w:val="00D30646"/>
    <w:rsid w:val="00D30723"/>
    <w:rsid w:val="00D30846"/>
    <w:rsid w:val="00D30866"/>
    <w:rsid w:val="00D308DF"/>
    <w:rsid w:val="00D3097C"/>
    <w:rsid w:val="00D309EC"/>
    <w:rsid w:val="00D309EE"/>
    <w:rsid w:val="00D30A49"/>
    <w:rsid w:val="00D30B0A"/>
    <w:rsid w:val="00D30B34"/>
    <w:rsid w:val="00D30BD8"/>
    <w:rsid w:val="00D30C6C"/>
    <w:rsid w:val="00D30CCC"/>
    <w:rsid w:val="00D30D5C"/>
    <w:rsid w:val="00D30D75"/>
    <w:rsid w:val="00D30D9C"/>
    <w:rsid w:val="00D30DB3"/>
    <w:rsid w:val="00D30DBB"/>
    <w:rsid w:val="00D30DDE"/>
    <w:rsid w:val="00D30DE6"/>
    <w:rsid w:val="00D30E12"/>
    <w:rsid w:val="00D30E52"/>
    <w:rsid w:val="00D30E53"/>
    <w:rsid w:val="00D30F1D"/>
    <w:rsid w:val="00D30F7F"/>
    <w:rsid w:val="00D30F83"/>
    <w:rsid w:val="00D31002"/>
    <w:rsid w:val="00D31028"/>
    <w:rsid w:val="00D31031"/>
    <w:rsid w:val="00D31041"/>
    <w:rsid w:val="00D311AC"/>
    <w:rsid w:val="00D312CB"/>
    <w:rsid w:val="00D31432"/>
    <w:rsid w:val="00D314CC"/>
    <w:rsid w:val="00D315B7"/>
    <w:rsid w:val="00D3163A"/>
    <w:rsid w:val="00D3165F"/>
    <w:rsid w:val="00D3168B"/>
    <w:rsid w:val="00D3170C"/>
    <w:rsid w:val="00D31796"/>
    <w:rsid w:val="00D317D3"/>
    <w:rsid w:val="00D317EB"/>
    <w:rsid w:val="00D3187A"/>
    <w:rsid w:val="00D31950"/>
    <w:rsid w:val="00D31960"/>
    <w:rsid w:val="00D3196C"/>
    <w:rsid w:val="00D319EA"/>
    <w:rsid w:val="00D31B4F"/>
    <w:rsid w:val="00D31BBE"/>
    <w:rsid w:val="00D31BC2"/>
    <w:rsid w:val="00D31BC4"/>
    <w:rsid w:val="00D31BF2"/>
    <w:rsid w:val="00D31C0A"/>
    <w:rsid w:val="00D31C6A"/>
    <w:rsid w:val="00D31CF8"/>
    <w:rsid w:val="00D31D51"/>
    <w:rsid w:val="00D31DDB"/>
    <w:rsid w:val="00D31E96"/>
    <w:rsid w:val="00D31F14"/>
    <w:rsid w:val="00D32007"/>
    <w:rsid w:val="00D32055"/>
    <w:rsid w:val="00D32222"/>
    <w:rsid w:val="00D32256"/>
    <w:rsid w:val="00D3225A"/>
    <w:rsid w:val="00D3227E"/>
    <w:rsid w:val="00D322C7"/>
    <w:rsid w:val="00D3230B"/>
    <w:rsid w:val="00D323F5"/>
    <w:rsid w:val="00D3248C"/>
    <w:rsid w:val="00D325CF"/>
    <w:rsid w:val="00D3264B"/>
    <w:rsid w:val="00D32678"/>
    <w:rsid w:val="00D32701"/>
    <w:rsid w:val="00D32865"/>
    <w:rsid w:val="00D3288B"/>
    <w:rsid w:val="00D3289B"/>
    <w:rsid w:val="00D328AD"/>
    <w:rsid w:val="00D328C6"/>
    <w:rsid w:val="00D328DE"/>
    <w:rsid w:val="00D328F8"/>
    <w:rsid w:val="00D3299B"/>
    <w:rsid w:val="00D329A0"/>
    <w:rsid w:val="00D329B9"/>
    <w:rsid w:val="00D329D5"/>
    <w:rsid w:val="00D32A71"/>
    <w:rsid w:val="00D32AB5"/>
    <w:rsid w:val="00D32AB8"/>
    <w:rsid w:val="00D32C8B"/>
    <w:rsid w:val="00D32D3B"/>
    <w:rsid w:val="00D32D70"/>
    <w:rsid w:val="00D32D96"/>
    <w:rsid w:val="00D32E69"/>
    <w:rsid w:val="00D32E6D"/>
    <w:rsid w:val="00D32F21"/>
    <w:rsid w:val="00D32F2E"/>
    <w:rsid w:val="00D330B1"/>
    <w:rsid w:val="00D330D2"/>
    <w:rsid w:val="00D3311F"/>
    <w:rsid w:val="00D33121"/>
    <w:rsid w:val="00D331E1"/>
    <w:rsid w:val="00D33228"/>
    <w:rsid w:val="00D332AB"/>
    <w:rsid w:val="00D332BB"/>
    <w:rsid w:val="00D332D5"/>
    <w:rsid w:val="00D332DC"/>
    <w:rsid w:val="00D3334C"/>
    <w:rsid w:val="00D3339A"/>
    <w:rsid w:val="00D3353D"/>
    <w:rsid w:val="00D335F7"/>
    <w:rsid w:val="00D3368E"/>
    <w:rsid w:val="00D336E8"/>
    <w:rsid w:val="00D337DA"/>
    <w:rsid w:val="00D3382A"/>
    <w:rsid w:val="00D3389D"/>
    <w:rsid w:val="00D338ED"/>
    <w:rsid w:val="00D33963"/>
    <w:rsid w:val="00D33988"/>
    <w:rsid w:val="00D33A12"/>
    <w:rsid w:val="00D33A2C"/>
    <w:rsid w:val="00D33AA9"/>
    <w:rsid w:val="00D33B32"/>
    <w:rsid w:val="00D33B6B"/>
    <w:rsid w:val="00D33B78"/>
    <w:rsid w:val="00D33BC8"/>
    <w:rsid w:val="00D33C2C"/>
    <w:rsid w:val="00D33C8B"/>
    <w:rsid w:val="00D33CDF"/>
    <w:rsid w:val="00D33DE3"/>
    <w:rsid w:val="00D33DFE"/>
    <w:rsid w:val="00D33E38"/>
    <w:rsid w:val="00D33E8D"/>
    <w:rsid w:val="00D34006"/>
    <w:rsid w:val="00D340EA"/>
    <w:rsid w:val="00D340FD"/>
    <w:rsid w:val="00D342D1"/>
    <w:rsid w:val="00D3435F"/>
    <w:rsid w:val="00D3437A"/>
    <w:rsid w:val="00D343A3"/>
    <w:rsid w:val="00D343CC"/>
    <w:rsid w:val="00D34405"/>
    <w:rsid w:val="00D34413"/>
    <w:rsid w:val="00D3449C"/>
    <w:rsid w:val="00D3453D"/>
    <w:rsid w:val="00D3457E"/>
    <w:rsid w:val="00D345E8"/>
    <w:rsid w:val="00D345F5"/>
    <w:rsid w:val="00D346F6"/>
    <w:rsid w:val="00D3471F"/>
    <w:rsid w:val="00D34720"/>
    <w:rsid w:val="00D34722"/>
    <w:rsid w:val="00D3474B"/>
    <w:rsid w:val="00D3478E"/>
    <w:rsid w:val="00D348C9"/>
    <w:rsid w:val="00D3498E"/>
    <w:rsid w:val="00D34A28"/>
    <w:rsid w:val="00D34B4F"/>
    <w:rsid w:val="00D34B5D"/>
    <w:rsid w:val="00D34B75"/>
    <w:rsid w:val="00D34C1F"/>
    <w:rsid w:val="00D34CCC"/>
    <w:rsid w:val="00D34DD4"/>
    <w:rsid w:val="00D34E58"/>
    <w:rsid w:val="00D34EDF"/>
    <w:rsid w:val="00D34F2A"/>
    <w:rsid w:val="00D34F84"/>
    <w:rsid w:val="00D35025"/>
    <w:rsid w:val="00D35090"/>
    <w:rsid w:val="00D350EB"/>
    <w:rsid w:val="00D35112"/>
    <w:rsid w:val="00D35135"/>
    <w:rsid w:val="00D3516A"/>
    <w:rsid w:val="00D35173"/>
    <w:rsid w:val="00D35193"/>
    <w:rsid w:val="00D351D8"/>
    <w:rsid w:val="00D3520B"/>
    <w:rsid w:val="00D3521F"/>
    <w:rsid w:val="00D352F5"/>
    <w:rsid w:val="00D35305"/>
    <w:rsid w:val="00D35314"/>
    <w:rsid w:val="00D35559"/>
    <w:rsid w:val="00D35589"/>
    <w:rsid w:val="00D3560A"/>
    <w:rsid w:val="00D3562C"/>
    <w:rsid w:val="00D35662"/>
    <w:rsid w:val="00D35690"/>
    <w:rsid w:val="00D35755"/>
    <w:rsid w:val="00D3577B"/>
    <w:rsid w:val="00D3584A"/>
    <w:rsid w:val="00D35946"/>
    <w:rsid w:val="00D35948"/>
    <w:rsid w:val="00D3595D"/>
    <w:rsid w:val="00D359D3"/>
    <w:rsid w:val="00D359D6"/>
    <w:rsid w:val="00D35A0C"/>
    <w:rsid w:val="00D35AA6"/>
    <w:rsid w:val="00D35AB7"/>
    <w:rsid w:val="00D35AC2"/>
    <w:rsid w:val="00D35BEB"/>
    <w:rsid w:val="00D35C91"/>
    <w:rsid w:val="00D35D09"/>
    <w:rsid w:val="00D35D50"/>
    <w:rsid w:val="00D35E67"/>
    <w:rsid w:val="00D35E69"/>
    <w:rsid w:val="00D35EE1"/>
    <w:rsid w:val="00D35FB7"/>
    <w:rsid w:val="00D35FE0"/>
    <w:rsid w:val="00D3607A"/>
    <w:rsid w:val="00D360B3"/>
    <w:rsid w:val="00D360B8"/>
    <w:rsid w:val="00D360EF"/>
    <w:rsid w:val="00D36100"/>
    <w:rsid w:val="00D36123"/>
    <w:rsid w:val="00D36187"/>
    <w:rsid w:val="00D361F8"/>
    <w:rsid w:val="00D362FC"/>
    <w:rsid w:val="00D36348"/>
    <w:rsid w:val="00D363C7"/>
    <w:rsid w:val="00D36414"/>
    <w:rsid w:val="00D36423"/>
    <w:rsid w:val="00D36443"/>
    <w:rsid w:val="00D364FC"/>
    <w:rsid w:val="00D365B0"/>
    <w:rsid w:val="00D365BA"/>
    <w:rsid w:val="00D36612"/>
    <w:rsid w:val="00D3661A"/>
    <w:rsid w:val="00D3668B"/>
    <w:rsid w:val="00D36745"/>
    <w:rsid w:val="00D36791"/>
    <w:rsid w:val="00D367AB"/>
    <w:rsid w:val="00D367AD"/>
    <w:rsid w:val="00D36829"/>
    <w:rsid w:val="00D3682E"/>
    <w:rsid w:val="00D36834"/>
    <w:rsid w:val="00D368CC"/>
    <w:rsid w:val="00D36922"/>
    <w:rsid w:val="00D36934"/>
    <w:rsid w:val="00D3696A"/>
    <w:rsid w:val="00D36C88"/>
    <w:rsid w:val="00D36C8B"/>
    <w:rsid w:val="00D36D30"/>
    <w:rsid w:val="00D36D5C"/>
    <w:rsid w:val="00D36DBF"/>
    <w:rsid w:val="00D36DF8"/>
    <w:rsid w:val="00D36E25"/>
    <w:rsid w:val="00D36E29"/>
    <w:rsid w:val="00D36E5E"/>
    <w:rsid w:val="00D36EAB"/>
    <w:rsid w:val="00D36EFA"/>
    <w:rsid w:val="00D36F1F"/>
    <w:rsid w:val="00D36F79"/>
    <w:rsid w:val="00D36F83"/>
    <w:rsid w:val="00D36F95"/>
    <w:rsid w:val="00D36FCE"/>
    <w:rsid w:val="00D3702F"/>
    <w:rsid w:val="00D3705F"/>
    <w:rsid w:val="00D3708D"/>
    <w:rsid w:val="00D370D9"/>
    <w:rsid w:val="00D370F3"/>
    <w:rsid w:val="00D3713A"/>
    <w:rsid w:val="00D37151"/>
    <w:rsid w:val="00D3718A"/>
    <w:rsid w:val="00D371C9"/>
    <w:rsid w:val="00D37237"/>
    <w:rsid w:val="00D37274"/>
    <w:rsid w:val="00D37277"/>
    <w:rsid w:val="00D372AC"/>
    <w:rsid w:val="00D3733C"/>
    <w:rsid w:val="00D37358"/>
    <w:rsid w:val="00D37383"/>
    <w:rsid w:val="00D373D0"/>
    <w:rsid w:val="00D373E1"/>
    <w:rsid w:val="00D37416"/>
    <w:rsid w:val="00D37424"/>
    <w:rsid w:val="00D37437"/>
    <w:rsid w:val="00D3743F"/>
    <w:rsid w:val="00D37441"/>
    <w:rsid w:val="00D374A0"/>
    <w:rsid w:val="00D374B7"/>
    <w:rsid w:val="00D37541"/>
    <w:rsid w:val="00D37636"/>
    <w:rsid w:val="00D3765D"/>
    <w:rsid w:val="00D3765E"/>
    <w:rsid w:val="00D376B2"/>
    <w:rsid w:val="00D37719"/>
    <w:rsid w:val="00D3775C"/>
    <w:rsid w:val="00D377A1"/>
    <w:rsid w:val="00D3785A"/>
    <w:rsid w:val="00D37894"/>
    <w:rsid w:val="00D378CE"/>
    <w:rsid w:val="00D37B4A"/>
    <w:rsid w:val="00D37B76"/>
    <w:rsid w:val="00D37BFD"/>
    <w:rsid w:val="00D37C7E"/>
    <w:rsid w:val="00D37CB0"/>
    <w:rsid w:val="00D37D8D"/>
    <w:rsid w:val="00D37D92"/>
    <w:rsid w:val="00D37E13"/>
    <w:rsid w:val="00D37E3B"/>
    <w:rsid w:val="00D37EAF"/>
    <w:rsid w:val="00D37EFD"/>
    <w:rsid w:val="00D37F24"/>
    <w:rsid w:val="00D37F4F"/>
    <w:rsid w:val="00D3C384"/>
    <w:rsid w:val="00D40006"/>
    <w:rsid w:val="00D400DC"/>
    <w:rsid w:val="00D40123"/>
    <w:rsid w:val="00D40152"/>
    <w:rsid w:val="00D40189"/>
    <w:rsid w:val="00D401C9"/>
    <w:rsid w:val="00D401DB"/>
    <w:rsid w:val="00D40282"/>
    <w:rsid w:val="00D40295"/>
    <w:rsid w:val="00D403A8"/>
    <w:rsid w:val="00D40455"/>
    <w:rsid w:val="00D40483"/>
    <w:rsid w:val="00D404BB"/>
    <w:rsid w:val="00D40518"/>
    <w:rsid w:val="00D40533"/>
    <w:rsid w:val="00D405AF"/>
    <w:rsid w:val="00D405ED"/>
    <w:rsid w:val="00D40710"/>
    <w:rsid w:val="00D40723"/>
    <w:rsid w:val="00D40738"/>
    <w:rsid w:val="00D40918"/>
    <w:rsid w:val="00D40977"/>
    <w:rsid w:val="00D40998"/>
    <w:rsid w:val="00D40A2C"/>
    <w:rsid w:val="00D40B28"/>
    <w:rsid w:val="00D40B79"/>
    <w:rsid w:val="00D40B94"/>
    <w:rsid w:val="00D40BCA"/>
    <w:rsid w:val="00D40C8C"/>
    <w:rsid w:val="00D40CFD"/>
    <w:rsid w:val="00D40DAB"/>
    <w:rsid w:val="00D40E09"/>
    <w:rsid w:val="00D40E0C"/>
    <w:rsid w:val="00D40E0D"/>
    <w:rsid w:val="00D40E30"/>
    <w:rsid w:val="00D40E54"/>
    <w:rsid w:val="00D40E91"/>
    <w:rsid w:val="00D40EDE"/>
    <w:rsid w:val="00D40EF2"/>
    <w:rsid w:val="00D40FDB"/>
    <w:rsid w:val="00D41008"/>
    <w:rsid w:val="00D41026"/>
    <w:rsid w:val="00D4104D"/>
    <w:rsid w:val="00D410C4"/>
    <w:rsid w:val="00D4112D"/>
    <w:rsid w:val="00D4119D"/>
    <w:rsid w:val="00D411A5"/>
    <w:rsid w:val="00D411A6"/>
    <w:rsid w:val="00D411DC"/>
    <w:rsid w:val="00D41295"/>
    <w:rsid w:val="00D412AF"/>
    <w:rsid w:val="00D412BC"/>
    <w:rsid w:val="00D412FB"/>
    <w:rsid w:val="00D41319"/>
    <w:rsid w:val="00D4135F"/>
    <w:rsid w:val="00D41413"/>
    <w:rsid w:val="00D41419"/>
    <w:rsid w:val="00D41580"/>
    <w:rsid w:val="00D4158D"/>
    <w:rsid w:val="00D416D4"/>
    <w:rsid w:val="00D4179D"/>
    <w:rsid w:val="00D417F1"/>
    <w:rsid w:val="00D417FA"/>
    <w:rsid w:val="00D417FB"/>
    <w:rsid w:val="00D41851"/>
    <w:rsid w:val="00D41854"/>
    <w:rsid w:val="00D41860"/>
    <w:rsid w:val="00D4187E"/>
    <w:rsid w:val="00D418AB"/>
    <w:rsid w:val="00D419F9"/>
    <w:rsid w:val="00D419FF"/>
    <w:rsid w:val="00D41A12"/>
    <w:rsid w:val="00D41AB2"/>
    <w:rsid w:val="00D41AC3"/>
    <w:rsid w:val="00D41AED"/>
    <w:rsid w:val="00D41AF8"/>
    <w:rsid w:val="00D41CA0"/>
    <w:rsid w:val="00D41D90"/>
    <w:rsid w:val="00D41DBA"/>
    <w:rsid w:val="00D41DD8"/>
    <w:rsid w:val="00D41E20"/>
    <w:rsid w:val="00D41E4B"/>
    <w:rsid w:val="00D41ED9"/>
    <w:rsid w:val="00D41F2B"/>
    <w:rsid w:val="00D41F53"/>
    <w:rsid w:val="00D41F7E"/>
    <w:rsid w:val="00D41FAD"/>
    <w:rsid w:val="00D42038"/>
    <w:rsid w:val="00D4207C"/>
    <w:rsid w:val="00D42167"/>
    <w:rsid w:val="00D421DC"/>
    <w:rsid w:val="00D421E2"/>
    <w:rsid w:val="00D422E2"/>
    <w:rsid w:val="00D42352"/>
    <w:rsid w:val="00D423C9"/>
    <w:rsid w:val="00D423CF"/>
    <w:rsid w:val="00D42421"/>
    <w:rsid w:val="00D4247D"/>
    <w:rsid w:val="00D424CC"/>
    <w:rsid w:val="00D42549"/>
    <w:rsid w:val="00D425BE"/>
    <w:rsid w:val="00D425E9"/>
    <w:rsid w:val="00D426B0"/>
    <w:rsid w:val="00D426B9"/>
    <w:rsid w:val="00D427DA"/>
    <w:rsid w:val="00D4281C"/>
    <w:rsid w:val="00D42831"/>
    <w:rsid w:val="00D42838"/>
    <w:rsid w:val="00D4294A"/>
    <w:rsid w:val="00D429AB"/>
    <w:rsid w:val="00D429C4"/>
    <w:rsid w:val="00D429E1"/>
    <w:rsid w:val="00D42AE0"/>
    <w:rsid w:val="00D42C31"/>
    <w:rsid w:val="00D42C6B"/>
    <w:rsid w:val="00D42CDB"/>
    <w:rsid w:val="00D42D66"/>
    <w:rsid w:val="00D42D77"/>
    <w:rsid w:val="00D42E53"/>
    <w:rsid w:val="00D42E59"/>
    <w:rsid w:val="00D42E94"/>
    <w:rsid w:val="00D42F01"/>
    <w:rsid w:val="00D42F45"/>
    <w:rsid w:val="00D43081"/>
    <w:rsid w:val="00D43105"/>
    <w:rsid w:val="00D4311B"/>
    <w:rsid w:val="00D4315A"/>
    <w:rsid w:val="00D431C4"/>
    <w:rsid w:val="00D431ED"/>
    <w:rsid w:val="00D431FA"/>
    <w:rsid w:val="00D43269"/>
    <w:rsid w:val="00D43272"/>
    <w:rsid w:val="00D43298"/>
    <w:rsid w:val="00D432BE"/>
    <w:rsid w:val="00D4334A"/>
    <w:rsid w:val="00D433BA"/>
    <w:rsid w:val="00D435B6"/>
    <w:rsid w:val="00D4367E"/>
    <w:rsid w:val="00D43734"/>
    <w:rsid w:val="00D4377C"/>
    <w:rsid w:val="00D437C3"/>
    <w:rsid w:val="00D437DB"/>
    <w:rsid w:val="00D43889"/>
    <w:rsid w:val="00D4399B"/>
    <w:rsid w:val="00D439D6"/>
    <w:rsid w:val="00D43AE8"/>
    <w:rsid w:val="00D43C8E"/>
    <w:rsid w:val="00D43CBD"/>
    <w:rsid w:val="00D43D0D"/>
    <w:rsid w:val="00D43D4F"/>
    <w:rsid w:val="00D43DD8"/>
    <w:rsid w:val="00D43E2E"/>
    <w:rsid w:val="00D43EE2"/>
    <w:rsid w:val="00D43F49"/>
    <w:rsid w:val="00D44055"/>
    <w:rsid w:val="00D4420C"/>
    <w:rsid w:val="00D4427D"/>
    <w:rsid w:val="00D4436D"/>
    <w:rsid w:val="00D443CD"/>
    <w:rsid w:val="00D44441"/>
    <w:rsid w:val="00D44477"/>
    <w:rsid w:val="00D4450F"/>
    <w:rsid w:val="00D44530"/>
    <w:rsid w:val="00D44539"/>
    <w:rsid w:val="00D4456E"/>
    <w:rsid w:val="00D44595"/>
    <w:rsid w:val="00D445D8"/>
    <w:rsid w:val="00D44695"/>
    <w:rsid w:val="00D446AA"/>
    <w:rsid w:val="00D4473C"/>
    <w:rsid w:val="00D44752"/>
    <w:rsid w:val="00D447F6"/>
    <w:rsid w:val="00D4495A"/>
    <w:rsid w:val="00D44978"/>
    <w:rsid w:val="00D44ABF"/>
    <w:rsid w:val="00D44AEF"/>
    <w:rsid w:val="00D44B2F"/>
    <w:rsid w:val="00D44B78"/>
    <w:rsid w:val="00D44B81"/>
    <w:rsid w:val="00D44BF5"/>
    <w:rsid w:val="00D44C12"/>
    <w:rsid w:val="00D44CFD"/>
    <w:rsid w:val="00D44D1D"/>
    <w:rsid w:val="00D44D4F"/>
    <w:rsid w:val="00D44D63"/>
    <w:rsid w:val="00D44D86"/>
    <w:rsid w:val="00D44E4D"/>
    <w:rsid w:val="00D44EE7"/>
    <w:rsid w:val="00D44FA7"/>
    <w:rsid w:val="00D45033"/>
    <w:rsid w:val="00D450CE"/>
    <w:rsid w:val="00D450EC"/>
    <w:rsid w:val="00D45225"/>
    <w:rsid w:val="00D4522D"/>
    <w:rsid w:val="00D4529B"/>
    <w:rsid w:val="00D452E1"/>
    <w:rsid w:val="00D4530B"/>
    <w:rsid w:val="00D4530D"/>
    <w:rsid w:val="00D45325"/>
    <w:rsid w:val="00D45341"/>
    <w:rsid w:val="00D45346"/>
    <w:rsid w:val="00D453B3"/>
    <w:rsid w:val="00D454FB"/>
    <w:rsid w:val="00D45506"/>
    <w:rsid w:val="00D45699"/>
    <w:rsid w:val="00D45794"/>
    <w:rsid w:val="00D457F9"/>
    <w:rsid w:val="00D4583E"/>
    <w:rsid w:val="00D45960"/>
    <w:rsid w:val="00D45A18"/>
    <w:rsid w:val="00D45A4A"/>
    <w:rsid w:val="00D45AAC"/>
    <w:rsid w:val="00D45AC5"/>
    <w:rsid w:val="00D45ADB"/>
    <w:rsid w:val="00D45C1B"/>
    <w:rsid w:val="00D45C33"/>
    <w:rsid w:val="00D45C5B"/>
    <w:rsid w:val="00D45C64"/>
    <w:rsid w:val="00D45CF8"/>
    <w:rsid w:val="00D45CFE"/>
    <w:rsid w:val="00D45D29"/>
    <w:rsid w:val="00D45D9F"/>
    <w:rsid w:val="00D45E08"/>
    <w:rsid w:val="00D45E38"/>
    <w:rsid w:val="00D45E5A"/>
    <w:rsid w:val="00D45F4D"/>
    <w:rsid w:val="00D45F63"/>
    <w:rsid w:val="00D46016"/>
    <w:rsid w:val="00D46035"/>
    <w:rsid w:val="00D4603C"/>
    <w:rsid w:val="00D46121"/>
    <w:rsid w:val="00D46169"/>
    <w:rsid w:val="00D46189"/>
    <w:rsid w:val="00D461CF"/>
    <w:rsid w:val="00D4621A"/>
    <w:rsid w:val="00D46222"/>
    <w:rsid w:val="00D4623A"/>
    <w:rsid w:val="00D46320"/>
    <w:rsid w:val="00D46376"/>
    <w:rsid w:val="00D4646A"/>
    <w:rsid w:val="00D464CA"/>
    <w:rsid w:val="00D464EA"/>
    <w:rsid w:val="00D465A4"/>
    <w:rsid w:val="00D465CA"/>
    <w:rsid w:val="00D46612"/>
    <w:rsid w:val="00D46714"/>
    <w:rsid w:val="00D46718"/>
    <w:rsid w:val="00D4673A"/>
    <w:rsid w:val="00D4679E"/>
    <w:rsid w:val="00D467C6"/>
    <w:rsid w:val="00D46873"/>
    <w:rsid w:val="00D4689C"/>
    <w:rsid w:val="00D468D0"/>
    <w:rsid w:val="00D4690D"/>
    <w:rsid w:val="00D46911"/>
    <w:rsid w:val="00D46924"/>
    <w:rsid w:val="00D46925"/>
    <w:rsid w:val="00D46947"/>
    <w:rsid w:val="00D4696E"/>
    <w:rsid w:val="00D46A67"/>
    <w:rsid w:val="00D46AB2"/>
    <w:rsid w:val="00D46B00"/>
    <w:rsid w:val="00D46B59"/>
    <w:rsid w:val="00D46B6C"/>
    <w:rsid w:val="00D46BC1"/>
    <w:rsid w:val="00D46C02"/>
    <w:rsid w:val="00D46CDD"/>
    <w:rsid w:val="00D46D35"/>
    <w:rsid w:val="00D46D42"/>
    <w:rsid w:val="00D46D7B"/>
    <w:rsid w:val="00D46E07"/>
    <w:rsid w:val="00D46E5D"/>
    <w:rsid w:val="00D46E90"/>
    <w:rsid w:val="00D4701A"/>
    <w:rsid w:val="00D470EE"/>
    <w:rsid w:val="00D47199"/>
    <w:rsid w:val="00D471AE"/>
    <w:rsid w:val="00D471F8"/>
    <w:rsid w:val="00D472C9"/>
    <w:rsid w:val="00D472DC"/>
    <w:rsid w:val="00D4730D"/>
    <w:rsid w:val="00D47331"/>
    <w:rsid w:val="00D4734B"/>
    <w:rsid w:val="00D473D1"/>
    <w:rsid w:val="00D4744A"/>
    <w:rsid w:val="00D4744C"/>
    <w:rsid w:val="00D474C3"/>
    <w:rsid w:val="00D474C4"/>
    <w:rsid w:val="00D474C7"/>
    <w:rsid w:val="00D47540"/>
    <w:rsid w:val="00D4755A"/>
    <w:rsid w:val="00D4756F"/>
    <w:rsid w:val="00D4759C"/>
    <w:rsid w:val="00D4768F"/>
    <w:rsid w:val="00D476CC"/>
    <w:rsid w:val="00D47740"/>
    <w:rsid w:val="00D477E0"/>
    <w:rsid w:val="00D47849"/>
    <w:rsid w:val="00D4787A"/>
    <w:rsid w:val="00D47895"/>
    <w:rsid w:val="00D478AB"/>
    <w:rsid w:val="00D47958"/>
    <w:rsid w:val="00D47967"/>
    <w:rsid w:val="00D47991"/>
    <w:rsid w:val="00D47AF5"/>
    <w:rsid w:val="00D47AF7"/>
    <w:rsid w:val="00D47B21"/>
    <w:rsid w:val="00D47B49"/>
    <w:rsid w:val="00D47CCC"/>
    <w:rsid w:val="00D47EC0"/>
    <w:rsid w:val="00D47ECE"/>
    <w:rsid w:val="00D47FDA"/>
    <w:rsid w:val="00D47FF9"/>
    <w:rsid w:val="00D5004F"/>
    <w:rsid w:val="00D50079"/>
    <w:rsid w:val="00D500C0"/>
    <w:rsid w:val="00D500CF"/>
    <w:rsid w:val="00D500EF"/>
    <w:rsid w:val="00D50119"/>
    <w:rsid w:val="00D5012E"/>
    <w:rsid w:val="00D502C7"/>
    <w:rsid w:val="00D502E1"/>
    <w:rsid w:val="00D50305"/>
    <w:rsid w:val="00D5037E"/>
    <w:rsid w:val="00D50510"/>
    <w:rsid w:val="00D50524"/>
    <w:rsid w:val="00D50636"/>
    <w:rsid w:val="00D50680"/>
    <w:rsid w:val="00D506AA"/>
    <w:rsid w:val="00D50711"/>
    <w:rsid w:val="00D50766"/>
    <w:rsid w:val="00D507DD"/>
    <w:rsid w:val="00D508B5"/>
    <w:rsid w:val="00D50975"/>
    <w:rsid w:val="00D50A47"/>
    <w:rsid w:val="00D50BA8"/>
    <w:rsid w:val="00D50BF7"/>
    <w:rsid w:val="00D50C2C"/>
    <w:rsid w:val="00D50D91"/>
    <w:rsid w:val="00D50DF9"/>
    <w:rsid w:val="00D50E11"/>
    <w:rsid w:val="00D50EE8"/>
    <w:rsid w:val="00D50F5F"/>
    <w:rsid w:val="00D51009"/>
    <w:rsid w:val="00D510DB"/>
    <w:rsid w:val="00D51198"/>
    <w:rsid w:val="00D511F1"/>
    <w:rsid w:val="00D51282"/>
    <w:rsid w:val="00D5139E"/>
    <w:rsid w:val="00D513A3"/>
    <w:rsid w:val="00D513DD"/>
    <w:rsid w:val="00D5140F"/>
    <w:rsid w:val="00D5148F"/>
    <w:rsid w:val="00D5149E"/>
    <w:rsid w:val="00D514CA"/>
    <w:rsid w:val="00D5155C"/>
    <w:rsid w:val="00D515EA"/>
    <w:rsid w:val="00D5175A"/>
    <w:rsid w:val="00D51797"/>
    <w:rsid w:val="00D517DC"/>
    <w:rsid w:val="00D518AA"/>
    <w:rsid w:val="00D5192E"/>
    <w:rsid w:val="00D51AD6"/>
    <w:rsid w:val="00D51AE2"/>
    <w:rsid w:val="00D51B3E"/>
    <w:rsid w:val="00D51BA7"/>
    <w:rsid w:val="00D51BEF"/>
    <w:rsid w:val="00D51C58"/>
    <w:rsid w:val="00D51C72"/>
    <w:rsid w:val="00D51C98"/>
    <w:rsid w:val="00D51CAC"/>
    <w:rsid w:val="00D51CB3"/>
    <w:rsid w:val="00D51CB5"/>
    <w:rsid w:val="00D51CD1"/>
    <w:rsid w:val="00D51D25"/>
    <w:rsid w:val="00D51D46"/>
    <w:rsid w:val="00D51D60"/>
    <w:rsid w:val="00D51E38"/>
    <w:rsid w:val="00D51E4F"/>
    <w:rsid w:val="00D51F5A"/>
    <w:rsid w:val="00D51F6E"/>
    <w:rsid w:val="00D51FF5"/>
    <w:rsid w:val="00D52135"/>
    <w:rsid w:val="00D5218A"/>
    <w:rsid w:val="00D521F8"/>
    <w:rsid w:val="00D522BD"/>
    <w:rsid w:val="00D52406"/>
    <w:rsid w:val="00D52442"/>
    <w:rsid w:val="00D524EC"/>
    <w:rsid w:val="00D52531"/>
    <w:rsid w:val="00D5253C"/>
    <w:rsid w:val="00D5254C"/>
    <w:rsid w:val="00D52589"/>
    <w:rsid w:val="00D5259F"/>
    <w:rsid w:val="00D525DE"/>
    <w:rsid w:val="00D5264D"/>
    <w:rsid w:val="00D52655"/>
    <w:rsid w:val="00D52656"/>
    <w:rsid w:val="00D526A2"/>
    <w:rsid w:val="00D52762"/>
    <w:rsid w:val="00D52763"/>
    <w:rsid w:val="00D5276B"/>
    <w:rsid w:val="00D52776"/>
    <w:rsid w:val="00D529CB"/>
    <w:rsid w:val="00D52A50"/>
    <w:rsid w:val="00D52A90"/>
    <w:rsid w:val="00D52A94"/>
    <w:rsid w:val="00D52AE4"/>
    <w:rsid w:val="00D52B2A"/>
    <w:rsid w:val="00D52BB7"/>
    <w:rsid w:val="00D52BE9"/>
    <w:rsid w:val="00D52C28"/>
    <w:rsid w:val="00D52C95"/>
    <w:rsid w:val="00D52CB2"/>
    <w:rsid w:val="00D52CD9"/>
    <w:rsid w:val="00D52D86"/>
    <w:rsid w:val="00D52DCC"/>
    <w:rsid w:val="00D52E7A"/>
    <w:rsid w:val="00D52EEA"/>
    <w:rsid w:val="00D52F88"/>
    <w:rsid w:val="00D531D6"/>
    <w:rsid w:val="00D5324D"/>
    <w:rsid w:val="00D53292"/>
    <w:rsid w:val="00D532C7"/>
    <w:rsid w:val="00D532D8"/>
    <w:rsid w:val="00D532F5"/>
    <w:rsid w:val="00D533C5"/>
    <w:rsid w:val="00D534ED"/>
    <w:rsid w:val="00D53507"/>
    <w:rsid w:val="00D5359D"/>
    <w:rsid w:val="00D535B5"/>
    <w:rsid w:val="00D53617"/>
    <w:rsid w:val="00D536C3"/>
    <w:rsid w:val="00D53711"/>
    <w:rsid w:val="00D53730"/>
    <w:rsid w:val="00D53782"/>
    <w:rsid w:val="00D53848"/>
    <w:rsid w:val="00D53888"/>
    <w:rsid w:val="00D53932"/>
    <w:rsid w:val="00D53961"/>
    <w:rsid w:val="00D53A8E"/>
    <w:rsid w:val="00D53A96"/>
    <w:rsid w:val="00D53ACA"/>
    <w:rsid w:val="00D53AD1"/>
    <w:rsid w:val="00D53B72"/>
    <w:rsid w:val="00D53C5A"/>
    <w:rsid w:val="00D53C7C"/>
    <w:rsid w:val="00D53DD3"/>
    <w:rsid w:val="00D53DE9"/>
    <w:rsid w:val="00D53DEC"/>
    <w:rsid w:val="00D53E84"/>
    <w:rsid w:val="00D53EF1"/>
    <w:rsid w:val="00D54029"/>
    <w:rsid w:val="00D54300"/>
    <w:rsid w:val="00D5436C"/>
    <w:rsid w:val="00D54379"/>
    <w:rsid w:val="00D54411"/>
    <w:rsid w:val="00D54524"/>
    <w:rsid w:val="00D545A5"/>
    <w:rsid w:val="00D545B0"/>
    <w:rsid w:val="00D54622"/>
    <w:rsid w:val="00D5476E"/>
    <w:rsid w:val="00D547DA"/>
    <w:rsid w:val="00D548CF"/>
    <w:rsid w:val="00D54997"/>
    <w:rsid w:val="00D549E5"/>
    <w:rsid w:val="00D54A30"/>
    <w:rsid w:val="00D54A6E"/>
    <w:rsid w:val="00D54ABB"/>
    <w:rsid w:val="00D54AFD"/>
    <w:rsid w:val="00D54C32"/>
    <w:rsid w:val="00D54C55"/>
    <w:rsid w:val="00D54C58"/>
    <w:rsid w:val="00D54C77"/>
    <w:rsid w:val="00D54CAE"/>
    <w:rsid w:val="00D54D16"/>
    <w:rsid w:val="00D54D83"/>
    <w:rsid w:val="00D54ECA"/>
    <w:rsid w:val="00D54F88"/>
    <w:rsid w:val="00D5512A"/>
    <w:rsid w:val="00D5515A"/>
    <w:rsid w:val="00D5515E"/>
    <w:rsid w:val="00D55160"/>
    <w:rsid w:val="00D55272"/>
    <w:rsid w:val="00D552C2"/>
    <w:rsid w:val="00D552C7"/>
    <w:rsid w:val="00D55372"/>
    <w:rsid w:val="00D553BD"/>
    <w:rsid w:val="00D55439"/>
    <w:rsid w:val="00D554AF"/>
    <w:rsid w:val="00D555A8"/>
    <w:rsid w:val="00D555E5"/>
    <w:rsid w:val="00D55615"/>
    <w:rsid w:val="00D55640"/>
    <w:rsid w:val="00D556ED"/>
    <w:rsid w:val="00D556EF"/>
    <w:rsid w:val="00D557EB"/>
    <w:rsid w:val="00D5580D"/>
    <w:rsid w:val="00D55893"/>
    <w:rsid w:val="00D5594B"/>
    <w:rsid w:val="00D559AA"/>
    <w:rsid w:val="00D559E5"/>
    <w:rsid w:val="00D559F0"/>
    <w:rsid w:val="00D55A3D"/>
    <w:rsid w:val="00D55AA8"/>
    <w:rsid w:val="00D55ABE"/>
    <w:rsid w:val="00D55B1C"/>
    <w:rsid w:val="00D55C53"/>
    <w:rsid w:val="00D55C55"/>
    <w:rsid w:val="00D55C6E"/>
    <w:rsid w:val="00D55C83"/>
    <w:rsid w:val="00D55C94"/>
    <w:rsid w:val="00D55CA5"/>
    <w:rsid w:val="00D55CC1"/>
    <w:rsid w:val="00D55D06"/>
    <w:rsid w:val="00D55D57"/>
    <w:rsid w:val="00D55E4A"/>
    <w:rsid w:val="00D55EA4"/>
    <w:rsid w:val="00D55EDA"/>
    <w:rsid w:val="00D55F42"/>
    <w:rsid w:val="00D55F5A"/>
    <w:rsid w:val="00D56043"/>
    <w:rsid w:val="00D56090"/>
    <w:rsid w:val="00D56190"/>
    <w:rsid w:val="00D561A3"/>
    <w:rsid w:val="00D56217"/>
    <w:rsid w:val="00D562E3"/>
    <w:rsid w:val="00D56379"/>
    <w:rsid w:val="00D56403"/>
    <w:rsid w:val="00D56462"/>
    <w:rsid w:val="00D56537"/>
    <w:rsid w:val="00D56598"/>
    <w:rsid w:val="00D5667F"/>
    <w:rsid w:val="00D566D8"/>
    <w:rsid w:val="00D5670B"/>
    <w:rsid w:val="00D5671E"/>
    <w:rsid w:val="00D56861"/>
    <w:rsid w:val="00D568E2"/>
    <w:rsid w:val="00D56952"/>
    <w:rsid w:val="00D56971"/>
    <w:rsid w:val="00D569A3"/>
    <w:rsid w:val="00D56A3F"/>
    <w:rsid w:val="00D56A50"/>
    <w:rsid w:val="00D56A71"/>
    <w:rsid w:val="00D56AF0"/>
    <w:rsid w:val="00D56C40"/>
    <w:rsid w:val="00D56C51"/>
    <w:rsid w:val="00D56C9E"/>
    <w:rsid w:val="00D56D13"/>
    <w:rsid w:val="00D56D2F"/>
    <w:rsid w:val="00D56D92"/>
    <w:rsid w:val="00D56E46"/>
    <w:rsid w:val="00D56F32"/>
    <w:rsid w:val="00D56F5D"/>
    <w:rsid w:val="00D56FD6"/>
    <w:rsid w:val="00D57002"/>
    <w:rsid w:val="00D5703F"/>
    <w:rsid w:val="00D57092"/>
    <w:rsid w:val="00D57099"/>
    <w:rsid w:val="00D571E0"/>
    <w:rsid w:val="00D571E6"/>
    <w:rsid w:val="00D57221"/>
    <w:rsid w:val="00D57278"/>
    <w:rsid w:val="00D572AE"/>
    <w:rsid w:val="00D57307"/>
    <w:rsid w:val="00D57347"/>
    <w:rsid w:val="00D573C3"/>
    <w:rsid w:val="00D57408"/>
    <w:rsid w:val="00D5748C"/>
    <w:rsid w:val="00D5753A"/>
    <w:rsid w:val="00D57540"/>
    <w:rsid w:val="00D575FD"/>
    <w:rsid w:val="00D57622"/>
    <w:rsid w:val="00D57673"/>
    <w:rsid w:val="00D576CE"/>
    <w:rsid w:val="00D5775D"/>
    <w:rsid w:val="00D577C4"/>
    <w:rsid w:val="00D577C6"/>
    <w:rsid w:val="00D57856"/>
    <w:rsid w:val="00D5791E"/>
    <w:rsid w:val="00D57989"/>
    <w:rsid w:val="00D57A5E"/>
    <w:rsid w:val="00D57A91"/>
    <w:rsid w:val="00D57AFD"/>
    <w:rsid w:val="00D57B6A"/>
    <w:rsid w:val="00D57BA3"/>
    <w:rsid w:val="00D57BAF"/>
    <w:rsid w:val="00D57BD9"/>
    <w:rsid w:val="00D57C59"/>
    <w:rsid w:val="00D57D2B"/>
    <w:rsid w:val="00D57E8E"/>
    <w:rsid w:val="00D57E91"/>
    <w:rsid w:val="00D57EAE"/>
    <w:rsid w:val="00D60036"/>
    <w:rsid w:val="00D6004F"/>
    <w:rsid w:val="00D601D8"/>
    <w:rsid w:val="00D6026D"/>
    <w:rsid w:val="00D603AC"/>
    <w:rsid w:val="00D603C4"/>
    <w:rsid w:val="00D603CE"/>
    <w:rsid w:val="00D60426"/>
    <w:rsid w:val="00D60450"/>
    <w:rsid w:val="00D60621"/>
    <w:rsid w:val="00D6062F"/>
    <w:rsid w:val="00D60740"/>
    <w:rsid w:val="00D60762"/>
    <w:rsid w:val="00D607C8"/>
    <w:rsid w:val="00D607F0"/>
    <w:rsid w:val="00D6089D"/>
    <w:rsid w:val="00D608DD"/>
    <w:rsid w:val="00D608F8"/>
    <w:rsid w:val="00D60982"/>
    <w:rsid w:val="00D609DA"/>
    <w:rsid w:val="00D60A80"/>
    <w:rsid w:val="00D60AAD"/>
    <w:rsid w:val="00D60ABD"/>
    <w:rsid w:val="00D60AF8"/>
    <w:rsid w:val="00D60BF5"/>
    <w:rsid w:val="00D60C0A"/>
    <w:rsid w:val="00D60C47"/>
    <w:rsid w:val="00D60C69"/>
    <w:rsid w:val="00D60CCA"/>
    <w:rsid w:val="00D60CEA"/>
    <w:rsid w:val="00D60D2D"/>
    <w:rsid w:val="00D60D94"/>
    <w:rsid w:val="00D60DF4"/>
    <w:rsid w:val="00D60E19"/>
    <w:rsid w:val="00D60E7F"/>
    <w:rsid w:val="00D60ED0"/>
    <w:rsid w:val="00D60F17"/>
    <w:rsid w:val="00D60FC3"/>
    <w:rsid w:val="00D60FCE"/>
    <w:rsid w:val="00D60FD9"/>
    <w:rsid w:val="00D60FF2"/>
    <w:rsid w:val="00D60FFC"/>
    <w:rsid w:val="00D61047"/>
    <w:rsid w:val="00D61092"/>
    <w:rsid w:val="00D610F0"/>
    <w:rsid w:val="00D61108"/>
    <w:rsid w:val="00D6115C"/>
    <w:rsid w:val="00D612CF"/>
    <w:rsid w:val="00D612E9"/>
    <w:rsid w:val="00D612F6"/>
    <w:rsid w:val="00D613DC"/>
    <w:rsid w:val="00D6148F"/>
    <w:rsid w:val="00D61492"/>
    <w:rsid w:val="00D61509"/>
    <w:rsid w:val="00D61522"/>
    <w:rsid w:val="00D61527"/>
    <w:rsid w:val="00D6153F"/>
    <w:rsid w:val="00D6154B"/>
    <w:rsid w:val="00D61594"/>
    <w:rsid w:val="00D615F4"/>
    <w:rsid w:val="00D61646"/>
    <w:rsid w:val="00D61654"/>
    <w:rsid w:val="00D616DB"/>
    <w:rsid w:val="00D61710"/>
    <w:rsid w:val="00D6174E"/>
    <w:rsid w:val="00D6175B"/>
    <w:rsid w:val="00D6182A"/>
    <w:rsid w:val="00D6184D"/>
    <w:rsid w:val="00D61855"/>
    <w:rsid w:val="00D618DB"/>
    <w:rsid w:val="00D61914"/>
    <w:rsid w:val="00D61AE8"/>
    <w:rsid w:val="00D61B82"/>
    <w:rsid w:val="00D61C71"/>
    <w:rsid w:val="00D61D25"/>
    <w:rsid w:val="00D61D44"/>
    <w:rsid w:val="00D61F3B"/>
    <w:rsid w:val="00D61F97"/>
    <w:rsid w:val="00D61FA1"/>
    <w:rsid w:val="00D61FEA"/>
    <w:rsid w:val="00D62033"/>
    <w:rsid w:val="00D6206A"/>
    <w:rsid w:val="00D620BC"/>
    <w:rsid w:val="00D620F6"/>
    <w:rsid w:val="00D621B8"/>
    <w:rsid w:val="00D6229F"/>
    <w:rsid w:val="00D623F7"/>
    <w:rsid w:val="00D6240E"/>
    <w:rsid w:val="00D62469"/>
    <w:rsid w:val="00D6248D"/>
    <w:rsid w:val="00D6251A"/>
    <w:rsid w:val="00D6257A"/>
    <w:rsid w:val="00D625E9"/>
    <w:rsid w:val="00D625F4"/>
    <w:rsid w:val="00D6264B"/>
    <w:rsid w:val="00D62698"/>
    <w:rsid w:val="00D626DA"/>
    <w:rsid w:val="00D6270F"/>
    <w:rsid w:val="00D62733"/>
    <w:rsid w:val="00D6276F"/>
    <w:rsid w:val="00D627DC"/>
    <w:rsid w:val="00D6283F"/>
    <w:rsid w:val="00D62846"/>
    <w:rsid w:val="00D6287E"/>
    <w:rsid w:val="00D628F2"/>
    <w:rsid w:val="00D62991"/>
    <w:rsid w:val="00D629CE"/>
    <w:rsid w:val="00D62B16"/>
    <w:rsid w:val="00D62BD8"/>
    <w:rsid w:val="00D62BEA"/>
    <w:rsid w:val="00D62CAB"/>
    <w:rsid w:val="00D62D2F"/>
    <w:rsid w:val="00D62D69"/>
    <w:rsid w:val="00D62DA1"/>
    <w:rsid w:val="00D62DB3"/>
    <w:rsid w:val="00D62E07"/>
    <w:rsid w:val="00D62E1C"/>
    <w:rsid w:val="00D62E59"/>
    <w:rsid w:val="00D62EAC"/>
    <w:rsid w:val="00D62EE3"/>
    <w:rsid w:val="00D62F52"/>
    <w:rsid w:val="00D62F5D"/>
    <w:rsid w:val="00D62F74"/>
    <w:rsid w:val="00D62F85"/>
    <w:rsid w:val="00D63063"/>
    <w:rsid w:val="00D63084"/>
    <w:rsid w:val="00D63303"/>
    <w:rsid w:val="00D63322"/>
    <w:rsid w:val="00D6338B"/>
    <w:rsid w:val="00D633C9"/>
    <w:rsid w:val="00D63437"/>
    <w:rsid w:val="00D63488"/>
    <w:rsid w:val="00D634A7"/>
    <w:rsid w:val="00D634AC"/>
    <w:rsid w:val="00D6353B"/>
    <w:rsid w:val="00D6358F"/>
    <w:rsid w:val="00D6362A"/>
    <w:rsid w:val="00D636DF"/>
    <w:rsid w:val="00D637EB"/>
    <w:rsid w:val="00D637EC"/>
    <w:rsid w:val="00D637F5"/>
    <w:rsid w:val="00D63824"/>
    <w:rsid w:val="00D6384D"/>
    <w:rsid w:val="00D63880"/>
    <w:rsid w:val="00D638DF"/>
    <w:rsid w:val="00D639E6"/>
    <w:rsid w:val="00D63A4E"/>
    <w:rsid w:val="00D63A91"/>
    <w:rsid w:val="00D63A9E"/>
    <w:rsid w:val="00D63B1D"/>
    <w:rsid w:val="00D63B93"/>
    <w:rsid w:val="00D63BF0"/>
    <w:rsid w:val="00D63C41"/>
    <w:rsid w:val="00D63DD9"/>
    <w:rsid w:val="00D63E77"/>
    <w:rsid w:val="00D63F9E"/>
    <w:rsid w:val="00D64049"/>
    <w:rsid w:val="00D640B2"/>
    <w:rsid w:val="00D6416E"/>
    <w:rsid w:val="00D64174"/>
    <w:rsid w:val="00D641A7"/>
    <w:rsid w:val="00D64239"/>
    <w:rsid w:val="00D64269"/>
    <w:rsid w:val="00D642B9"/>
    <w:rsid w:val="00D642C7"/>
    <w:rsid w:val="00D64395"/>
    <w:rsid w:val="00D643C8"/>
    <w:rsid w:val="00D6455C"/>
    <w:rsid w:val="00D64605"/>
    <w:rsid w:val="00D64682"/>
    <w:rsid w:val="00D64804"/>
    <w:rsid w:val="00D6486A"/>
    <w:rsid w:val="00D64883"/>
    <w:rsid w:val="00D649E8"/>
    <w:rsid w:val="00D64B28"/>
    <w:rsid w:val="00D64B9D"/>
    <w:rsid w:val="00D64C57"/>
    <w:rsid w:val="00D64CCF"/>
    <w:rsid w:val="00D64E24"/>
    <w:rsid w:val="00D64E32"/>
    <w:rsid w:val="00D64E35"/>
    <w:rsid w:val="00D64E4B"/>
    <w:rsid w:val="00D64E9D"/>
    <w:rsid w:val="00D64F27"/>
    <w:rsid w:val="00D64FFD"/>
    <w:rsid w:val="00D6502C"/>
    <w:rsid w:val="00D6506A"/>
    <w:rsid w:val="00D650DB"/>
    <w:rsid w:val="00D65161"/>
    <w:rsid w:val="00D651CB"/>
    <w:rsid w:val="00D65257"/>
    <w:rsid w:val="00D65308"/>
    <w:rsid w:val="00D65339"/>
    <w:rsid w:val="00D654A0"/>
    <w:rsid w:val="00D654BE"/>
    <w:rsid w:val="00D654DA"/>
    <w:rsid w:val="00D654E0"/>
    <w:rsid w:val="00D65574"/>
    <w:rsid w:val="00D655A7"/>
    <w:rsid w:val="00D655B3"/>
    <w:rsid w:val="00D65626"/>
    <w:rsid w:val="00D6567B"/>
    <w:rsid w:val="00D656B1"/>
    <w:rsid w:val="00D656EA"/>
    <w:rsid w:val="00D6581A"/>
    <w:rsid w:val="00D65885"/>
    <w:rsid w:val="00D65988"/>
    <w:rsid w:val="00D659D3"/>
    <w:rsid w:val="00D65A20"/>
    <w:rsid w:val="00D65A50"/>
    <w:rsid w:val="00D65A58"/>
    <w:rsid w:val="00D65A67"/>
    <w:rsid w:val="00D65AB7"/>
    <w:rsid w:val="00D65AE9"/>
    <w:rsid w:val="00D65AFC"/>
    <w:rsid w:val="00D65B36"/>
    <w:rsid w:val="00D65CDA"/>
    <w:rsid w:val="00D65D02"/>
    <w:rsid w:val="00D65D53"/>
    <w:rsid w:val="00D65DD9"/>
    <w:rsid w:val="00D65E17"/>
    <w:rsid w:val="00D65EFB"/>
    <w:rsid w:val="00D65F13"/>
    <w:rsid w:val="00D65F28"/>
    <w:rsid w:val="00D6612C"/>
    <w:rsid w:val="00D6613B"/>
    <w:rsid w:val="00D661EE"/>
    <w:rsid w:val="00D6624F"/>
    <w:rsid w:val="00D6630B"/>
    <w:rsid w:val="00D66409"/>
    <w:rsid w:val="00D66418"/>
    <w:rsid w:val="00D66594"/>
    <w:rsid w:val="00D6667E"/>
    <w:rsid w:val="00D66716"/>
    <w:rsid w:val="00D66745"/>
    <w:rsid w:val="00D66764"/>
    <w:rsid w:val="00D6676B"/>
    <w:rsid w:val="00D66858"/>
    <w:rsid w:val="00D6688E"/>
    <w:rsid w:val="00D668C7"/>
    <w:rsid w:val="00D66975"/>
    <w:rsid w:val="00D669B7"/>
    <w:rsid w:val="00D669BF"/>
    <w:rsid w:val="00D669C9"/>
    <w:rsid w:val="00D66A0A"/>
    <w:rsid w:val="00D66A5B"/>
    <w:rsid w:val="00D66A6E"/>
    <w:rsid w:val="00D66B73"/>
    <w:rsid w:val="00D66B81"/>
    <w:rsid w:val="00D66B8F"/>
    <w:rsid w:val="00D66CD2"/>
    <w:rsid w:val="00D66D56"/>
    <w:rsid w:val="00D66E06"/>
    <w:rsid w:val="00D66F18"/>
    <w:rsid w:val="00D66F2C"/>
    <w:rsid w:val="00D66FED"/>
    <w:rsid w:val="00D67043"/>
    <w:rsid w:val="00D670D0"/>
    <w:rsid w:val="00D670D3"/>
    <w:rsid w:val="00D670EB"/>
    <w:rsid w:val="00D67143"/>
    <w:rsid w:val="00D67202"/>
    <w:rsid w:val="00D6749F"/>
    <w:rsid w:val="00D674A2"/>
    <w:rsid w:val="00D674C1"/>
    <w:rsid w:val="00D6750D"/>
    <w:rsid w:val="00D6759B"/>
    <w:rsid w:val="00D675EF"/>
    <w:rsid w:val="00D67638"/>
    <w:rsid w:val="00D67688"/>
    <w:rsid w:val="00D676FA"/>
    <w:rsid w:val="00D67788"/>
    <w:rsid w:val="00D677F5"/>
    <w:rsid w:val="00D67862"/>
    <w:rsid w:val="00D67866"/>
    <w:rsid w:val="00D678A0"/>
    <w:rsid w:val="00D678D8"/>
    <w:rsid w:val="00D67963"/>
    <w:rsid w:val="00D6799A"/>
    <w:rsid w:val="00D67A8E"/>
    <w:rsid w:val="00D67A9E"/>
    <w:rsid w:val="00D67AAE"/>
    <w:rsid w:val="00D67ADF"/>
    <w:rsid w:val="00D67B8C"/>
    <w:rsid w:val="00D67C50"/>
    <w:rsid w:val="00D67CB3"/>
    <w:rsid w:val="00D67CDF"/>
    <w:rsid w:val="00D67D06"/>
    <w:rsid w:val="00D67D26"/>
    <w:rsid w:val="00D67D91"/>
    <w:rsid w:val="00D67DD4"/>
    <w:rsid w:val="00D67DFD"/>
    <w:rsid w:val="00D67E31"/>
    <w:rsid w:val="00D67EAC"/>
    <w:rsid w:val="00D67ED3"/>
    <w:rsid w:val="00D6FD0D"/>
    <w:rsid w:val="00D70042"/>
    <w:rsid w:val="00D70086"/>
    <w:rsid w:val="00D70152"/>
    <w:rsid w:val="00D7018A"/>
    <w:rsid w:val="00D70278"/>
    <w:rsid w:val="00D70328"/>
    <w:rsid w:val="00D70372"/>
    <w:rsid w:val="00D70380"/>
    <w:rsid w:val="00D7046A"/>
    <w:rsid w:val="00D704C3"/>
    <w:rsid w:val="00D704D0"/>
    <w:rsid w:val="00D70504"/>
    <w:rsid w:val="00D70513"/>
    <w:rsid w:val="00D705D4"/>
    <w:rsid w:val="00D70622"/>
    <w:rsid w:val="00D70660"/>
    <w:rsid w:val="00D70780"/>
    <w:rsid w:val="00D7082E"/>
    <w:rsid w:val="00D70848"/>
    <w:rsid w:val="00D70873"/>
    <w:rsid w:val="00D708DC"/>
    <w:rsid w:val="00D70942"/>
    <w:rsid w:val="00D7094A"/>
    <w:rsid w:val="00D70A29"/>
    <w:rsid w:val="00D70A6E"/>
    <w:rsid w:val="00D70A72"/>
    <w:rsid w:val="00D70ABF"/>
    <w:rsid w:val="00D70AF8"/>
    <w:rsid w:val="00D70B0B"/>
    <w:rsid w:val="00D70B1D"/>
    <w:rsid w:val="00D70B26"/>
    <w:rsid w:val="00D70BF6"/>
    <w:rsid w:val="00D70C64"/>
    <w:rsid w:val="00D70D49"/>
    <w:rsid w:val="00D70DCE"/>
    <w:rsid w:val="00D70E3A"/>
    <w:rsid w:val="00D70F16"/>
    <w:rsid w:val="00D70FCF"/>
    <w:rsid w:val="00D70FD6"/>
    <w:rsid w:val="00D710FD"/>
    <w:rsid w:val="00D71140"/>
    <w:rsid w:val="00D71196"/>
    <w:rsid w:val="00D711FC"/>
    <w:rsid w:val="00D713AD"/>
    <w:rsid w:val="00D713F9"/>
    <w:rsid w:val="00D7140C"/>
    <w:rsid w:val="00D7149F"/>
    <w:rsid w:val="00D714B0"/>
    <w:rsid w:val="00D7158F"/>
    <w:rsid w:val="00D715AB"/>
    <w:rsid w:val="00D715AC"/>
    <w:rsid w:val="00D7170B"/>
    <w:rsid w:val="00D71741"/>
    <w:rsid w:val="00D71753"/>
    <w:rsid w:val="00D717F8"/>
    <w:rsid w:val="00D717FF"/>
    <w:rsid w:val="00D71831"/>
    <w:rsid w:val="00D718AF"/>
    <w:rsid w:val="00D718DA"/>
    <w:rsid w:val="00D719C5"/>
    <w:rsid w:val="00D71A56"/>
    <w:rsid w:val="00D71AB3"/>
    <w:rsid w:val="00D71B84"/>
    <w:rsid w:val="00D71C2B"/>
    <w:rsid w:val="00D71C45"/>
    <w:rsid w:val="00D71D1E"/>
    <w:rsid w:val="00D71D4F"/>
    <w:rsid w:val="00D71D69"/>
    <w:rsid w:val="00D71E18"/>
    <w:rsid w:val="00D71E24"/>
    <w:rsid w:val="00D71E5A"/>
    <w:rsid w:val="00D71E89"/>
    <w:rsid w:val="00D71EDD"/>
    <w:rsid w:val="00D71FCA"/>
    <w:rsid w:val="00D7206E"/>
    <w:rsid w:val="00D72072"/>
    <w:rsid w:val="00D720CB"/>
    <w:rsid w:val="00D720DE"/>
    <w:rsid w:val="00D7211C"/>
    <w:rsid w:val="00D7218C"/>
    <w:rsid w:val="00D721A2"/>
    <w:rsid w:val="00D7229E"/>
    <w:rsid w:val="00D722C3"/>
    <w:rsid w:val="00D7232D"/>
    <w:rsid w:val="00D7233D"/>
    <w:rsid w:val="00D723A7"/>
    <w:rsid w:val="00D723DF"/>
    <w:rsid w:val="00D72400"/>
    <w:rsid w:val="00D72451"/>
    <w:rsid w:val="00D724CE"/>
    <w:rsid w:val="00D72527"/>
    <w:rsid w:val="00D72582"/>
    <w:rsid w:val="00D72700"/>
    <w:rsid w:val="00D72741"/>
    <w:rsid w:val="00D72757"/>
    <w:rsid w:val="00D7288F"/>
    <w:rsid w:val="00D728A9"/>
    <w:rsid w:val="00D728CE"/>
    <w:rsid w:val="00D729C6"/>
    <w:rsid w:val="00D72A0A"/>
    <w:rsid w:val="00D72A64"/>
    <w:rsid w:val="00D72A73"/>
    <w:rsid w:val="00D72A94"/>
    <w:rsid w:val="00D72B69"/>
    <w:rsid w:val="00D72BE3"/>
    <w:rsid w:val="00D72C03"/>
    <w:rsid w:val="00D72DC0"/>
    <w:rsid w:val="00D72DCE"/>
    <w:rsid w:val="00D72E6C"/>
    <w:rsid w:val="00D72E89"/>
    <w:rsid w:val="00D72EB2"/>
    <w:rsid w:val="00D72F05"/>
    <w:rsid w:val="00D72F3D"/>
    <w:rsid w:val="00D73032"/>
    <w:rsid w:val="00D730D2"/>
    <w:rsid w:val="00D730E9"/>
    <w:rsid w:val="00D730F7"/>
    <w:rsid w:val="00D73122"/>
    <w:rsid w:val="00D7312C"/>
    <w:rsid w:val="00D73151"/>
    <w:rsid w:val="00D731A9"/>
    <w:rsid w:val="00D731AC"/>
    <w:rsid w:val="00D732B9"/>
    <w:rsid w:val="00D732F7"/>
    <w:rsid w:val="00D73331"/>
    <w:rsid w:val="00D7333F"/>
    <w:rsid w:val="00D7334F"/>
    <w:rsid w:val="00D733C5"/>
    <w:rsid w:val="00D733F0"/>
    <w:rsid w:val="00D733FB"/>
    <w:rsid w:val="00D7343B"/>
    <w:rsid w:val="00D734E9"/>
    <w:rsid w:val="00D73624"/>
    <w:rsid w:val="00D73626"/>
    <w:rsid w:val="00D7380E"/>
    <w:rsid w:val="00D73922"/>
    <w:rsid w:val="00D7395F"/>
    <w:rsid w:val="00D73979"/>
    <w:rsid w:val="00D73981"/>
    <w:rsid w:val="00D73AA9"/>
    <w:rsid w:val="00D73AB0"/>
    <w:rsid w:val="00D73B1F"/>
    <w:rsid w:val="00D73B44"/>
    <w:rsid w:val="00D73B52"/>
    <w:rsid w:val="00D73B9C"/>
    <w:rsid w:val="00D73C05"/>
    <w:rsid w:val="00D73C25"/>
    <w:rsid w:val="00D73D0A"/>
    <w:rsid w:val="00D73D20"/>
    <w:rsid w:val="00D73D5C"/>
    <w:rsid w:val="00D73D82"/>
    <w:rsid w:val="00D73F01"/>
    <w:rsid w:val="00D73F0A"/>
    <w:rsid w:val="00D73F55"/>
    <w:rsid w:val="00D73F61"/>
    <w:rsid w:val="00D73F7D"/>
    <w:rsid w:val="00D74019"/>
    <w:rsid w:val="00D74040"/>
    <w:rsid w:val="00D74073"/>
    <w:rsid w:val="00D74108"/>
    <w:rsid w:val="00D741CE"/>
    <w:rsid w:val="00D7428B"/>
    <w:rsid w:val="00D743B1"/>
    <w:rsid w:val="00D743CA"/>
    <w:rsid w:val="00D744D7"/>
    <w:rsid w:val="00D7453F"/>
    <w:rsid w:val="00D74553"/>
    <w:rsid w:val="00D7460D"/>
    <w:rsid w:val="00D747B6"/>
    <w:rsid w:val="00D747D7"/>
    <w:rsid w:val="00D747E5"/>
    <w:rsid w:val="00D74834"/>
    <w:rsid w:val="00D748BC"/>
    <w:rsid w:val="00D748EC"/>
    <w:rsid w:val="00D74903"/>
    <w:rsid w:val="00D74924"/>
    <w:rsid w:val="00D749F5"/>
    <w:rsid w:val="00D74B20"/>
    <w:rsid w:val="00D74BE6"/>
    <w:rsid w:val="00D74C89"/>
    <w:rsid w:val="00D74CEA"/>
    <w:rsid w:val="00D74D13"/>
    <w:rsid w:val="00D74D2C"/>
    <w:rsid w:val="00D74D55"/>
    <w:rsid w:val="00D74DDA"/>
    <w:rsid w:val="00D74E64"/>
    <w:rsid w:val="00D74ECA"/>
    <w:rsid w:val="00D74F0A"/>
    <w:rsid w:val="00D74F91"/>
    <w:rsid w:val="00D750BF"/>
    <w:rsid w:val="00D750C3"/>
    <w:rsid w:val="00D750FC"/>
    <w:rsid w:val="00D75186"/>
    <w:rsid w:val="00D7519B"/>
    <w:rsid w:val="00D751BB"/>
    <w:rsid w:val="00D75243"/>
    <w:rsid w:val="00D75250"/>
    <w:rsid w:val="00D752EF"/>
    <w:rsid w:val="00D752F6"/>
    <w:rsid w:val="00D75325"/>
    <w:rsid w:val="00D75331"/>
    <w:rsid w:val="00D75455"/>
    <w:rsid w:val="00D7545A"/>
    <w:rsid w:val="00D754BA"/>
    <w:rsid w:val="00D754F8"/>
    <w:rsid w:val="00D7550D"/>
    <w:rsid w:val="00D755D3"/>
    <w:rsid w:val="00D75684"/>
    <w:rsid w:val="00D756E4"/>
    <w:rsid w:val="00D756FC"/>
    <w:rsid w:val="00D75702"/>
    <w:rsid w:val="00D75731"/>
    <w:rsid w:val="00D75759"/>
    <w:rsid w:val="00D75867"/>
    <w:rsid w:val="00D7598A"/>
    <w:rsid w:val="00D759B2"/>
    <w:rsid w:val="00D759F7"/>
    <w:rsid w:val="00D759FF"/>
    <w:rsid w:val="00D75AFD"/>
    <w:rsid w:val="00D75B09"/>
    <w:rsid w:val="00D75B21"/>
    <w:rsid w:val="00D75C75"/>
    <w:rsid w:val="00D75CF1"/>
    <w:rsid w:val="00D75D8D"/>
    <w:rsid w:val="00D75E3F"/>
    <w:rsid w:val="00D75FAF"/>
    <w:rsid w:val="00D75FD2"/>
    <w:rsid w:val="00D76056"/>
    <w:rsid w:val="00D760EC"/>
    <w:rsid w:val="00D760F8"/>
    <w:rsid w:val="00D76118"/>
    <w:rsid w:val="00D76122"/>
    <w:rsid w:val="00D76138"/>
    <w:rsid w:val="00D76208"/>
    <w:rsid w:val="00D7622B"/>
    <w:rsid w:val="00D7636F"/>
    <w:rsid w:val="00D76382"/>
    <w:rsid w:val="00D7639B"/>
    <w:rsid w:val="00D763EC"/>
    <w:rsid w:val="00D76433"/>
    <w:rsid w:val="00D7649E"/>
    <w:rsid w:val="00D764DB"/>
    <w:rsid w:val="00D7652C"/>
    <w:rsid w:val="00D765F6"/>
    <w:rsid w:val="00D766A6"/>
    <w:rsid w:val="00D76758"/>
    <w:rsid w:val="00D767BF"/>
    <w:rsid w:val="00D7680D"/>
    <w:rsid w:val="00D768E2"/>
    <w:rsid w:val="00D7693F"/>
    <w:rsid w:val="00D76999"/>
    <w:rsid w:val="00D76A44"/>
    <w:rsid w:val="00D76A54"/>
    <w:rsid w:val="00D76A9F"/>
    <w:rsid w:val="00D76B3E"/>
    <w:rsid w:val="00D76B70"/>
    <w:rsid w:val="00D76C37"/>
    <w:rsid w:val="00D76CF4"/>
    <w:rsid w:val="00D76D23"/>
    <w:rsid w:val="00D76E26"/>
    <w:rsid w:val="00D76E93"/>
    <w:rsid w:val="00D76EC4"/>
    <w:rsid w:val="00D7702B"/>
    <w:rsid w:val="00D771B5"/>
    <w:rsid w:val="00D77303"/>
    <w:rsid w:val="00D77362"/>
    <w:rsid w:val="00D7745F"/>
    <w:rsid w:val="00D774F0"/>
    <w:rsid w:val="00D776CD"/>
    <w:rsid w:val="00D77710"/>
    <w:rsid w:val="00D7771A"/>
    <w:rsid w:val="00D7773A"/>
    <w:rsid w:val="00D77741"/>
    <w:rsid w:val="00D777E0"/>
    <w:rsid w:val="00D7789D"/>
    <w:rsid w:val="00D7796A"/>
    <w:rsid w:val="00D779B9"/>
    <w:rsid w:val="00D779D5"/>
    <w:rsid w:val="00D77A34"/>
    <w:rsid w:val="00D77A86"/>
    <w:rsid w:val="00D77A98"/>
    <w:rsid w:val="00D77BE0"/>
    <w:rsid w:val="00D77C8A"/>
    <w:rsid w:val="00D77CF4"/>
    <w:rsid w:val="00D77D22"/>
    <w:rsid w:val="00D77D57"/>
    <w:rsid w:val="00D77DA4"/>
    <w:rsid w:val="00D77DCB"/>
    <w:rsid w:val="00D77DEE"/>
    <w:rsid w:val="00D77F0D"/>
    <w:rsid w:val="00D77F28"/>
    <w:rsid w:val="00D77F61"/>
    <w:rsid w:val="00D77FA8"/>
    <w:rsid w:val="00D77FA9"/>
    <w:rsid w:val="00D7F6E8"/>
    <w:rsid w:val="00D80077"/>
    <w:rsid w:val="00D800AE"/>
    <w:rsid w:val="00D8012D"/>
    <w:rsid w:val="00D80181"/>
    <w:rsid w:val="00D80191"/>
    <w:rsid w:val="00D801D4"/>
    <w:rsid w:val="00D8020C"/>
    <w:rsid w:val="00D80226"/>
    <w:rsid w:val="00D8025E"/>
    <w:rsid w:val="00D8027C"/>
    <w:rsid w:val="00D80401"/>
    <w:rsid w:val="00D8048A"/>
    <w:rsid w:val="00D804C7"/>
    <w:rsid w:val="00D80527"/>
    <w:rsid w:val="00D80532"/>
    <w:rsid w:val="00D8053D"/>
    <w:rsid w:val="00D80612"/>
    <w:rsid w:val="00D80634"/>
    <w:rsid w:val="00D80725"/>
    <w:rsid w:val="00D80747"/>
    <w:rsid w:val="00D80766"/>
    <w:rsid w:val="00D80794"/>
    <w:rsid w:val="00D807AF"/>
    <w:rsid w:val="00D80821"/>
    <w:rsid w:val="00D8087F"/>
    <w:rsid w:val="00D808BA"/>
    <w:rsid w:val="00D808DC"/>
    <w:rsid w:val="00D8091F"/>
    <w:rsid w:val="00D80931"/>
    <w:rsid w:val="00D80976"/>
    <w:rsid w:val="00D80A60"/>
    <w:rsid w:val="00D80A72"/>
    <w:rsid w:val="00D80A80"/>
    <w:rsid w:val="00D80AB7"/>
    <w:rsid w:val="00D80C0D"/>
    <w:rsid w:val="00D80C8A"/>
    <w:rsid w:val="00D80E4E"/>
    <w:rsid w:val="00D80E52"/>
    <w:rsid w:val="00D80E7F"/>
    <w:rsid w:val="00D80EEA"/>
    <w:rsid w:val="00D80F03"/>
    <w:rsid w:val="00D81018"/>
    <w:rsid w:val="00D810D4"/>
    <w:rsid w:val="00D8117D"/>
    <w:rsid w:val="00D81285"/>
    <w:rsid w:val="00D81373"/>
    <w:rsid w:val="00D813A4"/>
    <w:rsid w:val="00D8150A"/>
    <w:rsid w:val="00D81521"/>
    <w:rsid w:val="00D81534"/>
    <w:rsid w:val="00D81541"/>
    <w:rsid w:val="00D815E2"/>
    <w:rsid w:val="00D8163C"/>
    <w:rsid w:val="00D8169B"/>
    <w:rsid w:val="00D81758"/>
    <w:rsid w:val="00D8179D"/>
    <w:rsid w:val="00D817CD"/>
    <w:rsid w:val="00D81818"/>
    <w:rsid w:val="00D818D9"/>
    <w:rsid w:val="00D818E8"/>
    <w:rsid w:val="00D81952"/>
    <w:rsid w:val="00D81961"/>
    <w:rsid w:val="00D81A6E"/>
    <w:rsid w:val="00D81A7A"/>
    <w:rsid w:val="00D81BF6"/>
    <w:rsid w:val="00D81C84"/>
    <w:rsid w:val="00D81CC4"/>
    <w:rsid w:val="00D81EEA"/>
    <w:rsid w:val="00D82027"/>
    <w:rsid w:val="00D8206A"/>
    <w:rsid w:val="00D820D4"/>
    <w:rsid w:val="00D82159"/>
    <w:rsid w:val="00D821B4"/>
    <w:rsid w:val="00D822C9"/>
    <w:rsid w:val="00D8233B"/>
    <w:rsid w:val="00D823A5"/>
    <w:rsid w:val="00D823AF"/>
    <w:rsid w:val="00D82425"/>
    <w:rsid w:val="00D82434"/>
    <w:rsid w:val="00D824BF"/>
    <w:rsid w:val="00D82511"/>
    <w:rsid w:val="00D82523"/>
    <w:rsid w:val="00D8252C"/>
    <w:rsid w:val="00D825F0"/>
    <w:rsid w:val="00D82672"/>
    <w:rsid w:val="00D826A5"/>
    <w:rsid w:val="00D826C4"/>
    <w:rsid w:val="00D8287C"/>
    <w:rsid w:val="00D828D2"/>
    <w:rsid w:val="00D828DE"/>
    <w:rsid w:val="00D8293B"/>
    <w:rsid w:val="00D82A5A"/>
    <w:rsid w:val="00D82AA9"/>
    <w:rsid w:val="00D82AD4"/>
    <w:rsid w:val="00D82C0E"/>
    <w:rsid w:val="00D82C3F"/>
    <w:rsid w:val="00D82D2B"/>
    <w:rsid w:val="00D82D5B"/>
    <w:rsid w:val="00D82E48"/>
    <w:rsid w:val="00D82E99"/>
    <w:rsid w:val="00D82EA3"/>
    <w:rsid w:val="00D82F22"/>
    <w:rsid w:val="00D82F84"/>
    <w:rsid w:val="00D82F8E"/>
    <w:rsid w:val="00D82FDF"/>
    <w:rsid w:val="00D83000"/>
    <w:rsid w:val="00D8302A"/>
    <w:rsid w:val="00D830D0"/>
    <w:rsid w:val="00D830E3"/>
    <w:rsid w:val="00D83125"/>
    <w:rsid w:val="00D83171"/>
    <w:rsid w:val="00D8322F"/>
    <w:rsid w:val="00D83241"/>
    <w:rsid w:val="00D83372"/>
    <w:rsid w:val="00D83438"/>
    <w:rsid w:val="00D83446"/>
    <w:rsid w:val="00D834C5"/>
    <w:rsid w:val="00D8357F"/>
    <w:rsid w:val="00D8364D"/>
    <w:rsid w:val="00D83664"/>
    <w:rsid w:val="00D8368A"/>
    <w:rsid w:val="00D836AA"/>
    <w:rsid w:val="00D836C4"/>
    <w:rsid w:val="00D836F6"/>
    <w:rsid w:val="00D83707"/>
    <w:rsid w:val="00D8370A"/>
    <w:rsid w:val="00D83736"/>
    <w:rsid w:val="00D83776"/>
    <w:rsid w:val="00D837C0"/>
    <w:rsid w:val="00D837C1"/>
    <w:rsid w:val="00D837E8"/>
    <w:rsid w:val="00D83858"/>
    <w:rsid w:val="00D83859"/>
    <w:rsid w:val="00D8398E"/>
    <w:rsid w:val="00D83A43"/>
    <w:rsid w:val="00D83A46"/>
    <w:rsid w:val="00D83A47"/>
    <w:rsid w:val="00D83A79"/>
    <w:rsid w:val="00D83BC1"/>
    <w:rsid w:val="00D83BCC"/>
    <w:rsid w:val="00D83D1E"/>
    <w:rsid w:val="00D83F13"/>
    <w:rsid w:val="00D83FEB"/>
    <w:rsid w:val="00D84011"/>
    <w:rsid w:val="00D8408B"/>
    <w:rsid w:val="00D8409E"/>
    <w:rsid w:val="00D840C8"/>
    <w:rsid w:val="00D84105"/>
    <w:rsid w:val="00D8435E"/>
    <w:rsid w:val="00D8442B"/>
    <w:rsid w:val="00D84595"/>
    <w:rsid w:val="00D845B7"/>
    <w:rsid w:val="00D845C0"/>
    <w:rsid w:val="00D845D6"/>
    <w:rsid w:val="00D8469D"/>
    <w:rsid w:val="00D846A5"/>
    <w:rsid w:val="00D84753"/>
    <w:rsid w:val="00D847C8"/>
    <w:rsid w:val="00D847E3"/>
    <w:rsid w:val="00D847F3"/>
    <w:rsid w:val="00D848C8"/>
    <w:rsid w:val="00D84957"/>
    <w:rsid w:val="00D849D0"/>
    <w:rsid w:val="00D84A4C"/>
    <w:rsid w:val="00D84A8B"/>
    <w:rsid w:val="00D84B23"/>
    <w:rsid w:val="00D84C37"/>
    <w:rsid w:val="00D84C7C"/>
    <w:rsid w:val="00D84C88"/>
    <w:rsid w:val="00D84D65"/>
    <w:rsid w:val="00D84D84"/>
    <w:rsid w:val="00D84DEB"/>
    <w:rsid w:val="00D84E52"/>
    <w:rsid w:val="00D84F58"/>
    <w:rsid w:val="00D84F6C"/>
    <w:rsid w:val="00D84FD6"/>
    <w:rsid w:val="00D84FEA"/>
    <w:rsid w:val="00D84FEB"/>
    <w:rsid w:val="00D84FEF"/>
    <w:rsid w:val="00D85083"/>
    <w:rsid w:val="00D850C9"/>
    <w:rsid w:val="00D851AB"/>
    <w:rsid w:val="00D851DE"/>
    <w:rsid w:val="00D85203"/>
    <w:rsid w:val="00D852C8"/>
    <w:rsid w:val="00D85303"/>
    <w:rsid w:val="00D85337"/>
    <w:rsid w:val="00D85343"/>
    <w:rsid w:val="00D853F9"/>
    <w:rsid w:val="00D8542A"/>
    <w:rsid w:val="00D8556F"/>
    <w:rsid w:val="00D85607"/>
    <w:rsid w:val="00D8562D"/>
    <w:rsid w:val="00D8567A"/>
    <w:rsid w:val="00D8568F"/>
    <w:rsid w:val="00D856B3"/>
    <w:rsid w:val="00D85764"/>
    <w:rsid w:val="00D857E3"/>
    <w:rsid w:val="00D8581A"/>
    <w:rsid w:val="00D8585F"/>
    <w:rsid w:val="00D8586B"/>
    <w:rsid w:val="00D8588F"/>
    <w:rsid w:val="00D85895"/>
    <w:rsid w:val="00D85916"/>
    <w:rsid w:val="00D85918"/>
    <w:rsid w:val="00D859A0"/>
    <w:rsid w:val="00D85B7E"/>
    <w:rsid w:val="00D85C04"/>
    <w:rsid w:val="00D85C41"/>
    <w:rsid w:val="00D85CB9"/>
    <w:rsid w:val="00D85CE5"/>
    <w:rsid w:val="00D85CEE"/>
    <w:rsid w:val="00D85D5B"/>
    <w:rsid w:val="00D85D5F"/>
    <w:rsid w:val="00D85E68"/>
    <w:rsid w:val="00D85F37"/>
    <w:rsid w:val="00D85F70"/>
    <w:rsid w:val="00D85F92"/>
    <w:rsid w:val="00D86027"/>
    <w:rsid w:val="00D860B1"/>
    <w:rsid w:val="00D86286"/>
    <w:rsid w:val="00D862BC"/>
    <w:rsid w:val="00D863A9"/>
    <w:rsid w:val="00D86460"/>
    <w:rsid w:val="00D864AB"/>
    <w:rsid w:val="00D86588"/>
    <w:rsid w:val="00D8665D"/>
    <w:rsid w:val="00D8677A"/>
    <w:rsid w:val="00D8678B"/>
    <w:rsid w:val="00D8683E"/>
    <w:rsid w:val="00D86852"/>
    <w:rsid w:val="00D86862"/>
    <w:rsid w:val="00D86959"/>
    <w:rsid w:val="00D869C1"/>
    <w:rsid w:val="00D86A6D"/>
    <w:rsid w:val="00D86AB0"/>
    <w:rsid w:val="00D86AFC"/>
    <w:rsid w:val="00D86B00"/>
    <w:rsid w:val="00D86B80"/>
    <w:rsid w:val="00D86BCA"/>
    <w:rsid w:val="00D86C1B"/>
    <w:rsid w:val="00D86CD3"/>
    <w:rsid w:val="00D86D0A"/>
    <w:rsid w:val="00D86D81"/>
    <w:rsid w:val="00D86D8B"/>
    <w:rsid w:val="00D86E26"/>
    <w:rsid w:val="00D86E31"/>
    <w:rsid w:val="00D86F47"/>
    <w:rsid w:val="00D86FCE"/>
    <w:rsid w:val="00D86FEC"/>
    <w:rsid w:val="00D86FF1"/>
    <w:rsid w:val="00D87096"/>
    <w:rsid w:val="00D870FC"/>
    <w:rsid w:val="00D87230"/>
    <w:rsid w:val="00D87234"/>
    <w:rsid w:val="00D8746D"/>
    <w:rsid w:val="00D8748D"/>
    <w:rsid w:val="00D874B6"/>
    <w:rsid w:val="00D874BE"/>
    <w:rsid w:val="00D874DE"/>
    <w:rsid w:val="00D875A4"/>
    <w:rsid w:val="00D875BC"/>
    <w:rsid w:val="00D87694"/>
    <w:rsid w:val="00D876F5"/>
    <w:rsid w:val="00D877D8"/>
    <w:rsid w:val="00D87889"/>
    <w:rsid w:val="00D87902"/>
    <w:rsid w:val="00D87904"/>
    <w:rsid w:val="00D8796F"/>
    <w:rsid w:val="00D87A28"/>
    <w:rsid w:val="00D87A83"/>
    <w:rsid w:val="00D87A9F"/>
    <w:rsid w:val="00D87B00"/>
    <w:rsid w:val="00D87BBE"/>
    <w:rsid w:val="00D87C0E"/>
    <w:rsid w:val="00D87C15"/>
    <w:rsid w:val="00D87CFD"/>
    <w:rsid w:val="00D87D15"/>
    <w:rsid w:val="00D87D4C"/>
    <w:rsid w:val="00D87D7D"/>
    <w:rsid w:val="00D87EBB"/>
    <w:rsid w:val="00D87EFB"/>
    <w:rsid w:val="00D87F1F"/>
    <w:rsid w:val="00D87FA7"/>
    <w:rsid w:val="00D900AE"/>
    <w:rsid w:val="00D90101"/>
    <w:rsid w:val="00D90136"/>
    <w:rsid w:val="00D9018A"/>
    <w:rsid w:val="00D90287"/>
    <w:rsid w:val="00D9029D"/>
    <w:rsid w:val="00D902CF"/>
    <w:rsid w:val="00D90301"/>
    <w:rsid w:val="00D90305"/>
    <w:rsid w:val="00D9035F"/>
    <w:rsid w:val="00D903D3"/>
    <w:rsid w:val="00D903E1"/>
    <w:rsid w:val="00D9041A"/>
    <w:rsid w:val="00D9041F"/>
    <w:rsid w:val="00D9044B"/>
    <w:rsid w:val="00D90670"/>
    <w:rsid w:val="00D9067A"/>
    <w:rsid w:val="00D907AD"/>
    <w:rsid w:val="00D907FA"/>
    <w:rsid w:val="00D908A9"/>
    <w:rsid w:val="00D90A27"/>
    <w:rsid w:val="00D90A77"/>
    <w:rsid w:val="00D90A80"/>
    <w:rsid w:val="00D90AE6"/>
    <w:rsid w:val="00D90B6C"/>
    <w:rsid w:val="00D90B9D"/>
    <w:rsid w:val="00D90BA2"/>
    <w:rsid w:val="00D90C68"/>
    <w:rsid w:val="00D90CB1"/>
    <w:rsid w:val="00D90CE5"/>
    <w:rsid w:val="00D90DF4"/>
    <w:rsid w:val="00D90E0B"/>
    <w:rsid w:val="00D90E45"/>
    <w:rsid w:val="00D90EFA"/>
    <w:rsid w:val="00D90F11"/>
    <w:rsid w:val="00D90F22"/>
    <w:rsid w:val="00D90FE9"/>
    <w:rsid w:val="00D90FF5"/>
    <w:rsid w:val="00D91029"/>
    <w:rsid w:val="00D9102D"/>
    <w:rsid w:val="00D91185"/>
    <w:rsid w:val="00D911A4"/>
    <w:rsid w:val="00D911C4"/>
    <w:rsid w:val="00D91219"/>
    <w:rsid w:val="00D9121C"/>
    <w:rsid w:val="00D91241"/>
    <w:rsid w:val="00D912DB"/>
    <w:rsid w:val="00D91328"/>
    <w:rsid w:val="00D913F8"/>
    <w:rsid w:val="00D91454"/>
    <w:rsid w:val="00D9147E"/>
    <w:rsid w:val="00D91592"/>
    <w:rsid w:val="00D915BF"/>
    <w:rsid w:val="00D9164F"/>
    <w:rsid w:val="00D9171E"/>
    <w:rsid w:val="00D91802"/>
    <w:rsid w:val="00D918EF"/>
    <w:rsid w:val="00D91919"/>
    <w:rsid w:val="00D91923"/>
    <w:rsid w:val="00D91A3B"/>
    <w:rsid w:val="00D91BAF"/>
    <w:rsid w:val="00D91BE5"/>
    <w:rsid w:val="00D91C17"/>
    <w:rsid w:val="00D91C19"/>
    <w:rsid w:val="00D91D10"/>
    <w:rsid w:val="00D91D1D"/>
    <w:rsid w:val="00D91DA2"/>
    <w:rsid w:val="00D91DB7"/>
    <w:rsid w:val="00D91E1F"/>
    <w:rsid w:val="00D91E41"/>
    <w:rsid w:val="00D91E95"/>
    <w:rsid w:val="00D91EF1"/>
    <w:rsid w:val="00D91F36"/>
    <w:rsid w:val="00D91FF2"/>
    <w:rsid w:val="00D9202D"/>
    <w:rsid w:val="00D92167"/>
    <w:rsid w:val="00D9218E"/>
    <w:rsid w:val="00D921A3"/>
    <w:rsid w:val="00D9225B"/>
    <w:rsid w:val="00D92315"/>
    <w:rsid w:val="00D9234D"/>
    <w:rsid w:val="00D9234F"/>
    <w:rsid w:val="00D9237A"/>
    <w:rsid w:val="00D92389"/>
    <w:rsid w:val="00D92468"/>
    <w:rsid w:val="00D9257C"/>
    <w:rsid w:val="00D92584"/>
    <w:rsid w:val="00D925A5"/>
    <w:rsid w:val="00D9262E"/>
    <w:rsid w:val="00D9269A"/>
    <w:rsid w:val="00D926B8"/>
    <w:rsid w:val="00D926CE"/>
    <w:rsid w:val="00D92713"/>
    <w:rsid w:val="00D92866"/>
    <w:rsid w:val="00D9295A"/>
    <w:rsid w:val="00D929C9"/>
    <w:rsid w:val="00D929D5"/>
    <w:rsid w:val="00D929E8"/>
    <w:rsid w:val="00D92ACE"/>
    <w:rsid w:val="00D92B17"/>
    <w:rsid w:val="00D92C67"/>
    <w:rsid w:val="00D92D15"/>
    <w:rsid w:val="00D92D64"/>
    <w:rsid w:val="00D92D7B"/>
    <w:rsid w:val="00D92DA4"/>
    <w:rsid w:val="00D92E15"/>
    <w:rsid w:val="00D92E88"/>
    <w:rsid w:val="00D92EFE"/>
    <w:rsid w:val="00D92F51"/>
    <w:rsid w:val="00D92F79"/>
    <w:rsid w:val="00D92F7B"/>
    <w:rsid w:val="00D92FD9"/>
    <w:rsid w:val="00D9308E"/>
    <w:rsid w:val="00D9309F"/>
    <w:rsid w:val="00D93113"/>
    <w:rsid w:val="00D93154"/>
    <w:rsid w:val="00D93190"/>
    <w:rsid w:val="00D93199"/>
    <w:rsid w:val="00D931A2"/>
    <w:rsid w:val="00D931C4"/>
    <w:rsid w:val="00D932CB"/>
    <w:rsid w:val="00D93372"/>
    <w:rsid w:val="00D93444"/>
    <w:rsid w:val="00D93450"/>
    <w:rsid w:val="00D934AD"/>
    <w:rsid w:val="00D934B9"/>
    <w:rsid w:val="00D934EC"/>
    <w:rsid w:val="00D93683"/>
    <w:rsid w:val="00D93778"/>
    <w:rsid w:val="00D93787"/>
    <w:rsid w:val="00D937DA"/>
    <w:rsid w:val="00D93887"/>
    <w:rsid w:val="00D93891"/>
    <w:rsid w:val="00D93974"/>
    <w:rsid w:val="00D93A56"/>
    <w:rsid w:val="00D93A5E"/>
    <w:rsid w:val="00D93A87"/>
    <w:rsid w:val="00D93AB8"/>
    <w:rsid w:val="00D93C4C"/>
    <w:rsid w:val="00D93CB2"/>
    <w:rsid w:val="00D93CCB"/>
    <w:rsid w:val="00D93D69"/>
    <w:rsid w:val="00D93D80"/>
    <w:rsid w:val="00D93E10"/>
    <w:rsid w:val="00D93E56"/>
    <w:rsid w:val="00D93E85"/>
    <w:rsid w:val="00D93EC1"/>
    <w:rsid w:val="00D93F3A"/>
    <w:rsid w:val="00D93F82"/>
    <w:rsid w:val="00D9404D"/>
    <w:rsid w:val="00D9409E"/>
    <w:rsid w:val="00D940FF"/>
    <w:rsid w:val="00D94102"/>
    <w:rsid w:val="00D94229"/>
    <w:rsid w:val="00D94253"/>
    <w:rsid w:val="00D94264"/>
    <w:rsid w:val="00D942D9"/>
    <w:rsid w:val="00D94330"/>
    <w:rsid w:val="00D94343"/>
    <w:rsid w:val="00D94353"/>
    <w:rsid w:val="00D94538"/>
    <w:rsid w:val="00D94567"/>
    <w:rsid w:val="00D94662"/>
    <w:rsid w:val="00D946BF"/>
    <w:rsid w:val="00D94779"/>
    <w:rsid w:val="00D94799"/>
    <w:rsid w:val="00D947D8"/>
    <w:rsid w:val="00D947D9"/>
    <w:rsid w:val="00D94839"/>
    <w:rsid w:val="00D948BF"/>
    <w:rsid w:val="00D9491E"/>
    <w:rsid w:val="00D94AC6"/>
    <w:rsid w:val="00D94AFE"/>
    <w:rsid w:val="00D94B0D"/>
    <w:rsid w:val="00D94B3F"/>
    <w:rsid w:val="00D94BB8"/>
    <w:rsid w:val="00D94C39"/>
    <w:rsid w:val="00D94CE1"/>
    <w:rsid w:val="00D94D59"/>
    <w:rsid w:val="00D94D8A"/>
    <w:rsid w:val="00D94DDC"/>
    <w:rsid w:val="00D94F8C"/>
    <w:rsid w:val="00D94FE3"/>
    <w:rsid w:val="00D9508F"/>
    <w:rsid w:val="00D950F8"/>
    <w:rsid w:val="00D9511D"/>
    <w:rsid w:val="00D951DE"/>
    <w:rsid w:val="00D9527E"/>
    <w:rsid w:val="00D952C0"/>
    <w:rsid w:val="00D953E4"/>
    <w:rsid w:val="00D953FB"/>
    <w:rsid w:val="00D95510"/>
    <w:rsid w:val="00D95574"/>
    <w:rsid w:val="00D9557A"/>
    <w:rsid w:val="00D9569F"/>
    <w:rsid w:val="00D9572D"/>
    <w:rsid w:val="00D9579E"/>
    <w:rsid w:val="00D957D8"/>
    <w:rsid w:val="00D95855"/>
    <w:rsid w:val="00D958CE"/>
    <w:rsid w:val="00D958D3"/>
    <w:rsid w:val="00D95993"/>
    <w:rsid w:val="00D959B7"/>
    <w:rsid w:val="00D95A7F"/>
    <w:rsid w:val="00D95B13"/>
    <w:rsid w:val="00D95BD3"/>
    <w:rsid w:val="00D95CF3"/>
    <w:rsid w:val="00D95D62"/>
    <w:rsid w:val="00D95DAF"/>
    <w:rsid w:val="00D95DB2"/>
    <w:rsid w:val="00D95E1A"/>
    <w:rsid w:val="00D95E6E"/>
    <w:rsid w:val="00D95E82"/>
    <w:rsid w:val="00D95E85"/>
    <w:rsid w:val="00D95EE0"/>
    <w:rsid w:val="00D95FFA"/>
    <w:rsid w:val="00D95FFC"/>
    <w:rsid w:val="00D9608E"/>
    <w:rsid w:val="00D960F7"/>
    <w:rsid w:val="00D9628D"/>
    <w:rsid w:val="00D962CC"/>
    <w:rsid w:val="00D96311"/>
    <w:rsid w:val="00D96347"/>
    <w:rsid w:val="00D964E6"/>
    <w:rsid w:val="00D96557"/>
    <w:rsid w:val="00D96590"/>
    <w:rsid w:val="00D965E9"/>
    <w:rsid w:val="00D9665D"/>
    <w:rsid w:val="00D96746"/>
    <w:rsid w:val="00D967C6"/>
    <w:rsid w:val="00D9685E"/>
    <w:rsid w:val="00D96877"/>
    <w:rsid w:val="00D9695A"/>
    <w:rsid w:val="00D96A26"/>
    <w:rsid w:val="00D96AF5"/>
    <w:rsid w:val="00D96B1B"/>
    <w:rsid w:val="00D96B25"/>
    <w:rsid w:val="00D96B81"/>
    <w:rsid w:val="00D96B85"/>
    <w:rsid w:val="00D96B86"/>
    <w:rsid w:val="00D96BF6"/>
    <w:rsid w:val="00D96C37"/>
    <w:rsid w:val="00D96D28"/>
    <w:rsid w:val="00D96D4F"/>
    <w:rsid w:val="00D96D6B"/>
    <w:rsid w:val="00D96D71"/>
    <w:rsid w:val="00D96D74"/>
    <w:rsid w:val="00D96E53"/>
    <w:rsid w:val="00D96E64"/>
    <w:rsid w:val="00D96ED3"/>
    <w:rsid w:val="00D96F48"/>
    <w:rsid w:val="00D96F95"/>
    <w:rsid w:val="00D96FB8"/>
    <w:rsid w:val="00D97011"/>
    <w:rsid w:val="00D9702C"/>
    <w:rsid w:val="00D97060"/>
    <w:rsid w:val="00D9713E"/>
    <w:rsid w:val="00D97160"/>
    <w:rsid w:val="00D97265"/>
    <w:rsid w:val="00D972A7"/>
    <w:rsid w:val="00D972AD"/>
    <w:rsid w:val="00D972E7"/>
    <w:rsid w:val="00D97452"/>
    <w:rsid w:val="00D97522"/>
    <w:rsid w:val="00D97678"/>
    <w:rsid w:val="00D97684"/>
    <w:rsid w:val="00D976C1"/>
    <w:rsid w:val="00D9770D"/>
    <w:rsid w:val="00D9772B"/>
    <w:rsid w:val="00D9773D"/>
    <w:rsid w:val="00D97758"/>
    <w:rsid w:val="00D978B4"/>
    <w:rsid w:val="00D978E4"/>
    <w:rsid w:val="00D97905"/>
    <w:rsid w:val="00D97968"/>
    <w:rsid w:val="00D9798C"/>
    <w:rsid w:val="00D97A20"/>
    <w:rsid w:val="00D97AE7"/>
    <w:rsid w:val="00D97BE5"/>
    <w:rsid w:val="00D97D1C"/>
    <w:rsid w:val="00D97D9D"/>
    <w:rsid w:val="00D97E6C"/>
    <w:rsid w:val="00D97E7D"/>
    <w:rsid w:val="00D97EA2"/>
    <w:rsid w:val="00D97F61"/>
    <w:rsid w:val="00DA0011"/>
    <w:rsid w:val="00DA0151"/>
    <w:rsid w:val="00DA01DD"/>
    <w:rsid w:val="00DA02BB"/>
    <w:rsid w:val="00DA03D0"/>
    <w:rsid w:val="00DA0453"/>
    <w:rsid w:val="00DA056F"/>
    <w:rsid w:val="00DA0573"/>
    <w:rsid w:val="00DA05BF"/>
    <w:rsid w:val="00DA0845"/>
    <w:rsid w:val="00DA086F"/>
    <w:rsid w:val="00DA08B9"/>
    <w:rsid w:val="00DA08EE"/>
    <w:rsid w:val="00DA08F1"/>
    <w:rsid w:val="00DA08FB"/>
    <w:rsid w:val="00DA094E"/>
    <w:rsid w:val="00DA0958"/>
    <w:rsid w:val="00DA09DF"/>
    <w:rsid w:val="00DA0A23"/>
    <w:rsid w:val="00DA0A7B"/>
    <w:rsid w:val="00DA0A7F"/>
    <w:rsid w:val="00DA0A90"/>
    <w:rsid w:val="00DA0A9E"/>
    <w:rsid w:val="00DA0BE3"/>
    <w:rsid w:val="00DA0C67"/>
    <w:rsid w:val="00DA0CC3"/>
    <w:rsid w:val="00DA0D18"/>
    <w:rsid w:val="00DA0D5F"/>
    <w:rsid w:val="00DA0DDD"/>
    <w:rsid w:val="00DA0E16"/>
    <w:rsid w:val="00DA0E4F"/>
    <w:rsid w:val="00DA0E80"/>
    <w:rsid w:val="00DA0ECD"/>
    <w:rsid w:val="00DA0EE5"/>
    <w:rsid w:val="00DA0EFA"/>
    <w:rsid w:val="00DA0F0D"/>
    <w:rsid w:val="00DA0F2D"/>
    <w:rsid w:val="00DA0F84"/>
    <w:rsid w:val="00DA0FB1"/>
    <w:rsid w:val="00DA1077"/>
    <w:rsid w:val="00DA1190"/>
    <w:rsid w:val="00DA119E"/>
    <w:rsid w:val="00DA11B2"/>
    <w:rsid w:val="00DA13DB"/>
    <w:rsid w:val="00DA1497"/>
    <w:rsid w:val="00DA14F4"/>
    <w:rsid w:val="00DA1585"/>
    <w:rsid w:val="00DA1613"/>
    <w:rsid w:val="00DA1662"/>
    <w:rsid w:val="00DA1747"/>
    <w:rsid w:val="00DA1793"/>
    <w:rsid w:val="00DA179B"/>
    <w:rsid w:val="00DA1827"/>
    <w:rsid w:val="00DA182B"/>
    <w:rsid w:val="00DA186F"/>
    <w:rsid w:val="00DA188F"/>
    <w:rsid w:val="00DA18C2"/>
    <w:rsid w:val="00DA1921"/>
    <w:rsid w:val="00DA1923"/>
    <w:rsid w:val="00DA192D"/>
    <w:rsid w:val="00DA1968"/>
    <w:rsid w:val="00DA19AB"/>
    <w:rsid w:val="00DA19D8"/>
    <w:rsid w:val="00DA19FD"/>
    <w:rsid w:val="00DA1AE3"/>
    <w:rsid w:val="00DA1AFC"/>
    <w:rsid w:val="00DA1B14"/>
    <w:rsid w:val="00DA1B1F"/>
    <w:rsid w:val="00DA1BBA"/>
    <w:rsid w:val="00DA1BF6"/>
    <w:rsid w:val="00DA1C04"/>
    <w:rsid w:val="00DA1D33"/>
    <w:rsid w:val="00DA1ED5"/>
    <w:rsid w:val="00DA204C"/>
    <w:rsid w:val="00DA2093"/>
    <w:rsid w:val="00DA216B"/>
    <w:rsid w:val="00DA2199"/>
    <w:rsid w:val="00DA21B6"/>
    <w:rsid w:val="00DA21DE"/>
    <w:rsid w:val="00DA2279"/>
    <w:rsid w:val="00DA2321"/>
    <w:rsid w:val="00DA23E7"/>
    <w:rsid w:val="00DA23F9"/>
    <w:rsid w:val="00DA24FE"/>
    <w:rsid w:val="00DA2594"/>
    <w:rsid w:val="00DA25A0"/>
    <w:rsid w:val="00DA25E8"/>
    <w:rsid w:val="00DA2644"/>
    <w:rsid w:val="00DA2683"/>
    <w:rsid w:val="00DA27EB"/>
    <w:rsid w:val="00DA28DE"/>
    <w:rsid w:val="00DA28ED"/>
    <w:rsid w:val="00DA290C"/>
    <w:rsid w:val="00DA292A"/>
    <w:rsid w:val="00DA2954"/>
    <w:rsid w:val="00DA299A"/>
    <w:rsid w:val="00DA299C"/>
    <w:rsid w:val="00DA2A20"/>
    <w:rsid w:val="00DA2ACF"/>
    <w:rsid w:val="00DA2B7A"/>
    <w:rsid w:val="00DA2BD1"/>
    <w:rsid w:val="00DA2C95"/>
    <w:rsid w:val="00DA2D55"/>
    <w:rsid w:val="00DA2E07"/>
    <w:rsid w:val="00DA2E7E"/>
    <w:rsid w:val="00DA2E9E"/>
    <w:rsid w:val="00DA2EB1"/>
    <w:rsid w:val="00DA2F2B"/>
    <w:rsid w:val="00DA2FC8"/>
    <w:rsid w:val="00DA3012"/>
    <w:rsid w:val="00DA308C"/>
    <w:rsid w:val="00DA30A8"/>
    <w:rsid w:val="00DA30A9"/>
    <w:rsid w:val="00DA3100"/>
    <w:rsid w:val="00DA3104"/>
    <w:rsid w:val="00DA3120"/>
    <w:rsid w:val="00DA31A5"/>
    <w:rsid w:val="00DA3213"/>
    <w:rsid w:val="00DA32BE"/>
    <w:rsid w:val="00DA32D4"/>
    <w:rsid w:val="00DA32EB"/>
    <w:rsid w:val="00DA3323"/>
    <w:rsid w:val="00DA33FA"/>
    <w:rsid w:val="00DA3405"/>
    <w:rsid w:val="00DA350C"/>
    <w:rsid w:val="00DA3555"/>
    <w:rsid w:val="00DA35FF"/>
    <w:rsid w:val="00DA3614"/>
    <w:rsid w:val="00DA3659"/>
    <w:rsid w:val="00DA3665"/>
    <w:rsid w:val="00DA36B7"/>
    <w:rsid w:val="00DA3750"/>
    <w:rsid w:val="00DA3781"/>
    <w:rsid w:val="00DA399E"/>
    <w:rsid w:val="00DA39C9"/>
    <w:rsid w:val="00DA39F1"/>
    <w:rsid w:val="00DA39FC"/>
    <w:rsid w:val="00DA3A55"/>
    <w:rsid w:val="00DA3AFC"/>
    <w:rsid w:val="00DA3B74"/>
    <w:rsid w:val="00DA3BA5"/>
    <w:rsid w:val="00DA3C1A"/>
    <w:rsid w:val="00DA3C31"/>
    <w:rsid w:val="00DA3D2C"/>
    <w:rsid w:val="00DA3D8A"/>
    <w:rsid w:val="00DA3DA5"/>
    <w:rsid w:val="00DA3E20"/>
    <w:rsid w:val="00DA3FDD"/>
    <w:rsid w:val="00DA3FEF"/>
    <w:rsid w:val="00DA40D7"/>
    <w:rsid w:val="00DA41E0"/>
    <w:rsid w:val="00DA4253"/>
    <w:rsid w:val="00DA4270"/>
    <w:rsid w:val="00DA427D"/>
    <w:rsid w:val="00DA42DC"/>
    <w:rsid w:val="00DA42ED"/>
    <w:rsid w:val="00DA4387"/>
    <w:rsid w:val="00DA43C1"/>
    <w:rsid w:val="00DA4452"/>
    <w:rsid w:val="00DA44C8"/>
    <w:rsid w:val="00DA4510"/>
    <w:rsid w:val="00DA4520"/>
    <w:rsid w:val="00DA4686"/>
    <w:rsid w:val="00DA46EA"/>
    <w:rsid w:val="00DA4763"/>
    <w:rsid w:val="00DA4770"/>
    <w:rsid w:val="00DA47D6"/>
    <w:rsid w:val="00DA483A"/>
    <w:rsid w:val="00DA48AE"/>
    <w:rsid w:val="00DA4A1B"/>
    <w:rsid w:val="00DA4AB1"/>
    <w:rsid w:val="00DA4ABC"/>
    <w:rsid w:val="00DA4B36"/>
    <w:rsid w:val="00DA4B8C"/>
    <w:rsid w:val="00DA4C22"/>
    <w:rsid w:val="00DA4C4B"/>
    <w:rsid w:val="00DA4CA2"/>
    <w:rsid w:val="00DA4CFD"/>
    <w:rsid w:val="00DA4D16"/>
    <w:rsid w:val="00DA4D38"/>
    <w:rsid w:val="00DA4E15"/>
    <w:rsid w:val="00DA4EBA"/>
    <w:rsid w:val="00DA4F2C"/>
    <w:rsid w:val="00DA4FEA"/>
    <w:rsid w:val="00DA50AC"/>
    <w:rsid w:val="00DA5249"/>
    <w:rsid w:val="00DA5288"/>
    <w:rsid w:val="00DA53A0"/>
    <w:rsid w:val="00DA5407"/>
    <w:rsid w:val="00DA5414"/>
    <w:rsid w:val="00DA5418"/>
    <w:rsid w:val="00DA54F5"/>
    <w:rsid w:val="00DA5577"/>
    <w:rsid w:val="00DA5596"/>
    <w:rsid w:val="00DA559C"/>
    <w:rsid w:val="00DA55FA"/>
    <w:rsid w:val="00DA564A"/>
    <w:rsid w:val="00DA56EA"/>
    <w:rsid w:val="00DA582F"/>
    <w:rsid w:val="00DA58AA"/>
    <w:rsid w:val="00DA5904"/>
    <w:rsid w:val="00DA595A"/>
    <w:rsid w:val="00DA59F8"/>
    <w:rsid w:val="00DA59FD"/>
    <w:rsid w:val="00DA5A45"/>
    <w:rsid w:val="00DA5ADF"/>
    <w:rsid w:val="00DA5AE9"/>
    <w:rsid w:val="00DA5B24"/>
    <w:rsid w:val="00DA5B86"/>
    <w:rsid w:val="00DA5BCA"/>
    <w:rsid w:val="00DA5C2F"/>
    <w:rsid w:val="00DA5D16"/>
    <w:rsid w:val="00DA5D28"/>
    <w:rsid w:val="00DA5D2F"/>
    <w:rsid w:val="00DA5D95"/>
    <w:rsid w:val="00DA5E60"/>
    <w:rsid w:val="00DA5EA6"/>
    <w:rsid w:val="00DA5FA3"/>
    <w:rsid w:val="00DA606A"/>
    <w:rsid w:val="00DA608F"/>
    <w:rsid w:val="00DA60CA"/>
    <w:rsid w:val="00DA621D"/>
    <w:rsid w:val="00DA6220"/>
    <w:rsid w:val="00DA6221"/>
    <w:rsid w:val="00DA6241"/>
    <w:rsid w:val="00DA62BD"/>
    <w:rsid w:val="00DA630A"/>
    <w:rsid w:val="00DA6322"/>
    <w:rsid w:val="00DA63D3"/>
    <w:rsid w:val="00DA645D"/>
    <w:rsid w:val="00DA64BC"/>
    <w:rsid w:val="00DA6537"/>
    <w:rsid w:val="00DA65AC"/>
    <w:rsid w:val="00DA65CC"/>
    <w:rsid w:val="00DA65E6"/>
    <w:rsid w:val="00DA6624"/>
    <w:rsid w:val="00DA664B"/>
    <w:rsid w:val="00DA664C"/>
    <w:rsid w:val="00DA6693"/>
    <w:rsid w:val="00DA66DE"/>
    <w:rsid w:val="00DA66FA"/>
    <w:rsid w:val="00DA672A"/>
    <w:rsid w:val="00DA6740"/>
    <w:rsid w:val="00DA67DE"/>
    <w:rsid w:val="00DA6839"/>
    <w:rsid w:val="00DA68AD"/>
    <w:rsid w:val="00DA68D6"/>
    <w:rsid w:val="00DA68D7"/>
    <w:rsid w:val="00DA68D8"/>
    <w:rsid w:val="00DA68F5"/>
    <w:rsid w:val="00DA6A2D"/>
    <w:rsid w:val="00DA6A37"/>
    <w:rsid w:val="00DA6A7E"/>
    <w:rsid w:val="00DA6A81"/>
    <w:rsid w:val="00DA6AEC"/>
    <w:rsid w:val="00DA6B6B"/>
    <w:rsid w:val="00DA6BA9"/>
    <w:rsid w:val="00DA6C4F"/>
    <w:rsid w:val="00DA6C61"/>
    <w:rsid w:val="00DA6C95"/>
    <w:rsid w:val="00DA6CBC"/>
    <w:rsid w:val="00DA6CD7"/>
    <w:rsid w:val="00DA6D84"/>
    <w:rsid w:val="00DA6DB7"/>
    <w:rsid w:val="00DA6E77"/>
    <w:rsid w:val="00DA6FE1"/>
    <w:rsid w:val="00DA7068"/>
    <w:rsid w:val="00DA7130"/>
    <w:rsid w:val="00DA7142"/>
    <w:rsid w:val="00DA71CD"/>
    <w:rsid w:val="00DA720B"/>
    <w:rsid w:val="00DA728F"/>
    <w:rsid w:val="00DA72DB"/>
    <w:rsid w:val="00DA72E3"/>
    <w:rsid w:val="00DA739D"/>
    <w:rsid w:val="00DA74B8"/>
    <w:rsid w:val="00DA7520"/>
    <w:rsid w:val="00DA753D"/>
    <w:rsid w:val="00DA7606"/>
    <w:rsid w:val="00DA76E5"/>
    <w:rsid w:val="00DA777C"/>
    <w:rsid w:val="00DA7883"/>
    <w:rsid w:val="00DA78EB"/>
    <w:rsid w:val="00DA78F4"/>
    <w:rsid w:val="00DA7967"/>
    <w:rsid w:val="00DA796E"/>
    <w:rsid w:val="00DA7983"/>
    <w:rsid w:val="00DA79DE"/>
    <w:rsid w:val="00DA7A31"/>
    <w:rsid w:val="00DA7AB9"/>
    <w:rsid w:val="00DA7ABB"/>
    <w:rsid w:val="00DA7B20"/>
    <w:rsid w:val="00DA7B2B"/>
    <w:rsid w:val="00DA7B3F"/>
    <w:rsid w:val="00DA7BED"/>
    <w:rsid w:val="00DA7D01"/>
    <w:rsid w:val="00DA7D75"/>
    <w:rsid w:val="00DA7DDC"/>
    <w:rsid w:val="00DA7EC1"/>
    <w:rsid w:val="00DA7ED2"/>
    <w:rsid w:val="00DA7EEA"/>
    <w:rsid w:val="00DA7EF1"/>
    <w:rsid w:val="00DA7F06"/>
    <w:rsid w:val="00DA7F35"/>
    <w:rsid w:val="00DA7FB5"/>
    <w:rsid w:val="00DA7FDC"/>
    <w:rsid w:val="00DB00B5"/>
    <w:rsid w:val="00DB0175"/>
    <w:rsid w:val="00DB017E"/>
    <w:rsid w:val="00DB019B"/>
    <w:rsid w:val="00DB02F4"/>
    <w:rsid w:val="00DB0344"/>
    <w:rsid w:val="00DB03EA"/>
    <w:rsid w:val="00DB03F1"/>
    <w:rsid w:val="00DB040E"/>
    <w:rsid w:val="00DB0423"/>
    <w:rsid w:val="00DB04A2"/>
    <w:rsid w:val="00DB04C5"/>
    <w:rsid w:val="00DB0548"/>
    <w:rsid w:val="00DB05B6"/>
    <w:rsid w:val="00DB06BD"/>
    <w:rsid w:val="00DB06BE"/>
    <w:rsid w:val="00DB08B9"/>
    <w:rsid w:val="00DB08E3"/>
    <w:rsid w:val="00DB090A"/>
    <w:rsid w:val="00DB094D"/>
    <w:rsid w:val="00DB09C1"/>
    <w:rsid w:val="00DB09C4"/>
    <w:rsid w:val="00DB0A2E"/>
    <w:rsid w:val="00DB0AC7"/>
    <w:rsid w:val="00DB0B21"/>
    <w:rsid w:val="00DB0B2E"/>
    <w:rsid w:val="00DB0BA7"/>
    <w:rsid w:val="00DB0C06"/>
    <w:rsid w:val="00DB0C86"/>
    <w:rsid w:val="00DB0DE9"/>
    <w:rsid w:val="00DB0DFA"/>
    <w:rsid w:val="00DB0E41"/>
    <w:rsid w:val="00DB0E61"/>
    <w:rsid w:val="00DB0EC3"/>
    <w:rsid w:val="00DB0F41"/>
    <w:rsid w:val="00DB0F6B"/>
    <w:rsid w:val="00DB0FD0"/>
    <w:rsid w:val="00DB103B"/>
    <w:rsid w:val="00DB10A8"/>
    <w:rsid w:val="00DB10B0"/>
    <w:rsid w:val="00DB10CA"/>
    <w:rsid w:val="00DB10F0"/>
    <w:rsid w:val="00DB1315"/>
    <w:rsid w:val="00DB13B6"/>
    <w:rsid w:val="00DB141B"/>
    <w:rsid w:val="00DB1464"/>
    <w:rsid w:val="00DB14CA"/>
    <w:rsid w:val="00DB1514"/>
    <w:rsid w:val="00DB15E6"/>
    <w:rsid w:val="00DB15F0"/>
    <w:rsid w:val="00DB1611"/>
    <w:rsid w:val="00DB16DC"/>
    <w:rsid w:val="00DB16DF"/>
    <w:rsid w:val="00DB16E2"/>
    <w:rsid w:val="00DB170C"/>
    <w:rsid w:val="00DB1737"/>
    <w:rsid w:val="00DB177C"/>
    <w:rsid w:val="00DB1782"/>
    <w:rsid w:val="00DB17E0"/>
    <w:rsid w:val="00DB184A"/>
    <w:rsid w:val="00DB1871"/>
    <w:rsid w:val="00DB18E2"/>
    <w:rsid w:val="00DB193D"/>
    <w:rsid w:val="00DB1975"/>
    <w:rsid w:val="00DB19B0"/>
    <w:rsid w:val="00DB1AC1"/>
    <w:rsid w:val="00DB1B1E"/>
    <w:rsid w:val="00DB1B27"/>
    <w:rsid w:val="00DB1B2A"/>
    <w:rsid w:val="00DB1B2C"/>
    <w:rsid w:val="00DB1BD2"/>
    <w:rsid w:val="00DB1BDB"/>
    <w:rsid w:val="00DB1C8B"/>
    <w:rsid w:val="00DB1C8D"/>
    <w:rsid w:val="00DB1DC7"/>
    <w:rsid w:val="00DB1E98"/>
    <w:rsid w:val="00DB1E9B"/>
    <w:rsid w:val="00DB1F46"/>
    <w:rsid w:val="00DB1F7F"/>
    <w:rsid w:val="00DB2097"/>
    <w:rsid w:val="00DB20D6"/>
    <w:rsid w:val="00DB20EF"/>
    <w:rsid w:val="00DB212F"/>
    <w:rsid w:val="00DB2187"/>
    <w:rsid w:val="00DB2213"/>
    <w:rsid w:val="00DB2262"/>
    <w:rsid w:val="00DB22F2"/>
    <w:rsid w:val="00DB242D"/>
    <w:rsid w:val="00DB24A6"/>
    <w:rsid w:val="00DB24E8"/>
    <w:rsid w:val="00DB25D7"/>
    <w:rsid w:val="00DB2622"/>
    <w:rsid w:val="00DB26F3"/>
    <w:rsid w:val="00DB2758"/>
    <w:rsid w:val="00DB27A4"/>
    <w:rsid w:val="00DB2863"/>
    <w:rsid w:val="00DB289F"/>
    <w:rsid w:val="00DB292C"/>
    <w:rsid w:val="00DB294E"/>
    <w:rsid w:val="00DB29AE"/>
    <w:rsid w:val="00DB29B7"/>
    <w:rsid w:val="00DB2A26"/>
    <w:rsid w:val="00DB2A4E"/>
    <w:rsid w:val="00DB2AA1"/>
    <w:rsid w:val="00DB2AC6"/>
    <w:rsid w:val="00DB2AD5"/>
    <w:rsid w:val="00DB2B18"/>
    <w:rsid w:val="00DB2BAE"/>
    <w:rsid w:val="00DB2BB6"/>
    <w:rsid w:val="00DB2C3A"/>
    <w:rsid w:val="00DB2C5D"/>
    <w:rsid w:val="00DB2CFC"/>
    <w:rsid w:val="00DB2D2B"/>
    <w:rsid w:val="00DB2D3F"/>
    <w:rsid w:val="00DB2D4B"/>
    <w:rsid w:val="00DB2DCA"/>
    <w:rsid w:val="00DB2DFF"/>
    <w:rsid w:val="00DB2E4C"/>
    <w:rsid w:val="00DB2E4E"/>
    <w:rsid w:val="00DB2EE7"/>
    <w:rsid w:val="00DB2FD7"/>
    <w:rsid w:val="00DB307C"/>
    <w:rsid w:val="00DB30F7"/>
    <w:rsid w:val="00DB3337"/>
    <w:rsid w:val="00DB33E6"/>
    <w:rsid w:val="00DB343F"/>
    <w:rsid w:val="00DB34B6"/>
    <w:rsid w:val="00DB34EC"/>
    <w:rsid w:val="00DB3533"/>
    <w:rsid w:val="00DB353B"/>
    <w:rsid w:val="00DB35A3"/>
    <w:rsid w:val="00DB3604"/>
    <w:rsid w:val="00DB3663"/>
    <w:rsid w:val="00DB3723"/>
    <w:rsid w:val="00DB375E"/>
    <w:rsid w:val="00DB3772"/>
    <w:rsid w:val="00DB37C7"/>
    <w:rsid w:val="00DB384D"/>
    <w:rsid w:val="00DB387C"/>
    <w:rsid w:val="00DB3899"/>
    <w:rsid w:val="00DB390F"/>
    <w:rsid w:val="00DB3975"/>
    <w:rsid w:val="00DB39DA"/>
    <w:rsid w:val="00DB39F9"/>
    <w:rsid w:val="00DB3A31"/>
    <w:rsid w:val="00DB3B46"/>
    <w:rsid w:val="00DB3C8A"/>
    <w:rsid w:val="00DB3CB6"/>
    <w:rsid w:val="00DB3CCF"/>
    <w:rsid w:val="00DB3D42"/>
    <w:rsid w:val="00DB3D7A"/>
    <w:rsid w:val="00DB3D7D"/>
    <w:rsid w:val="00DB3E94"/>
    <w:rsid w:val="00DB3EC8"/>
    <w:rsid w:val="00DB3F1D"/>
    <w:rsid w:val="00DB4059"/>
    <w:rsid w:val="00DB40A5"/>
    <w:rsid w:val="00DB40E6"/>
    <w:rsid w:val="00DB411F"/>
    <w:rsid w:val="00DB413A"/>
    <w:rsid w:val="00DB41BA"/>
    <w:rsid w:val="00DB4221"/>
    <w:rsid w:val="00DB4246"/>
    <w:rsid w:val="00DB4263"/>
    <w:rsid w:val="00DB42C4"/>
    <w:rsid w:val="00DB4304"/>
    <w:rsid w:val="00DB4326"/>
    <w:rsid w:val="00DB4475"/>
    <w:rsid w:val="00DB448B"/>
    <w:rsid w:val="00DB44B8"/>
    <w:rsid w:val="00DB45BE"/>
    <w:rsid w:val="00DB4611"/>
    <w:rsid w:val="00DB4617"/>
    <w:rsid w:val="00DB46BB"/>
    <w:rsid w:val="00DB46E9"/>
    <w:rsid w:val="00DB47C1"/>
    <w:rsid w:val="00DB47F3"/>
    <w:rsid w:val="00DB494B"/>
    <w:rsid w:val="00DB4950"/>
    <w:rsid w:val="00DB4971"/>
    <w:rsid w:val="00DB49CD"/>
    <w:rsid w:val="00DB49F5"/>
    <w:rsid w:val="00DB4AC0"/>
    <w:rsid w:val="00DB4AD5"/>
    <w:rsid w:val="00DB4AFE"/>
    <w:rsid w:val="00DB4B98"/>
    <w:rsid w:val="00DB4BE3"/>
    <w:rsid w:val="00DB4EAA"/>
    <w:rsid w:val="00DB4F0E"/>
    <w:rsid w:val="00DB4F1D"/>
    <w:rsid w:val="00DB4F36"/>
    <w:rsid w:val="00DB500D"/>
    <w:rsid w:val="00DB50CD"/>
    <w:rsid w:val="00DB519D"/>
    <w:rsid w:val="00DB51F9"/>
    <w:rsid w:val="00DB5210"/>
    <w:rsid w:val="00DB522E"/>
    <w:rsid w:val="00DB52D0"/>
    <w:rsid w:val="00DB52D2"/>
    <w:rsid w:val="00DB52F8"/>
    <w:rsid w:val="00DB53BA"/>
    <w:rsid w:val="00DB53FE"/>
    <w:rsid w:val="00DB549B"/>
    <w:rsid w:val="00DB54B5"/>
    <w:rsid w:val="00DB550F"/>
    <w:rsid w:val="00DB55B9"/>
    <w:rsid w:val="00DB566F"/>
    <w:rsid w:val="00DB5721"/>
    <w:rsid w:val="00DB574C"/>
    <w:rsid w:val="00DB5814"/>
    <w:rsid w:val="00DB58E5"/>
    <w:rsid w:val="00DB5A7C"/>
    <w:rsid w:val="00DB5A99"/>
    <w:rsid w:val="00DB5B10"/>
    <w:rsid w:val="00DB5B1F"/>
    <w:rsid w:val="00DB5CC1"/>
    <w:rsid w:val="00DB5CF0"/>
    <w:rsid w:val="00DB5D06"/>
    <w:rsid w:val="00DB5D16"/>
    <w:rsid w:val="00DB5D4A"/>
    <w:rsid w:val="00DB5E1E"/>
    <w:rsid w:val="00DB5E28"/>
    <w:rsid w:val="00DB5E8E"/>
    <w:rsid w:val="00DB5F49"/>
    <w:rsid w:val="00DB5F64"/>
    <w:rsid w:val="00DB5F9C"/>
    <w:rsid w:val="00DB5FF1"/>
    <w:rsid w:val="00DB5FFD"/>
    <w:rsid w:val="00DB6025"/>
    <w:rsid w:val="00DB6149"/>
    <w:rsid w:val="00DB6195"/>
    <w:rsid w:val="00DB6286"/>
    <w:rsid w:val="00DB634C"/>
    <w:rsid w:val="00DB63AF"/>
    <w:rsid w:val="00DB63EB"/>
    <w:rsid w:val="00DB6460"/>
    <w:rsid w:val="00DB654E"/>
    <w:rsid w:val="00DB65CD"/>
    <w:rsid w:val="00DB660A"/>
    <w:rsid w:val="00DB6624"/>
    <w:rsid w:val="00DB6634"/>
    <w:rsid w:val="00DB6654"/>
    <w:rsid w:val="00DB66B0"/>
    <w:rsid w:val="00DB670C"/>
    <w:rsid w:val="00DB6772"/>
    <w:rsid w:val="00DB67B0"/>
    <w:rsid w:val="00DB6836"/>
    <w:rsid w:val="00DB6879"/>
    <w:rsid w:val="00DB68E0"/>
    <w:rsid w:val="00DB695B"/>
    <w:rsid w:val="00DB697F"/>
    <w:rsid w:val="00DB69AF"/>
    <w:rsid w:val="00DB6A72"/>
    <w:rsid w:val="00DB6A82"/>
    <w:rsid w:val="00DB6BA4"/>
    <w:rsid w:val="00DB6C77"/>
    <w:rsid w:val="00DB6CEA"/>
    <w:rsid w:val="00DB6CEF"/>
    <w:rsid w:val="00DB6D4F"/>
    <w:rsid w:val="00DB6E54"/>
    <w:rsid w:val="00DB6F31"/>
    <w:rsid w:val="00DB6F4D"/>
    <w:rsid w:val="00DB6F9B"/>
    <w:rsid w:val="00DB6FB2"/>
    <w:rsid w:val="00DB700D"/>
    <w:rsid w:val="00DB7067"/>
    <w:rsid w:val="00DB7197"/>
    <w:rsid w:val="00DB71EB"/>
    <w:rsid w:val="00DB7244"/>
    <w:rsid w:val="00DB7246"/>
    <w:rsid w:val="00DB729E"/>
    <w:rsid w:val="00DB733A"/>
    <w:rsid w:val="00DB7355"/>
    <w:rsid w:val="00DB737F"/>
    <w:rsid w:val="00DB74A1"/>
    <w:rsid w:val="00DB7536"/>
    <w:rsid w:val="00DB754D"/>
    <w:rsid w:val="00DB7631"/>
    <w:rsid w:val="00DB77B7"/>
    <w:rsid w:val="00DB78B0"/>
    <w:rsid w:val="00DB78DB"/>
    <w:rsid w:val="00DB79AB"/>
    <w:rsid w:val="00DB79BE"/>
    <w:rsid w:val="00DB79ED"/>
    <w:rsid w:val="00DB7A7C"/>
    <w:rsid w:val="00DB7AC1"/>
    <w:rsid w:val="00DB7AC4"/>
    <w:rsid w:val="00DB7AEB"/>
    <w:rsid w:val="00DB7B1B"/>
    <w:rsid w:val="00DB7B42"/>
    <w:rsid w:val="00DB7B54"/>
    <w:rsid w:val="00DB7B61"/>
    <w:rsid w:val="00DB7B6F"/>
    <w:rsid w:val="00DB7B94"/>
    <w:rsid w:val="00DB7B9E"/>
    <w:rsid w:val="00DB7BC6"/>
    <w:rsid w:val="00DB7C04"/>
    <w:rsid w:val="00DB7C22"/>
    <w:rsid w:val="00DB7CA3"/>
    <w:rsid w:val="00DB7D5C"/>
    <w:rsid w:val="00DB7D66"/>
    <w:rsid w:val="00DB7DC6"/>
    <w:rsid w:val="00DB7DD8"/>
    <w:rsid w:val="00DB7E13"/>
    <w:rsid w:val="00DB7ECC"/>
    <w:rsid w:val="00DB7EDE"/>
    <w:rsid w:val="00DB7F86"/>
    <w:rsid w:val="00DC0113"/>
    <w:rsid w:val="00DC0115"/>
    <w:rsid w:val="00DC0173"/>
    <w:rsid w:val="00DC01FC"/>
    <w:rsid w:val="00DC0259"/>
    <w:rsid w:val="00DC0319"/>
    <w:rsid w:val="00DC0354"/>
    <w:rsid w:val="00DC035F"/>
    <w:rsid w:val="00DC04BD"/>
    <w:rsid w:val="00DC04D4"/>
    <w:rsid w:val="00DC04DC"/>
    <w:rsid w:val="00DC04E0"/>
    <w:rsid w:val="00DC054C"/>
    <w:rsid w:val="00DC0565"/>
    <w:rsid w:val="00DC0638"/>
    <w:rsid w:val="00DC0672"/>
    <w:rsid w:val="00DC0683"/>
    <w:rsid w:val="00DC06BB"/>
    <w:rsid w:val="00DC06D8"/>
    <w:rsid w:val="00DC0702"/>
    <w:rsid w:val="00DC0745"/>
    <w:rsid w:val="00DC0753"/>
    <w:rsid w:val="00DC0791"/>
    <w:rsid w:val="00DC0810"/>
    <w:rsid w:val="00DC09CF"/>
    <w:rsid w:val="00DC0A48"/>
    <w:rsid w:val="00DC0A7F"/>
    <w:rsid w:val="00DC0AEC"/>
    <w:rsid w:val="00DC0BD9"/>
    <w:rsid w:val="00DC0BFD"/>
    <w:rsid w:val="00DC0C9E"/>
    <w:rsid w:val="00DC0D18"/>
    <w:rsid w:val="00DC0D44"/>
    <w:rsid w:val="00DC0DC8"/>
    <w:rsid w:val="00DC0E81"/>
    <w:rsid w:val="00DC0E90"/>
    <w:rsid w:val="00DC0EF2"/>
    <w:rsid w:val="00DC0F0A"/>
    <w:rsid w:val="00DC0F6C"/>
    <w:rsid w:val="00DC0F94"/>
    <w:rsid w:val="00DC10E0"/>
    <w:rsid w:val="00DC10E6"/>
    <w:rsid w:val="00DC1112"/>
    <w:rsid w:val="00DC112F"/>
    <w:rsid w:val="00DC11DA"/>
    <w:rsid w:val="00DC1309"/>
    <w:rsid w:val="00DC1341"/>
    <w:rsid w:val="00DC136C"/>
    <w:rsid w:val="00DC139C"/>
    <w:rsid w:val="00DC13FF"/>
    <w:rsid w:val="00DC147A"/>
    <w:rsid w:val="00DC152F"/>
    <w:rsid w:val="00DC1559"/>
    <w:rsid w:val="00DC158A"/>
    <w:rsid w:val="00DC15B7"/>
    <w:rsid w:val="00DC16E4"/>
    <w:rsid w:val="00DC1728"/>
    <w:rsid w:val="00DC18C0"/>
    <w:rsid w:val="00DC18D2"/>
    <w:rsid w:val="00DC1914"/>
    <w:rsid w:val="00DC197E"/>
    <w:rsid w:val="00DC19CC"/>
    <w:rsid w:val="00DC1A4D"/>
    <w:rsid w:val="00DC1A66"/>
    <w:rsid w:val="00DC1A94"/>
    <w:rsid w:val="00DC1AC8"/>
    <w:rsid w:val="00DC1B20"/>
    <w:rsid w:val="00DC1BDE"/>
    <w:rsid w:val="00DC1C17"/>
    <w:rsid w:val="00DC1C21"/>
    <w:rsid w:val="00DC1C53"/>
    <w:rsid w:val="00DC1C9C"/>
    <w:rsid w:val="00DC1D94"/>
    <w:rsid w:val="00DC1DB2"/>
    <w:rsid w:val="00DC1DB9"/>
    <w:rsid w:val="00DC1DC1"/>
    <w:rsid w:val="00DC1E2E"/>
    <w:rsid w:val="00DC1E32"/>
    <w:rsid w:val="00DC1E78"/>
    <w:rsid w:val="00DC1E8C"/>
    <w:rsid w:val="00DC1F42"/>
    <w:rsid w:val="00DC1F9F"/>
    <w:rsid w:val="00DC1FA1"/>
    <w:rsid w:val="00DC1FE9"/>
    <w:rsid w:val="00DC2010"/>
    <w:rsid w:val="00DC204A"/>
    <w:rsid w:val="00DC20C2"/>
    <w:rsid w:val="00DC2171"/>
    <w:rsid w:val="00DC21B9"/>
    <w:rsid w:val="00DC2291"/>
    <w:rsid w:val="00DC2334"/>
    <w:rsid w:val="00DC2381"/>
    <w:rsid w:val="00DC2429"/>
    <w:rsid w:val="00DC2432"/>
    <w:rsid w:val="00DC2447"/>
    <w:rsid w:val="00DC24DC"/>
    <w:rsid w:val="00DC24FD"/>
    <w:rsid w:val="00DC2540"/>
    <w:rsid w:val="00DC259E"/>
    <w:rsid w:val="00DC25B4"/>
    <w:rsid w:val="00DC25F9"/>
    <w:rsid w:val="00DC2602"/>
    <w:rsid w:val="00DC2655"/>
    <w:rsid w:val="00DC2668"/>
    <w:rsid w:val="00DC26AC"/>
    <w:rsid w:val="00DC26D7"/>
    <w:rsid w:val="00DC27EF"/>
    <w:rsid w:val="00DC289A"/>
    <w:rsid w:val="00DC28FA"/>
    <w:rsid w:val="00DC2907"/>
    <w:rsid w:val="00DC292B"/>
    <w:rsid w:val="00DC2A27"/>
    <w:rsid w:val="00DC2AE9"/>
    <w:rsid w:val="00DC2B28"/>
    <w:rsid w:val="00DC2B5F"/>
    <w:rsid w:val="00DC2B67"/>
    <w:rsid w:val="00DC2BCE"/>
    <w:rsid w:val="00DC2C16"/>
    <w:rsid w:val="00DC2C32"/>
    <w:rsid w:val="00DC2C69"/>
    <w:rsid w:val="00DC2CD1"/>
    <w:rsid w:val="00DC2CE0"/>
    <w:rsid w:val="00DC2CFF"/>
    <w:rsid w:val="00DC2D1B"/>
    <w:rsid w:val="00DC2D68"/>
    <w:rsid w:val="00DC2D84"/>
    <w:rsid w:val="00DC2DC5"/>
    <w:rsid w:val="00DC2E62"/>
    <w:rsid w:val="00DC2F29"/>
    <w:rsid w:val="00DC2F3A"/>
    <w:rsid w:val="00DC2F6A"/>
    <w:rsid w:val="00DC2FA6"/>
    <w:rsid w:val="00DC2FE8"/>
    <w:rsid w:val="00DC3086"/>
    <w:rsid w:val="00DC3089"/>
    <w:rsid w:val="00DC30F3"/>
    <w:rsid w:val="00DC30FD"/>
    <w:rsid w:val="00DC3160"/>
    <w:rsid w:val="00DC31A1"/>
    <w:rsid w:val="00DC31BF"/>
    <w:rsid w:val="00DC32E0"/>
    <w:rsid w:val="00DC337A"/>
    <w:rsid w:val="00DC33D6"/>
    <w:rsid w:val="00DC3411"/>
    <w:rsid w:val="00DC3450"/>
    <w:rsid w:val="00DC3483"/>
    <w:rsid w:val="00DC3545"/>
    <w:rsid w:val="00DC35E8"/>
    <w:rsid w:val="00DC3756"/>
    <w:rsid w:val="00DC385B"/>
    <w:rsid w:val="00DC38A5"/>
    <w:rsid w:val="00DC38E7"/>
    <w:rsid w:val="00DC3945"/>
    <w:rsid w:val="00DC3A7B"/>
    <w:rsid w:val="00DC3BA7"/>
    <w:rsid w:val="00DC3C0A"/>
    <w:rsid w:val="00DC3C6F"/>
    <w:rsid w:val="00DC3CC2"/>
    <w:rsid w:val="00DC3CF1"/>
    <w:rsid w:val="00DC3D7D"/>
    <w:rsid w:val="00DC3DA4"/>
    <w:rsid w:val="00DC3DCC"/>
    <w:rsid w:val="00DC3E67"/>
    <w:rsid w:val="00DC3F11"/>
    <w:rsid w:val="00DC3F59"/>
    <w:rsid w:val="00DC4054"/>
    <w:rsid w:val="00DC4060"/>
    <w:rsid w:val="00DC409B"/>
    <w:rsid w:val="00DC40BA"/>
    <w:rsid w:val="00DC40CD"/>
    <w:rsid w:val="00DC40D9"/>
    <w:rsid w:val="00DC4157"/>
    <w:rsid w:val="00DC4193"/>
    <w:rsid w:val="00DC41A2"/>
    <w:rsid w:val="00DC41B0"/>
    <w:rsid w:val="00DC41CD"/>
    <w:rsid w:val="00DC41CF"/>
    <w:rsid w:val="00DC41E0"/>
    <w:rsid w:val="00DC41F3"/>
    <w:rsid w:val="00DC4200"/>
    <w:rsid w:val="00DC42B1"/>
    <w:rsid w:val="00DC44D6"/>
    <w:rsid w:val="00DC44EC"/>
    <w:rsid w:val="00DC451F"/>
    <w:rsid w:val="00DC452D"/>
    <w:rsid w:val="00DC45EE"/>
    <w:rsid w:val="00DC4600"/>
    <w:rsid w:val="00DC4735"/>
    <w:rsid w:val="00DC4900"/>
    <w:rsid w:val="00DC4901"/>
    <w:rsid w:val="00DC4945"/>
    <w:rsid w:val="00DC4950"/>
    <w:rsid w:val="00DC49EA"/>
    <w:rsid w:val="00DC4A06"/>
    <w:rsid w:val="00DC4A0D"/>
    <w:rsid w:val="00DC4A42"/>
    <w:rsid w:val="00DC4A5E"/>
    <w:rsid w:val="00DC4ADE"/>
    <w:rsid w:val="00DC4B4B"/>
    <w:rsid w:val="00DC4C22"/>
    <w:rsid w:val="00DC4C6C"/>
    <w:rsid w:val="00DC4E25"/>
    <w:rsid w:val="00DC4F1F"/>
    <w:rsid w:val="00DC50C7"/>
    <w:rsid w:val="00DC510E"/>
    <w:rsid w:val="00DC5133"/>
    <w:rsid w:val="00DC5163"/>
    <w:rsid w:val="00DC522B"/>
    <w:rsid w:val="00DC5395"/>
    <w:rsid w:val="00DC5476"/>
    <w:rsid w:val="00DC54CA"/>
    <w:rsid w:val="00DC5523"/>
    <w:rsid w:val="00DC554A"/>
    <w:rsid w:val="00DC5558"/>
    <w:rsid w:val="00DC556B"/>
    <w:rsid w:val="00DC562B"/>
    <w:rsid w:val="00DC5755"/>
    <w:rsid w:val="00DC57BF"/>
    <w:rsid w:val="00DC580F"/>
    <w:rsid w:val="00DC5811"/>
    <w:rsid w:val="00DC5858"/>
    <w:rsid w:val="00DC5861"/>
    <w:rsid w:val="00DC5914"/>
    <w:rsid w:val="00DC5942"/>
    <w:rsid w:val="00DC5B1E"/>
    <w:rsid w:val="00DC5BC1"/>
    <w:rsid w:val="00DC5C44"/>
    <w:rsid w:val="00DC5C7B"/>
    <w:rsid w:val="00DC5D77"/>
    <w:rsid w:val="00DC5EBA"/>
    <w:rsid w:val="00DC5ED1"/>
    <w:rsid w:val="00DC5F53"/>
    <w:rsid w:val="00DC5F65"/>
    <w:rsid w:val="00DC5F75"/>
    <w:rsid w:val="00DC5FB0"/>
    <w:rsid w:val="00DC6038"/>
    <w:rsid w:val="00DC604B"/>
    <w:rsid w:val="00DC606C"/>
    <w:rsid w:val="00DC609C"/>
    <w:rsid w:val="00DC6120"/>
    <w:rsid w:val="00DC619F"/>
    <w:rsid w:val="00DC620C"/>
    <w:rsid w:val="00DC627A"/>
    <w:rsid w:val="00DC6280"/>
    <w:rsid w:val="00DC62AB"/>
    <w:rsid w:val="00DC62C5"/>
    <w:rsid w:val="00DC634C"/>
    <w:rsid w:val="00DC63AF"/>
    <w:rsid w:val="00DC63F1"/>
    <w:rsid w:val="00DC6406"/>
    <w:rsid w:val="00DC6476"/>
    <w:rsid w:val="00DC64AB"/>
    <w:rsid w:val="00DC65CE"/>
    <w:rsid w:val="00DC65D6"/>
    <w:rsid w:val="00DC665B"/>
    <w:rsid w:val="00DC6664"/>
    <w:rsid w:val="00DC67E7"/>
    <w:rsid w:val="00DC682B"/>
    <w:rsid w:val="00DC682D"/>
    <w:rsid w:val="00DC6833"/>
    <w:rsid w:val="00DC6875"/>
    <w:rsid w:val="00DC694B"/>
    <w:rsid w:val="00DC69AE"/>
    <w:rsid w:val="00DC6B76"/>
    <w:rsid w:val="00DC6BEF"/>
    <w:rsid w:val="00DC6C06"/>
    <w:rsid w:val="00DC6C34"/>
    <w:rsid w:val="00DC6CF5"/>
    <w:rsid w:val="00DC6E08"/>
    <w:rsid w:val="00DC6E43"/>
    <w:rsid w:val="00DC6E62"/>
    <w:rsid w:val="00DC6E92"/>
    <w:rsid w:val="00DC6F00"/>
    <w:rsid w:val="00DC6F10"/>
    <w:rsid w:val="00DC7008"/>
    <w:rsid w:val="00DC7074"/>
    <w:rsid w:val="00DC70E9"/>
    <w:rsid w:val="00DC710E"/>
    <w:rsid w:val="00DC720F"/>
    <w:rsid w:val="00DC724B"/>
    <w:rsid w:val="00DC7324"/>
    <w:rsid w:val="00DC73CC"/>
    <w:rsid w:val="00DC7490"/>
    <w:rsid w:val="00DC7536"/>
    <w:rsid w:val="00DC7590"/>
    <w:rsid w:val="00DC76F3"/>
    <w:rsid w:val="00DC775E"/>
    <w:rsid w:val="00DC786F"/>
    <w:rsid w:val="00DC7906"/>
    <w:rsid w:val="00DC7957"/>
    <w:rsid w:val="00DC7990"/>
    <w:rsid w:val="00DC7A14"/>
    <w:rsid w:val="00DC7BAA"/>
    <w:rsid w:val="00DC7C35"/>
    <w:rsid w:val="00DC7CCB"/>
    <w:rsid w:val="00DC7CFB"/>
    <w:rsid w:val="00DC7D50"/>
    <w:rsid w:val="00DC7DB4"/>
    <w:rsid w:val="00DC7DD4"/>
    <w:rsid w:val="00DC7DFE"/>
    <w:rsid w:val="00DC7E22"/>
    <w:rsid w:val="00DC7E9D"/>
    <w:rsid w:val="00DC7F64"/>
    <w:rsid w:val="00DC7F82"/>
    <w:rsid w:val="00DC7FBD"/>
    <w:rsid w:val="00DD0043"/>
    <w:rsid w:val="00DD00D3"/>
    <w:rsid w:val="00DD01AC"/>
    <w:rsid w:val="00DD0245"/>
    <w:rsid w:val="00DD0273"/>
    <w:rsid w:val="00DD02E6"/>
    <w:rsid w:val="00DD03A1"/>
    <w:rsid w:val="00DD042C"/>
    <w:rsid w:val="00DD042F"/>
    <w:rsid w:val="00DD0432"/>
    <w:rsid w:val="00DD04CC"/>
    <w:rsid w:val="00DD052A"/>
    <w:rsid w:val="00DD0535"/>
    <w:rsid w:val="00DD0536"/>
    <w:rsid w:val="00DD0567"/>
    <w:rsid w:val="00DD0574"/>
    <w:rsid w:val="00DD06C1"/>
    <w:rsid w:val="00DD06C9"/>
    <w:rsid w:val="00DD07CE"/>
    <w:rsid w:val="00DD08CF"/>
    <w:rsid w:val="00DD08D7"/>
    <w:rsid w:val="00DD0A0D"/>
    <w:rsid w:val="00DD0A55"/>
    <w:rsid w:val="00DD0AA4"/>
    <w:rsid w:val="00DD0AE9"/>
    <w:rsid w:val="00DD0C6E"/>
    <w:rsid w:val="00DD0C97"/>
    <w:rsid w:val="00DD0D2D"/>
    <w:rsid w:val="00DD0D50"/>
    <w:rsid w:val="00DD0D67"/>
    <w:rsid w:val="00DD0E72"/>
    <w:rsid w:val="00DD0FCD"/>
    <w:rsid w:val="00DD1038"/>
    <w:rsid w:val="00DD10A4"/>
    <w:rsid w:val="00DD10B4"/>
    <w:rsid w:val="00DD1133"/>
    <w:rsid w:val="00DD11FD"/>
    <w:rsid w:val="00DD1302"/>
    <w:rsid w:val="00DD1361"/>
    <w:rsid w:val="00DD138F"/>
    <w:rsid w:val="00DD145B"/>
    <w:rsid w:val="00DD147B"/>
    <w:rsid w:val="00DD1486"/>
    <w:rsid w:val="00DD1562"/>
    <w:rsid w:val="00DD1661"/>
    <w:rsid w:val="00DD1701"/>
    <w:rsid w:val="00DD1713"/>
    <w:rsid w:val="00DD1730"/>
    <w:rsid w:val="00DD17B7"/>
    <w:rsid w:val="00DD17E0"/>
    <w:rsid w:val="00DD1864"/>
    <w:rsid w:val="00DD1976"/>
    <w:rsid w:val="00DD1A01"/>
    <w:rsid w:val="00DD1A8D"/>
    <w:rsid w:val="00DD1A8F"/>
    <w:rsid w:val="00DD1AEA"/>
    <w:rsid w:val="00DD1B9A"/>
    <w:rsid w:val="00DD1BC8"/>
    <w:rsid w:val="00DD1CAB"/>
    <w:rsid w:val="00DD1D16"/>
    <w:rsid w:val="00DD1D67"/>
    <w:rsid w:val="00DD1D93"/>
    <w:rsid w:val="00DD1DA4"/>
    <w:rsid w:val="00DD1E0A"/>
    <w:rsid w:val="00DD1EB1"/>
    <w:rsid w:val="00DD1EBB"/>
    <w:rsid w:val="00DD1FA5"/>
    <w:rsid w:val="00DD2035"/>
    <w:rsid w:val="00DD2061"/>
    <w:rsid w:val="00DD20B7"/>
    <w:rsid w:val="00DD2110"/>
    <w:rsid w:val="00DD212C"/>
    <w:rsid w:val="00DD2234"/>
    <w:rsid w:val="00DD2279"/>
    <w:rsid w:val="00DD22EA"/>
    <w:rsid w:val="00DD235B"/>
    <w:rsid w:val="00DD2412"/>
    <w:rsid w:val="00DD2684"/>
    <w:rsid w:val="00DD27EE"/>
    <w:rsid w:val="00DD2998"/>
    <w:rsid w:val="00DD2A32"/>
    <w:rsid w:val="00DD2AA6"/>
    <w:rsid w:val="00DD2AB8"/>
    <w:rsid w:val="00DD2AFC"/>
    <w:rsid w:val="00DD2B2C"/>
    <w:rsid w:val="00DD2BD8"/>
    <w:rsid w:val="00DD2C61"/>
    <w:rsid w:val="00DD2C73"/>
    <w:rsid w:val="00DD2D36"/>
    <w:rsid w:val="00DD2D95"/>
    <w:rsid w:val="00DD2E74"/>
    <w:rsid w:val="00DD2FC1"/>
    <w:rsid w:val="00DD3070"/>
    <w:rsid w:val="00DD307F"/>
    <w:rsid w:val="00DD30A2"/>
    <w:rsid w:val="00DD310D"/>
    <w:rsid w:val="00DD3177"/>
    <w:rsid w:val="00DD31C2"/>
    <w:rsid w:val="00DD31F7"/>
    <w:rsid w:val="00DD31FE"/>
    <w:rsid w:val="00DD3202"/>
    <w:rsid w:val="00DD32C3"/>
    <w:rsid w:val="00DD33FD"/>
    <w:rsid w:val="00DD3404"/>
    <w:rsid w:val="00DD343F"/>
    <w:rsid w:val="00DD34F6"/>
    <w:rsid w:val="00DD3602"/>
    <w:rsid w:val="00DD360D"/>
    <w:rsid w:val="00DD3612"/>
    <w:rsid w:val="00DD3668"/>
    <w:rsid w:val="00DD3762"/>
    <w:rsid w:val="00DD37CB"/>
    <w:rsid w:val="00DD37F0"/>
    <w:rsid w:val="00DD3869"/>
    <w:rsid w:val="00DD3891"/>
    <w:rsid w:val="00DD3897"/>
    <w:rsid w:val="00DD38DE"/>
    <w:rsid w:val="00DD3956"/>
    <w:rsid w:val="00DD3995"/>
    <w:rsid w:val="00DD3A83"/>
    <w:rsid w:val="00DD3A99"/>
    <w:rsid w:val="00DD3B03"/>
    <w:rsid w:val="00DD3BE7"/>
    <w:rsid w:val="00DD3BF3"/>
    <w:rsid w:val="00DD3C44"/>
    <w:rsid w:val="00DD3C6C"/>
    <w:rsid w:val="00DD3CF3"/>
    <w:rsid w:val="00DD3E5E"/>
    <w:rsid w:val="00DD3E74"/>
    <w:rsid w:val="00DD3E7B"/>
    <w:rsid w:val="00DD3EB4"/>
    <w:rsid w:val="00DD3ED1"/>
    <w:rsid w:val="00DD3F2B"/>
    <w:rsid w:val="00DD3F4D"/>
    <w:rsid w:val="00DD3F8C"/>
    <w:rsid w:val="00DD3FBA"/>
    <w:rsid w:val="00DD4069"/>
    <w:rsid w:val="00DD4170"/>
    <w:rsid w:val="00DD4257"/>
    <w:rsid w:val="00DD4329"/>
    <w:rsid w:val="00DD44E3"/>
    <w:rsid w:val="00DD44ED"/>
    <w:rsid w:val="00DD45D9"/>
    <w:rsid w:val="00DD45DD"/>
    <w:rsid w:val="00DD478F"/>
    <w:rsid w:val="00DD47C6"/>
    <w:rsid w:val="00DD4859"/>
    <w:rsid w:val="00DD4863"/>
    <w:rsid w:val="00DD4906"/>
    <w:rsid w:val="00DD494E"/>
    <w:rsid w:val="00DD4984"/>
    <w:rsid w:val="00DD49B1"/>
    <w:rsid w:val="00DD49E7"/>
    <w:rsid w:val="00DD4A31"/>
    <w:rsid w:val="00DD4AEE"/>
    <w:rsid w:val="00DD4B60"/>
    <w:rsid w:val="00DD4C32"/>
    <w:rsid w:val="00DD4C83"/>
    <w:rsid w:val="00DD4DDA"/>
    <w:rsid w:val="00DD4E43"/>
    <w:rsid w:val="00DD4EA0"/>
    <w:rsid w:val="00DD4EF8"/>
    <w:rsid w:val="00DD4F79"/>
    <w:rsid w:val="00DD4FA5"/>
    <w:rsid w:val="00DD4FD5"/>
    <w:rsid w:val="00DD4FED"/>
    <w:rsid w:val="00DD5060"/>
    <w:rsid w:val="00DD5164"/>
    <w:rsid w:val="00DD516A"/>
    <w:rsid w:val="00DD519E"/>
    <w:rsid w:val="00DD51D7"/>
    <w:rsid w:val="00DD5224"/>
    <w:rsid w:val="00DD5246"/>
    <w:rsid w:val="00DD526D"/>
    <w:rsid w:val="00DD52E6"/>
    <w:rsid w:val="00DD52F3"/>
    <w:rsid w:val="00DD5314"/>
    <w:rsid w:val="00DD5335"/>
    <w:rsid w:val="00DD53C0"/>
    <w:rsid w:val="00DD53C3"/>
    <w:rsid w:val="00DD5474"/>
    <w:rsid w:val="00DD54A4"/>
    <w:rsid w:val="00DD554B"/>
    <w:rsid w:val="00DD556E"/>
    <w:rsid w:val="00DD5577"/>
    <w:rsid w:val="00DD55DE"/>
    <w:rsid w:val="00DD5632"/>
    <w:rsid w:val="00DD564A"/>
    <w:rsid w:val="00DD564B"/>
    <w:rsid w:val="00DD5686"/>
    <w:rsid w:val="00DD5689"/>
    <w:rsid w:val="00DD57BD"/>
    <w:rsid w:val="00DD58AA"/>
    <w:rsid w:val="00DD58C1"/>
    <w:rsid w:val="00DD593D"/>
    <w:rsid w:val="00DD598E"/>
    <w:rsid w:val="00DD59BD"/>
    <w:rsid w:val="00DD59E3"/>
    <w:rsid w:val="00DD5ABA"/>
    <w:rsid w:val="00DD5AFB"/>
    <w:rsid w:val="00DD5B04"/>
    <w:rsid w:val="00DD5B3B"/>
    <w:rsid w:val="00DD5C2E"/>
    <w:rsid w:val="00DD5D7A"/>
    <w:rsid w:val="00DD5DBD"/>
    <w:rsid w:val="00DD5DDD"/>
    <w:rsid w:val="00DD5EA5"/>
    <w:rsid w:val="00DD5F25"/>
    <w:rsid w:val="00DD5F29"/>
    <w:rsid w:val="00DD5F64"/>
    <w:rsid w:val="00DD60E3"/>
    <w:rsid w:val="00DD6196"/>
    <w:rsid w:val="00DD6198"/>
    <w:rsid w:val="00DD61E0"/>
    <w:rsid w:val="00DD6312"/>
    <w:rsid w:val="00DD63DF"/>
    <w:rsid w:val="00DD6414"/>
    <w:rsid w:val="00DD64E4"/>
    <w:rsid w:val="00DD6562"/>
    <w:rsid w:val="00DD6576"/>
    <w:rsid w:val="00DD6607"/>
    <w:rsid w:val="00DD6631"/>
    <w:rsid w:val="00DD6737"/>
    <w:rsid w:val="00DD6775"/>
    <w:rsid w:val="00DD67A1"/>
    <w:rsid w:val="00DD67AA"/>
    <w:rsid w:val="00DD685B"/>
    <w:rsid w:val="00DD68B7"/>
    <w:rsid w:val="00DD6AAF"/>
    <w:rsid w:val="00DD6B5D"/>
    <w:rsid w:val="00DD6B89"/>
    <w:rsid w:val="00DD6BB1"/>
    <w:rsid w:val="00DD6C62"/>
    <w:rsid w:val="00DD6CB5"/>
    <w:rsid w:val="00DD6CBC"/>
    <w:rsid w:val="00DD6CD8"/>
    <w:rsid w:val="00DD6D61"/>
    <w:rsid w:val="00DD6E77"/>
    <w:rsid w:val="00DD6EB7"/>
    <w:rsid w:val="00DD6F24"/>
    <w:rsid w:val="00DD70F1"/>
    <w:rsid w:val="00DD70F6"/>
    <w:rsid w:val="00DD7137"/>
    <w:rsid w:val="00DD71B8"/>
    <w:rsid w:val="00DD71EA"/>
    <w:rsid w:val="00DD7227"/>
    <w:rsid w:val="00DD7233"/>
    <w:rsid w:val="00DD7237"/>
    <w:rsid w:val="00DD72A4"/>
    <w:rsid w:val="00DD7383"/>
    <w:rsid w:val="00DD73C1"/>
    <w:rsid w:val="00DD73DE"/>
    <w:rsid w:val="00DD7411"/>
    <w:rsid w:val="00DD748A"/>
    <w:rsid w:val="00DD7512"/>
    <w:rsid w:val="00DD7532"/>
    <w:rsid w:val="00DD759C"/>
    <w:rsid w:val="00DD75C4"/>
    <w:rsid w:val="00DD76D8"/>
    <w:rsid w:val="00DD76E6"/>
    <w:rsid w:val="00DD76F4"/>
    <w:rsid w:val="00DD7740"/>
    <w:rsid w:val="00DD776E"/>
    <w:rsid w:val="00DD77D5"/>
    <w:rsid w:val="00DD785C"/>
    <w:rsid w:val="00DD78B1"/>
    <w:rsid w:val="00DD78BF"/>
    <w:rsid w:val="00DD7912"/>
    <w:rsid w:val="00DD796B"/>
    <w:rsid w:val="00DD79D1"/>
    <w:rsid w:val="00DD79EF"/>
    <w:rsid w:val="00DD7A45"/>
    <w:rsid w:val="00DD7A9F"/>
    <w:rsid w:val="00DD7BC2"/>
    <w:rsid w:val="00DD7BCC"/>
    <w:rsid w:val="00DD7C44"/>
    <w:rsid w:val="00DD7C56"/>
    <w:rsid w:val="00DD7CBA"/>
    <w:rsid w:val="00DD7CC1"/>
    <w:rsid w:val="00DD7D6A"/>
    <w:rsid w:val="00DD7DD4"/>
    <w:rsid w:val="00DD7F79"/>
    <w:rsid w:val="00DE0053"/>
    <w:rsid w:val="00DE009F"/>
    <w:rsid w:val="00DE00BC"/>
    <w:rsid w:val="00DE0133"/>
    <w:rsid w:val="00DE0152"/>
    <w:rsid w:val="00DE017C"/>
    <w:rsid w:val="00DE01A0"/>
    <w:rsid w:val="00DE01A9"/>
    <w:rsid w:val="00DE01CB"/>
    <w:rsid w:val="00DE0273"/>
    <w:rsid w:val="00DE02A0"/>
    <w:rsid w:val="00DE02E0"/>
    <w:rsid w:val="00DE0374"/>
    <w:rsid w:val="00DE0393"/>
    <w:rsid w:val="00DE0447"/>
    <w:rsid w:val="00DE0458"/>
    <w:rsid w:val="00DE046A"/>
    <w:rsid w:val="00DE057B"/>
    <w:rsid w:val="00DE063B"/>
    <w:rsid w:val="00DE0641"/>
    <w:rsid w:val="00DE06BC"/>
    <w:rsid w:val="00DE0824"/>
    <w:rsid w:val="00DE08B2"/>
    <w:rsid w:val="00DE0952"/>
    <w:rsid w:val="00DE0A09"/>
    <w:rsid w:val="00DE0A4D"/>
    <w:rsid w:val="00DE0AE5"/>
    <w:rsid w:val="00DE0AED"/>
    <w:rsid w:val="00DE0B17"/>
    <w:rsid w:val="00DE0C1E"/>
    <w:rsid w:val="00DE0CC7"/>
    <w:rsid w:val="00DE0CC8"/>
    <w:rsid w:val="00DE0D02"/>
    <w:rsid w:val="00DE0D71"/>
    <w:rsid w:val="00DE0D89"/>
    <w:rsid w:val="00DE0E87"/>
    <w:rsid w:val="00DE0EFB"/>
    <w:rsid w:val="00DE0F62"/>
    <w:rsid w:val="00DE0FC4"/>
    <w:rsid w:val="00DE0FCD"/>
    <w:rsid w:val="00DE1110"/>
    <w:rsid w:val="00DE111F"/>
    <w:rsid w:val="00DE131F"/>
    <w:rsid w:val="00DE13CD"/>
    <w:rsid w:val="00DE13E2"/>
    <w:rsid w:val="00DE1427"/>
    <w:rsid w:val="00DE144C"/>
    <w:rsid w:val="00DE15CF"/>
    <w:rsid w:val="00DE167D"/>
    <w:rsid w:val="00DE1799"/>
    <w:rsid w:val="00DE185E"/>
    <w:rsid w:val="00DE1951"/>
    <w:rsid w:val="00DE196A"/>
    <w:rsid w:val="00DE19C4"/>
    <w:rsid w:val="00DE19D7"/>
    <w:rsid w:val="00DE1A56"/>
    <w:rsid w:val="00DE1A71"/>
    <w:rsid w:val="00DE1A85"/>
    <w:rsid w:val="00DE1A9C"/>
    <w:rsid w:val="00DE1AC6"/>
    <w:rsid w:val="00DE1B25"/>
    <w:rsid w:val="00DE1B2B"/>
    <w:rsid w:val="00DE1B4C"/>
    <w:rsid w:val="00DE1C33"/>
    <w:rsid w:val="00DE1D67"/>
    <w:rsid w:val="00DE1D6B"/>
    <w:rsid w:val="00DE1EC5"/>
    <w:rsid w:val="00DE1F13"/>
    <w:rsid w:val="00DE1F78"/>
    <w:rsid w:val="00DE212E"/>
    <w:rsid w:val="00DE2142"/>
    <w:rsid w:val="00DE2163"/>
    <w:rsid w:val="00DE2270"/>
    <w:rsid w:val="00DE2289"/>
    <w:rsid w:val="00DE22BB"/>
    <w:rsid w:val="00DE24C8"/>
    <w:rsid w:val="00DE2587"/>
    <w:rsid w:val="00DE25BA"/>
    <w:rsid w:val="00DE26A8"/>
    <w:rsid w:val="00DE2735"/>
    <w:rsid w:val="00DE2757"/>
    <w:rsid w:val="00DE278B"/>
    <w:rsid w:val="00DE28AB"/>
    <w:rsid w:val="00DE28F7"/>
    <w:rsid w:val="00DE2948"/>
    <w:rsid w:val="00DE29D4"/>
    <w:rsid w:val="00DE29DF"/>
    <w:rsid w:val="00DE2AEF"/>
    <w:rsid w:val="00DE2B00"/>
    <w:rsid w:val="00DE2BDB"/>
    <w:rsid w:val="00DE2C38"/>
    <w:rsid w:val="00DE2CB7"/>
    <w:rsid w:val="00DE2CE7"/>
    <w:rsid w:val="00DE2D6A"/>
    <w:rsid w:val="00DE2D7C"/>
    <w:rsid w:val="00DE2DF5"/>
    <w:rsid w:val="00DE2E2E"/>
    <w:rsid w:val="00DE3051"/>
    <w:rsid w:val="00DE30B5"/>
    <w:rsid w:val="00DE30C0"/>
    <w:rsid w:val="00DE30D0"/>
    <w:rsid w:val="00DE3104"/>
    <w:rsid w:val="00DE310A"/>
    <w:rsid w:val="00DE3276"/>
    <w:rsid w:val="00DE32A2"/>
    <w:rsid w:val="00DE32D7"/>
    <w:rsid w:val="00DE3344"/>
    <w:rsid w:val="00DE33A7"/>
    <w:rsid w:val="00DE33D5"/>
    <w:rsid w:val="00DE3473"/>
    <w:rsid w:val="00DE34B1"/>
    <w:rsid w:val="00DE3514"/>
    <w:rsid w:val="00DE3748"/>
    <w:rsid w:val="00DE3776"/>
    <w:rsid w:val="00DE37C2"/>
    <w:rsid w:val="00DE3822"/>
    <w:rsid w:val="00DE38AB"/>
    <w:rsid w:val="00DE38BF"/>
    <w:rsid w:val="00DE3900"/>
    <w:rsid w:val="00DE391E"/>
    <w:rsid w:val="00DE3A0E"/>
    <w:rsid w:val="00DE3AF4"/>
    <w:rsid w:val="00DE3B30"/>
    <w:rsid w:val="00DE3BFE"/>
    <w:rsid w:val="00DE3C3A"/>
    <w:rsid w:val="00DE3C88"/>
    <w:rsid w:val="00DE3CCA"/>
    <w:rsid w:val="00DE3D54"/>
    <w:rsid w:val="00DE3EB1"/>
    <w:rsid w:val="00DE3EFA"/>
    <w:rsid w:val="00DE3F24"/>
    <w:rsid w:val="00DE3F7E"/>
    <w:rsid w:val="00DE3FC3"/>
    <w:rsid w:val="00DE4095"/>
    <w:rsid w:val="00DE418C"/>
    <w:rsid w:val="00DE41B1"/>
    <w:rsid w:val="00DE42AF"/>
    <w:rsid w:val="00DE42B4"/>
    <w:rsid w:val="00DE432E"/>
    <w:rsid w:val="00DE442E"/>
    <w:rsid w:val="00DE4447"/>
    <w:rsid w:val="00DE4453"/>
    <w:rsid w:val="00DE445E"/>
    <w:rsid w:val="00DE45BD"/>
    <w:rsid w:val="00DE4637"/>
    <w:rsid w:val="00DE4638"/>
    <w:rsid w:val="00DE4645"/>
    <w:rsid w:val="00DE46B5"/>
    <w:rsid w:val="00DE47CA"/>
    <w:rsid w:val="00DE4808"/>
    <w:rsid w:val="00DE4809"/>
    <w:rsid w:val="00DE4827"/>
    <w:rsid w:val="00DE48D4"/>
    <w:rsid w:val="00DE4926"/>
    <w:rsid w:val="00DE4B09"/>
    <w:rsid w:val="00DE4B0A"/>
    <w:rsid w:val="00DE4B9B"/>
    <w:rsid w:val="00DE4BB5"/>
    <w:rsid w:val="00DE4BD3"/>
    <w:rsid w:val="00DE4BF0"/>
    <w:rsid w:val="00DE4C09"/>
    <w:rsid w:val="00DE4C5E"/>
    <w:rsid w:val="00DE4DC2"/>
    <w:rsid w:val="00DE4DD1"/>
    <w:rsid w:val="00DE4E3F"/>
    <w:rsid w:val="00DE4E7F"/>
    <w:rsid w:val="00DE4F38"/>
    <w:rsid w:val="00DE4F71"/>
    <w:rsid w:val="00DE4F75"/>
    <w:rsid w:val="00DE500F"/>
    <w:rsid w:val="00DE507B"/>
    <w:rsid w:val="00DE50C2"/>
    <w:rsid w:val="00DE50E8"/>
    <w:rsid w:val="00DE525E"/>
    <w:rsid w:val="00DE5279"/>
    <w:rsid w:val="00DE5325"/>
    <w:rsid w:val="00DE53B4"/>
    <w:rsid w:val="00DE53C0"/>
    <w:rsid w:val="00DE5414"/>
    <w:rsid w:val="00DE5474"/>
    <w:rsid w:val="00DE54B1"/>
    <w:rsid w:val="00DE54E0"/>
    <w:rsid w:val="00DE552A"/>
    <w:rsid w:val="00DE55BA"/>
    <w:rsid w:val="00DE55E2"/>
    <w:rsid w:val="00DE55E6"/>
    <w:rsid w:val="00DE5656"/>
    <w:rsid w:val="00DE569F"/>
    <w:rsid w:val="00DE56B6"/>
    <w:rsid w:val="00DE571C"/>
    <w:rsid w:val="00DE5791"/>
    <w:rsid w:val="00DE57A9"/>
    <w:rsid w:val="00DE5835"/>
    <w:rsid w:val="00DE5953"/>
    <w:rsid w:val="00DE5A41"/>
    <w:rsid w:val="00DE5ABD"/>
    <w:rsid w:val="00DE5C1D"/>
    <w:rsid w:val="00DE5C53"/>
    <w:rsid w:val="00DE5CED"/>
    <w:rsid w:val="00DE5D0D"/>
    <w:rsid w:val="00DE5D54"/>
    <w:rsid w:val="00DE5DFA"/>
    <w:rsid w:val="00DE5E01"/>
    <w:rsid w:val="00DE5E85"/>
    <w:rsid w:val="00DE5F0A"/>
    <w:rsid w:val="00DE5F97"/>
    <w:rsid w:val="00DE5FA6"/>
    <w:rsid w:val="00DE5FF9"/>
    <w:rsid w:val="00DE604C"/>
    <w:rsid w:val="00DE61A3"/>
    <w:rsid w:val="00DE61FB"/>
    <w:rsid w:val="00DE6226"/>
    <w:rsid w:val="00DE6271"/>
    <w:rsid w:val="00DE62BA"/>
    <w:rsid w:val="00DE63A5"/>
    <w:rsid w:val="00DE6489"/>
    <w:rsid w:val="00DE6524"/>
    <w:rsid w:val="00DE66C9"/>
    <w:rsid w:val="00DE67BB"/>
    <w:rsid w:val="00DE67DD"/>
    <w:rsid w:val="00DE681A"/>
    <w:rsid w:val="00DE6957"/>
    <w:rsid w:val="00DE6978"/>
    <w:rsid w:val="00DE69A8"/>
    <w:rsid w:val="00DE69F3"/>
    <w:rsid w:val="00DE6ADD"/>
    <w:rsid w:val="00DE6AFB"/>
    <w:rsid w:val="00DE6BDD"/>
    <w:rsid w:val="00DE6C7C"/>
    <w:rsid w:val="00DE6C87"/>
    <w:rsid w:val="00DE6D25"/>
    <w:rsid w:val="00DE6D68"/>
    <w:rsid w:val="00DE6D7E"/>
    <w:rsid w:val="00DE6D81"/>
    <w:rsid w:val="00DE6E07"/>
    <w:rsid w:val="00DE6E23"/>
    <w:rsid w:val="00DE6E68"/>
    <w:rsid w:val="00DE6E73"/>
    <w:rsid w:val="00DE6EAE"/>
    <w:rsid w:val="00DE6F22"/>
    <w:rsid w:val="00DE6F4C"/>
    <w:rsid w:val="00DE6F4F"/>
    <w:rsid w:val="00DE6F5C"/>
    <w:rsid w:val="00DE6FAE"/>
    <w:rsid w:val="00DE6FCC"/>
    <w:rsid w:val="00DE709F"/>
    <w:rsid w:val="00DE70C5"/>
    <w:rsid w:val="00DE7158"/>
    <w:rsid w:val="00DE731B"/>
    <w:rsid w:val="00DE733E"/>
    <w:rsid w:val="00DE7397"/>
    <w:rsid w:val="00DE73EB"/>
    <w:rsid w:val="00DE74E8"/>
    <w:rsid w:val="00DE7538"/>
    <w:rsid w:val="00DE7555"/>
    <w:rsid w:val="00DE75F8"/>
    <w:rsid w:val="00DE76B2"/>
    <w:rsid w:val="00DE7716"/>
    <w:rsid w:val="00DE773D"/>
    <w:rsid w:val="00DE7744"/>
    <w:rsid w:val="00DE77D3"/>
    <w:rsid w:val="00DE77E6"/>
    <w:rsid w:val="00DE7872"/>
    <w:rsid w:val="00DE796D"/>
    <w:rsid w:val="00DE7A0E"/>
    <w:rsid w:val="00DE7A81"/>
    <w:rsid w:val="00DE7AEB"/>
    <w:rsid w:val="00DE7C00"/>
    <w:rsid w:val="00DE7D3C"/>
    <w:rsid w:val="00DE7DB6"/>
    <w:rsid w:val="00DE7DEB"/>
    <w:rsid w:val="00DE7E5D"/>
    <w:rsid w:val="00DE7E83"/>
    <w:rsid w:val="00DE7EBB"/>
    <w:rsid w:val="00DE7EEB"/>
    <w:rsid w:val="00DE7F05"/>
    <w:rsid w:val="00DE7F12"/>
    <w:rsid w:val="00DF0032"/>
    <w:rsid w:val="00DF0095"/>
    <w:rsid w:val="00DF010B"/>
    <w:rsid w:val="00DF011F"/>
    <w:rsid w:val="00DF014E"/>
    <w:rsid w:val="00DF01F1"/>
    <w:rsid w:val="00DF0443"/>
    <w:rsid w:val="00DF04DB"/>
    <w:rsid w:val="00DF04EC"/>
    <w:rsid w:val="00DF0566"/>
    <w:rsid w:val="00DF060C"/>
    <w:rsid w:val="00DF0620"/>
    <w:rsid w:val="00DF073E"/>
    <w:rsid w:val="00DF0759"/>
    <w:rsid w:val="00DF07BA"/>
    <w:rsid w:val="00DF07E0"/>
    <w:rsid w:val="00DF0858"/>
    <w:rsid w:val="00DF085F"/>
    <w:rsid w:val="00DF0A14"/>
    <w:rsid w:val="00DF0AD0"/>
    <w:rsid w:val="00DF0B46"/>
    <w:rsid w:val="00DF0B7D"/>
    <w:rsid w:val="00DF0B8D"/>
    <w:rsid w:val="00DF0BB8"/>
    <w:rsid w:val="00DF0C10"/>
    <w:rsid w:val="00DF0C7C"/>
    <w:rsid w:val="00DF0C97"/>
    <w:rsid w:val="00DF0D62"/>
    <w:rsid w:val="00DF0E0D"/>
    <w:rsid w:val="00DF0E62"/>
    <w:rsid w:val="00DF0ED6"/>
    <w:rsid w:val="00DF0F9B"/>
    <w:rsid w:val="00DF103D"/>
    <w:rsid w:val="00DF107C"/>
    <w:rsid w:val="00DF10B2"/>
    <w:rsid w:val="00DF10BC"/>
    <w:rsid w:val="00DF10F3"/>
    <w:rsid w:val="00DF1144"/>
    <w:rsid w:val="00DF1199"/>
    <w:rsid w:val="00DF11DF"/>
    <w:rsid w:val="00DF129D"/>
    <w:rsid w:val="00DF138E"/>
    <w:rsid w:val="00DF13A9"/>
    <w:rsid w:val="00DF13BC"/>
    <w:rsid w:val="00DF13C2"/>
    <w:rsid w:val="00DF13CF"/>
    <w:rsid w:val="00DF1442"/>
    <w:rsid w:val="00DF1502"/>
    <w:rsid w:val="00DF159E"/>
    <w:rsid w:val="00DF15EE"/>
    <w:rsid w:val="00DF160B"/>
    <w:rsid w:val="00DF1624"/>
    <w:rsid w:val="00DF168E"/>
    <w:rsid w:val="00DF168F"/>
    <w:rsid w:val="00DF169C"/>
    <w:rsid w:val="00DF16C5"/>
    <w:rsid w:val="00DF1718"/>
    <w:rsid w:val="00DF1849"/>
    <w:rsid w:val="00DF1854"/>
    <w:rsid w:val="00DF189A"/>
    <w:rsid w:val="00DF18E7"/>
    <w:rsid w:val="00DF1906"/>
    <w:rsid w:val="00DF19F6"/>
    <w:rsid w:val="00DF1AF9"/>
    <w:rsid w:val="00DF1B1F"/>
    <w:rsid w:val="00DF1C69"/>
    <w:rsid w:val="00DF1C70"/>
    <w:rsid w:val="00DF1C91"/>
    <w:rsid w:val="00DF1DAF"/>
    <w:rsid w:val="00DF1DFC"/>
    <w:rsid w:val="00DF1FE5"/>
    <w:rsid w:val="00DF202C"/>
    <w:rsid w:val="00DF20B0"/>
    <w:rsid w:val="00DF21D7"/>
    <w:rsid w:val="00DF2280"/>
    <w:rsid w:val="00DF2336"/>
    <w:rsid w:val="00DF2339"/>
    <w:rsid w:val="00DF2449"/>
    <w:rsid w:val="00DF245A"/>
    <w:rsid w:val="00DF24EB"/>
    <w:rsid w:val="00DF254F"/>
    <w:rsid w:val="00DF255B"/>
    <w:rsid w:val="00DF256D"/>
    <w:rsid w:val="00DF2656"/>
    <w:rsid w:val="00DF26E5"/>
    <w:rsid w:val="00DF27E5"/>
    <w:rsid w:val="00DF27E6"/>
    <w:rsid w:val="00DF27F6"/>
    <w:rsid w:val="00DF2885"/>
    <w:rsid w:val="00DF2A61"/>
    <w:rsid w:val="00DF2A7E"/>
    <w:rsid w:val="00DF2AEF"/>
    <w:rsid w:val="00DF2B14"/>
    <w:rsid w:val="00DF2B59"/>
    <w:rsid w:val="00DF2C54"/>
    <w:rsid w:val="00DF2C61"/>
    <w:rsid w:val="00DF2CBA"/>
    <w:rsid w:val="00DF2DCF"/>
    <w:rsid w:val="00DF2F78"/>
    <w:rsid w:val="00DF2F84"/>
    <w:rsid w:val="00DF30E3"/>
    <w:rsid w:val="00DF30F5"/>
    <w:rsid w:val="00DF3136"/>
    <w:rsid w:val="00DF31FB"/>
    <w:rsid w:val="00DF3203"/>
    <w:rsid w:val="00DF3440"/>
    <w:rsid w:val="00DF34F9"/>
    <w:rsid w:val="00DF3517"/>
    <w:rsid w:val="00DF3549"/>
    <w:rsid w:val="00DF3635"/>
    <w:rsid w:val="00DF36C4"/>
    <w:rsid w:val="00DF36DD"/>
    <w:rsid w:val="00DF37D3"/>
    <w:rsid w:val="00DF380B"/>
    <w:rsid w:val="00DF3856"/>
    <w:rsid w:val="00DF38F2"/>
    <w:rsid w:val="00DF38FA"/>
    <w:rsid w:val="00DF3A9B"/>
    <w:rsid w:val="00DF3B89"/>
    <w:rsid w:val="00DF3BBE"/>
    <w:rsid w:val="00DF3BD1"/>
    <w:rsid w:val="00DF3D04"/>
    <w:rsid w:val="00DF3D29"/>
    <w:rsid w:val="00DF3DBE"/>
    <w:rsid w:val="00DF3E58"/>
    <w:rsid w:val="00DF3E94"/>
    <w:rsid w:val="00DF3FE0"/>
    <w:rsid w:val="00DF3FE5"/>
    <w:rsid w:val="00DF4043"/>
    <w:rsid w:val="00DF4057"/>
    <w:rsid w:val="00DF40C2"/>
    <w:rsid w:val="00DF4123"/>
    <w:rsid w:val="00DF412C"/>
    <w:rsid w:val="00DF415C"/>
    <w:rsid w:val="00DF4238"/>
    <w:rsid w:val="00DF437F"/>
    <w:rsid w:val="00DF43D0"/>
    <w:rsid w:val="00DF43EA"/>
    <w:rsid w:val="00DF4450"/>
    <w:rsid w:val="00DF449A"/>
    <w:rsid w:val="00DF4506"/>
    <w:rsid w:val="00DF4563"/>
    <w:rsid w:val="00DF4586"/>
    <w:rsid w:val="00DF45A7"/>
    <w:rsid w:val="00DF45AB"/>
    <w:rsid w:val="00DF45F4"/>
    <w:rsid w:val="00DF46B4"/>
    <w:rsid w:val="00DF47DC"/>
    <w:rsid w:val="00DF4854"/>
    <w:rsid w:val="00DF490D"/>
    <w:rsid w:val="00DF4999"/>
    <w:rsid w:val="00DF499A"/>
    <w:rsid w:val="00DF4A38"/>
    <w:rsid w:val="00DF4B70"/>
    <w:rsid w:val="00DF4BEC"/>
    <w:rsid w:val="00DF4C5C"/>
    <w:rsid w:val="00DF4C63"/>
    <w:rsid w:val="00DF4D23"/>
    <w:rsid w:val="00DF4D8C"/>
    <w:rsid w:val="00DF4D9B"/>
    <w:rsid w:val="00DF4E5F"/>
    <w:rsid w:val="00DF4F0A"/>
    <w:rsid w:val="00DF4FAF"/>
    <w:rsid w:val="00DF5020"/>
    <w:rsid w:val="00DF513C"/>
    <w:rsid w:val="00DF51A1"/>
    <w:rsid w:val="00DF5230"/>
    <w:rsid w:val="00DF52A0"/>
    <w:rsid w:val="00DF52B1"/>
    <w:rsid w:val="00DF532C"/>
    <w:rsid w:val="00DF5365"/>
    <w:rsid w:val="00DF5374"/>
    <w:rsid w:val="00DF5403"/>
    <w:rsid w:val="00DF5421"/>
    <w:rsid w:val="00DF5488"/>
    <w:rsid w:val="00DF54CF"/>
    <w:rsid w:val="00DF54F7"/>
    <w:rsid w:val="00DF54FD"/>
    <w:rsid w:val="00DF558A"/>
    <w:rsid w:val="00DF55FD"/>
    <w:rsid w:val="00DF5690"/>
    <w:rsid w:val="00DF5699"/>
    <w:rsid w:val="00DF56DE"/>
    <w:rsid w:val="00DF575D"/>
    <w:rsid w:val="00DF57AB"/>
    <w:rsid w:val="00DF581C"/>
    <w:rsid w:val="00DF586E"/>
    <w:rsid w:val="00DF5874"/>
    <w:rsid w:val="00DF58FD"/>
    <w:rsid w:val="00DF5919"/>
    <w:rsid w:val="00DF5956"/>
    <w:rsid w:val="00DF599C"/>
    <w:rsid w:val="00DF5B43"/>
    <w:rsid w:val="00DF5BB0"/>
    <w:rsid w:val="00DF5C75"/>
    <w:rsid w:val="00DF5CA1"/>
    <w:rsid w:val="00DF5CC6"/>
    <w:rsid w:val="00DF5CD6"/>
    <w:rsid w:val="00DF5CF6"/>
    <w:rsid w:val="00DF5D3B"/>
    <w:rsid w:val="00DF5D60"/>
    <w:rsid w:val="00DF5D8C"/>
    <w:rsid w:val="00DF5E6A"/>
    <w:rsid w:val="00DF5E90"/>
    <w:rsid w:val="00DF5F99"/>
    <w:rsid w:val="00DF6053"/>
    <w:rsid w:val="00DF609B"/>
    <w:rsid w:val="00DF614D"/>
    <w:rsid w:val="00DF61A2"/>
    <w:rsid w:val="00DF625C"/>
    <w:rsid w:val="00DF62E4"/>
    <w:rsid w:val="00DF633C"/>
    <w:rsid w:val="00DF6342"/>
    <w:rsid w:val="00DF6354"/>
    <w:rsid w:val="00DF63B4"/>
    <w:rsid w:val="00DF63BF"/>
    <w:rsid w:val="00DF6465"/>
    <w:rsid w:val="00DF6498"/>
    <w:rsid w:val="00DF6577"/>
    <w:rsid w:val="00DF666C"/>
    <w:rsid w:val="00DF6713"/>
    <w:rsid w:val="00DF678F"/>
    <w:rsid w:val="00DF67A9"/>
    <w:rsid w:val="00DF68AC"/>
    <w:rsid w:val="00DF6A38"/>
    <w:rsid w:val="00DF6AB7"/>
    <w:rsid w:val="00DF6B68"/>
    <w:rsid w:val="00DF6B8E"/>
    <w:rsid w:val="00DF6BC0"/>
    <w:rsid w:val="00DF6BF3"/>
    <w:rsid w:val="00DF6C2E"/>
    <w:rsid w:val="00DF6C32"/>
    <w:rsid w:val="00DF6C8F"/>
    <w:rsid w:val="00DF6D9E"/>
    <w:rsid w:val="00DF6DB5"/>
    <w:rsid w:val="00DF6E1A"/>
    <w:rsid w:val="00DF6EFC"/>
    <w:rsid w:val="00DF6F19"/>
    <w:rsid w:val="00DF6F6D"/>
    <w:rsid w:val="00DF6F7C"/>
    <w:rsid w:val="00DF7065"/>
    <w:rsid w:val="00DF7072"/>
    <w:rsid w:val="00DF70C7"/>
    <w:rsid w:val="00DF716D"/>
    <w:rsid w:val="00DF7180"/>
    <w:rsid w:val="00DF7186"/>
    <w:rsid w:val="00DF71C7"/>
    <w:rsid w:val="00DF7294"/>
    <w:rsid w:val="00DF7317"/>
    <w:rsid w:val="00DF73D2"/>
    <w:rsid w:val="00DF756B"/>
    <w:rsid w:val="00DF75EB"/>
    <w:rsid w:val="00DF7649"/>
    <w:rsid w:val="00DF7673"/>
    <w:rsid w:val="00DF76EB"/>
    <w:rsid w:val="00DF7709"/>
    <w:rsid w:val="00DF7711"/>
    <w:rsid w:val="00DF78C2"/>
    <w:rsid w:val="00DF7956"/>
    <w:rsid w:val="00DF79A7"/>
    <w:rsid w:val="00DF79D7"/>
    <w:rsid w:val="00DF79FC"/>
    <w:rsid w:val="00DF7ABC"/>
    <w:rsid w:val="00DF7B36"/>
    <w:rsid w:val="00DF7B46"/>
    <w:rsid w:val="00DF7B69"/>
    <w:rsid w:val="00DF7C62"/>
    <w:rsid w:val="00DF7CAB"/>
    <w:rsid w:val="00DF7D0E"/>
    <w:rsid w:val="00DF7E3C"/>
    <w:rsid w:val="00DF7E62"/>
    <w:rsid w:val="00DF7E9F"/>
    <w:rsid w:val="00DF7EA2"/>
    <w:rsid w:val="00DF7F2C"/>
    <w:rsid w:val="00DF7F8E"/>
    <w:rsid w:val="00E00097"/>
    <w:rsid w:val="00E0010F"/>
    <w:rsid w:val="00E001A9"/>
    <w:rsid w:val="00E001B6"/>
    <w:rsid w:val="00E00289"/>
    <w:rsid w:val="00E00314"/>
    <w:rsid w:val="00E0032B"/>
    <w:rsid w:val="00E00367"/>
    <w:rsid w:val="00E00394"/>
    <w:rsid w:val="00E003B9"/>
    <w:rsid w:val="00E003EB"/>
    <w:rsid w:val="00E004A8"/>
    <w:rsid w:val="00E00508"/>
    <w:rsid w:val="00E0052C"/>
    <w:rsid w:val="00E005B5"/>
    <w:rsid w:val="00E0078C"/>
    <w:rsid w:val="00E007D7"/>
    <w:rsid w:val="00E00846"/>
    <w:rsid w:val="00E008ED"/>
    <w:rsid w:val="00E00944"/>
    <w:rsid w:val="00E00A81"/>
    <w:rsid w:val="00E00B05"/>
    <w:rsid w:val="00E00B94"/>
    <w:rsid w:val="00E00BB7"/>
    <w:rsid w:val="00E00BDB"/>
    <w:rsid w:val="00E00C17"/>
    <w:rsid w:val="00E00CD8"/>
    <w:rsid w:val="00E00D25"/>
    <w:rsid w:val="00E00DC9"/>
    <w:rsid w:val="00E00E6A"/>
    <w:rsid w:val="00E00F06"/>
    <w:rsid w:val="00E00F98"/>
    <w:rsid w:val="00E00F9B"/>
    <w:rsid w:val="00E00FB5"/>
    <w:rsid w:val="00E01002"/>
    <w:rsid w:val="00E01028"/>
    <w:rsid w:val="00E0105C"/>
    <w:rsid w:val="00E01072"/>
    <w:rsid w:val="00E010B3"/>
    <w:rsid w:val="00E01127"/>
    <w:rsid w:val="00E0123D"/>
    <w:rsid w:val="00E012F1"/>
    <w:rsid w:val="00E013E8"/>
    <w:rsid w:val="00E013EE"/>
    <w:rsid w:val="00E0150C"/>
    <w:rsid w:val="00E016C1"/>
    <w:rsid w:val="00E017FA"/>
    <w:rsid w:val="00E0186D"/>
    <w:rsid w:val="00E01895"/>
    <w:rsid w:val="00E01905"/>
    <w:rsid w:val="00E0190E"/>
    <w:rsid w:val="00E01949"/>
    <w:rsid w:val="00E0195F"/>
    <w:rsid w:val="00E01983"/>
    <w:rsid w:val="00E01A0F"/>
    <w:rsid w:val="00E01BA1"/>
    <w:rsid w:val="00E01C3C"/>
    <w:rsid w:val="00E01CA4"/>
    <w:rsid w:val="00E01CE1"/>
    <w:rsid w:val="00E01CE8"/>
    <w:rsid w:val="00E01D6D"/>
    <w:rsid w:val="00E01D7A"/>
    <w:rsid w:val="00E01DB2"/>
    <w:rsid w:val="00E01DFC"/>
    <w:rsid w:val="00E01E1E"/>
    <w:rsid w:val="00E01F20"/>
    <w:rsid w:val="00E0205B"/>
    <w:rsid w:val="00E020CE"/>
    <w:rsid w:val="00E02149"/>
    <w:rsid w:val="00E024C2"/>
    <w:rsid w:val="00E024DF"/>
    <w:rsid w:val="00E02528"/>
    <w:rsid w:val="00E025A4"/>
    <w:rsid w:val="00E0267E"/>
    <w:rsid w:val="00E026A9"/>
    <w:rsid w:val="00E026AF"/>
    <w:rsid w:val="00E026DF"/>
    <w:rsid w:val="00E027A2"/>
    <w:rsid w:val="00E027FE"/>
    <w:rsid w:val="00E02816"/>
    <w:rsid w:val="00E0285D"/>
    <w:rsid w:val="00E0289D"/>
    <w:rsid w:val="00E028D0"/>
    <w:rsid w:val="00E028DF"/>
    <w:rsid w:val="00E028FA"/>
    <w:rsid w:val="00E0290D"/>
    <w:rsid w:val="00E02950"/>
    <w:rsid w:val="00E02978"/>
    <w:rsid w:val="00E02A5F"/>
    <w:rsid w:val="00E02B38"/>
    <w:rsid w:val="00E02B4C"/>
    <w:rsid w:val="00E02B74"/>
    <w:rsid w:val="00E02D3B"/>
    <w:rsid w:val="00E02D60"/>
    <w:rsid w:val="00E02DFD"/>
    <w:rsid w:val="00E02E17"/>
    <w:rsid w:val="00E02E89"/>
    <w:rsid w:val="00E02EB5"/>
    <w:rsid w:val="00E02EB7"/>
    <w:rsid w:val="00E02FA8"/>
    <w:rsid w:val="00E02FBE"/>
    <w:rsid w:val="00E02FD8"/>
    <w:rsid w:val="00E031E9"/>
    <w:rsid w:val="00E032AC"/>
    <w:rsid w:val="00E0335F"/>
    <w:rsid w:val="00E034CF"/>
    <w:rsid w:val="00E03580"/>
    <w:rsid w:val="00E035AC"/>
    <w:rsid w:val="00E0374F"/>
    <w:rsid w:val="00E0382D"/>
    <w:rsid w:val="00E038B9"/>
    <w:rsid w:val="00E03922"/>
    <w:rsid w:val="00E03A09"/>
    <w:rsid w:val="00E03A2F"/>
    <w:rsid w:val="00E03B32"/>
    <w:rsid w:val="00E03C26"/>
    <w:rsid w:val="00E03C30"/>
    <w:rsid w:val="00E03C9B"/>
    <w:rsid w:val="00E03CCF"/>
    <w:rsid w:val="00E03D8E"/>
    <w:rsid w:val="00E03E98"/>
    <w:rsid w:val="00E03FB2"/>
    <w:rsid w:val="00E0413B"/>
    <w:rsid w:val="00E04230"/>
    <w:rsid w:val="00E042C6"/>
    <w:rsid w:val="00E0431A"/>
    <w:rsid w:val="00E04343"/>
    <w:rsid w:val="00E0436E"/>
    <w:rsid w:val="00E04481"/>
    <w:rsid w:val="00E04578"/>
    <w:rsid w:val="00E04616"/>
    <w:rsid w:val="00E0466D"/>
    <w:rsid w:val="00E04682"/>
    <w:rsid w:val="00E0477F"/>
    <w:rsid w:val="00E0478E"/>
    <w:rsid w:val="00E0479C"/>
    <w:rsid w:val="00E047A3"/>
    <w:rsid w:val="00E047B0"/>
    <w:rsid w:val="00E0481B"/>
    <w:rsid w:val="00E04864"/>
    <w:rsid w:val="00E0488C"/>
    <w:rsid w:val="00E048BA"/>
    <w:rsid w:val="00E04952"/>
    <w:rsid w:val="00E0499E"/>
    <w:rsid w:val="00E04A24"/>
    <w:rsid w:val="00E04ADE"/>
    <w:rsid w:val="00E04B56"/>
    <w:rsid w:val="00E04B7F"/>
    <w:rsid w:val="00E04BA7"/>
    <w:rsid w:val="00E04E5C"/>
    <w:rsid w:val="00E04E80"/>
    <w:rsid w:val="00E04E89"/>
    <w:rsid w:val="00E05074"/>
    <w:rsid w:val="00E050E5"/>
    <w:rsid w:val="00E051D4"/>
    <w:rsid w:val="00E05322"/>
    <w:rsid w:val="00E053E3"/>
    <w:rsid w:val="00E05536"/>
    <w:rsid w:val="00E0555A"/>
    <w:rsid w:val="00E05595"/>
    <w:rsid w:val="00E055B5"/>
    <w:rsid w:val="00E05708"/>
    <w:rsid w:val="00E0579E"/>
    <w:rsid w:val="00E058D7"/>
    <w:rsid w:val="00E0590E"/>
    <w:rsid w:val="00E0592F"/>
    <w:rsid w:val="00E05A45"/>
    <w:rsid w:val="00E05AC9"/>
    <w:rsid w:val="00E05AEE"/>
    <w:rsid w:val="00E05B2F"/>
    <w:rsid w:val="00E05B80"/>
    <w:rsid w:val="00E05C5B"/>
    <w:rsid w:val="00E05C9C"/>
    <w:rsid w:val="00E05CC0"/>
    <w:rsid w:val="00E05CF5"/>
    <w:rsid w:val="00E05CFC"/>
    <w:rsid w:val="00E05D20"/>
    <w:rsid w:val="00E05D28"/>
    <w:rsid w:val="00E05D60"/>
    <w:rsid w:val="00E05DAA"/>
    <w:rsid w:val="00E05ED5"/>
    <w:rsid w:val="00E05F6B"/>
    <w:rsid w:val="00E05F8C"/>
    <w:rsid w:val="00E05FA0"/>
    <w:rsid w:val="00E06032"/>
    <w:rsid w:val="00E0607D"/>
    <w:rsid w:val="00E06094"/>
    <w:rsid w:val="00E06153"/>
    <w:rsid w:val="00E0622B"/>
    <w:rsid w:val="00E06338"/>
    <w:rsid w:val="00E06346"/>
    <w:rsid w:val="00E0638C"/>
    <w:rsid w:val="00E06478"/>
    <w:rsid w:val="00E064A7"/>
    <w:rsid w:val="00E064B8"/>
    <w:rsid w:val="00E0657E"/>
    <w:rsid w:val="00E0658B"/>
    <w:rsid w:val="00E065CB"/>
    <w:rsid w:val="00E065F7"/>
    <w:rsid w:val="00E06707"/>
    <w:rsid w:val="00E0672B"/>
    <w:rsid w:val="00E06774"/>
    <w:rsid w:val="00E06818"/>
    <w:rsid w:val="00E06911"/>
    <w:rsid w:val="00E069D8"/>
    <w:rsid w:val="00E06A2C"/>
    <w:rsid w:val="00E06A9C"/>
    <w:rsid w:val="00E06B86"/>
    <w:rsid w:val="00E06B9B"/>
    <w:rsid w:val="00E06BA2"/>
    <w:rsid w:val="00E06CBD"/>
    <w:rsid w:val="00E06D0E"/>
    <w:rsid w:val="00E06DE6"/>
    <w:rsid w:val="00E06E2E"/>
    <w:rsid w:val="00E06EB1"/>
    <w:rsid w:val="00E06F23"/>
    <w:rsid w:val="00E06F31"/>
    <w:rsid w:val="00E06F6F"/>
    <w:rsid w:val="00E070BE"/>
    <w:rsid w:val="00E0723B"/>
    <w:rsid w:val="00E072DC"/>
    <w:rsid w:val="00E072FF"/>
    <w:rsid w:val="00E0736E"/>
    <w:rsid w:val="00E07379"/>
    <w:rsid w:val="00E07450"/>
    <w:rsid w:val="00E07462"/>
    <w:rsid w:val="00E07470"/>
    <w:rsid w:val="00E0750D"/>
    <w:rsid w:val="00E07522"/>
    <w:rsid w:val="00E0756D"/>
    <w:rsid w:val="00E0762C"/>
    <w:rsid w:val="00E0765F"/>
    <w:rsid w:val="00E0766E"/>
    <w:rsid w:val="00E07708"/>
    <w:rsid w:val="00E07798"/>
    <w:rsid w:val="00E077B8"/>
    <w:rsid w:val="00E07845"/>
    <w:rsid w:val="00E078EC"/>
    <w:rsid w:val="00E078FF"/>
    <w:rsid w:val="00E0797B"/>
    <w:rsid w:val="00E079FF"/>
    <w:rsid w:val="00E07A39"/>
    <w:rsid w:val="00E07A52"/>
    <w:rsid w:val="00E07B4C"/>
    <w:rsid w:val="00E07BFE"/>
    <w:rsid w:val="00E07C64"/>
    <w:rsid w:val="00E07C7A"/>
    <w:rsid w:val="00E07D25"/>
    <w:rsid w:val="00E07DAD"/>
    <w:rsid w:val="00E07E12"/>
    <w:rsid w:val="00E07E1B"/>
    <w:rsid w:val="00E07E91"/>
    <w:rsid w:val="00E07EB5"/>
    <w:rsid w:val="00E07FC4"/>
    <w:rsid w:val="00E07FED"/>
    <w:rsid w:val="00E10096"/>
    <w:rsid w:val="00E10153"/>
    <w:rsid w:val="00E101A6"/>
    <w:rsid w:val="00E101C4"/>
    <w:rsid w:val="00E101FC"/>
    <w:rsid w:val="00E10243"/>
    <w:rsid w:val="00E102E9"/>
    <w:rsid w:val="00E10331"/>
    <w:rsid w:val="00E10481"/>
    <w:rsid w:val="00E1048F"/>
    <w:rsid w:val="00E10499"/>
    <w:rsid w:val="00E104C7"/>
    <w:rsid w:val="00E1058C"/>
    <w:rsid w:val="00E105E9"/>
    <w:rsid w:val="00E105EF"/>
    <w:rsid w:val="00E10637"/>
    <w:rsid w:val="00E10651"/>
    <w:rsid w:val="00E1070B"/>
    <w:rsid w:val="00E107F0"/>
    <w:rsid w:val="00E10852"/>
    <w:rsid w:val="00E1086A"/>
    <w:rsid w:val="00E109A1"/>
    <w:rsid w:val="00E10A22"/>
    <w:rsid w:val="00E10A53"/>
    <w:rsid w:val="00E10ADB"/>
    <w:rsid w:val="00E10AEF"/>
    <w:rsid w:val="00E10CC9"/>
    <w:rsid w:val="00E10CE5"/>
    <w:rsid w:val="00E10D4B"/>
    <w:rsid w:val="00E10E0F"/>
    <w:rsid w:val="00E10F39"/>
    <w:rsid w:val="00E10F54"/>
    <w:rsid w:val="00E10F55"/>
    <w:rsid w:val="00E10F9E"/>
    <w:rsid w:val="00E1102E"/>
    <w:rsid w:val="00E11052"/>
    <w:rsid w:val="00E1109D"/>
    <w:rsid w:val="00E110E7"/>
    <w:rsid w:val="00E1110C"/>
    <w:rsid w:val="00E11124"/>
    <w:rsid w:val="00E11154"/>
    <w:rsid w:val="00E111CE"/>
    <w:rsid w:val="00E111FE"/>
    <w:rsid w:val="00E112C2"/>
    <w:rsid w:val="00E113B1"/>
    <w:rsid w:val="00E11405"/>
    <w:rsid w:val="00E1147A"/>
    <w:rsid w:val="00E11481"/>
    <w:rsid w:val="00E114D7"/>
    <w:rsid w:val="00E11543"/>
    <w:rsid w:val="00E115FA"/>
    <w:rsid w:val="00E11676"/>
    <w:rsid w:val="00E118E1"/>
    <w:rsid w:val="00E118EE"/>
    <w:rsid w:val="00E11997"/>
    <w:rsid w:val="00E119C0"/>
    <w:rsid w:val="00E11B46"/>
    <w:rsid w:val="00E11BDB"/>
    <w:rsid w:val="00E11C72"/>
    <w:rsid w:val="00E11C97"/>
    <w:rsid w:val="00E11D0D"/>
    <w:rsid w:val="00E11D1D"/>
    <w:rsid w:val="00E11E6C"/>
    <w:rsid w:val="00E11E6E"/>
    <w:rsid w:val="00E11E70"/>
    <w:rsid w:val="00E11EAC"/>
    <w:rsid w:val="00E11F30"/>
    <w:rsid w:val="00E11F82"/>
    <w:rsid w:val="00E11F8E"/>
    <w:rsid w:val="00E11FD0"/>
    <w:rsid w:val="00E12093"/>
    <w:rsid w:val="00E12095"/>
    <w:rsid w:val="00E120D1"/>
    <w:rsid w:val="00E120D2"/>
    <w:rsid w:val="00E120D7"/>
    <w:rsid w:val="00E1211E"/>
    <w:rsid w:val="00E12138"/>
    <w:rsid w:val="00E1215C"/>
    <w:rsid w:val="00E121DE"/>
    <w:rsid w:val="00E12244"/>
    <w:rsid w:val="00E122FB"/>
    <w:rsid w:val="00E12396"/>
    <w:rsid w:val="00E1244A"/>
    <w:rsid w:val="00E12465"/>
    <w:rsid w:val="00E1266B"/>
    <w:rsid w:val="00E12695"/>
    <w:rsid w:val="00E126AE"/>
    <w:rsid w:val="00E126C7"/>
    <w:rsid w:val="00E126CF"/>
    <w:rsid w:val="00E1277B"/>
    <w:rsid w:val="00E1278B"/>
    <w:rsid w:val="00E12798"/>
    <w:rsid w:val="00E127B7"/>
    <w:rsid w:val="00E128AF"/>
    <w:rsid w:val="00E1295B"/>
    <w:rsid w:val="00E129A0"/>
    <w:rsid w:val="00E12AA3"/>
    <w:rsid w:val="00E12BF2"/>
    <w:rsid w:val="00E12C28"/>
    <w:rsid w:val="00E12CE6"/>
    <w:rsid w:val="00E12CE7"/>
    <w:rsid w:val="00E12D27"/>
    <w:rsid w:val="00E12D7C"/>
    <w:rsid w:val="00E12DA2"/>
    <w:rsid w:val="00E12DC5"/>
    <w:rsid w:val="00E12E0F"/>
    <w:rsid w:val="00E12E3D"/>
    <w:rsid w:val="00E12EBC"/>
    <w:rsid w:val="00E12EC7"/>
    <w:rsid w:val="00E12ECF"/>
    <w:rsid w:val="00E12F24"/>
    <w:rsid w:val="00E12F6B"/>
    <w:rsid w:val="00E12F9E"/>
    <w:rsid w:val="00E1301B"/>
    <w:rsid w:val="00E1308B"/>
    <w:rsid w:val="00E1318F"/>
    <w:rsid w:val="00E13194"/>
    <w:rsid w:val="00E13204"/>
    <w:rsid w:val="00E1321C"/>
    <w:rsid w:val="00E13246"/>
    <w:rsid w:val="00E13280"/>
    <w:rsid w:val="00E13315"/>
    <w:rsid w:val="00E13487"/>
    <w:rsid w:val="00E134AE"/>
    <w:rsid w:val="00E13528"/>
    <w:rsid w:val="00E1357A"/>
    <w:rsid w:val="00E136B1"/>
    <w:rsid w:val="00E136DB"/>
    <w:rsid w:val="00E136FB"/>
    <w:rsid w:val="00E13755"/>
    <w:rsid w:val="00E13799"/>
    <w:rsid w:val="00E13881"/>
    <w:rsid w:val="00E13938"/>
    <w:rsid w:val="00E139FF"/>
    <w:rsid w:val="00E13A2C"/>
    <w:rsid w:val="00E13A86"/>
    <w:rsid w:val="00E13B02"/>
    <w:rsid w:val="00E13B27"/>
    <w:rsid w:val="00E13BC0"/>
    <w:rsid w:val="00E13C37"/>
    <w:rsid w:val="00E13C53"/>
    <w:rsid w:val="00E13D50"/>
    <w:rsid w:val="00E13DDF"/>
    <w:rsid w:val="00E13E7B"/>
    <w:rsid w:val="00E13ED7"/>
    <w:rsid w:val="00E13F57"/>
    <w:rsid w:val="00E13FE4"/>
    <w:rsid w:val="00E14012"/>
    <w:rsid w:val="00E14053"/>
    <w:rsid w:val="00E14164"/>
    <w:rsid w:val="00E14206"/>
    <w:rsid w:val="00E14229"/>
    <w:rsid w:val="00E14306"/>
    <w:rsid w:val="00E14333"/>
    <w:rsid w:val="00E1434A"/>
    <w:rsid w:val="00E14429"/>
    <w:rsid w:val="00E1443F"/>
    <w:rsid w:val="00E14449"/>
    <w:rsid w:val="00E146A7"/>
    <w:rsid w:val="00E14712"/>
    <w:rsid w:val="00E1473A"/>
    <w:rsid w:val="00E1476F"/>
    <w:rsid w:val="00E1479F"/>
    <w:rsid w:val="00E147F4"/>
    <w:rsid w:val="00E1484C"/>
    <w:rsid w:val="00E14890"/>
    <w:rsid w:val="00E148AC"/>
    <w:rsid w:val="00E1493F"/>
    <w:rsid w:val="00E14989"/>
    <w:rsid w:val="00E14A14"/>
    <w:rsid w:val="00E14A40"/>
    <w:rsid w:val="00E14AC1"/>
    <w:rsid w:val="00E14AC6"/>
    <w:rsid w:val="00E14B5B"/>
    <w:rsid w:val="00E14BE3"/>
    <w:rsid w:val="00E14BF9"/>
    <w:rsid w:val="00E14BFA"/>
    <w:rsid w:val="00E14C4D"/>
    <w:rsid w:val="00E14CAB"/>
    <w:rsid w:val="00E14CAF"/>
    <w:rsid w:val="00E14CBF"/>
    <w:rsid w:val="00E14D02"/>
    <w:rsid w:val="00E14DC5"/>
    <w:rsid w:val="00E14E54"/>
    <w:rsid w:val="00E14E62"/>
    <w:rsid w:val="00E14E93"/>
    <w:rsid w:val="00E14ECC"/>
    <w:rsid w:val="00E14ECF"/>
    <w:rsid w:val="00E15017"/>
    <w:rsid w:val="00E150E1"/>
    <w:rsid w:val="00E15149"/>
    <w:rsid w:val="00E15235"/>
    <w:rsid w:val="00E1530F"/>
    <w:rsid w:val="00E15320"/>
    <w:rsid w:val="00E1533B"/>
    <w:rsid w:val="00E15386"/>
    <w:rsid w:val="00E153EC"/>
    <w:rsid w:val="00E15431"/>
    <w:rsid w:val="00E15435"/>
    <w:rsid w:val="00E15453"/>
    <w:rsid w:val="00E15459"/>
    <w:rsid w:val="00E1547B"/>
    <w:rsid w:val="00E154F6"/>
    <w:rsid w:val="00E1558D"/>
    <w:rsid w:val="00E1562C"/>
    <w:rsid w:val="00E15687"/>
    <w:rsid w:val="00E156DF"/>
    <w:rsid w:val="00E1579F"/>
    <w:rsid w:val="00E157B0"/>
    <w:rsid w:val="00E157B3"/>
    <w:rsid w:val="00E157EE"/>
    <w:rsid w:val="00E157F3"/>
    <w:rsid w:val="00E1589A"/>
    <w:rsid w:val="00E158A6"/>
    <w:rsid w:val="00E158BC"/>
    <w:rsid w:val="00E158F2"/>
    <w:rsid w:val="00E1594B"/>
    <w:rsid w:val="00E15959"/>
    <w:rsid w:val="00E1599C"/>
    <w:rsid w:val="00E15A14"/>
    <w:rsid w:val="00E15A28"/>
    <w:rsid w:val="00E15A7E"/>
    <w:rsid w:val="00E15B65"/>
    <w:rsid w:val="00E15B87"/>
    <w:rsid w:val="00E15BD2"/>
    <w:rsid w:val="00E15C23"/>
    <w:rsid w:val="00E15C3E"/>
    <w:rsid w:val="00E15C41"/>
    <w:rsid w:val="00E15C44"/>
    <w:rsid w:val="00E15CD1"/>
    <w:rsid w:val="00E15D55"/>
    <w:rsid w:val="00E15DC3"/>
    <w:rsid w:val="00E15DE9"/>
    <w:rsid w:val="00E15F28"/>
    <w:rsid w:val="00E15F46"/>
    <w:rsid w:val="00E15F86"/>
    <w:rsid w:val="00E15FB1"/>
    <w:rsid w:val="00E15FC2"/>
    <w:rsid w:val="00E1602F"/>
    <w:rsid w:val="00E16049"/>
    <w:rsid w:val="00E16060"/>
    <w:rsid w:val="00E16118"/>
    <w:rsid w:val="00E1612A"/>
    <w:rsid w:val="00E16189"/>
    <w:rsid w:val="00E161A0"/>
    <w:rsid w:val="00E1629C"/>
    <w:rsid w:val="00E162AA"/>
    <w:rsid w:val="00E162E7"/>
    <w:rsid w:val="00E162EC"/>
    <w:rsid w:val="00E163A2"/>
    <w:rsid w:val="00E163FB"/>
    <w:rsid w:val="00E16526"/>
    <w:rsid w:val="00E16563"/>
    <w:rsid w:val="00E165E5"/>
    <w:rsid w:val="00E1662A"/>
    <w:rsid w:val="00E1663E"/>
    <w:rsid w:val="00E166AF"/>
    <w:rsid w:val="00E16706"/>
    <w:rsid w:val="00E167FC"/>
    <w:rsid w:val="00E16842"/>
    <w:rsid w:val="00E1685F"/>
    <w:rsid w:val="00E16976"/>
    <w:rsid w:val="00E16987"/>
    <w:rsid w:val="00E16A15"/>
    <w:rsid w:val="00E16A5F"/>
    <w:rsid w:val="00E16BC9"/>
    <w:rsid w:val="00E16BF0"/>
    <w:rsid w:val="00E16C2F"/>
    <w:rsid w:val="00E16C92"/>
    <w:rsid w:val="00E16CD1"/>
    <w:rsid w:val="00E16D10"/>
    <w:rsid w:val="00E16D8C"/>
    <w:rsid w:val="00E16DBF"/>
    <w:rsid w:val="00E16F6E"/>
    <w:rsid w:val="00E16F82"/>
    <w:rsid w:val="00E16F88"/>
    <w:rsid w:val="00E1704A"/>
    <w:rsid w:val="00E17093"/>
    <w:rsid w:val="00E170A6"/>
    <w:rsid w:val="00E170F2"/>
    <w:rsid w:val="00E1712B"/>
    <w:rsid w:val="00E17134"/>
    <w:rsid w:val="00E171F5"/>
    <w:rsid w:val="00E172F1"/>
    <w:rsid w:val="00E172FD"/>
    <w:rsid w:val="00E173E5"/>
    <w:rsid w:val="00E17413"/>
    <w:rsid w:val="00E17425"/>
    <w:rsid w:val="00E17461"/>
    <w:rsid w:val="00E174BD"/>
    <w:rsid w:val="00E174D1"/>
    <w:rsid w:val="00E174E1"/>
    <w:rsid w:val="00E17519"/>
    <w:rsid w:val="00E17549"/>
    <w:rsid w:val="00E17590"/>
    <w:rsid w:val="00E175CB"/>
    <w:rsid w:val="00E17651"/>
    <w:rsid w:val="00E176B2"/>
    <w:rsid w:val="00E17774"/>
    <w:rsid w:val="00E178BB"/>
    <w:rsid w:val="00E179C8"/>
    <w:rsid w:val="00E17A67"/>
    <w:rsid w:val="00E17AF4"/>
    <w:rsid w:val="00E17B74"/>
    <w:rsid w:val="00E17B9E"/>
    <w:rsid w:val="00E17C3B"/>
    <w:rsid w:val="00E17CB0"/>
    <w:rsid w:val="00E17DE8"/>
    <w:rsid w:val="00E17E9C"/>
    <w:rsid w:val="00E17ED9"/>
    <w:rsid w:val="00E17F68"/>
    <w:rsid w:val="00E2006F"/>
    <w:rsid w:val="00E20090"/>
    <w:rsid w:val="00E2018F"/>
    <w:rsid w:val="00E201AD"/>
    <w:rsid w:val="00E201DE"/>
    <w:rsid w:val="00E201E8"/>
    <w:rsid w:val="00E20205"/>
    <w:rsid w:val="00E2020C"/>
    <w:rsid w:val="00E2026B"/>
    <w:rsid w:val="00E202BE"/>
    <w:rsid w:val="00E20313"/>
    <w:rsid w:val="00E20383"/>
    <w:rsid w:val="00E203B5"/>
    <w:rsid w:val="00E203BB"/>
    <w:rsid w:val="00E20400"/>
    <w:rsid w:val="00E2042B"/>
    <w:rsid w:val="00E20488"/>
    <w:rsid w:val="00E205FA"/>
    <w:rsid w:val="00E20690"/>
    <w:rsid w:val="00E206B0"/>
    <w:rsid w:val="00E207A5"/>
    <w:rsid w:val="00E207F6"/>
    <w:rsid w:val="00E2080B"/>
    <w:rsid w:val="00E209C3"/>
    <w:rsid w:val="00E20A85"/>
    <w:rsid w:val="00E20A9F"/>
    <w:rsid w:val="00E20B14"/>
    <w:rsid w:val="00E20B72"/>
    <w:rsid w:val="00E20B8D"/>
    <w:rsid w:val="00E20BD8"/>
    <w:rsid w:val="00E20BEF"/>
    <w:rsid w:val="00E20C3E"/>
    <w:rsid w:val="00E20C90"/>
    <w:rsid w:val="00E20D03"/>
    <w:rsid w:val="00E20E00"/>
    <w:rsid w:val="00E20E38"/>
    <w:rsid w:val="00E20F42"/>
    <w:rsid w:val="00E20FCE"/>
    <w:rsid w:val="00E20FE7"/>
    <w:rsid w:val="00E210B6"/>
    <w:rsid w:val="00E21110"/>
    <w:rsid w:val="00E2111B"/>
    <w:rsid w:val="00E211AB"/>
    <w:rsid w:val="00E21200"/>
    <w:rsid w:val="00E2121A"/>
    <w:rsid w:val="00E21396"/>
    <w:rsid w:val="00E214D2"/>
    <w:rsid w:val="00E214E0"/>
    <w:rsid w:val="00E214E6"/>
    <w:rsid w:val="00E21527"/>
    <w:rsid w:val="00E21551"/>
    <w:rsid w:val="00E21575"/>
    <w:rsid w:val="00E2160E"/>
    <w:rsid w:val="00E21695"/>
    <w:rsid w:val="00E216EA"/>
    <w:rsid w:val="00E21890"/>
    <w:rsid w:val="00E2189D"/>
    <w:rsid w:val="00E218A8"/>
    <w:rsid w:val="00E218E8"/>
    <w:rsid w:val="00E218EC"/>
    <w:rsid w:val="00E21991"/>
    <w:rsid w:val="00E219CF"/>
    <w:rsid w:val="00E21A6C"/>
    <w:rsid w:val="00E21B3D"/>
    <w:rsid w:val="00E21C53"/>
    <w:rsid w:val="00E21C7E"/>
    <w:rsid w:val="00E21CC0"/>
    <w:rsid w:val="00E21CCA"/>
    <w:rsid w:val="00E21E95"/>
    <w:rsid w:val="00E21F34"/>
    <w:rsid w:val="00E22058"/>
    <w:rsid w:val="00E22129"/>
    <w:rsid w:val="00E221A4"/>
    <w:rsid w:val="00E22225"/>
    <w:rsid w:val="00E222F8"/>
    <w:rsid w:val="00E222FF"/>
    <w:rsid w:val="00E2231D"/>
    <w:rsid w:val="00E22331"/>
    <w:rsid w:val="00E22357"/>
    <w:rsid w:val="00E223AC"/>
    <w:rsid w:val="00E223B8"/>
    <w:rsid w:val="00E223DE"/>
    <w:rsid w:val="00E223F6"/>
    <w:rsid w:val="00E2255F"/>
    <w:rsid w:val="00E22571"/>
    <w:rsid w:val="00E2258B"/>
    <w:rsid w:val="00E225BB"/>
    <w:rsid w:val="00E225C8"/>
    <w:rsid w:val="00E22666"/>
    <w:rsid w:val="00E22692"/>
    <w:rsid w:val="00E22759"/>
    <w:rsid w:val="00E227F0"/>
    <w:rsid w:val="00E22971"/>
    <w:rsid w:val="00E22983"/>
    <w:rsid w:val="00E229C8"/>
    <w:rsid w:val="00E22A30"/>
    <w:rsid w:val="00E22A63"/>
    <w:rsid w:val="00E22BDE"/>
    <w:rsid w:val="00E22C02"/>
    <w:rsid w:val="00E22C98"/>
    <w:rsid w:val="00E22CD2"/>
    <w:rsid w:val="00E22D97"/>
    <w:rsid w:val="00E22DBB"/>
    <w:rsid w:val="00E22E6D"/>
    <w:rsid w:val="00E22F03"/>
    <w:rsid w:val="00E22F26"/>
    <w:rsid w:val="00E22F2A"/>
    <w:rsid w:val="00E22FFC"/>
    <w:rsid w:val="00E23047"/>
    <w:rsid w:val="00E2304E"/>
    <w:rsid w:val="00E230E8"/>
    <w:rsid w:val="00E230FE"/>
    <w:rsid w:val="00E23116"/>
    <w:rsid w:val="00E2319B"/>
    <w:rsid w:val="00E2321C"/>
    <w:rsid w:val="00E23266"/>
    <w:rsid w:val="00E232D2"/>
    <w:rsid w:val="00E23390"/>
    <w:rsid w:val="00E2339A"/>
    <w:rsid w:val="00E233B6"/>
    <w:rsid w:val="00E234B8"/>
    <w:rsid w:val="00E2350B"/>
    <w:rsid w:val="00E23551"/>
    <w:rsid w:val="00E235A4"/>
    <w:rsid w:val="00E235C5"/>
    <w:rsid w:val="00E23700"/>
    <w:rsid w:val="00E23725"/>
    <w:rsid w:val="00E23734"/>
    <w:rsid w:val="00E23829"/>
    <w:rsid w:val="00E2383F"/>
    <w:rsid w:val="00E2388F"/>
    <w:rsid w:val="00E2395C"/>
    <w:rsid w:val="00E23962"/>
    <w:rsid w:val="00E23964"/>
    <w:rsid w:val="00E23B00"/>
    <w:rsid w:val="00E23BCA"/>
    <w:rsid w:val="00E23BF7"/>
    <w:rsid w:val="00E23C1B"/>
    <w:rsid w:val="00E23C8F"/>
    <w:rsid w:val="00E23CA5"/>
    <w:rsid w:val="00E23CF9"/>
    <w:rsid w:val="00E23D0E"/>
    <w:rsid w:val="00E23D0F"/>
    <w:rsid w:val="00E23DEA"/>
    <w:rsid w:val="00E23E09"/>
    <w:rsid w:val="00E2400C"/>
    <w:rsid w:val="00E24074"/>
    <w:rsid w:val="00E24110"/>
    <w:rsid w:val="00E24198"/>
    <w:rsid w:val="00E241DE"/>
    <w:rsid w:val="00E241F2"/>
    <w:rsid w:val="00E24270"/>
    <w:rsid w:val="00E24322"/>
    <w:rsid w:val="00E243F5"/>
    <w:rsid w:val="00E24436"/>
    <w:rsid w:val="00E24537"/>
    <w:rsid w:val="00E24590"/>
    <w:rsid w:val="00E245A2"/>
    <w:rsid w:val="00E24676"/>
    <w:rsid w:val="00E246CD"/>
    <w:rsid w:val="00E24743"/>
    <w:rsid w:val="00E2478D"/>
    <w:rsid w:val="00E24803"/>
    <w:rsid w:val="00E24811"/>
    <w:rsid w:val="00E2485D"/>
    <w:rsid w:val="00E24939"/>
    <w:rsid w:val="00E2493C"/>
    <w:rsid w:val="00E249F1"/>
    <w:rsid w:val="00E24A2E"/>
    <w:rsid w:val="00E24A77"/>
    <w:rsid w:val="00E24B29"/>
    <w:rsid w:val="00E24B89"/>
    <w:rsid w:val="00E24BAB"/>
    <w:rsid w:val="00E24BD6"/>
    <w:rsid w:val="00E24C89"/>
    <w:rsid w:val="00E24D42"/>
    <w:rsid w:val="00E24D62"/>
    <w:rsid w:val="00E24D6E"/>
    <w:rsid w:val="00E24D7B"/>
    <w:rsid w:val="00E24DC5"/>
    <w:rsid w:val="00E24DD5"/>
    <w:rsid w:val="00E24E49"/>
    <w:rsid w:val="00E24E52"/>
    <w:rsid w:val="00E24EA0"/>
    <w:rsid w:val="00E24F3F"/>
    <w:rsid w:val="00E2503B"/>
    <w:rsid w:val="00E250C2"/>
    <w:rsid w:val="00E2511E"/>
    <w:rsid w:val="00E251C6"/>
    <w:rsid w:val="00E251E8"/>
    <w:rsid w:val="00E25297"/>
    <w:rsid w:val="00E2531F"/>
    <w:rsid w:val="00E25345"/>
    <w:rsid w:val="00E25356"/>
    <w:rsid w:val="00E253A5"/>
    <w:rsid w:val="00E253DC"/>
    <w:rsid w:val="00E2540B"/>
    <w:rsid w:val="00E2548A"/>
    <w:rsid w:val="00E25492"/>
    <w:rsid w:val="00E25505"/>
    <w:rsid w:val="00E25644"/>
    <w:rsid w:val="00E25693"/>
    <w:rsid w:val="00E256AF"/>
    <w:rsid w:val="00E2578F"/>
    <w:rsid w:val="00E258B6"/>
    <w:rsid w:val="00E258C9"/>
    <w:rsid w:val="00E258EF"/>
    <w:rsid w:val="00E25924"/>
    <w:rsid w:val="00E259A5"/>
    <w:rsid w:val="00E259BC"/>
    <w:rsid w:val="00E25A00"/>
    <w:rsid w:val="00E25BE0"/>
    <w:rsid w:val="00E25C4F"/>
    <w:rsid w:val="00E25D26"/>
    <w:rsid w:val="00E25D4C"/>
    <w:rsid w:val="00E25E00"/>
    <w:rsid w:val="00E25E03"/>
    <w:rsid w:val="00E25EC7"/>
    <w:rsid w:val="00E25FAF"/>
    <w:rsid w:val="00E26007"/>
    <w:rsid w:val="00E26026"/>
    <w:rsid w:val="00E26162"/>
    <w:rsid w:val="00E26163"/>
    <w:rsid w:val="00E2618F"/>
    <w:rsid w:val="00E26242"/>
    <w:rsid w:val="00E262F8"/>
    <w:rsid w:val="00E2635D"/>
    <w:rsid w:val="00E26382"/>
    <w:rsid w:val="00E26430"/>
    <w:rsid w:val="00E264AC"/>
    <w:rsid w:val="00E26506"/>
    <w:rsid w:val="00E2658F"/>
    <w:rsid w:val="00E26672"/>
    <w:rsid w:val="00E26710"/>
    <w:rsid w:val="00E26722"/>
    <w:rsid w:val="00E2676F"/>
    <w:rsid w:val="00E267B8"/>
    <w:rsid w:val="00E267F1"/>
    <w:rsid w:val="00E26819"/>
    <w:rsid w:val="00E26834"/>
    <w:rsid w:val="00E26860"/>
    <w:rsid w:val="00E2689D"/>
    <w:rsid w:val="00E2698B"/>
    <w:rsid w:val="00E269F1"/>
    <w:rsid w:val="00E26B44"/>
    <w:rsid w:val="00E26C8D"/>
    <w:rsid w:val="00E26CD7"/>
    <w:rsid w:val="00E26CF8"/>
    <w:rsid w:val="00E26DA6"/>
    <w:rsid w:val="00E26DD0"/>
    <w:rsid w:val="00E26E02"/>
    <w:rsid w:val="00E26FBF"/>
    <w:rsid w:val="00E270A9"/>
    <w:rsid w:val="00E27141"/>
    <w:rsid w:val="00E2727F"/>
    <w:rsid w:val="00E27281"/>
    <w:rsid w:val="00E272C1"/>
    <w:rsid w:val="00E27387"/>
    <w:rsid w:val="00E27522"/>
    <w:rsid w:val="00E27566"/>
    <w:rsid w:val="00E27571"/>
    <w:rsid w:val="00E275EA"/>
    <w:rsid w:val="00E27698"/>
    <w:rsid w:val="00E27705"/>
    <w:rsid w:val="00E277CD"/>
    <w:rsid w:val="00E277FD"/>
    <w:rsid w:val="00E2784C"/>
    <w:rsid w:val="00E27A03"/>
    <w:rsid w:val="00E27A0A"/>
    <w:rsid w:val="00E27A24"/>
    <w:rsid w:val="00E27A81"/>
    <w:rsid w:val="00E27A8D"/>
    <w:rsid w:val="00E27B0D"/>
    <w:rsid w:val="00E27BC0"/>
    <w:rsid w:val="00E27C4B"/>
    <w:rsid w:val="00E27CDE"/>
    <w:rsid w:val="00E27CF5"/>
    <w:rsid w:val="00E27D0F"/>
    <w:rsid w:val="00E27D21"/>
    <w:rsid w:val="00E27D6F"/>
    <w:rsid w:val="00E27DC7"/>
    <w:rsid w:val="00E27DCB"/>
    <w:rsid w:val="00E27DE0"/>
    <w:rsid w:val="00E27EE2"/>
    <w:rsid w:val="00E27F3A"/>
    <w:rsid w:val="00E30050"/>
    <w:rsid w:val="00E30062"/>
    <w:rsid w:val="00E30103"/>
    <w:rsid w:val="00E301B1"/>
    <w:rsid w:val="00E301D1"/>
    <w:rsid w:val="00E30220"/>
    <w:rsid w:val="00E30228"/>
    <w:rsid w:val="00E30402"/>
    <w:rsid w:val="00E3049F"/>
    <w:rsid w:val="00E304EE"/>
    <w:rsid w:val="00E3053F"/>
    <w:rsid w:val="00E3058E"/>
    <w:rsid w:val="00E305B4"/>
    <w:rsid w:val="00E30620"/>
    <w:rsid w:val="00E306DA"/>
    <w:rsid w:val="00E306DC"/>
    <w:rsid w:val="00E30769"/>
    <w:rsid w:val="00E3079F"/>
    <w:rsid w:val="00E30802"/>
    <w:rsid w:val="00E308C5"/>
    <w:rsid w:val="00E30A19"/>
    <w:rsid w:val="00E30A69"/>
    <w:rsid w:val="00E30BCB"/>
    <w:rsid w:val="00E30BD0"/>
    <w:rsid w:val="00E30C3C"/>
    <w:rsid w:val="00E30C4A"/>
    <w:rsid w:val="00E30C4D"/>
    <w:rsid w:val="00E30D41"/>
    <w:rsid w:val="00E30D6F"/>
    <w:rsid w:val="00E30DDC"/>
    <w:rsid w:val="00E30E07"/>
    <w:rsid w:val="00E30E0C"/>
    <w:rsid w:val="00E30E77"/>
    <w:rsid w:val="00E30EA2"/>
    <w:rsid w:val="00E30EF6"/>
    <w:rsid w:val="00E30F1C"/>
    <w:rsid w:val="00E30FB6"/>
    <w:rsid w:val="00E31014"/>
    <w:rsid w:val="00E310F8"/>
    <w:rsid w:val="00E31150"/>
    <w:rsid w:val="00E31250"/>
    <w:rsid w:val="00E312B7"/>
    <w:rsid w:val="00E314BB"/>
    <w:rsid w:val="00E314BD"/>
    <w:rsid w:val="00E31520"/>
    <w:rsid w:val="00E315AF"/>
    <w:rsid w:val="00E3170B"/>
    <w:rsid w:val="00E31720"/>
    <w:rsid w:val="00E3174D"/>
    <w:rsid w:val="00E31782"/>
    <w:rsid w:val="00E317AD"/>
    <w:rsid w:val="00E317EE"/>
    <w:rsid w:val="00E31959"/>
    <w:rsid w:val="00E3196C"/>
    <w:rsid w:val="00E31983"/>
    <w:rsid w:val="00E319D7"/>
    <w:rsid w:val="00E31A00"/>
    <w:rsid w:val="00E31A02"/>
    <w:rsid w:val="00E31A11"/>
    <w:rsid w:val="00E31A83"/>
    <w:rsid w:val="00E31A87"/>
    <w:rsid w:val="00E31B19"/>
    <w:rsid w:val="00E31C8C"/>
    <w:rsid w:val="00E31DC9"/>
    <w:rsid w:val="00E31EA9"/>
    <w:rsid w:val="00E31F05"/>
    <w:rsid w:val="00E31F1B"/>
    <w:rsid w:val="00E31F6A"/>
    <w:rsid w:val="00E31F98"/>
    <w:rsid w:val="00E32065"/>
    <w:rsid w:val="00E3206C"/>
    <w:rsid w:val="00E32098"/>
    <w:rsid w:val="00E320E1"/>
    <w:rsid w:val="00E32147"/>
    <w:rsid w:val="00E321A8"/>
    <w:rsid w:val="00E321E7"/>
    <w:rsid w:val="00E32238"/>
    <w:rsid w:val="00E32266"/>
    <w:rsid w:val="00E3226A"/>
    <w:rsid w:val="00E32324"/>
    <w:rsid w:val="00E32325"/>
    <w:rsid w:val="00E3232F"/>
    <w:rsid w:val="00E3234D"/>
    <w:rsid w:val="00E32411"/>
    <w:rsid w:val="00E32428"/>
    <w:rsid w:val="00E3250F"/>
    <w:rsid w:val="00E325E5"/>
    <w:rsid w:val="00E32610"/>
    <w:rsid w:val="00E32627"/>
    <w:rsid w:val="00E326E7"/>
    <w:rsid w:val="00E326E8"/>
    <w:rsid w:val="00E327B3"/>
    <w:rsid w:val="00E32830"/>
    <w:rsid w:val="00E32876"/>
    <w:rsid w:val="00E328F0"/>
    <w:rsid w:val="00E32978"/>
    <w:rsid w:val="00E32A11"/>
    <w:rsid w:val="00E32A31"/>
    <w:rsid w:val="00E32A62"/>
    <w:rsid w:val="00E32AF5"/>
    <w:rsid w:val="00E32B35"/>
    <w:rsid w:val="00E32BAD"/>
    <w:rsid w:val="00E32C29"/>
    <w:rsid w:val="00E32C33"/>
    <w:rsid w:val="00E32C70"/>
    <w:rsid w:val="00E32C83"/>
    <w:rsid w:val="00E32D06"/>
    <w:rsid w:val="00E32D50"/>
    <w:rsid w:val="00E32DEC"/>
    <w:rsid w:val="00E32DF4"/>
    <w:rsid w:val="00E32DF6"/>
    <w:rsid w:val="00E32E63"/>
    <w:rsid w:val="00E32EDB"/>
    <w:rsid w:val="00E32F34"/>
    <w:rsid w:val="00E32F9A"/>
    <w:rsid w:val="00E33023"/>
    <w:rsid w:val="00E330BA"/>
    <w:rsid w:val="00E331A3"/>
    <w:rsid w:val="00E331D4"/>
    <w:rsid w:val="00E33263"/>
    <w:rsid w:val="00E33277"/>
    <w:rsid w:val="00E3328D"/>
    <w:rsid w:val="00E3329D"/>
    <w:rsid w:val="00E3329F"/>
    <w:rsid w:val="00E332F6"/>
    <w:rsid w:val="00E33388"/>
    <w:rsid w:val="00E3341B"/>
    <w:rsid w:val="00E33527"/>
    <w:rsid w:val="00E33566"/>
    <w:rsid w:val="00E335B7"/>
    <w:rsid w:val="00E33661"/>
    <w:rsid w:val="00E33669"/>
    <w:rsid w:val="00E33683"/>
    <w:rsid w:val="00E33751"/>
    <w:rsid w:val="00E338D6"/>
    <w:rsid w:val="00E338DF"/>
    <w:rsid w:val="00E338F3"/>
    <w:rsid w:val="00E339C1"/>
    <w:rsid w:val="00E33A4F"/>
    <w:rsid w:val="00E33A5C"/>
    <w:rsid w:val="00E33A6A"/>
    <w:rsid w:val="00E33A79"/>
    <w:rsid w:val="00E33B08"/>
    <w:rsid w:val="00E33B2E"/>
    <w:rsid w:val="00E33B35"/>
    <w:rsid w:val="00E33B51"/>
    <w:rsid w:val="00E33C63"/>
    <w:rsid w:val="00E33CB7"/>
    <w:rsid w:val="00E33CBF"/>
    <w:rsid w:val="00E33D02"/>
    <w:rsid w:val="00E33D57"/>
    <w:rsid w:val="00E33D9D"/>
    <w:rsid w:val="00E33DD6"/>
    <w:rsid w:val="00E33E4B"/>
    <w:rsid w:val="00E33EE9"/>
    <w:rsid w:val="00E33FC2"/>
    <w:rsid w:val="00E33FEC"/>
    <w:rsid w:val="00E33FF5"/>
    <w:rsid w:val="00E34033"/>
    <w:rsid w:val="00E3409C"/>
    <w:rsid w:val="00E340BA"/>
    <w:rsid w:val="00E34140"/>
    <w:rsid w:val="00E3418A"/>
    <w:rsid w:val="00E341B1"/>
    <w:rsid w:val="00E34256"/>
    <w:rsid w:val="00E34266"/>
    <w:rsid w:val="00E34297"/>
    <w:rsid w:val="00E342CD"/>
    <w:rsid w:val="00E342DB"/>
    <w:rsid w:val="00E34318"/>
    <w:rsid w:val="00E34335"/>
    <w:rsid w:val="00E34342"/>
    <w:rsid w:val="00E3434A"/>
    <w:rsid w:val="00E343DB"/>
    <w:rsid w:val="00E344F6"/>
    <w:rsid w:val="00E34522"/>
    <w:rsid w:val="00E34530"/>
    <w:rsid w:val="00E345AC"/>
    <w:rsid w:val="00E345BA"/>
    <w:rsid w:val="00E346BD"/>
    <w:rsid w:val="00E3473D"/>
    <w:rsid w:val="00E34886"/>
    <w:rsid w:val="00E348C1"/>
    <w:rsid w:val="00E348DB"/>
    <w:rsid w:val="00E34911"/>
    <w:rsid w:val="00E34994"/>
    <w:rsid w:val="00E349BF"/>
    <w:rsid w:val="00E349E1"/>
    <w:rsid w:val="00E34A92"/>
    <w:rsid w:val="00E34BFC"/>
    <w:rsid w:val="00E34C43"/>
    <w:rsid w:val="00E34CCB"/>
    <w:rsid w:val="00E34CE1"/>
    <w:rsid w:val="00E34D42"/>
    <w:rsid w:val="00E34D73"/>
    <w:rsid w:val="00E34D96"/>
    <w:rsid w:val="00E34DEF"/>
    <w:rsid w:val="00E34F09"/>
    <w:rsid w:val="00E34F5D"/>
    <w:rsid w:val="00E34FDF"/>
    <w:rsid w:val="00E34FE2"/>
    <w:rsid w:val="00E34FEB"/>
    <w:rsid w:val="00E35023"/>
    <w:rsid w:val="00E350B7"/>
    <w:rsid w:val="00E35106"/>
    <w:rsid w:val="00E35109"/>
    <w:rsid w:val="00E351CD"/>
    <w:rsid w:val="00E35213"/>
    <w:rsid w:val="00E35250"/>
    <w:rsid w:val="00E3526A"/>
    <w:rsid w:val="00E3527A"/>
    <w:rsid w:val="00E35314"/>
    <w:rsid w:val="00E355F8"/>
    <w:rsid w:val="00E35639"/>
    <w:rsid w:val="00E356B0"/>
    <w:rsid w:val="00E356F7"/>
    <w:rsid w:val="00E35726"/>
    <w:rsid w:val="00E357D4"/>
    <w:rsid w:val="00E357F0"/>
    <w:rsid w:val="00E35859"/>
    <w:rsid w:val="00E358AA"/>
    <w:rsid w:val="00E358BA"/>
    <w:rsid w:val="00E358E0"/>
    <w:rsid w:val="00E35941"/>
    <w:rsid w:val="00E35988"/>
    <w:rsid w:val="00E35B61"/>
    <w:rsid w:val="00E35B9B"/>
    <w:rsid w:val="00E35C04"/>
    <w:rsid w:val="00E35C1C"/>
    <w:rsid w:val="00E35C36"/>
    <w:rsid w:val="00E35C8F"/>
    <w:rsid w:val="00E35D02"/>
    <w:rsid w:val="00E35D37"/>
    <w:rsid w:val="00E35D94"/>
    <w:rsid w:val="00E35ED3"/>
    <w:rsid w:val="00E35EDC"/>
    <w:rsid w:val="00E35FB0"/>
    <w:rsid w:val="00E35FE8"/>
    <w:rsid w:val="00E3608E"/>
    <w:rsid w:val="00E3616B"/>
    <w:rsid w:val="00E361B3"/>
    <w:rsid w:val="00E361B9"/>
    <w:rsid w:val="00E361EC"/>
    <w:rsid w:val="00E36242"/>
    <w:rsid w:val="00E36277"/>
    <w:rsid w:val="00E362A5"/>
    <w:rsid w:val="00E362BE"/>
    <w:rsid w:val="00E362CD"/>
    <w:rsid w:val="00E3637E"/>
    <w:rsid w:val="00E363AB"/>
    <w:rsid w:val="00E363EF"/>
    <w:rsid w:val="00E36452"/>
    <w:rsid w:val="00E364E7"/>
    <w:rsid w:val="00E364E8"/>
    <w:rsid w:val="00E36568"/>
    <w:rsid w:val="00E3656B"/>
    <w:rsid w:val="00E365EF"/>
    <w:rsid w:val="00E3665E"/>
    <w:rsid w:val="00E366D3"/>
    <w:rsid w:val="00E36720"/>
    <w:rsid w:val="00E36780"/>
    <w:rsid w:val="00E36795"/>
    <w:rsid w:val="00E36917"/>
    <w:rsid w:val="00E369A1"/>
    <w:rsid w:val="00E369C8"/>
    <w:rsid w:val="00E369F5"/>
    <w:rsid w:val="00E369F8"/>
    <w:rsid w:val="00E36A6F"/>
    <w:rsid w:val="00E36A8C"/>
    <w:rsid w:val="00E36AD3"/>
    <w:rsid w:val="00E36B55"/>
    <w:rsid w:val="00E36BEC"/>
    <w:rsid w:val="00E36C6B"/>
    <w:rsid w:val="00E36C99"/>
    <w:rsid w:val="00E36D7B"/>
    <w:rsid w:val="00E36E79"/>
    <w:rsid w:val="00E36F38"/>
    <w:rsid w:val="00E36F66"/>
    <w:rsid w:val="00E37089"/>
    <w:rsid w:val="00E370D6"/>
    <w:rsid w:val="00E37100"/>
    <w:rsid w:val="00E3715D"/>
    <w:rsid w:val="00E37171"/>
    <w:rsid w:val="00E37355"/>
    <w:rsid w:val="00E373BD"/>
    <w:rsid w:val="00E373D1"/>
    <w:rsid w:val="00E37428"/>
    <w:rsid w:val="00E37468"/>
    <w:rsid w:val="00E374AD"/>
    <w:rsid w:val="00E3750B"/>
    <w:rsid w:val="00E375D1"/>
    <w:rsid w:val="00E37613"/>
    <w:rsid w:val="00E376AF"/>
    <w:rsid w:val="00E376D3"/>
    <w:rsid w:val="00E376DF"/>
    <w:rsid w:val="00E37794"/>
    <w:rsid w:val="00E3779A"/>
    <w:rsid w:val="00E377A1"/>
    <w:rsid w:val="00E3783B"/>
    <w:rsid w:val="00E3789C"/>
    <w:rsid w:val="00E378A2"/>
    <w:rsid w:val="00E378B8"/>
    <w:rsid w:val="00E3790F"/>
    <w:rsid w:val="00E379FA"/>
    <w:rsid w:val="00E37A18"/>
    <w:rsid w:val="00E37A95"/>
    <w:rsid w:val="00E37AD8"/>
    <w:rsid w:val="00E37ADB"/>
    <w:rsid w:val="00E37B53"/>
    <w:rsid w:val="00E37BF7"/>
    <w:rsid w:val="00E37C12"/>
    <w:rsid w:val="00E37C20"/>
    <w:rsid w:val="00E37C4F"/>
    <w:rsid w:val="00E37C64"/>
    <w:rsid w:val="00E37C66"/>
    <w:rsid w:val="00E37CA6"/>
    <w:rsid w:val="00E37CBE"/>
    <w:rsid w:val="00E37DD4"/>
    <w:rsid w:val="00E37E83"/>
    <w:rsid w:val="00E37E87"/>
    <w:rsid w:val="00E37F21"/>
    <w:rsid w:val="00E400FB"/>
    <w:rsid w:val="00E40197"/>
    <w:rsid w:val="00E4019D"/>
    <w:rsid w:val="00E402A0"/>
    <w:rsid w:val="00E4036D"/>
    <w:rsid w:val="00E403AF"/>
    <w:rsid w:val="00E403E5"/>
    <w:rsid w:val="00E40459"/>
    <w:rsid w:val="00E404C9"/>
    <w:rsid w:val="00E404F7"/>
    <w:rsid w:val="00E405C1"/>
    <w:rsid w:val="00E405D6"/>
    <w:rsid w:val="00E406AF"/>
    <w:rsid w:val="00E4070D"/>
    <w:rsid w:val="00E40715"/>
    <w:rsid w:val="00E40827"/>
    <w:rsid w:val="00E4083D"/>
    <w:rsid w:val="00E40881"/>
    <w:rsid w:val="00E408C9"/>
    <w:rsid w:val="00E40932"/>
    <w:rsid w:val="00E409B2"/>
    <w:rsid w:val="00E409B5"/>
    <w:rsid w:val="00E40A93"/>
    <w:rsid w:val="00E40AB8"/>
    <w:rsid w:val="00E40ADD"/>
    <w:rsid w:val="00E40AED"/>
    <w:rsid w:val="00E40AF2"/>
    <w:rsid w:val="00E40B45"/>
    <w:rsid w:val="00E40B4E"/>
    <w:rsid w:val="00E40BEF"/>
    <w:rsid w:val="00E40C49"/>
    <w:rsid w:val="00E40C5A"/>
    <w:rsid w:val="00E40C73"/>
    <w:rsid w:val="00E40CC3"/>
    <w:rsid w:val="00E40CD1"/>
    <w:rsid w:val="00E40D38"/>
    <w:rsid w:val="00E41095"/>
    <w:rsid w:val="00E410AD"/>
    <w:rsid w:val="00E411AD"/>
    <w:rsid w:val="00E411CE"/>
    <w:rsid w:val="00E411DE"/>
    <w:rsid w:val="00E41254"/>
    <w:rsid w:val="00E41337"/>
    <w:rsid w:val="00E41339"/>
    <w:rsid w:val="00E413C2"/>
    <w:rsid w:val="00E413DE"/>
    <w:rsid w:val="00E41455"/>
    <w:rsid w:val="00E414C2"/>
    <w:rsid w:val="00E414E7"/>
    <w:rsid w:val="00E4152B"/>
    <w:rsid w:val="00E41534"/>
    <w:rsid w:val="00E4158D"/>
    <w:rsid w:val="00E41683"/>
    <w:rsid w:val="00E41686"/>
    <w:rsid w:val="00E417C8"/>
    <w:rsid w:val="00E418D2"/>
    <w:rsid w:val="00E41980"/>
    <w:rsid w:val="00E41A11"/>
    <w:rsid w:val="00E41A28"/>
    <w:rsid w:val="00E41B19"/>
    <w:rsid w:val="00E41B9F"/>
    <w:rsid w:val="00E41BF6"/>
    <w:rsid w:val="00E41C16"/>
    <w:rsid w:val="00E41CA8"/>
    <w:rsid w:val="00E41D58"/>
    <w:rsid w:val="00E41E17"/>
    <w:rsid w:val="00E41E26"/>
    <w:rsid w:val="00E41EE1"/>
    <w:rsid w:val="00E41F68"/>
    <w:rsid w:val="00E41F79"/>
    <w:rsid w:val="00E4205A"/>
    <w:rsid w:val="00E420AB"/>
    <w:rsid w:val="00E420D2"/>
    <w:rsid w:val="00E420D9"/>
    <w:rsid w:val="00E42129"/>
    <w:rsid w:val="00E4213A"/>
    <w:rsid w:val="00E42273"/>
    <w:rsid w:val="00E42301"/>
    <w:rsid w:val="00E424D9"/>
    <w:rsid w:val="00E4250C"/>
    <w:rsid w:val="00E4252E"/>
    <w:rsid w:val="00E42531"/>
    <w:rsid w:val="00E4256A"/>
    <w:rsid w:val="00E425D7"/>
    <w:rsid w:val="00E4262E"/>
    <w:rsid w:val="00E4263B"/>
    <w:rsid w:val="00E426B8"/>
    <w:rsid w:val="00E42832"/>
    <w:rsid w:val="00E428BF"/>
    <w:rsid w:val="00E428EE"/>
    <w:rsid w:val="00E42917"/>
    <w:rsid w:val="00E42980"/>
    <w:rsid w:val="00E429D2"/>
    <w:rsid w:val="00E429F7"/>
    <w:rsid w:val="00E42A1F"/>
    <w:rsid w:val="00E42A2F"/>
    <w:rsid w:val="00E42A6C"/>
    <w:rsid w:val="00E42AFE"/>
    <w:rsid w:val="00E42B28"/>
    <w:rsid w:val="00E42B5B"/>
    <w:rsid w:val="00E42B74"/>
    <w:rsid w:val="00E42B7C"/>
    <w:rsid w:val="00E42B7D"/>
    <w:rsid w:val="00E42B85"/>
    <w:rsid w:val="00E42BCA"/>
    <w:rsid w:val="00E42C5B"/>
    <w:rsid w:val="00E42C83"/>
    <w:rsid w:val="00E42C99"/>
    <w:rsid w:val="00E42CD7"/>
    <w:rsid w:val="00E42D2D"/>
    <w:rsid w:val="00E42D59"/>
    <w:rsid w:val="00E42DF4"/>
    <w:rsid w:val="00E42F6E"/>
    <w:rsid w:val="00E42F72"/>
    <w:rsid w:val="00E42F9C"/>
    <w:rsid w:val="00E42FAF"/>
    <w:rsid w:val="00E430D6"/>
    <w:rsid w:val="00E430FE"/>
    <w:rsid w:val="00E43115"/>
    <w:rsid w:val="00E43134"/>
    <w:rsid w:val="00E4315E"/>
    <w:rsid w:val="00E43167"/>
    <w:rsid w:val="00E431CA"/>
    <w:rsid w:val="00E4323B"/>
    <w:rsid w:val="00E432E0"/>
    <w:rsid w:val="00E43371"/>
    <w:rsid w:val="00E4337A"/>
    <w:rsid w:val="00E4345D"/>
    <w:rsid w:val="00E43495"/>
    <w:rsid w:val="00E434E9"/>
    <w:rsid w:val="00E43524"/>
    <w:rsid w:val="00E435B3"/>
    <w:rsid w:val="00E435ED"/>
    <w:rsid w:val="00E43641"/>
    <w:rsid w:val="00E436E3"/>
    <w:rsid w:val="00E43705"/>
    <w:rsid w:val="00E437ED"/>
    <w:rsid w:val="00E437FA"/>
    <w:rsid w:val="00E4381E"/>
    <w:rsid w:val="00E4385B"/>
    <w:rsid w:val="00E439F4"/>
    <w:rsid w:val="00E43A4E"/>
    <w:rsid w:val="00E43ABC"/>
    <w:rsid w:val="00E43AC2"/>
    <w:rsid w:val="00E43AD2"/>
    <w:rsid w:val="00E43B4C"/>
    <w:rsid w:val="00E43B5B"/>
    <w:rsid w:val="00E43B8A"/>
    <w:rsid w:val="00E43CEB"/>
    <w:rsid w:val="00E43D0D"/>
    <w:rsid w:val="00E43D22"/>
    <w:rsid w:val="00E43D5A"/>
    <w:rsid w:val="00E43DD0"/>
    <w:rsid w:val="00E43F64"/>
    <w:rsid w:val="00E43FAF"/>
    <w:rsid w:val="00E44010"/>
    <w:rsid w:val="00E44018"/>
    <w:rsid w:val="00E44168"/>
    <w:rsid w:val="00E4418B"/>
    <w:rsid w:val="00E4421B"/>
    <w:rsid w:val="00E44226"/>
    <w:rsid w:val="00E44289"/>
    <w:rsid w:val="00E443B7"/>
    <w:rsid w:val="00E44455"/>
    <w:rsid w:val="00E4447F"/>
    <w:rsid w:val="00E44488"/>
    <w:rsid w:val="00E444AD"/>
    <w:rsid w:val="00E44544"/>
    <w:rsid w:val="00E44562"/>
    <w:rsid w:val="00E445E4"/>
    <w:rsid w:val="00E44666"/>
    <w:rsid w:val="00E44684"/>
    <w:rsid w:val="00E446DD"/>
    <w:rsid w:val="00E44709"/>
    <w:rsid w:val="00E44837"/>
    <w:rsid w:val="00E44839"/>
    <w:rsid w:val="00E4486B"/>
    <w:rsid w:val="00E44891"/>
    <w:rsid w:val="00E448A1"/>
    <w:rsid w:val="00E44923"/>
    <w:rsid w:val="00E44983"/>
    <w:rsid w:val="00E449D2"/>
    <w:rsid w:val="00E44A01"/>
    <w:rsid w:val="00E44A16"/>
    <w:rsid w:val="00E44A49"/>
    <w:rsid w:val="00E44A54"/>
    <w:rsid w:val="00E44A9B"/>
    <w:rsid w:val="00E44B6A"/>
    <w:rsid w:val="00E44B96"/>
    <w:rsid w:val="00E44BBA"/>
    <w:rsid w:val="00E44C0F"/>
    <w:rsid w:val="00E44C2A"/>
    <w:rsid w:val="00E44CEC"/>
    <w:rsid w:val="00E44D0B"/>
    <w:rsid w:val="00E44D94"/>
    <w:rsid w:val="00E44DC5"/>
    <w:rsid w:val="00E44F9C"/>
    <w:rsid w:val="00E44FA2"/>
    <w:rsid w:val="00E44FFA"/>
    <w:rsid w:val="00E4502A"/>
    <w:rsid w:val="00E4506F"/>
    <w:rsid w:val="00E4516A"/>
    <w:rsid w:val="00E4518C"/>
    <w:rsid w:val="00E451A1"/>
    <w:rsid w:val="00E451AB"/>
    <w:rsid w:val="00E451B0"/>
    <w:rsid w:val="00E45225"/>
    <w:rsid w:val="00E45236"/>
    <w:rsid w:val="00E45336"/>
    <w:rsid w:val="00E453CD"/>
    <w:rsid w:val="00E45454"/>
    <w:rsid w:val="00E4546F"/>
    <w:rsid w:val="00E45471"/>
    <w:rsid w:val="00E4556A"/>
    <w:rsid w:val="00E45594"/>
    <w:rsid w:val="00E455A6"/>
    <w:rsid w:val="00E455D1"/>
    <w:rsid w:val="00E456B2"/>
    <w:rsid w:val="00E456ED"/>
    <w:rsid w:val="00E4574D"/>
    <w:rsid w:val="00E457D6"/>
    <w:rsid w:val="00E457DB"/>
    <w:rsid w:val="00E45804"/>
    <w:rsid w:val="00E45806"/>
    <w:rsid w:val="00E45825"/>
    <w:rsid w:val="00E458A7"/>
    <w:rsid w:val="00E458D5"/>
    <w:rsid w:val="00E458ED"/>
    <w:rsid w:val="00E459E8"/>
    <w:rsid w:val="00E45A8B"/>
    <w:rsid w:val="00E45B53"/>
    <w:rsid w:val="00E45B73"/>
    <w:rsid w:val="00E45B81"/>
    <w:rsid w:val="00E45BE9"/>
    <w:rsid w:val="00E45C8B"/>
    <w:rsid w:val="00E45D4C"/>
    <w:rsid w:val="00E45D6C"/>
    <w:rsid w:val="00E45DD2"/>
    <w:rsid w:val="00E4600B"/>
    <w:rsid w:val="00E46070"/>
    <w:rsid w:val="00E460CA"/>
    <w:rsid w:val="00E460F6"/>
    <w:rsid w:val="00E46137"/>
    <w:rsid w:val="00E46153"/>
    <w:rsid w:val="00E46189"/>
    <w:rsid w:val="00E4622D"/>
    <w:rsid w:val="00E463BA"/>
    <w:rsid w:val="00E4642F"/>
    <w:rsid w:val="00E46464"/>
    <w:rsid w:val="00E464A5"/>
    <w:rsid w:val="00E466E1"/>
    <w:rsid w:val="00E46700"/>
    <w:rsid w:val="00E467FB"/>
    <w:rsid w:val="00E4681C"/>
    <w:rsid w:val="00E468DC"/>
    <w:rsid w:val="00E46908"/>
    <w:rsid w:val="00E4690A"/>
    <w:rsid w:val="00E4691E"/>
    <w:rsid w:val="00E469B6"/>
    <w:rsid w:val="00E469D3"/>
    <w:rsid w:val="00E46A1D"/>
    <w:rsid w:val="00E46A92"/>
    <w:rsid w:val="00E46ACF"/>
    <w:rsid w:val="00E46B4A"/>
    <w:rsid w:val="00E46BB4"/>
    <w:rsid w:val="00E46C74"/>
    <w:rsid w:val="00E46D03"/>
    <w:rsid w:val="00E46D08"/>
    <w:rsid w:val="00E46D5E"/>
    <w:rsid w:val="00E46D64"/>
    <w:rsid w:val="00E46F35"/>
    <w:rsid w:val="00E47010"/>
    <w:rsid w:val="00E47089"/>
    <w:rsid w:val="00E47091"/>
    <w:rsid w:val="00E470FF"/>
    <w:rsid w:val="00E4726C"/>
    <w:rsid w:val="00E47309"/>
    <w:rsid w:val="00E4738A"/>
    <w:rsid w:val="00E47405"/>
    <w:rsid w:val="00E47547"/>
    <w:rsid w:val="00E47565"/>
    <w:rsid w:val="00E47571"/>
    <w:rsid w:val="00E47585"/>
    <w:rsid w:val="00E4771F"/>
    <w:rsid w:val="00E47720"/>
    <w:rsid w:val="00E478AA"/>
    <w:rsid w:val="00E478BA"/>
    <w:rsid w:val="00E478DB"/>
    <w:rsid w:val="00E4795E"/>
    <w:rsid w:val="00E47988"/>
    <w:rsid w:val="00E479EC"/>
    <w:rsid w:val="00E47A0E"/>
    <w:rsid w:val="00E47A20"/>
    <w:rsid w:val="00E47A42"/>
    <w:rsid w:val="00E47A89"/>
    <w:rsid w:val="00E47AE2"/>
    <w:rsid w:val="00E47B7A"/>
    <w:rsid w:val="00E47C0B"/>
    <w:rsid w:val="00E47C35"/>
    <w:rsid w:val="00E47C58"/>
    <w:rsid w:val="00E47CC3"/>
    <w:rsid w:val="00E47D8D"/>
    <w:rsid w:val="00E47EA5"/>
    <w:rsid w:val="00E47F30"/>
    <w:rsid w:val="00E47F95"/>
    <w:rsid w:val="00E47FBD"/>
    <w:rsid w:val="00E500C4"/>
    <w:rsid w:val="00E501A7"/>
    <w:rsid w:val="00E501B9"/>
    <w:rsid w:val="00E502B7"/>
    <w:rsid w:val="00E50355"/>
    <w:rsid w:val="00E5043E"/>
    <w:rsid w:val="00E5046F"/>
    <w:rsid w:val="00E504AC"/>
    <w:rsid w:val="00E504E2"/>
    <w:rsid w:val="00E505D0"/>
    <w:rsid w:val="00E505FC"/>
    <w:rsid w:val="00E5064E"/>
    <w:rsid w:val="00E506D6"/>
    <w:rsid w:val="00E5075D"/>
    <w:rsid w:val="00E5079D"/>
    <w:rsid w:val="00E507B2"/>
    <w:rsid w:val="00E507CB"/>
    <w:rsid w:val="00E507D0"/>
    <w:rsid w:val="00E507EC"/>
    <w:rsid w:val="00E5082A"/>
    <w:rsid w:val="00E5085D"/>
    <w:rsid w:val="00E50872"/>
    <w:rsid w:val="00E5093C"/>
    <w:rsid w:val="00E50942"/>
    <w:rsid w:val="00E5094F"/>
    <w:rsid w:val="00E50965"/>
    <w:rsid w:val="00E50A5C"/>
    <w:rsid w:val="00E50A66"/>
    <w:rsid w:val="00E50A74"/>
    <w:rsid w:val="00E50A88"/>
    <w:rsid w:val="00E50AA4"/>
    <w:rsid w:val="00E50AB1"/>
    <w:rsid w:val="00E50B00"/>
    <w:rsid w:val="00E50BEF"/>
    <w:rsid w:val="00E50CC9"/>
    <w:rsid w:val="00E50CD4"/>
    <w:rsid w:val="00E50CEC"/>
    <w:rsid w:val="00E50E71"/>
    <w:rsid w:val="00E50EA0"/>
    <w:rsid w:val="00E50F9B"/>
    <w:rsid w:val="00E5113B"/>
    <w:rsid w:val="00E512F9"/>
    <w:rsid w:val="00E512FE"/>
    <w:rsid w:val="00E5133C"/>
    <w:rsid w:val="00E514EE"/>
    <w:rsid w:val="00E51521"/>
    <w:rsid w:val="00E516C9"/>
    <w:rsid w:val="00E516EF"/>
    <w:rsid w:val="00E5176D"/>
    <w:rsid w:val="00E5179D"/>
    <w:rsid w:val="00E51B50"/>
    <w:rsid w:val="00E51BB9"/>
    <w:rsid w:val="00E51C13"/>
    <w:rsid w:val="00E51C7B"/>
    <w:rsid w:val="00E51CBC"/>
    <w:rsid w:val="00E51D06"/>
    <w:rsid w:val="00E51DAD"/>
    <w:rsid w:val="00E51DC4"/>
    <w:rsid w:val="00E51DF5"/>
    <w:rsid w:val="00E51E53"/>
    <w:rsid w:val="00E51E87"/>
    <w:rsid w:val="00E51EB3"/>
    <w:rsid w:val="00E51ECC"/>
    <w:rsid w:val="00E51F0D"/>
    <w:rsid w:val="00E51F27"/>
    <w:rsid w:val="00E51F2F"/>
    <w:rsid w:val="00E51FAE"/>
    <w:rsid w:val="00E51FB4"/>
    <w:rsid w:val="00E51FCF"/>
    <w:rsid w:val="00E5204E"/>
    <w:rsid w:val="00E52075"/>
    <w:rsid w:val="00E52095"/>
    <w:rsid w:val="00E521A6"/>
    <w:rsid w:val="00E521AF"/>
    <w:rsid w:val="00E521FD"/>
    <w:rsid w:val="00E52277"/>
    <w:rsid w:val="00E52330"/>
    <w:rsid w:val="00E52333"/>
    <w:rsid w:val="00E5240D"/>
    <w:rsid w:val="00E524A3"/>
    <w:rsid w:val="00E52562"/>
    <w:rsid w:val="00E5262A"/>
    <w:rsid w:val="00E52664"/>
    <w:rsid w:val="00E526BF"/>
    <w:rsid w:val="00E52769"/>
    <w:rsid w:val="00E527EB"/>
    <w:rsid w:val="00E52829"/>
    <w:rsid w:val="00E528BB"/>
    <w:rsid w:val="00E528F8"/>
    <w:rsid w:val="00E52A31"/>
    <w:rsid w:val="00E52A35"/>
    <w:rsid w:val="00E52A9C"/>
    <w:rsid w:val="00E52AA8"/>
    <w:rsid w:val="00E52AAE"/>
    <w:rsid w:val="00E52ABE"/>
    <w:rsid w:val="00E52AE2"/>
    <w:rsid w:val="00E52B1E"/>
    <w:rsid w:val="00E52B77"/>
    <w:rsid w:val="00E52D41"/>
    <w:rsid w:val="00E52F1A"/>
    <w:rsid w:val="00E52F87"/>
    <w:rsid w:val="00E52FC6"/>
    <w:rsid w:val="00E53067"/>
    <w:rsid w:val="00E530D6"/>
    <w:rsid w:val="00E53247"/>
    <w:rsid w:val="00E5325A"/>
    <w:rsid w:val="00E53413"/>
    <w:rsid w:val="00E53438"/>
    <w:rsid w:val="00E53446"/>
    <w:rsid w:val="00E534BD"/>
    <w:rsid w:val="00E53597"/>
    <w:rsid w:val="00E535BA"/>
    <w:rsid w:val="00E535CE"/>
    <w:rsid w:val="00E53668"/>
    <w:rsid w:val="00E53681"/>
    <w:rsid w:val="00E536FF"/>
    <w:rsid w:val="00E5379C"/>
    <w:rsid w:val="00E538E7"/>
    <w:rsid w:val="00E53930"/>
    <w:rsid w:val="00E539BC"/>
    <w:rsid w:val="00E539C8"/>
    <w:rsid w:val="00E539F8"/>
    <w:rsid w:val="00E53A84"/>
    <w:rsid w:val="00E53B5A"/>
    <w:rsid w:val="00E53BE9"/>
    <w:rsid w:val="00E53C8E"/>
    <w:rsid w:val="00E53EBF"/>
    <w:rsid w:val="00E54075"/>
    <w:rsid w:val="00E540CB"/>
    <w:rsid w:val="00E54122"/>
    <w:rsid w:val="00E54198"/>
    <w:rsid w:val="00E541C5"/>
    <w:rsid w:val="00E5427D"/>
    <w:rsid w:val="00E542B2"/>
    <w:rsid w:val="00E542C8"/>
    <w:rsid w:val="00E542DA"/>
    <w:rsid w:val="00E542E9"/>
    <w:rsid w:val="00E542ED"/>
    <w:rsid w:val="00E542FB"/>
    <w:rsid w:val="00E5433D"/>
    <w:rsid w:val="00E543D7"/>
    <w:rsid w:val="00E5440F"/>
    <w:rsid w:val="00E54489"/>
    <w:rsid w:val="00E5451B"/>
    <w:rsid w:val="00E5457C"/>
    <w:rsid w:val="00E54666"/>
    <w:rsid w:val="00E5468F"/>
    <w:rsid w:val="00E546DB"/>
    <w:rsid w:val="00E54722"/>
    <w:rsid w:val="00E547C6"/>
    <w:rsid w:val="00E547FF"/>
    <w:rsid w:val="00E54863"/>
    <w:rsid w:val="00E5487C"/>
    <w:rsid w:val="00E5489B"/>
    <w:rsid w:val="00E548AB"/>
    <w:rsid w:val="00E54949"/>
    <w:rsid w:val="00E5497A"/>
    <w:rsid w:val="00E5498F"/>
    <w:rsid w:val="00E54A67"/>
    <w:rsid w:val="00E54B0A"/>
    <w:rsid w:val="00E54B95"/>
    <w:rsid w:val="00E54BBF"/>
    <w:rsid w:val="00E54C34"/>
    <w:rsid w:val="00E54E2B"/>
    <w:rsid w:val="00E54E33"/>
    <w:rsid w:val="00E54FE3"/>
    <w:rsid w:val="00E55039"/>
    <w:rsid w:val="00E550F8"/>
    <w:rsid w:val="00E5516C"/>
    <w:rsid w:val="00E55209"/>
    <w:rsid w:val="00E5534E"/>
    <w:rsid w:val="00E55389"/>
    <w:rsid w:val="00E553F7"/>
    <w:rsid w:val="00E553FE"/>
    <w:rsid w:val="00E554E3"/>
    <w:rsid w:val="00E55501"/>
    <w:rsid w:val="00E55568"/>
    <w:rsid w:val="00E55582"/>
    <w:rsid w:val="00E55689"/>
    <w:rsid w:val="00E55752"/>
    <w:rsid w:val="00E557BD"/>
    <w:rsid w:val="00E557EC"/>
    <w:rsid w:val="00E55870"/>
    <w:rsid w:val="00E558E7"/>
    <w:rsid w:val="00E55918"/>
    <w:rsid w:val="00E55947"/>
    <w:rsid w:val="00E55950"/>
    <w:rsid w:val="00E559C6"/>
    <w:rsid w:val="00E559CA"/>
    <w:rsid w:val="00E55A52"/>
    <w:rsid w:val="00E55AA2"/>
    <w:rsid w:val="00E55AE1"/>
    <w:rsid w:val="00E55AF2"/>
    <w:rsid w:val="00E55BD1"/>
    <w:rsid w:val="00E55CB1"/>
    <w:rsid w:val="00E55D46"/>
    <w:rsid w:val="00E55E39"/>
    <w:rsid w:val="00E56059"/>
    <w:rsid w:val="00E56162"/>
    <w:rsid w:val="00E561A8"/>
    <w:rsid w:val="00E56334"/>
    <w:rsid w:val="00E5636B"/>
    <w:rsid w:val="00E5638B"/>
    <w:rsid w:val="00E563F6"/>
    <w:rsid w:val="00E5641C"/>
    <w:rsid w:val="00E56458"/>
    <w:rsid w:val="00E56552"/>
    <w:rsid w:val="00E56554"/>
    <w:rsid w:val="00E5655E"/>
    <w:rsid w:val="00E56561"/>
    <w:rsid w:val="00E565A8"/>
    <w:rsid w:val="00E565B8"/>
    <w:rsid w:val="00E56623"/>
    <w:rsid w:val="00E5662E"/>
    <w:rsid w:val="00E56648"/>
    <w:rsid w:val="00E56772"/>
    <w:rsid w:val="00E567AC"/>
    <w:rsid w:val="00E56824"/>
    <w:rsid w:val="00E5685F"/>
    <w:rsid w:val="00E56932"/>
    <w:rsid w:val="00E5695B"/>
    <w:rsid w:val="00E5696E"/>
    <w:rsid w:val="00E569CD"/>
    <w:rsid w:val="00E56A14"/>
    <w:rsid w:val="00E56A18"/>
    <w:rsid w:val="00E56A2F"/>
    <w:rsid w:val="00E56B51"/>
    <w:rsid w:val="00E56B61"/>
    <w:rsid w:val="00E56D44"/>
    <w:rsid w:val="00E56DC2"/>
    <w:rsid w:val="00E56E71"/>
    <w:rsid w:val="00E56EDC"/>
    <w:rsid w:val="00E5712E"/>
    <w:rsid w:val="00E571B4"/>
    <w:rsid w:val="00E57204"/>
    <w:rsid w:val="00E5743D"/>
    <w:rsid w:val="00E57441"/>
    <w:rsid w:val="00E57574"/>
    <w:rsid w:val="00E57584"/>
    <w:rsid w:val="00E5761A"/>
    <w:rsid w:val="00E576BE"/>
    <w:rsid w:val="00E57796"/>
    <w:rsid w:val="00E577A4"/>
    <w:rsid w:val="00E577B3"/>
    <w:rsid w:val="00E577DD"/>
    <w:rsid w:val="00E57805"/>
    <w:rsid w:val="00E578C5"/>
    <w:rsid w:val="00E5796A"/>
    <w:rsid w:val="00E5799D"/>
    <w:rsid w:val="00E57A03"/>
    <w:rsid w:val="00E57A14"/>
    <w:rsid w:val="00E57A46"/>
    <w:rsid w:val="00E57A86"/>
    <w:rsid w:val="00E57B5F"/>
    <w:rsid w:val="00E57BBC"/>
    <w:rsid w:val="00E57BC2"/>
    <w:rsid w:val="00E57C51"/>
    <w:rsid w:val="00E57C68"/>
    <w:rsid w:val="00E57C7B"/>
    <w:rsid w:val="00E57C95"/>
    <w:rsid w:val="00E57D0A"/>
    <w:rsid w:val="00E57DB9"/>
    <w:rsid w:val="00E57E0C"/>
    <w:rsid w:val="00E57F5D"/>
    <w:rsid w:val="00E57F7A"/>
    <w:rsid w:val="00E5E3F0"/>
    <w:rsid w:val="00E60034"/>
    <w:rsid w:val="00E6004F"/>
    <w:rsid w:val="00E6006E"/>
    <w:rsid w:val="00E6009D"/>
    <w:rsid w:val="00E600B3"/>
    <w:rsid w:val="00E6014D"/>
    <w:rsid w:val="00E60272"/>
    <w:rsid w:val="00E60275"/>
    <w:rsid w:val="00E6029C"/>
    <w:rsid w:val="00E60336"/>
    <w:rsid w:val="00E60356"/>
    <w:rsid w:val="00E603DF"/>
    <w:rsid w:val="00E604DD"/>
    <w:rsid w:val="00E60562"/>
    <w:rsid w:val="00E60574"/>
    <w:rsid w:val="00E6069A"/>
    <w:rsid w:val="00E6069B"/>
    <w:rsid w:val="00E606F6"/>
    <w:rsid w:val="00E6071B"/>
    <w:rsid w:val="00E60789"/>
    <w:rsid w:val="00E6079F"/>
    <w:rsid w:val="00E607BC"/>
    <w:rsid w:val="00E607DF"/>
    <w:rsid w:val="00E60841"/>
    <w:rsid w:val="00E608A0"/>
    <w:rsid w:val="00E608BA"/>
    <w:rsid w:val="00E608D5"/>
    <w:rsid w:val="00E60911"/>
    <w:rsid w:val="00E60A74"/>
    <w:rsid w:val="00E60A75"/>
    <w:rsid w:val="00E60A9A"/>
    <w:rsid w:val="00E60AD7"/>
    <w:rsid w:val="00E60ADB"/>
    <w:rsid w:val="00E60B1C"/>
    <w:rsid w:val="00E60BA1"/>
    <w:rsid w:val="00E60C66"/>
    <w:rsid w:val="00E60C7B"/>
    <w:rsid w:val="00E60CFE"/>
    <w:rsid w:val="00E60D51"/>
    <w:rsid w:val="00E61025"/>
    <w:rsid w:val="00E61065"/>
    <w:rsid w:val="00E610DF"/>
    <w:rsid w:val="00E610F7"/>
    <w:rsid w:val="00E61114"/>
    <w:rsid w:val="00E61129"/>
    <w:rsid w:val="00E612B5"/>
    <w:rsid w:val="00E612B9"/>
    <w:rsid w:val="00E61302"/>
    <w:rsid w:val="00E61344"/>
    <w:rsid w:val="00E61471"/>
    <w:rsid w:val="00E6148D"/>
    <w:rsid w:val="00E614EC"/>
    <w:rsid w:val="00E61566"/>
    <w:rsid w:val="00E61608"/>
    <w:rsid w:val="00E616BA"/>
    <w:rsid w:val="00E6195B"/>
    <w:rsid w:val="00E61963"/>
    <w:rsid w:val="00E619B0"/>
    <w:rsid w:val="00E619B9"/>
    <w:rsid w:val="00E61AC8"/>
    <w:rsid w:val="00E61B9C"/>
    <w:rsid w:val="00E61BEF"/>
    <w:rsid w:val="00E61CE5"/>
    <w:rsid w:val="00E61D21"/>
    <w:rsid w:val="00E61D68"/>
    <w:rsid w:val="00E61D79"/>
    <w:rsid w:val="00E61DC9"/>
    <w:rsid w:val="00E61DF4"/>
    <w:rsid w:val="00E61E3F"/>
    <w:rsid w:val="00E61F42"/>
    <w:rsid w:val="00E61FD6"/>
    <w:rsid w:val="00E6203E"/>
    <w:rsid w:val="00E620A0"/>
    <w:rsid w:val="00E6212A"/>
    <w:rsid w:val="00E6215C"/>
    <w:rsid w:val="00E621B7"/>
    <w:rsid w:val="00E621F1"/>
    <w:rsid w:val="00E622D6"/>
    <w:rsid w:val="00E62371"/>
    <w:rsid w:val="00E62376"/>
    <w:rsid w:val="00E62408"/>
    <w:rsid w:val="00E624A5"/>
    <w:rsid w:val="00E62526"/>
    <w:rsid w:val="00E6252E"/>
    <w:rsid w:val="00E62576"/>
    <w:rsid w:val="00E6258B"/>
    <w:rsid w:val="00E625C9"/>
    <w:rsid w:val="00E62672"/>
    <w:rsid w:val="00E62770"/>
    <w:rsid w:val="00E62772"/>
    <w:rsid w:val="00E627AE"/>
    <w:rsid w:val="00E627EF"/>
    <w:rsid w:val="00E628B6"/>
    <w:rsid w:val="00E628F0"/>
    <w:rsid w:val="00E629B6"/>
    <w:rsid w:val="00E629F0"/>
    <w:rsid w:val="00E62A0C"/>
    <w:rsid w:val="00E62AC8"/>
    <w:rsid w:val="00E62AF5"/>
    <w:rsid w:val="00E62C00"/>
    <w:rsid w:val="00E62C7D"/>
    <w:rsid w:val="00E62C93"/>
    <w:rsid w:val="00E62CA1"/>
    <w:rsid w:val="00E62D37"/>
    <w:rsid w:val="00E62D52"/>
    <w:rsid w:val="00E62DBA"/>
    <w:rsid w:val="00E62DC9"/>
    <w:rsid w:val="00E62DE2"/>
    <w:rsid w:val="00E62DFC"/>
    <w:rsid w:val="00E62F40"/>
    <w:rsid w:val="00E62F7F"/>
    <w:rsid w:val="00E62FCC"/>
    <w:rsid w:val="00E63014"/>
    <w:rsid w:val="00E63079"/>
    <w:rsid w:val="00E630BD"/>
    <w:rsid w:val="00E6310D"/>
    <w:rsid w:val="00E63161"/>
    <w:rsid w:val="00E6316E"/>
    <w:rsid w:val="00E63197"/>
    <w:rsid w:val="00E631AE"/>
    <w:rsid w:val="00E632B7"/>
    <w:rsid w:val="00E6332E"/>
    <w:rsid w:val="00E633AA"/>
    <w:rsid w:val="00E633EB"/>
    <w:rsid w:val="00E6343D"/>
    <w:rsid w:val="00E63465"/>
    <w:rsid w:val="00E634DA"/>
    <w:rsid w:val="00E63581"/>
    <w:rsid w:val="00E63620"/>
    <w:rsid w:val="00E6363E"/>
    <w:rsid w:val="00E63717"/>
    <w:rsid w:val="00E63938"/>
    <w:rsid w:val="00E6398E"/>
    <w:rsid w:val="00E639B5"/>
    <w:rsid w:val="00E639BD"/>
    <w:rsid w:val="00E639CB"/>
    <w:rsid w:val="00E639D8"/>
    <w:rsid w:val="00E63A0F"/>
    <w:rsid w:val="00E63A49"/>
    <w:rsid w:val="00E63A53"/>
    <w:rsid w:val="00E63A80"/>
    <w:rsid w:val="00E63AE6"/>
    <w:rsid w:val="00E63C50"/>
    <w:rsid w:val="00E63C61"/>
    <w:rsid w:val="00E63C9B"/>
    <w:rsid w:val="00E63D01"/>
    <w:rsid w:val="00E63D2E"/>
    <w:rsid w:val="00E63DD6"/>
    <w:rsid w:val="00E63DDF"/>
    <w:rsid w:val="00E63EDE"/>
    <w:rsid w:val="00E63EF6"/>
    <w:rsid w:val="00E64010"/>
    <w:rsid w:val="00E64018"/>
    <w:rsid w:val="00E6402A"/>
    <w:rsid w:val="00E64067"/>
    <w:rsid w:val="00E640CE"/>
    <w:rsid w:val="00E6414D"/>
    <w:rsid w:val="00E641E0"/>
    <w:rsid w:val="00E64228"/>
    <w:rsid w:val="00E64294"/>
    <w:rsid w:val="00E6429E"/>
    <w:rsid w:val="00E642DE"/>
    <w:rsid w:val="00E642F7"/>
    <w:rsid w:val="00E64349"/>
    <w:rsid w:val="00E643F4"/>
    <w:rsid w:val="00E6447D"/>
    <w:rsid w:val="00E64492"/>
    <w:rsid w:val="00E6455B"/>
    <w:rsid w:val="00E645BD"/>
    <w:rsid w:val="00E64611"/>
    <w:rsid w:val="00E64784"/>
    <w:rsid w:val="00E647E1"/>
    <w:rsid w:val="00E64814"/>
    <w:rsid w:val="00E6484C"/>
    <w:rsid w:val="00E64863"/>
    <w:rsid w:val="00E6487F"/>
    <w:rsid w:val="00E6488E"/>
    <w:rsid w:val="00E64A2E"/>
    <w:rsid w:val="00E64A6F"/>
    <w:rsid w:val="00E64AEC"/>
    <w:rsid w:val="00E64C22"/>
    <w:rsid w:val="00E64C79"/>
    <w:rsid w:val="00E64DD0"/>
    <w:rsid w:val="00E64DD5"/>
    <w:rsid w:val="00E64ED3"/>
    <w:rsid w:val="00E64EE7"/>
    <w:rsid w:val="00E64FA6"/>
    <w:rsid w:val="00E64FAC"/>
    <w:rsid w:val="00E65040"/>
    <w:rsid w:val="00E650E6"/>
    <w:rsid w:val="00E65206"/>
    <w:rsid w:val="00E6521F"/>
    <w:rsid w:val="00E6522A"/>
    <w:rsid w:val="00E65231"/>
    <w:rsid w:val="00E65259"/>
    <w:rsid w:val="00E652C6"/>
    <w:rsid w:val="00E6536D"/>
    <w:rsid w:val="00E65388"/>
    <w:rsid w:val="00E653D6"/>
    <w:rsid w:val="00E65437"/>
    <w:rsid w:val="00E6546C"/>
    <w:rsid w:val="00E6548E"/>
    <w:rsid w:val="00E65514"/>
    <w:rsid w:val="00E6559C"/>
    <w:rsid w:val="00E65645"/>
    <w:rsid w:val="00E6577D"/>
    <w:rsid w:val="00E658FF"/>
    <w:rsid w:val="00E6591C"/>
    <w:rsid w:val="00E65959"/>
    <w:rsid w:val="00E659CD"/>
    <w:rsid w:val="00E65AF3"/>
    <w:rsid w:val="00E65B0E"/>
    <w:rsid w:val="00E65B9A"/>
    <w:rsid w:val="00E65BE4"/>
    <w:rsid w:val="00E65C22"/>
    <w:rsid w:val="00E65D5C"/>
    <w:rsid w:val="00E65E43"/>
    <w:rsid w:val="00E65E66"/>
    <w:rsid w:val="00E65EAA"/>
    <w:rsid w:val="00E65F23"/>
    <w:rsid w:val="00E65F43"/>
    <w:rsid w:val="00E65F75"/>
    <w:rsid w:val="00E66010"/>
    <w:rsid w:val="00E6634D"/>
    <w:rsid w:val="00E6636E"/>
    <w:rsid w:val="00E663ED"/>
    <w:rsid w:val="00E664CB"/>
    <w:rsid w:val="00E66550"/>
    <w:rsid w:val="00E66575"/>
    <w:rsid w:val="00E6657E"/>
    <w:rsid w:val="00E665A4"/>
    <w:rsid w:val="00E6661E"/>
    <w:rsid w:val="00E6663B"/>
    <w:rsid w:val="00E666C6"/>
    <w:rsid w:val="00E66732"/>
    <w:rsid w:val="00E66786"/>
    <w:rsid w:val="00E667A7"/>
    <w:rsid w:val="00E667F6"/>
    <w:rsid w:val="00E668DF"/>
    <w:rsid w:val="00E66907"/>
    <w:rsid w:val="00E66917"/>
    <w:rsid w:val="00E66932"/>
    <w:rsid w:val="00E669B2"/>
    <w:rsid w:val="00E669D4"/>
    <w:rsid w:val="00E66A2C"/>
    <w:rsid w:val="00E66A7B"/>
    <w:rsid w:val="00E66ADB"/>
    <w:rsid w:val="00E66ADC"/>
    <w:rsid w:val="00E66AE0"/>
    <w:rsid w:val="00E66B46"/>
    <w:rsid w:val="00E66B81"/>
    <w:rsid w:val="00E66B91"/>
    <w:rsid w:val="00E66B9B"/>
    <w:rsid w:val="00E66BB1"/>
    <w:rsid w:val="00E66C35"/>
    <w:rsid w:val="00E66C57"/>
    <w:rsid w:val="00E66D0C"/>
    <w:rsid w:val="00E66D13"/>
    <w:rsid w:val="00E66DB2"/>
    <w:rsid w:val="00E66ED0"/>
    <w:rsid w:val="00E66F1C"/>
    <w:rsid w:val="00E66F7A"/>
    <w:rsid w:val="00E66FA0"/>
    <w:rsid w:val="00E66FA5"/>
    <w:rsid w:val="00E66FC9"/>
    <w:rsid w:val="00E66FFD"/>
    <w:rsid w:val="00E67012"/>
    <w:rsid w:val="00E67056"/>
    <w:rsid w:val="00E670B0"/>
    <w:rsid w:val="00E67281"/>
    <w:rsid w:val="00E67295"/>
    <w:rsid w:val="00E672E6"/>
    <w:rsid w:val="00E672ED"/>
    <w:rsid w:val="00E6735B"/>
    <w:rsid w:val="00E67492"/>
    <w:rsid w:val="00E6752C"/>
    <w:rsid w:val="00E67573"/>
    <w:rsid w:val="00E675C3"/>
    <w:rsid w:val="00E67639"/>
    <w:rsid w:val="00E677C3"/>
    <w:rsid w:val="00E6782D"/>
    <w:rsid w:val="00E6788F"/>
    <w:rsid w:val="00E678E2"/>
    <w:rsid w:val="00E67928"/>
    <w:rsid w:val="00E679C0"/>
    <w:rsid w:val="00E679FF"/>
    <w:rsid w:val="00E67A90"/>
    <w:rsid w:val="00E67A98"/>
    <w:rsid w:val="00E67ABB"/>
    <w:rsid w:val="00E67B18"/>
    <w:rsid w:val="00E67B66"/>
    <w:rsid w:val="00E67BFA"/>
    <w:rsid w:val="00E67C27"/>
    <w:rsid w:val="00E67C3A"/>
    <w:rsid w:val="00E67C3F"/>
    <w:rsid w:val="00E67C43"/>
    <w:rsid w:val="00E67C4C"/>
    <w:rsid w:val="00E67D1C"/>
    <w:rsid w:val="00E67D4A"/>
    <w:rsid w:val="00E67E1B"/>
    <w:rsid w:val="00E67E4F"/>
    <w:rsid w:val="00E67FCC"/>
    <w:rsid w:val="00E700A6"/>
    <w:rsid w:val="00E700C9"/>
    <w:rsid w:val="00E700E3"/>
    <w:rsid w:val="00E700E7"/>
    <w:rsid w:val="00E70104"/>
    <w:rsid w:val="00E7014F"/>
    <w:rsid w:val="00E701CB"/>
    <w:rsid w:val="00E7027C"/>
    <w:rsid w:val="00E702D3"/>
    <w:rsid w:val="00E70491"/>
    <w:rsid w:val="00E7050B"/>
    <w:rsid w:val="00E705A3"/>
    <w:rsid w:val="00E7061B"/>
    <w:rsid w:val="00E70633"/>
    <w:rsid w:val="00E70640"/>
    <w:rsid w:val="00E7069B"/>
    <w:rsid w:val="00E70897"/>
    <w:rsid w:val="00E708D5"/>
    <w:rsid w:val="00E708FB"/>
    <w:rsid w:val="00E709C2"/>
    <w:rsid w:val="00E70B30"/>
    <w:rsid w:val="00E70BA1"/>
    <w:rsid w:val="00E70C74"/>
    <w:rsid w:val="00E70D00"/>
    <w:rsid w:val="00E70D3F"/>
    <w:rsid w:val="00E70DBB"/>
    <w:rsid w:val="00E70E67"/>
    <w:rsid w:val="00E70E80"/>
    <w:rsid w:val="00E70F50"/>
    <w:rsid w:val="00E70FB8"/>
    <w:rsid w:val="00E71077"/>
    <w:rsid w:val="00E710D5"/>
    <w:rsid w:val="00E7112B"/>
    <w:rsid w:val="00E71148"/>
    <w:rsid w:val="00E7118C"/>
    <w:rsid w:val="00E71378"/>
    <w:rsid w:val="00E7140C"/>
    <w:rsid w:val="00E714F0"/>
    <w:rsid w:val="00E71526"/>
    <w:rsid w:val="00E71593"/>
    <w:rsid w:val="00E715E8"/>
    <w:rsid w:val="00E715F6"/>
    <w:rsid w:val="00E71626"/>
    <w:rsid w:val="00E71777"/>
    <w:rsid w:val="00E71799"/>
    <w:rsid w:val="00E7186B"/>
    <w:rsid w:val="00E719AC"/>
    <w:rsid w:val="00E719E3"/>
    <w:rsid w:val="00E71A66"/>
    <w:rsid w:val="00E71A74"/>
    <w:rsid w:val="00E71AE6"/>
    <w:rsid w:val="00E71B1E"/>
    <w:rsid w:val="00E71B45"/>
    <w:rsid w:val="00E71B46"/>
    <w:rsid w:val="00E71BDF"/>
    <w:rsid w:val="00E71C52"/>
    <w:rsid w:val="00E71C62"/>
    <w:rsid w:val="00E71D26"/>
    <w:rsid w:val="00E71D69"/>
    <w:rsid w:val="00E71D73"/>
    <w:rsid w:val="00E71DAF"/>
    <w:rsid w:val="00E71DB4"/>
    <w:rsid w:val="00E71E08"/>
    <w:rsid w:val="00E71E58"/>
    <w:rsid w:val="00E71E63"/>
    <w:rsid w:val="00E71E8A"/>
    <w:rsid w:val="00E71EE6"/>
    <w:rsid w:val="00E71FEF"/>
    <w:rsid w:val="00E7200C"/>
    <w:rsid w:val="00E72062"/>
    <w:rsid w:val="00E720A2"/>
    <w:rsid w:val="00E720A9"/>
    <w:rsid w:val="00E72135"/>
    <w:rsid w:val="00E721A4"/>
    <w:rsid w:val="00E7220B"/>
    <w:rsid w:val="00E7222F"/>
    <w:rsid w:val="00E72236"/>
    <w:rsid w:val="00E72246"/>
    <w:rsid w:val="00E722C0"/>
    <w:rsid w:val="00E72323"/>
    <w:rsid w:val="00E72416"/>
    <w:rsid w:val="00E72476"/>
    <w:rsid w:val="00E72479"/>
    <w:rsid w:val="00E725D7"/>
    <w:rsid w:val="00E72662"/>
    <w:rsid w:val="00E7267B"/>
    <w:rsid w:val="00E72711"/>
    <w:rsid w:val="00E7274A"/>
    <w:rsid w:val="00E727B2"/>
    <w:rsid w:val="00E72834"/>
    <w:rsid w:val="00E7285A"/>
    <w:rsid w:val="00E728A1"/>
    <w:rsid w:val="00E72A35"/>
    <w:rsid w:val="00E72A6A"/>
    <w:rsid w:val="00E72B14"/>
    <w:rsid w:val="00E72B1B"/>
    <w:rsid w:val="00E72B32"/>
    <w:rsid w:val="00E72BB5"/>
    <w:rsid w:val="00E72BF8"/>
    <w:rsid w:val="00E72CAE"/>
    <w:rsid w:val="00E72CD4"/>
    <w:rsid w:val="00E72DAA"/>
    <w:rsid w:val="00E72E13"/>
    <w:rsid w:val="00E72E1D"/>
    <w:rsid w:val="00E72E51"/>
    <w:rsid w:val="00E72E6F"/>
    <w:rsid w:val="00E72EAE"/>
    <w:rsid w:val="00E72EC8"/>
    <w:rsid w:val="00E72F2C"/>
    <w:rsid w:val="00E72F87"/>
    <w:rsid w:val="00E7314D"/>
    <w:rsid w:val="00E7317B"/>
    <w:rsid w:val="00E731A6"/>
    <w:rsid w:val="00E7323A"/>
    <w:rsid w:val="00E73337"/>
    <w:rsid w:val="00E733A0"/>
    <w:rsid w:val="00E733A3"/>
    <w:rsid w:val="00E733AD"/>
    <w:rsid w:val="00E733B5"/>
    <w:rsid w:val="00E73426"/>
    <w:rsid w:val="00E73486"/>
    <w:rsid w:val="00E73540"/>
    <w:rsid w:val="00E73599"/>
    <w:rsid w:val="00E735DA"/>
    <w:rsid w:val="00E735E1"/>
    <w:rsid w:val="00E7365B"/>
    <w:rsid w:val="00E736C6"/>
    <w:rsid w:val="00E73711"/>
    <w:rsid w:val="00E73728"/>
    <w:rsid w:val="00E73776"/>
    <w:rsid w:val="00E737D6"/>
    <w:rsid w:val="00E7385B"/>
    <w:rsid w:val="00E738BC"/>
    <w:rsid w:val="00E738DB"/>
    <w:rsid w:val="00E738E4"/>
    <w:rsid w:val="00E738E7"/>
    <w:rsid w:val="00E73933"/>
    <w:rsid w:val="00E7396E"/>
    <w:rsid w:val="00E739A5"/>
    <w:rsid w:val="00E739BA"/>
    <w:rsid w:val="00E73A06"/>
    <w:rsid w:val="00E73A0E"/>
    <w:rsid w:val="00E73A78"/>
    <w:rsid w:val="00E73B40"/>
    <w:rsid w:val="00E73BA1"/>
    <w:rsid w:val="00E73C14"/>
    <w:rsid w:val="00E73CB3"/>
    <w:rsid w:val="00E73D06"/>
    <w:rsid w:val="00E73D3D"/>
    <w:rsid w:val="00E73EE4"/>
    <w:rsid w:val="00E73F6F"/>
    <w:rsid w:val="00E73F99"/>
    <w:rsid w:val="00E73FB1"/>
    <w:rsid w:val="00E74011"/>
    <w:rsid w:val="00E74056"/>
    <w:rsid w:val="00E7407A"/>
    <w:rsid w:val="00E7418C"/>
    <w:rsid w:val="00E741AB"/>
    <w:rsid w:val="00E74280"/>
    <w:rsid w:val="00E742E1"/>
    <w:rsid w:val="00E74317"/>
    <w:rsid w:val="00E7438E"/>
    <w:rsid w:val="00E7443D"/>
    <w:rsid w:val="00E744A0"/>
    <w:rsid w:val="00E744A9"/>
    <w:rsid w:val="00E744F0"/>
    <w:rsid w:val="00E745A6"/>
    <w:rsid w:val="00E74630"/>
    <w:rsid w:val="00E7463D"/>
    <w:rsid w:val="00E7463E"/>
    <w:rsid w:val="00E74673"/>
    <w:rsid w:val="00E7469D"/>
    <w:rsid w:val="00E746EA"/>
    <w:rsid w:val="00E7479E"/>
    <w:rsid w:val="00E747D2"/>
    <w:rsid w:val="00E74870"/>
    <w:rsid w:val="00E74890"/>
    <w:rsid w:val="00E748B4"/>
    <w:rsid w:val="00E748C7"/>
    <w:rsid w:val="00E749F8"/>
    <w:rsid w:val="00E749FF"/>
    <w:rsid w:val="00E74A7D"/>
    <w:rsid w:val="00E74AB6"/>
    <w:rsid w:val="00E74BA6"/>
    <w:rsid w:val="00E74BED"/>
    <w:rsid w:val="00E74CEA"/>
    <w:rsid w:val="00E74CFA"/>
    <w:rsid w:val="00E74D7C"/>
    <w:rsid w:val="00E74DA8"/>
    <w:rsid w:val="00E74EFE"/>
    <w:rsid w:val="00E74F22"/>
    <w:rsid w:val="00E74F79"/>
    <w:rsid w:val="00E7500C"/>
    <w:rsid w:val="00E75013"/>
    <w:rsid w:val="00E75059"/>
    <w:rsid w:val="00E752BF"/>
    <w:rsid w:val="00E752D6"/>
    <w:rsid w:val="00E752D7"/>
    <w:rsid w:val="00E75312"/>
    <w:rsid w:val="00E75436"/>
    <w:rsid w:val="00E75491"/>
    <w:rsid w:val="00E754E1"/>
    <w:rsid w:val="00E755AC"/>
    <w:rsid w:val="00E7565E"/>
    <w:rsid w:val="00E756B6"/>
    <w:rsid w:val="00E758AC"/>
    <w:rsid w:val="00E75903"/>
    <w:rsid w:val="00E759BC"/>
    <w:rsid w:val="00E75AE2"/>
    <w:rsid w:val="00E75B32"/>
    <w:rsid w:val="00E75BEB"/>
    <w:rsid w:val="00E75D58"/>
    <w:rsid w:val="00E75D89"/>
    <w:rsid w:val="00E75E09"/>
    <w:rsid w:val="00E75EEC"/>
    <w:rsid w:val="00E75F13"/>
    <w:rsid w:val="00E75F2C"/>
    <w:rsid w:val="00E75FFA"/>
    <w:rsid w:val="00E7603A"/>
    <w:rsid w:val="00E760A9"/>
    <w:rsid w:val="00E76120"/>
    <w:rsid w:val="00E761C2"/>
    <w:rsid w:val="00E761D0"/>
    <w:rsid w:val="00E761D1"/>
    <w:rsid w:val="00E7621F"/>
    <w:rsid w:val="00E763E0"/>
    <w:rsid w:val="00E76452"/>
    <w:rsid w:val="00E764A5"/>
    <w:rsid w:val="00E764AC"/>
    <w:rsid w:val="00E76538"/>
    <w:rsid w:val="00E7660F"/>
    <w:rsid w:val="00E76617"/>
    <w:rsid w:val="00E76637"/>
    <w:rsid w:val="00E76663"/>
    <w:rsid w:val="00E76786"/>
    <w:rsid w:val="00E7681C"/>
    <w:rsid w:val="00E7686B"/>
    <w:rsid w:val="00E7687A"/>
    <w:rsid w:val="00E768AE"/>
    <w:rsid w:val="00E76A70"/>
    <w:rsid w:val="00E76A95"/>
    <w:rsid w:val="00E76C0E"/>
    <w:rsid w:val="00E76C2A"/>
    <w:rsid w:val="00E76CE7"/>
    <w:rsid w:val="00E76D66"/>
    <w:rsid w:val="00E76DEB"/>
    <w:rsid w:val="00E76E4C"/>
    <w:rsid w:val="00E76F3A"/>
    <w:rsid w:val="00E76F9C"/>
    <w:rsid w:val="00E76FEC"/>
    <w:rsid w:val="00E77003"/>
    <w:rsid w:val="00E77017"/>
    <w:rsid w:val="00E7702D"/>
    <w:rsid w:val="00E7710B"/>
    <w:rsid w:val="00E771CE"/>
    <w:rsid w:val="00E7721D"/>
    <w:rsid w:val="00E772B8"/>
    <w:rsid w:val="00E77329"/>
    <w:rsid w:val="00E7738C"/>
    <w:rsid w:val="00E773B9"/>
    <w:rsid w:val="00E77491"/>
    <w:rsid w:val="00E7757F"/>
    <w:rsid w:val="00E775AD"/>
    <w:rsid w:val="00E7762F"/>
    <w:rsid w:val="00E7766C"/>
    <w:rsid w:val="00E77676"/>
    <w:rsid w:val="00E7770B"/>
    <w:rsid w:val="00E77741"/>
    <w:rsid w:val="00E77813"/>
    <w:rsid w:val="00E7781A"/>
    <w:rsid w:val="00E7784C"/>
    <w:rsid w:val="00E77871"/>
    <w:rsid w:val="00E77959"/>
    <w:rsid w:val="00E7797A"/>
    <w:rsid w:val="00E779C5"/>
    <w:rsid w:val="00E77A84"/>
    <w:rsid w:val="00E77AE3"/>
    <w:rsid w:val="00E77B92"/>
    <w:rsid w:val="00E77BD6"/>
    <w:rsid w:val="00E77BD7"/>
    <w:rsid w:val="00E77C63"/>
    <w:rsid w:val="00E77D2F"/>
    <w:rsid w:val="00E77D75"/>
    <w:rsid w:val="00E77D91"/>
    <w:rsid w:val="00E77E0E"/>
    <w:rsid w:val="00E77EC7"/>
    <w:rsid w:val="00E77EEB"/>
    <w:rsid w:val="00E77F57"/>
    <w:rsid w:val="00E77FCB"/>
    <w:rsid w:val="00E77FCD"/>
    <w:rsid w:val="00E80020"/>
    <w:rsid w:val="00E80029"/>
    <w:rsid w:val="00E80183"/>
    <w:rsid w:val="00E8019E"/>
    <w:rsid w:val="00E80201"/>
    <w:rsid w:val="00E80243"/>
    <w:rsid w:val="00E802FB"/>
    <w:rsid w:val="00E8036A"/>
    <w:rsid w:val="00E803DE"/>
    <w:rsid w:val="00E803E0"/>
    <w:rsid w:val="00E80435"/>
    <w:rsid w:val="00E80442"/>
    <w:rsid w:val="00E8046B"/>
    <w:rsid w:val="00E804CE"/>
    <w:rsid w:val="00E8051C"/>
    <w:rsid w:val="00E80525"/>
    <w:rsid w:val="00E80568"/>
    <w:rsid w:val="00E8073A"/>
    <w:rsid w:val="00E807F1"/>
    <w:rsid w:val="00E808A3"/>
    <w:rsid w:val="00E808B5"/>
    <w:rsid w:val="00E8093C"/>
    <w:rsid w:val="00E80992"/>
    <w:rsid w:val="00E809DC"/>
    <w:rsid w:val="00E80A1C"/>
    <w:rsid w:val="00E80A92"/>
    <w:rsid w:val="00E80ADB"/>
    <w:rsid w:val="00E80B22"/>
    <w:rsid w:val="00E80C49"/>
    <w:rsid w:val="00E80C66"/>
    <w:rsid w:val="00E80C86"/>
    <w:rsid w:val="00E80C87"/>
    <w:rsid w:val="00E80DCA"/>
    <w:rsid w:val="00E80DE8"/>
    <w:rsid w:val="00E80E09"/>
    <w:rsid w:val="00E80E29"/>
    <w:rsid w:val="00E80EC1"/>
    <w:rsid w:val="00E81097"/>
    <w:rsid w:val="00E810B0"/>
    <w:rsid w:val="00E810B6"/>
    <w:rsid w:val="00E8111A"/>
    <w:rsid w:val="00E811AC"/>
    <w:rsid w:val="00E812F8"/>
    <w:rsid w:val="00E81377"/>
    <w:rsid w:val="00E8140E"/>
    <w:rsid w:val="00E8145B"/>
    <w:rsid w:val="00E814EF"/>
    <w:rsid w:val="00E81502"/>
    <w:rsid w:val="00E8151A"/>
    <w:rsid w:val="00E8154F"/>
    <w:rsid w:val="00E81563"/>
    <w:rsid w:val="00E81718"/>
    <w:rsid w:val="00E81795"/>
    <w:rsid w:val="00E817EE"/>
    <w:rsid w:val="00E8182F"/>
    <w:rsid w:val="00E81893"/>
    <w:rsid w:val="00E81902"/>
    <w:rsid w:val="00E8190D"/>
    <w:rsid w:val="00E81915"/>
    <w:rsid w:val="00E819EE"/>
    <w:rsid w:val="00E81A16"/>
    <w:rsid w:val="00E81A50"/>
    <w:rsid w:val="00E81ACA"/>
    <w:rsid w:val="00E81B0A"/>
    <w:rsid w:val="00E81B86"/>
    <w:rsid w:val="00E81C02"/>
    <w:rsid w:val="00E81C33"/>
    <w:rsid w:val="00E81CBE"/>
    <w:rsid w:val="00E81CE4"/>
    <w:rsid w:val="00E81D07"/>
    <w:rsid w:val="00E81D11"/>
    <w:rsid w:val="00E81EBC"/>
    <w:rsid w:val="00E81EEB"/>
    <w:rsid w:val="00E81FF6"/>
    <w:rsid w:val="00E820A3"/>
    <w:rsid w:val="00E82173"/>
    <w:rsid w:val="00E82183"/>
    <w:rsid w:val="00E821AC"/>
    <w:rsid w:val="00E8227C"/>
    <w:rsid w:val="00E822AE"/>
    <w:rsid w:val="00E822E0"/>
    <w:rsid w:val="00E822EF"/>
    <w:rsid w:val="00E8239A"/>
    <w:rsid w:val="00E823D5"/>
    <w:rsid w:val="00E82459"/>
    <w:rsid w:val="00E824CD"/>
    <w:rsid w:val="00E824F6"/>
    <w:rsid w:val="00E82693"/>
    <w:rsid w:val="00E8277E"/>
    <w:rsid w:val="00E82820"/>
    <w:rsid w:val="00E82861"/>
    <w:rsid w:val="00E828F1"/>
    <w:rsid w:val="00E82A6D"/>
    <w:rsid w:val="00E82A83"/>
    <w:rsid w:val="00E82A96"/>
    <w:rsid w:val="00E82A9A"/>
    <w:rsid w:val="00E82B12"/>
    <w:rsid w:val="00E82BC0"/>
    <w:rsid w:val="00E82BC9"/>
    <w:rsid w:val="00E82C2C"/>
    <w:rsid w:val="00E82CD9"/>
    <w:rsid w:val="00E82E26"/>
    <w:rsid w:val="00E82E87"/>
    <w:rsid w:val="00E82F0E"/>
    <w:rsid w:val="00E82F78"/>
    <w:rsid w:val="00E832B1"/>
    <w:rsid w:val="00E832B4"/>
    <w:rsid w:val="00E832ED"/>
    <w:rsid w:val="00E83311"/>
    <w:rsid w:val="00E83342"/>
    <w:rsid w:val="00E83373"/>
    <w:rsid w:val="00E833FA"/>
    <w:rsid w:val="00E8340C"/>
    <w:rsid w:val="00E83460"/>
    <w:rsid w:val="00E8348A"/>
    <w:rsid w:val="00E83501"/>
    <w:rsid w:val="00E83566"/>
    <w:rsid w:val="00E835EC"/>
    <w:rsid w:val="00E83644"/>
    <w:rsid w:val="00E83674"/>
    <w:rsid w:val="00E83702"/>
    <w:rsid w:val="00E83815"/>
    <w:rsid w:val="00E8384A"/>
    <w:rsid w:val="00E8391C"/>
    <w:rsid w:val="00E83921"/>
    <w:rsid w:val="00E839C2"/>
    <w:rsid w:val="00E839F9"/>
    <w:rsid w:val="00E83A28"/>
    <w:rsid w:val="00E83A73"/>
    <w:rsid w:val="00E83AA2"/>
    <w:rsid w:val="00E83B07"/>
    <w:rsid w:val="00E83BBB"/>
    <w:rsid w:val="00E83BCB"/>
    <w:rsid w:val="00E83BD0"/>
    <w:rsid w:val="00E83C1B"/>
    <w:rsid w:val="00E83C1E"/>
    <w:rsid w:val="00E83C2D"/>
    <w:rsid w:val="00E83C7F"/>
    <w:rsid w:val="00E83CCB"/>
    <w:rsid w:val="00E83CD1"/>
    <w:rsid w:val="00E83D52"/>
    <w:rsid w:val="00E83DE4"/>
    <w:rsid w:val="00E83E22"/>
    <w:rsid w:val="00E83EAB"/>
    <w:rsid w:val="00E83EB4"/>
    <w:rsid w:val="00E83EC2"/>
    <w:rsid w:val="00E83EC8"/>
    <w:rsid w:val="00E83F4E"/>
    <w:rsid w:val="00E83F7B"/>
    <w:rsid w:val="00E840AF"/>
    <w:rsid w:val="00E840FD"/>
    <w:rsid w:val="00E84136"/>
    <w:rsid w:val="00E841D6"/>
    <w:rsid w:val="00E841EF"/>
    <w:rsid w:val="00E84201"/>
    <w:rsid w:val="00E842A1"/>
    <w:rsid w:val="00E84375"/>
    <w:rsid w:val="00E843B3"/>
    <w:rsid w:val="00E843D8"/>
    <w:rsid w:val="00E84406"/>
    <w:rsid w:val="00E8448D"/>
    <w:rsid w:val="00E844F3"/>
    <w:rsid w:val="00E8453F"/>
    <w:rsid w:val="00E845C6"/>
    <w:rsid w:val="00E84610"/>
    <w:rsid w:val="00E84626"/>
    <w:rsid w:val="00E84633"/>
    <w:rsid w:val="00E846D2"/>
    <w:rsid w:val="00E8472E"/>
    <w:rsid w:val="00E84796"/>
    <w:rsid w:val="00E847BC"/>
    <w:rsid w:val="00E847D2"/>
    <w:rsid w:val="00E847FF"/>
    <w:rsid w:val="00E8481E"/>
    <w:rsid w:val="00E8484A"/>
    <w:rsid w:val="00E848CD"/>
    <w:rsid w:val="00E8491D"/>
    <w:rsid w:val="00E84958"/>
    <w:rsid w:val="00E84A05"/>
    <w:rsid w:val="00E84AD6"/>
    <w:rsid w:val="00E84B54"/>
    <w:rsid w:val="00E84B79"/>
    <w:rsid w:val="00E84BC6"/>
    <w:rsid w:val="00E84C7A"/>
    <w:rsid w:val="00E84D62"/>
    <w:rsid w:val="00E84F79"/>
    <w:rsid w:val="00E85024"/>
    <w:rsid w:val="00E85044"/>
    <w:rsid w:val="00E85061"/>
    <w:rsid w:val="00E85085"/>
    <w:rsid w:val="00E85108"/>
    <w:rsid w:val="00E851AB"/>
    <w:rsid w:val="00E851CC"/>
    <w:rsid w:val="00E8523F"/>
    <w:rsid w:val="00E852B7"/>
    <w:rsid w:val="00E85361"/>
    <w:rsid w:val="00E8536F"/>
    <w:rsid w:val="00E853FE"/>
    <w:rsid w:val="00E8568E"/>
    <w:rsid w:val="00E857EA"/>
    <w:rsid w:val="00E85820"/>
    <w:rsid w:val="00E8583C"/>
    <w:rsid w:val="00E85878"/>
    <w:rsid w:val="00E85910"/>
    <w:rsid w:val="00E8591A"/>
    <w:rsid w:val="00E85930"/>
    <w:rsid w:val="00E8595E"/>
    <w:rsid w:val="00E859C0"/>
    <w:rsid w:val="00E85A3C"/>
    <w:rsid w:val="00E85AD6"/>
    <w:rsid w:val="00E85AE8"/>
    <w:rsid w:val="00E85AF2"/>
    <w:rsid w:val="00E85AFB"/>
    <w:rsid w:val="00E85BAF"/>
    <w:rsid w:val="00E85C03"/>
    <w:rsid w:val="00E85C2F"/>
    <w:rsid w:val="00E85C8C"/>
    <w:rsid w:val="00E85C98"/>
    <w:rsid w:val="00E85F23"/>
    <w:rsid w:val="00E85F63"/>
    <w:rsid w:val="00E85FFD"/>
    <w:rsid w:val="00E8616B"/>
    <w:rsid w:val="00E861D0"/>
    <w:rsid w:val="00E86211"/>
    <w:rsid w:val="00E86246"/>
    <w:rsid w:val="00E86370"/>
    <w:rsid w:val="00E863A5"/>
    <w:rsid w:val="00E863A9"/>
    <w:rsid w:val="00E8649B"/>
    <w:rsid w:val="00E8651E"/>
    <w:rsid w:val="00E866E2"/>
    <w:rsid w:val="00E86718"/>
    <w:rsid w:val="00E8671E"/>
    <w:rsid w:val="00E8674E"/>
    <w:rsid w:val="00E8678F"/>
    <w:rsid w:val="00E867C7"/>
    <w:rsid w:val="00E8697E"/>
    <w:rsid w:val="00E869E5"/>
    <w:rsid w:val="00E86A07"/>
    <w:rsid w:val="00E86C45"/>
    <w:rsid w:val="00E86D53"/>
    <w:rsid w:val="00E86E06"/>
    <w:rsid w:val="00E8706E"/>
    <w:rsid w:val="00E870BC"/>
    <w:rsid w:val="00E87105"/>
    <w:rsid w:val="00E87127"/>
    <w:rsid w:val="00E8713C"/>
    <w:rsid w:val="00E8714F"/>
    <w:rsid w:val="00E87201"/>
    <w:rsid w:val="00E8721B"/>
    <w:rsid w:val="00E87244"/>
    <w:rsid w:val="00E872A4"/>
    <w:rsid w:val="00E873BE"/>
    <w:rsid w:val="00E8740C"/>
    <w:rsid w:val="00E8745F"/>
    <w:rsid w:val="00E87518"/>
    <w:rsid w:val="00E875A7"/>
    <w:rsid w:val="00E875B9"/>
    <w:rsid w:val="00E876C5"/>
    <w:rsid w:val="00E87836"/>
    <w:rsid w:val="00E878CF"/>
    <w:rsid w:val="00E878F5"/>
    <w:rsid w:val="00E87900"/>
    <w:rsid w:val="00E87906"/>
    <w:rsid w:val="00E87A1C"/>
    <w:rsid w:val="00E87A1D"/>
    <w:rsid w:val="00E87A3F"/>
    <w:rsid w:val="00E87A5A"/>
    <w:rsid w:val="00E87B37"/>
    <w:rsid w:val="00E87B64"/>
    <w:rsid w:val="00E87B65"/>
    <w:rsid w:val="00E87BCE"/>
    <w:rsid w:val="00E87C00"/>
    <w:rsid w:val="00E87C7A"/>
    <w:rsid w:val="00E87D61"/>
    <w:rsid w:val="00E87D80"/>
    <w:rsid w:val="00E87DD7"/>
    <w:rsid w:val="00E87E25"/>
    <w:rsid w:val="00E87E9C"/>
    <w:rsid w:val="00E87F75"/>
    <w:rsid w:val="00E87F85"/>
    <w:rsid w:val="00E87FA3"/>
    <w:rsid w:val="00E87FBE"/>
    <w:rsid w:val="00E87FDA"/>
    <w:rsid w:val="00E87FE2"/>
    <w:rsid w:val="00E90021"/>
    <w:rsid w:val="00E90027"/>
    <w:rsid w:val="00E9004C"/>
    <w:rsid w:val="00E900DE"/>
    <w:rsid w:val="00E90179"/>
    <w:rsid w:val="00E90193"/>
    <w:rsid w:val="00E901D7"/>
    <w:rsid w:val="00E90213"/>
    <w:rsid w:val="00E90350"/>
    <w:rsid w:val="00E90375"/>
    <w:rsid w:val="00E9040D"/>
    <w:rsid w:val="00E90413"/>
    <w:rsid w:val="00E90423"/>
    <w:rsid w:val="00E9046A"/>
    <w:rsid w:val="00E9048D"/>
    <w:rsid w:val="00E90502"/>
    <w:rsid w:val="00E90518"/>
    <w:rsid w:val="00E9059D"/>
    <w:rsid w:val="00E905CA"/>
    <w:rsid w:val="00E905E9"/>
    <w:rsid w:val="00E906BE"/>
    <w:rsid w:val="00E90769"/>
    <w:rsid w:val="00E907EC"/>
    <w:rsid w:val="00E907F4"/>
    <w:rsid w:val="00E908CF"/>
    <w:rsid w:val="00E90AF6"/>
    <w:rsid w:val="00E90BE8"/>
    <w:rsid w:val="00E90C53"/>
    <w:rsid w:val="00E90C66"/>
    <w:rsid w:val="00E90D99"/>
    <w:rsid w:val="00E90DFA"/>
    <w:rsid w:val="00E90EB6"/>
    <w:rsid w:val="00E90FD2"/>
    <w:rsid w:val="00E9102F"/>
    <w:rsid w:val="00E910A2"/>
    <w:rsid w:val="00E910AE"/>
    <w:rsid w:val="00E910F2"/>
    <w:rsid w:val="00E911CD"/>
    <w:rsid w:val="00E9125B"/>
    <w:rsid w:val="00E9133C"/>
    <w:rsid w:val="00E913F9"/>
    <w:rsid w:val="00E914B8"/>
    <w:rsid w:val="00E9153E"/>
    <w:rsid w:val="00E9156A"/>
    <w:rsid w:val="00E9156E"/>
    <w:rsid w:val="00E9157E"/>
    <w:rsid w:val="00E9172D"/>
    <w:rsid w:val="00E918D7"/>
    <w:rsid w:val="00E91919"/>
    <w:rsid w:val="00E91994"/>
    <w:rsid w:val="00E91BB6"/>
    <w:rsid w:val="00E91CD5"/>
    <w:rsid w:val="00E91D0A"/>
    <w:rsid w:val="00E91D98"/>
    <w:rsid w:val="00E91DB0"/>
    <w:rsid w:val="00E91DB7"/>
    <w:rsid w:val="00E91E7E"/>
    <w:rsid w:val="00E91F0F"/>
    <w:rsid w:val="00E91F6A"/>
    <w:rsid w:val="00E92069"/>
    <w:rsid w:val="00E9207C"/>
    <w:rsid w:val="00E9207D"/>
    <w:rsid w:val="00E92080"/>
    <w:rsid w:val="00E92090"/>
    <w:rsid w:val="00E92126"/>
    <w:rsid w:val="00E92137"/>
    <w:rsid w:val="00E921F8"/>
    <w:rsid w:val="00E92268"/>
    <w:rsid w:val="00E92338"/>
    <w:rsid w:val="00E923AE"/>
    <w:rsid w:val="00E924D3"/>
    <w:rsid w:val="00E924DB"/>
    <w:rsid w:val="00E925EA"/>
    <w:rsid w:val="00E9263F"/>
    <w:rsid w:val="00E926BD"/>
    <w:rsid w:val="00E92748"/>
    <w:rsid w:val="00E92786"/>
    <w:rsid w:val="00E927BF"/>
    <w:rsid w:val="00E927E0"/>
    <w:rsid w:val="00E927F5"/>
    <w:rsid w:val="00E928DA"/>
    <w:rsid w:val="00E92974"/>
    <w:rsid w:val="00E92975"/>
    <w:rsid w:val="00E929C6"/>
    <w:rsid w:val="00E929EF"/>
    <w:rsid w:val="00E92AC7"/>
    <w:rsid w:val="00E92AFD"/>
    <w:rsid w:val="00E92B72"/>
    <w:rsid w:val="00E92BC5"/>
    <w:rsid w:val="00E92C94"/>
    <w:rsid w:val="00E92CC1"/>
    <w:rsid w:val="00E92D60"/>
    <w:rsid w:val="00E92DD5"/>
    <w:rsid w:val="00E92E4D"/>
    <w:rsid w:val="00E92E67"/>
    <w:rsid w:val="00E92F3B"/>
    <w:rsid w:val="00E92F4D"/>
    <w:rsid w:val="00E92FE1"/>
    <w:rsid w:val="00E92FF9"/>
    <w:rsid w:val="00E93063"/>
    <w:rsid w:val="00E9306D"/>
    <w:rsid w:val="00E93112"/>
    <w:rsid w:val="00E93151"/>
    <w:rsid w:val="00E9320B"/>
    <w:rsid w:val="00E9330C"/>
    <w:rsid w:val="00E933E3"/>
    <w:rsid w:val="00E9341C"/>
    <w:rsid w:val="00E934CA"/>
    <w:rsid w:val="00E93507"/>
    <w:rsid w:val="00E9351D"/>
    <w:rsid w:val="00E93525"/>
    <w:rsid w:val="00E9358F"/>
    <w:rsid w:val="00E935D2"/>
    <w:rsid w:val="00E9368F"/>
    <w:rsid w:val="00E936D8"/>
    <w:rsid w:val="00E93700"/>
    <w:rsid w:val="00E93724"/>
    <w:rsid w:val="00E93726"/>
    <w:rsid w:val="00E9374E"/>
    <w:rsid w:val="00E93794"/>
    <w:rsid w:val="00E93895"/>
    <w:rsid w:val="00E93977"/>
    <w:rsid w:val="00E93A41"/>
    <w:rsid w:val="00E93A4D"/>
    <w:rsid w:val="00E93BB7"/>
    <w:rsid w:val="00E93BE4"/>
    <w:rsid w:val="00E93C1A"/>
    <w:rsid w:val="00E93C31"/>
    <w:rsid w:val="00E93C4F"/>
    <w:rsid w:val="00E93D7D"/>
    <w:rsid w:val="00E93DAF"/>
    <w:rsid w:val="00E93E28"/>
    <w:rsid w:val="00E93E75"/>
    <w:rsid w:val="00E93EE0"/>
    <w:rsid w:val="00E93F6B"/>
    <w:rsid w:val="00E940AF"/>
    <w:rsid w:val="00E940C7"/>
    <w:rsid w:val="00E9418B"/>
    <w:rsid w:val="00E941AE"/>
    <w:rsid w:val="00E941C1"/>
    <w:rsid w:val="00E94207"/>
    <w:rsid w:val="00E94234"/>
    <w:rsid w:val="00E94299"/>
    <w:rsid w:val="00E94305"/>
    <w:rsid w:val="00E943D9"/>
    <w:rsid w:val="00E9446E"/>
    <w:rsid w:val="00E944D9"/>
    <w:rsid w:val="00E944F4"/>
    <w:rsid w:val="00E94619"/>
    <w:rsid w:val="00E94656"/>
    <w:rsid w:val="00E94660"/>
    <w:rsid w:val="00E94680"/>
    <w:rsid w:val="00E946C0"/>
    <w:rsid w:val="00E9470D"/>
    <w:rsid w:val="00E947B7"/>
    <w:rsid w:val="00E94812"/>
    <w:rsid w:val="00E9484A"/>
    <w:rsid w:val="00E94852"/>
    <w:rsid w:val="00E9488C"/>
    <w:rsid w:val="00E94893"/>
    <w:rsid w:val="00E948AD"/>
    <w:rsid w:val="00E94915"/>
    <w:rsid w:val="00E9493A"/>
    <w:rsid w:val="00E949B6"/>
    <w:rsid w:val="00E949C8"/>
    <w:rsid w:val="00E949E7"/>
    <w:rsid w:val="00E949F6"/>
    <w:rsid w:val="00E94A42"/>
    <w:rsid w:val="00E94AB1"/>
    <w:rsid w:val="00E94B38"/>
    <w:rsid w:val="00E94B5A"/>
    <w:rsid w:val="00E94CC2"/>
    <w:rsid w:val="00E94CEB"/>
    <w:rsid w:val="00E94CEF"/>
    <w:rsid w:val="00E94DF0"/>
    <w:rsid w:val="00E94E46"/>
    <w:rsid w:val="00E94E6C"/>
    <w:rsid w:val="00E94E79"/>
    <w:rsid w:val="00E94F63"/>
    <w:rsid w:val="00E94F64"/>
    <w:rsid w:val="00E94F72"/>
    <w:rsid w:val="00E94FF0"/>
    <w:rsid w:val="00E950A8"/>
    <w:rsid w:val="00E950DF"/>
    <w:rsid w:val="00E950FB"/>
    <w:rsid w:val="00E95203"/>
    <w:rsid w:val="00E95242"/>
    <w:rsid w:val="00E95254"/>
    <w:rsid w:val="00E95282"/>
    <w:rsid w:val="00E95284"/>
    <w:rsid w:val="00E9538A"/>
    <w:rsid w:val="00E953CE"/>
    <w:rsid w:val="00E954DE"/>
    <w:rsid w:val="00E95515"/>
    <w:rsid w:val="00E955C6"/>
    <w:rsid w:val="00E955C9"/>
    <w:rsid w:val="00E95668"/>
    <w:rsid w:val="00E9567C"/>
    <w:rsid w:val="00E95715"/>
    <w:rsid w:val="00E95761"/>
    <w:rsid w:val="00E957B4"/>
    <w:rsid w:val="00E957BB"/>
    <w:rsid w:val="00E957F8"/>
    <w:rsid w:val="00E95802"/>
    <w:rsid w:val="00E9586D"/>
    <w:rsid w:val="00E958F9"/>
    <w:rsid w:val="00E9591F"/>
    <w:rsid w:val="00E95A4B"/>
    <w:rsid w:val="00E95A79"/>
    <w:rsid w:val="00E95B44"/>
    <w:rsid w:val="00E95B58"/>
    <w:rsid w:val="00E95B7D"/>
    <w:rsid w:val="00E95B8C"/>
    <w:rsid w:val="00E95E20"/>
    <w:rsid w:val="00E95E55"/>
    <w:rsid w:val="00E95E60"/>
    <w:rsid w:val="00E95E71"/>
    <w:rsid w:val="00E95F00"/>
    <w:rsid w:val="00E95F47"/>
    <w:rsid w:val="00E95F63"/>
    <w:rsid w:val="00E95F94"/>
    <w:rsid w:val="00E96021"/>
    <w:rsid w:val="00E9608B"/>
    <w:rsid w:val="00E960AB"/>
    <w:rsid w:val="00E96254"/>
    <w:rsid w:val="00E96259"/>
    <w:rsid w:val="00E962FB"/>
    <w:rsid w:val="00E9635E"/>
    <w:rsid w:val="00E965B1"/>
    <w:rsid w:val="00E965F9"/>
    <w:rsid w:val="00E965FA"/>
    <w:rsid w:val="00E9662C"/>
    <w:rsid w:val="00E96695"/>
    <w:rsid w:val="00E966DB"/>
    <w:rsid w:val="00E96712"/>
    <w:rsid w:val="00E96722"/>
    <w:rsid w:val="00E967A0"/>
    <w:rsid w:val="00E96808"/>
    <w:rsid w:val="00E968CA"/>
    <w:rsid w:val="00E968D9"/>
    <w:rsid w:val="00E9695D"/>
    <w:rsid w:val="00E96991"/>
    <w:rsid w:val="00E96A3D"/>
    <w:rsid w:val="00E96A6F"/>
    <w:rsid w:val="00E96AE4"/>
    <w:rsid w:val="00E96B0D"/>
    <w:rsid w:val="00E96B90"/>
    <w:rsid w:val="00E96B92"/>
    <w:rsid w:val="00E96BB2"/>
    <w:rsid w:val="00E96BE2"/>
    <w:rsid w:val="00E96C1C"/>
    <w:rsid w:val="00E96C64"/>
    <w:rsid w:val="00E96C79"/>
    <w:rsid w:val="00E96D3D"/>
    <w:rsid w:val="00E96D5A"/>
    <w:rsid w:val="00E96DEF"/>
    <w:rsid w:val="00E96E25"/>
    <w:rsid w:val="00E96E6E"/>
    <w:rsid w:val="00E96EFD"/>
    <w:rsid w:val="00E96F20"/>
    <w:rsid w:val="00E97015"/>
    <w:rsid w:val="00E97021"/>
    <w:rsid w:val="00E970D6"/>
    <w:rsid w:val="00E97150"/>
    <w:rsid w:val="00E97154"/>
    <w:rsid w:val="00E97169"/>
    <w:rsid w:val="00E971BE"/>
    <w:rsid w:val="00E971DB"/>
    <w:rsid w:val="00E97217"/>
    <w:rsid w:val="00E97226"/>
    <w:rsid w:val="00E97479"/>
    <w:rsid w:val="00E974A0"/>
    <w:rsid w:val="00E97539"/>
    <w:rsid w:val="00E97735"/>
    <w:rsid w:val="00E97853"/>
    <w:rsid w:val="00E9789C"/>
    <w:rsid w:val="00E97919"/>
    <w:rsid w:val="00E9791B"/>
    <w:rsid w:val="00E97979"/>
    <w:rsid w:val="00E979EF"/>
    <w:rsid w:val="00E97A15"/>
    <w:rsid w:val="00E97A1F"/>
    <w:rsid w:val="00E97A21"/>
    <w:rsid w:val="00E97A6F"/>
    <w:rsid w:val="00E97B39"/>
    <w:rsid w:val="00E97B91"/>
    <w:rsid w:val="00E97BB3"/>
    <w:rsid w:val="00E97BD8"/>
    <w:rsid w:val="00E97C79"/>
    <w:rsid w:val="00E97D08"/>
    <w:rsid w:val="00E97DC7"/>
    <w:rsid w:val="00E97E9E"/>
    <w:rsid w:val="00E97F37"/>
    <w:rsid w:val="00EA000D"/>
    <w:rsid w:val="00EA0076"/>
    <w:rsid w:val="00EA00BA"/>
    <w:rsid w:val="00EA00EA"/>
    <w:rsid w:val="00EA02AC"/>
    <w:rsid w:val="00EA02D5"/>
    <w:rsid w:val="00EA0415"/>
    <w:rsid w:val="00EA0427"/>
    <w:rsid w:val="00EA0429"/>
    <w:rsid w:val="00EA042B"/>
    <w:rsid w:val="00EA0445"/>
    <w:rsid w:val="00EA0446"/>
    <w:rsid w:val="00EA0447"/>
    <w:rsid w:val="00EA04E5"/>
    <w:rsid w:val="00EA054D"/>
    <w:rsid w:val="00EA05FE"/>
    <w:rsid w:val="00EA06C1"/>
    <w:rsid w:val="00EA06E6"/>
    <w:rsid w:val="00EA0718"/>
    <w:rsid w:val="00EA0789"/>
    <w:rsid w:val="00EA0794"/>
    <w:rsid w:val="00EA07E8"/>
    <w:rsid w:val="00EA0825"/>
    <w:rsid w:val="00EA086B"/>
    <w:rsid w:val="00EA087D"/>
    <w:rsid w:val="00EA0908"/>
    <w:rsid w:val="00EA093F"/>
    <w:rsid w:val="00EA0943"/>
    <w:rsid w:val="00EA098F"/>
    <w:rsid w:val="00EA0ACB"/>
    <w:rsid w:val="00EA0AD1"/>
    <w:rsid w:val="00EA0B72"/>
    <w:rsid w:val="00EA0BA5"/>
    <w:rsid w:val="00EA0BFB"/>
    <w:rsid w:val="00EA0C25"/>
    <w:rsid w:val="00EA0D7D"/>
    <w:rsid w:val="00EA0D88"/>
    <w:rsid w:val="00EA0E30"/>
    <w:rsid w:val="00EA0E4B"/>
    <w:rsid w:val="00EA0E5F"/>
    <w:rsid w:val="00EA0EF5"/>
    <w:rsid w:val="00EA0F09"/>
    <w:rsid w:val="00EA0F91"/>
    <w:rsid w:val="00EA0FB2"/>
    <w:rsid w:val="00EA0FD6"/>
    <w:rsid w:val="00EA101E"/>
    <w:rsid w:val="00EA1096"/>
    <w:rsid w:val="00EA10D8"/>
    <w:rsid w:val="00EA1139"/>
    <w:rsid w:val="00EA1167"/>
    <w:rsid w:val="00EA1178"/>
    <w:rsid w:val="00EA1206"/>
    <w:rsid w:val="00EA1234"/>
    <w:rsid w:val="00EA1378"/>
    <w:rsid w:val="00EA13EE"/>
    <w:rsid w:val="00EA1434"/>
    <w:rsid w:val="00EA1444"/>
    <w:rsid w:val="00EA1449"/>
    <w:rsid w:val="00EA14D2"/>
    <w:rsid w:val="00EA1567"/>
    <w:rsid w:val="00EA1590"/>
    <w:rsid w:val="00EA15F5"/>
    <w:rsid w:val="00EA16E1"/>
    <w:rsid w:val="00EA1756"/>
    <w:rsid w:val="00EA1819"/>
    <w:rsid w:val="00EA1823"/>
    <w:rsid w:val="00EA187B"/>
    <w:rsid w:val="00EA19A5"/>
    <w:rsid w:val="00EA1A4C"/>
    <w:rsid w:val="00EA1AA6"/>
    <w:rsid w:val="00EA1AB7"/>
    <w:rsid w:val="00EA1B29"/>
    <w:rsid w:val="00EA1B3E"/>
    <w:rsid w:val="00EA1B5F"/>
    <w:rsid w:val="00EA1B6B"/>
    <w:rsid w:val="00EA1BAC"/>
    <w:rsid w:val="00EA1BC0"/>
    <w:rsid w:val="00EA1BE5"/>
    <w:rsid w:val="00EA1C0B"/>
    <w:rsid w:val="00EA1C1D"/>
    <w:rsid w:val="00EA1CDE"/>
    <w:rsid w:val="00EA1D25"/>
    <w:rsid w:val="00EA1D82"/>
    <w:rsid w:val="00EA1DF5"/>
    <w:rsid w:val="00EA1E01"/>
    <w:rsid w:val="00EA1E0F"/>
    <w:rsid w:val="00EA1E26"/>
    <w:rsid w:val="00EA1EE6"/>
    <w:rsid w:val="00EA1EF6"/>
    <w:rsid w:val="00EA1F33"/>
    <w:rsid w:val="00EA1F73"/>
    <w:rsid w:val="00EA1F79"/>
    <w:rsid w:val="00EA2071"/>
    <w:rsid w:val="00EA20A3"/>
    <w:rsid w:val="00EA2108"/>
    <w:rsid w:val="00EA21DF"/>
    <w:rsid w:val="00EA21F1"/>
    <w:rsid w:val="00EA2213"/>
    <w:rsid w:val="00EA22E6"/>
    <w:rsid w:val="00EA2414"/>
    <w:rsid w:val="00EA2456"/>
    <w:rsid w:val="00EA2477"/>
    <w:rsid w:val="00EA2493"/>
    <w:rsid w:val="00EA2565"/>
    <w:rsid w:val="00EA2592"/>
    <w:rsid w:val="00EA25EC"/>
    <w:rsid w:val="00EA2616"/>
    <w:rsid w:val="00EA2695"/>
    <w:rsid w:val="00EA2701"/>
    <w:rsid w:val="00EA2788"/>
    <w:rsid w:val="00EA27A5"/>
    <w:rsid w:val="00EA27B8"/>
    <w:rsid w:val="00EA2806"/>
    <w:rsid w:val="00EA28D7"/>
    <w:rsid w:val="00EA294F"/>
    <w:rsid w:val="00EA2A11"/>
    <w:rsid w:val="00EA2A26"/>
    <w:rsid w:val="00EA2A4D"/>
    <w:rsid w:val="00EA2AB3"/>
    <w:rsid w:val="00EA2AD9"/>
    <w:rsid w:val="00EA2B85"/>
    <w:rsid w:val="00EA2BE8"/>
    <w:rsid w:val="00EA2C43"/>
    <w:rsid w:val="00EA2C49"/>
    <w:rsid w:val="00EA2C76"/>
    <w:rsid w:val="00EA2D1E"/>
    <w:rsid w:val="00EA2DF6"/>
    <w:rsid w:val="00EA2E59"/>
    <w:rsid w:val="00EA2ECB"/>
    <w:rsid w:val="00EA2F58"/>
    <w:rsid w:val="00EA2FBA"/>
    <w:rsid w:val="00EA3028"/>
    <w:rsid w:val="00EA3065"/>
    <w:rsid w:val="00EA3072"/>
    <w:rsid w:val="00EA3101"/>
    <w:rsid w:val="00EA320A"/>
    <w:rsid w:val="00EA321E"/>
    <w:rsid w:val="00EA32D8"/>
    <w:rsid w:val="00EA32E1"/>
    <w:rsid w:val="00EA334A"/>
    <w:rsid w:val="00EA3385"/>
    <w:rsid w:val="00EA33EB"/>
    <w:rsid w:val="00EA3519"/>
    <w:rsid w:val="00EA3586"/>
    <w:rsid w:val="00EA375E"/>
    <w:rsid w:val="00EA3865"/>
    <w:rsid w:val="00EA3884"/>
    <w:rsid w:val="00EA391B"/>
    <w:rsid w:val="00EA3995"/>
    <w:rsid w:val="00EA3A1F"/>
    <w:rsid w:val="00EA3A84"/>
    <w:rsid w:val="00EA3A96"/>
    <w:rsid w:val="00EA3B2D"/>
    <w:rsid w:val="00EA3B42"/>
    <w:rsid w:val="00EA3B4A"/>
    <w:rsid w:val="00EA3BF5"/>
    <w:rsid w:val="00EA3C1B"/>
    <w:rsid w:val="00EA3C72"/>
    <w:rsid w:val="00EA3CA0"/>
    <w:rsid w:val="00EA3DB0"/>
    <w:rsid w:val="00EA3DB8"/>
    <w:rsid w:val="00EA3EAB"/>
    <w:rsid w:val="00EA3FAA"/>
    <w:rsid w:val="00EA3FC9"/>
    <w:rsid w:val="00EA4002"/>
    <w:rsid w:val="00EA400B"/>
    <w:rsid w:val="00EA4050"/>
    <w:rsid w:val="00EA4097"/>
    <w:rsid w:val="00EA4119"/>
    <w:rsid w:val="00EA41EE"/>
    <w:rsid w:val="00EA41FF"/>
    <w:rsid w:val="00EA435A"/>
    <w:rsid w:val="00EA43B7"/>
    <w:rsid w:val="00EA4525"/>
    <w:rsid w:val="00EA454D"/>
    <w:rsid w:val="00EA45F9"/>
    <w:rsid w:val="00EA46EC"/>
    <w:rsid w:val="00EA4795"/>
    <w:rsid w:val="00EA4846"/>
    <w:rsid w:val="00EA4863"/>
    <w:rsid w:val="00EA48E0"/>
    <w:rsid w:val="00EA495E"/>
    <w:rsid w:val="00EA49E3"/>
    <w:rsid w:val="00EA4A9E"/>
    <w:rsid w:val="00EA4ACD"/>
    <w:rsid w:val="00EA4ACF"/>
    <w:rsid w:val="00EA4B01"/>
    <w:rsid w:val="00EA4C52"/>
    <w:rsid w:val="00EA4D3A"/>
    <w:rsid w:val="00EA4D4D"/>
    <w:rsid w:val="00EA4EA4"/>
    <w:rsid w:val="00EA4FFB"/>
    <w:rsid w:val="00EA5046"/>
    <w:rsid w:val="00EA50F4"/>
    <w:rsid w:val="00EA5116"/>
    <w:rsid w:val="00EA526A"/>
    <w:rsid w:val="00EA52D7"/>
    <w:rsid w:val="00EA52FF"/>
    <w:rsid w:val="00EA5352"/>
    <w:rsid w:val="00EA537C"/>
    <w:rsid w:val="00EA545B"/>
    <w:rsid w:val="00EA547C"/>
    <w:rsid w:val="00EA54CE"/>
    <w:rsid w:val="00EA54EA"/>
    <w:rsid w:val="00EA5500"/>
    <w:rsid w:val="00EA556A"/>
    <w:rsid w:val="00EA556D"/>
    <w:rsid w:val="00EA560B"/>
    <w:rsid w:val="00EA56AE"/>
    <w:rsid w:val="00EA575A"/>
    <w:rsid w:val="00EA57CB"/>
    <w:rsid w:val="00EA5807"/>
    <w:rsid w:val="00EA5859"/>
    <w:rsid w:val="00EA5863"/>
    <w:rsid w:val="00EA5882"/>
    <w:rsid w:val="00EA5928"/>
    <w:rsid w:val="00EA5995"/>
    <w:rsid w:val="00EA59E9"/>
    <w:rsid w:val="00EA5A15"/>
    <w:rsid w:val="00EA5B89"/>
    <w:rsid w:val="00EA5BFB"/>
    <w:rsid w:val="00EA5BFD"/>
    <w:rsid w:val="00EA5C90"/>
    <w:rsid w:val="00EA5D81"/>
    <w:rsid w:val="00EA5D8F"/>
    <w:rsid w:val="00EA5DF3"/>
    <w:rsid w:val="00EA5E4E"/>
    <w:rsid w:val="00EA5E5A"/>
    <w:rsid w:val="00EA5EA7"/>
    <w:rsid w:val="00EA5ED6"/>
    <w:rsid w:val="00EA5F3B"/>
    <w:rsid w:val="00EA5FC5"/>
    <w:rsid w:val="00EA5FCF"/>
    <w:rsid w:val="00EA600C"/>
    <w:rsid w:val="00EA60AF"/>
    <w:rsid w:val="00EA6129"/>
    <w:rsid w:val="00EA61B2"/>
    <w:rsid w:val="00EA625A"/>
    <w:rsid w:val="00EA629C"/>
    <w:rsid w:val="00EA62C0"/>
    <w:rsid w:val="00EA633E"/>
    <w:rsid w:val="00EA63BD"/>
    <w:rsid w:val="00EA6405"/>
    <w:rsid w:val="00EA6426"/>
    <w:rsid w:val="00EA645A"/>
    <w:rsid w:val="00EA6480"/>
    <w:rsid w:val="00EA64A2"/>
    <w:rsid w:val="00EA656F"/>
    <w:rsid w:val="00EA65F8"/>
    <w:rsid w:val="00EA6651"/>
    <w:rsid w:val="00EA668A"/>
    <w:rsid w:val="00EA6800"/>
    <w:rsid w:val="00EA681A"/>
    <w:rsid w:val="00EA696E"/>
    <w:rsid w:val="00EA69FA"/>
    <w:rsid w:val="00EA6A1B"/>
    <w:rsid w:val="00EA6C07"/>
    <w:rsid w:val="00EA6C0A"/>
    <w:rsid w:val="00EA6C1F"/>
    <w:rsid w:val="00EA6C6F"/>
    <w:rsid w:val="00EA6D44"/>
    <w:rsid w:val="00EA6E21"/>
    <w:rsid w:val="00EA6E4E"/>
    <w:rsid w:val="00EA6E7A"/>
    <w:rsid w:val="00EA7078"/>
    <w:rsid w:val="00EA70F1"/>
    <w:rsid w:val="00EA7104"/>
    <w:rsid w:val="00EA7118"/>
    <w:rsid w:val="00EA7301"/>
    <w:rsid w:val="00EA734F"/>
    <w:rsid w:val="00EA73C0"/>
    <w:rsid w:val="00EA73E5"/>
    <w:rsid w:val="00EA7506"/>
    <w:rsid w:val="00EA75FD"/>
    <w:rsid w:val="00EA75FE"/>
    <w:rsid w:val="00EA762E"/>
    <w:rsid w:val="00EA76F3"/>
    <w:rsid w:val="00EA7715"/>
    <w:rsid w:val="00EA771D"/>
    <w:rsid w:val="00EA775F"/>
    <w:rsid w:val="00EA781E"/>
    <w:rsid w:val="00EA7838"/>
    <w:rsid w:val="00EA78BB"/>
    <w:rsid w:val="00EA78C7"/>
    <w:rsid w:val="00EA78EB"/>
    <w:rsid w:val="00EA791C"/>
    <w:rsid w:val="00EA7A69"/>
    <w:rsid w:val="00EA7AC6"/>
    <w:rsid w:val="00EA7D3B"/>
    <w:rsid w:val="00EA7D9C"/>
    <w:rsid w:val="00EA7DAE"/>
    <w:rsid w:val="00EA7E55"/>
    <w:rsid w:val="00EA7E8A"/>
    <w:rsid w:val="00EA7EE7"/>
    <w:rsid w:val="00EB0096"/>
    <w:rsid w:val="00EB00A9"/>
    <w:rsid w:val="00EB0175"/>
    <w:rsid w:val="00EB02E8"/>
    <w:rsid w:val="00EB0327"/>
    <w:rsid w:val="00EB0362"/>
    <w:rsid w:val="00EB03C3"/>
    <w:rsid w:val="00EB04EA"/>
    <w:rsid w:val="00EB0508"/>
    <w:rsid w:val="00EB051D"/>
    <w:rsid w:val="00EB0721"/>
    <w:rsid w:val="00EB083B"/>
    <w:rsid w:val="00EB0853"/>
    <w:rsid w:val="00EB086A"/>
    <w:rsid w:val="00EB08B5"/>
    <w:rsid w:val="00EB08F0"/>
    <w:rsid w:val="00EB0918"/>
    <w:rsid w:val="00EB095F"/>
    <w:rsid w:val="00EB0AEA"/>
    <w:rsid w:val="00EB0B22"/>
    <w:rsid w:val="00EB0B82"/>
    <w:rsid w:val="00EB0BE6"/>
    <w:rsid w:val="00EB0C6A"/>
    <w:rsid w:val="00EB0D59"/>
    <w:rsid w:val="00EB0E7D"/>
    <w:rsid w:val="00EB0EDD"/>
    <w:rsid w:val="00EB0EEF"/>
    <w:rsid w:val="00EB0F6C"/>
    <w:rsid w:val="00EB0F82"/>
    <w:rsid w:val="00EB0FAE"/>
    <w:rsid w:val="00EB0FB7"/>
    <w:rsid w:val="00EB0FE7"/>
    <w:rsid w:val="00EB1039"/>
    <w:rsid w:val="00EB10E0"/>
    <w:rsid w:val="00EB1154"/>
    <w:rsid w:val="00EB1187"/>
    <w:rsid w:val="00EB122D"/>
    <w:rsid w:val="00EB123F"/>
    <w:rsid w:val="00EB13F5"/>
    <w:rsid w:val="00EB1461"/>
    <w:rsid w:val="00EB14AA"/>
    <w:rsid w:val="00EB15A9"/>
    <w:rsid w:val="00EB1644"/>
    <w:rsid w:val="00EB1781"/>
    <w:rsid w:val="00EB1887"/>
    <w:rsid w:val="00EB1A36"/>
    <w:rsid w:val="00EB1AEA"/>
    <w:rsid w:val="00EB1B36"/>
    <w:rsid w:val="00EB1BCA"/>
    <w:rsid w:val="00EB1D0C"/>
    <w:rsid w:val="00EB1DFC"/>
    <w:rsid w:val="00EB1E5B"/>
    <w:rsid w:val="00EB1EE5"/>
    <w:rsid w:val="00EB1F53"/>
    <w:rsid w:val="00EB1F7D"/>
    <w:rsid w:val="00EB200C"/>
    <w:rsid w:val="00EB2014"/>
    <w:rsid w:val="00EB2112"/>
    <w:rsid w:val="00EB2152"/>
    <w:rsid w:val="00EB21ED"/>
    <w:rsid w:val="00EB2279"/>
    <w:rsid w:val="00EB22E8"/>
    <w:rsid w:val="00EB248B"/>
    <w:rsid w:val="00EB2588"/>
    <w:rsid w:val="00EB25EC"/>
    <w:rsid w:val="00EB2628"/>
    <w:rsid w:val="00EB2630"/>
    <w:rsid w:val="00EB2646"/>
    <w:rsid w:val="00EB265C"/>
    <w:rsid w:val="00EB27CE"/>
    <w:rsid w:val="00EB2850"/>
    <w:rsid w:val="00EB28EA"/>
    <w:rsid w:val="00EB2979"/>
    <w:rsid w:val="00EB2BC0"/>
    <w:rsid w:val="00EB2CE3"/>
    <w:rsid w:val="00EB2CEC"/>
    <w:rsid w:val="00EB2D2A"/>
    <w:rsid w:val="00EB2DAB"/>
    <w:rsid w:val="00EB2E73"/>
    <w:rsid w:val="00EB2F29"/>
    <w:rsid w:val="00EB2F5C"/>
    <w:rsid w:val="00EB300F"/>
    <w:rsid w:val="00EB3140"/>
    <w:rsid w:val="00EB31E5"/>
    <w:rsid w:val="00EB3235"/>
    <w:rsid w:val="00EB3265"/>
    <w:rsid w:val="00EB32C2"/>
    <w:rsid w:val="00EB3359"/>
    <w:rsid w:val="00EB34B9"/>
    <w:rsid w:val="00EB34BF"/>
    <w:rsid w:val="00EB34D5"/>
    <w:rsid w:val="00EB3554"/>
    <w:rsid w:val="00EB3567"/>
    <w:rsid w:val="00EB360A"/>
    <w:rsid w:val="00EB364E"/>
    <w:rsid w:val="00EB3817"/>
    <w:rsid w:val="00EB38F7"/>
    <w:rsid w:val="00EB3949"/>
    <w:rsid w:val="00EB398E"/>
    <w:rsid w:val="00EB39D4"/>
    <w:rsid w:val="00EB3AB0"/>
    <w:rsid w:val="00EB3C0C"/>
    <w:rsid w:val="00EB3D66"/>
    <w:rsid w:val="00EB3D91"/>
    <w:rsid w:val="00EB3E85"/>
    <w:rsid w:val="00EB3EEF"/>
    <w:rsid w:val="00EB3F17"/>
    <w:rsid w:val="00EB3F65"/>
    <w:rsid w:val="00EB403C"/>
    <w:rsid w:val="00EB4180"/>
    <w:rsid w:val="00EB42FF"/>
    <w:rsid w:val="00EB4353"/>
    <w:rsid w:val="00EB446A"/>
    <w:rsid w:val="00EB4679"/>
    <w:rsid w:val="00EB4688"/>
    <w:rsid w:val="00EB46A4"/>
    <w:rsid w:val="00EB4894"/>
    <w:rsid w:val="00EB495A"/>
    <w:rsid w:val="00EB4ACD"/>
    <w:rsid w:val="00EB4B35"/>
    <w:rsid w:val="00EB4C1A"/>
    <w:rsid w:val="00EB4CB1"/>
    <w:rsid w:val="00EB4CD8"/>
    <w:rsid w:val="00EB4DBB"/>
    <w:rsid w:val="00EB4DC2"/>
    <w:rsid w:val="00EB4E3A"/>
    <w:rsid w:val="00EB4F7E"/>
    <w:rsid w:val="00EB507E"/>
    <w:rsid w:val="00EB50DF"/>
    <w:rsid w:val="00EB50E5"/>
    <w:rsid w:val="00EB51E7"/>
    <w:rsid w:val="00EB526C"/>
    <w:rsid w:val="00EB52A1"/>
    <w:rsid w:val="00EB5306"/>
    <w:rsid w:val="00EB538B"/>
    <w:rsid w:val="00EB53EB"/>
    <w:rsid w:val="00EB53F6"/>
    <w:rsid w:val="00EB5405"/>
    <w:rsid w:val="00EB5420"/>
    <w:rsid w:val="00EB5445"/>
    <w:rsid w:val="00EB5455"/>
    <w:rsid w:val="00EB5470"/>
    <w:rsid w:val="00EB54C8"/>
    <w:rsid w:val="00EB5561"/>
    <w:rsid w:val="00EB55A8"/>
    <w:rsid w:val="00EB5691"/>
    <w:rsid w:val="00EB57E3"/>
    <w:rsid w:val="00EB584A"/>
    <w:rsid w:val="00EB5901"/>
    <w:rsid w:val="00EB594C"/>
    <w:rsid w:val="00EB599F"/>
    <w:rsid w:val="00EB5A2B"/>
    <w:rsid w:val="00EB5B3D"/>
    <w:rsid w:val="00EB5C56"/>
    <w:rsid w:val="00EB5CA1"/>
    <w:rsid w:val="00EB5CC8"/>
    <w:rsid w:val="00EB5CEE"/>
    <w:rsid w:val="00EB5D61"/>
    <w:rsid w:val="00EB5EC5"/>
    <w:rsid w:val="00EB5F04"/>
    <w:rsid w:val="00EB5F77"/>
    <w:rsid w:val="00EB5F80"/>
    <w:rsid w:val="00EB5FB5"/>
    <w:rsid w:val="00EB6038"/>
    <w:rsid w:val="00EB60AD"/>
    <w:rsid w:val="00EB6126"/>
    <w:rsid w:val="00EB6155"/>
    <w:rsid w:val="00EB61E5"/>
    <w:rsid w:val="00EB6288"/>
    <w:rsid w:val="00EB6463"/>
    <w:rsid w:val="00EB64BB"/>
    <w:rsid w:val="00EB6507"/>
    <w:rsid w:val="00EB652C"/>
    <w:rsid w:val="00EB65D9"/>
    <w:rsid w:val="00EB673A"/>
    <w:rsid w:val="00EB6771"/>
    <w:rsid w:val="00EB6776"/>
    <w:rsid w:val="00EB67F5"/>
    <w:rsid w:val="00EB68EE"/>
    <w:rsid w:val="00EB694C"/>
    <w:rsid w:val="00EB698D"/>
    <w:rsid w:val="00EB6A57"/>
    <w:rsid w:val="00EB6AB4"/>
    <w:rsid w:val="00EB6B3C"/>
    <w:rsid w:val="00EB6B87"/>
    <w:rsid w:val="00EB6B8C"/>
    <w:rsid w:val="00EB6C76"/>
    <w:rsid w:val="00EB6C8D"/>
    <w:rsid w:val="00EB6C96"/>
    <w:rsid w:val="00EB6CAA"/>
    <w:rsid w:val="00EB6D2A"/>
    <w:rsid w:val="00EB6D3F"/>
    <w:rsid w:val="00EB6DE0"/>
    <w:rsid w:val="00EB6E6F"/>
    <w:rsid w:val="00EB6F44"/>
    <w:rsid w:val="00EB6F8B"/>
    <w:rsid w:val="00EB700B"/>
    <w:rsid w:val="00EB70DE"/>
    <w:rsid w:val="00EB70DF"/>
    <w:rsid w:val="00EB717F"/>
    <w:rsid w:val="00EB7230"/>
    <w:rsid w:val="00EB725A"/>
    <w:rsid w:val="00EB72FE"/>
    <w:rsid w:val="00EB734A"/>
    <w:rsid w:val="00EB73F5"/>
    <w:rsid w:val="00EB74E1"/>
    <w:rsid w:val="00EB7513"/>
    <w:rsid w:val="00EB7679"/>
    <w:rsid w:val="00EB76BE"/>
    <w:rsid w:val="00EB76E2"/>
    <w:rsid w:val="00EB7864"/>
    <w:rsid w:val="00EB78B9"/>
    <w:rsid w:val="00EB79A3"/>
    <w:rsid w:val="00EB79B6"/>
    <w:rsid w:val="00EB79D8"/>
    <w:rsid w:val="00EB79DB"/>
    <w:rsid w:val="00EB7A7A"/>
    <w:rsid w:val="00EB7B39"/>
    <w:rsid w:val="00EB7BC3"/>
    <w:rsid w:val="00EB7BDB"/>
    <w:rsid w:val="00EB7BFC"/>
    <w:rsid w:val="00EB7C5E"/>
    <w:rsid w:val="00EB7CD1"/>
    <w:rsid w:val="00EB7DA9"/>
    <w:rsid w:val="00EB7DCF"/>
    <w:rsid w:val="00EB7F0E"/>
    <w:rsid w:val="00EB7F7B"/>
    <w:rsid w:val="00EB7FC1"/>
    <w:rsid w:val="00EB7FC4"/>
    <w:rsid w:val="00EC00B4"/>
    <w:rsid w:val="00EC00E6"/>
    <w:rsid w:val="00EC010C"/>
    <w:rsid w:val="00EC011F"/>
    <w:rsid w:val="00EC025F"/>
    <w:rsid w:val="00EC02AA"/>
    <w:rsid w:val="00EC02C8"/>
    <w:rsid w:val="00EC030E"/>
    <w:rsid w:val="00EC0312"/>
    <w:rsid w:val="00EC0436"/>
    <w:rsid w:val="00EC0470"/>
    <w:rsid w:val="00EC049F"/>
    <w:rsid w:val="00EC04C9"/>
    <w:rsid w:val="00EC0511"/>
    <w:rsid w:val="00EC06D5"/>
    <w:rsid w:val="00EC070A"/>
    <w:rsid w:val="00EC07D4"/>
    <w:rsid w:val="00EC08BC"/>
    <w:rsid w:val="00EC08CE"/>
    <w:rsid w:val="00EC08E5"/>
    <w:rsid w:val="00EC09B0"/>
    <w:rsid w:val="00EC0A21"/>
    <w:rsid w:val="00EC0A55"/>
    <w:rsid w:val="00EC0B93"/>
    <w:rsid w:val="00EC0C0B"/>
    <w:rsid w:val="00EC0C3C"/>
    <w:rsid w:val="00EC0E6B"/>
    <w:rsid w:val="00EC0E96"/>
    <w:rsid w:val="00EC0EB3"/>
    <w:rsid w:val="00EC0EE1"/>
    <w:rsid w:val="00EC0EF9"/>
    <w:rsid w:val="00EC0F7B"/>
    <w:rsid w:val="00EC0FF0"/>
    <w:rsid w:val="00EC1194"/>
    <w:rsid w:val="00EC11B6"/>
    <w:rsid w:val="00EC1208"/>
    <w:rsid w:val="00EC12C1"/>
    <w:rsid w:val="00EC12CB"/>
    <w:rsid w:val="00EC1382"/>
    <w:rsid w:val="00EC13B7"/>
    <w:rsid w:val="00EC142D"/>
    <w:rsid w:val="00EC14CE"/>
    <w:rsid w:val="00EC14E7"/>
    <w:rsid w:val="00EC14FF"/>
    <w:rsid w:val="00EC1503"/>
    <w:rsid w:val="00EC155A"/>
    <w:rsid w:val="00EC1560"/>
    <w:rsid w:val="00EC15A2"/>
    <w:rsid w:val="00EC15D8"/>
    <w:rsid w:val="00EC160C"/>
    <w:rsid w:val="00EC1613"/>
    <w:rsid w:val="00EC1666"/>
    <w:rsid w:val="00EC176E"/>
    <w:rsid w:val="00EC17C4"/>
    <w:rsid w:val="00EC180C"/>
    <w:rsid w:val="00EC1878"/>
    <w:rsid w:val="00EC190C"/>
    <w:rsid w:val="00EC19C4"/>
    <w:rsid w:val="00EC19EE"/>
    <w:rsid w:val="00EC19F6"/>
    <w:rsid w:val="00EC19FB"/>
    <w:rsid w:val="00EC1AFA"/>
    <w:rsid w:val="00EC1B6B"/>
    <w:rsid w:val="00EC1BCC"/>
    <w:rsid w:val="00EC1C6A"/>
    <w:rsid w:val="00EC1CE9"/>
    <w:rsid w:val="00EC1D85"/>
    <w:rsid w:val="00EC1E22"/>
    <w:rsid w:val="00EC1E24"/>
    <w:rsid w:val="00EC1E33"/>
    <w:rsid w:val="00EC1E6E"/>
    <w:rsid w:val="00EC1F5A"/>
    <w:rsid w:val="00EC1F7C"/>
    <w:rsid w:val="00EC2078"/>
    <w:rsid w:val="00EC2091"/>
    <w:rsid w:val="00EC20E5"/>
    <w:rsid w:val="00EC2114"/>
    <w:rsid w:val="00EC2167"/>
    <w:rsid w:val="00EC21E1"/>
    <w:rsid w:val="00EC226C"/>
    <w:rsid w:val="00EC22A2"/>
    <w:rsid w:val="00EC22E8"/>
    <w:rsid w:val="00EC22FA"/>
    <w:rsid w:val="00EC231E"/>
    <w:rsid w:val="00EC2336"/>
    <w:rsid w:val="00EC238A"/>
    <w:rsid w:val="00EC23B7"/>
    <w:rsid w:val="00EC2442"/>
    <w:rsid w:val="00EC24B1"/>
    <w:rsid w:val="00EC2534"/>
    <w:rsid w:val="00EC25B3"/>
    <w:rsid w:val="00EC25E1"/>
    <w:rsid w:val="00EC26DA"/>
    <w:rsid w:val="00EC26DE"/>
    <w:rsid w:val="00EC2701"/>
    <w:rsid w:val="00EC2720"/>
    <w:rsid w:val="00EC2775"/>
    <w:rsid w:val="00EC281B"/>
    <w:rsid w:val="00EC28AB"/>
    <w:rsid w:val="00EC28B7"/>
    <w:rsid w:val="00EC28D4"/>
    <w:rsid w:val="00EC28E4"/>
    <w:rsid w:val="00EC29D4"/>
    <w:rsid w:val="00EC29D5"/>
    <w:rsid w:val="00EC29D8"/>
    <w:rsid w:val="00EC2A7E"/>
    <w:rsid w:val="00EC2A83"/>
    <w:rsid w:val="00EC2B07"/>
    <w:rsid w:val="00EC2B83"/>
    <w:rsid w:val="00EC2C01"/>
    <w:rsid w:val="00EC2CF0"/>
    <w:rsid w:val="00EC2D08"/>
    <w:rsid w:val="00EC2D0D"/>
    <w:rsid w:val="00EC2D96"/>
    <w:rsid w:val="00EC2DBA"/>
    <w:rsid w:val="00EC2DED"/>
    <w:rsid w:val="00EC2EB4"/>
    <w:rsid w:val="00EC2EFF"/>
    <w:rsid w:val="00EC30E9"/>
    <w:rsid w:val="00EC3138"/>
    <w:rsid w:val="00EC3157"/>
    <w:rsid w:val="00EC31A2"/>
    <w:rsid w:val="00EC322E"/>
    <w:rsid w:val="00EC3240"/>
    <w:rsid w:val="00EC3269"/>
    <w:rsid w:val="00EC3299"/>
    <w:rsid w:val="00EC32B3"/>
    <w:rsid w:val="00EC32B8"/>
    <w:rsid w:val="00EC32C0"/>
    <w:rsid w:val="00EC336E"/>
    <w:rsid w:val="00EC3514"/>
    <w:rsid w:val="00EC356D"/>
    <w:rsid w:val="00EC3716"/>
    <w:rsid w:val="00EC372A"/>
    <w:rsid w:val="00EC37AB"/>
    <w:rsid w:val="00EC3801"/>
    <w:rsid w:val="00EC387A"/>
    <w:rsid w:val="00EC3884"/>
    <w:rsid w:val="00EC394C"/>
    <w:rsid w:val="00EC3B0F"/>
    <w:rsid w:val="00EC3B6C"/>
    <w:rsid w:val="00EC3B70"/>
    <w:rsid w:val="00EC3BD1"/>
    <w:rsid w:val="00EC3CBD"/>
    <w:rsid w:val="00EC3CDE"/>
    <w:rsid w:val="00EC3D01"/>
    <w:rsid w:val="00EC3D1C"/>
    <w:rsid w:val="00EC3D2E"/>
    <w:rsid w:val="00EC3E0D"/>
    <w:rsid w:val="00EC3E99"/>
    <w:rsid w:val="00EC3EC7"/>
    <w:rsid w:val="00EC3F06"/>
    <w:rsid w:val="00EC4022"/>
    <w:rsid w:val="00EC40A9"/>
    <w:rsid w:val="00EC40E1"/>
    <w:rsid w:val="00EC4128"/>
    <w:rsid w:val="00EC4175"/>
    <w:rsid w:val="00EC426D"/>
    <w:rsid w:val="00EC428B"/>
    <w:rsid w:val="00EC428E"/>
    <w:rsid w:val="00EC435B"/>
    <w:rsid w:val="00EC4369"/>
    <w:rsid w:val="00EC4375"/>
    <w:rsid w:val="00EC4389"/>
    <w:rsid w:val="00EC438E"/>
    <w:rsid w:val="00EC4421"/>
    <w:rsid w:val="00EC44E3"/>
    <w:rsid w:val="00EC45B1"/>
    <w:rsid w:val="00EC4612"/>
    <w:rsid w:val="00EC4692"/>
    <w:rsid w:val="00EC46C5"/>
    <w:rsid w:val="00EC473A"/>
    <w:rsid w:val="00EC47B2"/>
    <w:rsid w:val="00EC47D2"/>
    <w:rsid w:val="00EC48C2"/>
    <w:rsid w:val="00EC4914"/>
    <w:rsid w:val="00EC49EF"/>
    <w:rsid w:val="00EC4AD9"/>
    <w:rsid w:val="00EC4AF7"/>
    <w:rsid w:val="00EC4B3B"/>
    <w:rsid w:val="00EC4C44"/>
    <w:rsid w:val="00EC4C5E"/>
    <w:rsid w:val="00EC4CDB"/>
    <w:rsid w:val="00EC4CE8"/>
    <w:rsid w:val="00EC4D98"/>
    <w:rsid w:val="00EC4DBD"/>
    <w:rsid w:val="00EC4DF7"/>
    <w:rsid w:val="00EC4E91"/>
    <w:rsid w:val="00EC4F3D"/>
    <w:rsid w:val="00EC4F43"/>
    <w:rsid w:val="00EC4F6E"/>
    <w:rsid w:val="00EC4F7E"/>
    <w:rsid w:val="00EC4F89"/>
    <w:rsid w:val="00EC503B"/>
    <w:rsid w:val="00EC5071"/>
    <w:rsid w:val="00EC5144"/>
    <w:rsid w:val="00EC5173"/>
    <w:rsid w:val="00EC51B0"/>
    <w:rsid w:val="00EC5247"/>
    <w:rsid w:val="00EC52A1"/>
    <w:rsid w:val="00EC530C"/>
    <w:rsid w:val="00EC534A"/>
    <w:rsid w:val="00EC53D6"/>
    <w:rsid w:val="00EC5400"/>
    <w:rsid w:val="00EC5436"/>
    <w:rsid w:val="00EC549F"/>
    <w:rsid w:val="00EC54A4"/>
    <w:rsid w:val="00EC54AE"/>
    <w:rsid w:val="00EC54C2"/>
    <w:rsid w:val="00EC54E0"/>
    <w:rsid w:val="00EC54F8"/>
    <w:rsid w:val="00EC5536"/>
    <w:rsid w:val="00EC5549"/>
    <w:rsid w:val="00EC55D0"/>
    <w:rsid w:val="00EC5623"/>
    <w:rsid w:val="00EC5652"/>
    <w:rsid w:val="00EC57B9"/>
    <w:rsid w:val="00EC57C2"/>
    <w:rsid w:val="00EC5803"/>
    <w:rsid w:val="00EC5889"/>
    <w:rsid w:val="00EC5938"/>
    <w:rsid w:val="00EC5ABD"/>
    <w:rsid w:val="00EC5B03"/>
    <w:rsid w:val="00EC5B41"/>
    <w:rsid w:val="00EC5B82"/>
    <w:rsid w:val="00EC5BD0"/>
    <w:rsid w:val="00EC5D06"/>
    <w:rsid w:val="00EC5D0F"/>
    <w:rsid w:val="00EC5D49"/>
    <w:rsid w:val="00EC5D5C"/>
    <w:rsid w:val="00EC5D8C"/>
    <w:rsid w:val="00EC5FD8"/>
    <w:rsid w:val="00EC5FEE"/>
    <w:rsid w:val="00EC602D"/>
    <w:rsid w:val="00EC60C4"/>
    <w:rsid w:val="00EC647B"/>
    <w:rsid w:val="00EC64E1"/>
    <w:rsid w:val="00EC64FA"/>
    <w:rsid w:val="00EC6541"/>
    <w:rsid w:val="00EC6551"/>
    <w:rsid w:val="00EC65CD"/>
    <w:rsid w:val="00EC65D9"/>
    <w:rsid w:val="00EC6602"/>
    <w:rsid w:val="00EC6664"/>
    <w:rsid w:val="00EC6713"/>
    <w:rsid w:val="00EC6722"/>
    <w:rsid w:val="00EC679C"/>
    <w:rsid w:val="00EC67BA"/>
    <w:rsid w:val="00EC68BA"/>
    <w:rsid w:val="00EC68FC"/>
    <w:rsid w:val="00EC698A"/>
    <w:rsid w:val="00EC698D"/>
    <w:rsid w:val="00EC69B5"/>
    <w:rsid w:val="00EC6A1B"/>
    <w:rsid w:val="00EC6A5E"/>
    <w:rsid w:val="00EC6A90"/>
    <w:rsid w:val="00EC6AD5"/>
    <w:rsid w:val="00EC6AF2"/>
    <w:rsid w:val="00EC6B13"/>
    <w:rsid w:val="00EC6C08"/>
    <w:rsid w:val="00EC6C39"/>
    <w:rsid w:val="00EC6CA4"/>
    <w:rsid w:val="00EC6CC6"/>
    <w:rsid w:val="00EC6CCA"/>
    <w:rsid w:val="00EC6DCC"/>
    <w:rsid w:val="00EC6E0A"/>
    <w:rsid w:val="00EC6EFD"/>
    <w:rsid w:val="00EC6F30"/>
    <w:rsid w:val="00EC6F93"/>
    <w:rsid w:val="00EC7011"/>
    <w:rsid w:val="00EC704C"/>
    <w:rsid w:val="00EC7054"/>
    <w:rsid w:val="00EC70ED"/>
    <w:rsid w:val="00EC7245"/>
    <w:rsid w:val="00EC729F"/>
    <w:rsid w:val="00EC72BC"/>
    <w:rsid w:val="00EC72CD"/>
    <w:rsid w:val="00EC7461"/>
    <w:rsid w:val="00EC7499"/>
    <w:rsid w:val="00EC74BD"/>
    <w:rsid w:val="00EC74D1"/>
    <w:rsid w:val="00EC7604"/>
    <w:rsid w:val="00EC76BB"/>
    <w:rsid w:val="00EC771E"/>
    <w:rsid w:val="00EC77F3"/>
    <w:rsid w:val="00EC784E"/>
    <w:rsid w:val="00EC78AA"/>
    <w:rsid w:val="00EC790D"/>
    <w:rsid w:val="00EC7969"/>
    <w:rsid w:val="00EC79EF"/>
    <w:rsid w:val="00EC79FA"/>
    <w:rsid w:val="00EC7A05"/>
    <w:rsid w:val="00EC7ABA"/>
    <w:rsid w:val="00EC7AF0"/>
    <w:rsid w:val="00EC7AF7"/>
    <w:rsid w:val="00EC7B09"/>
    <w:rsid w:val="00EC7CBA"/>
    <w:rsid w:val="00EC7CC2"/>
    <w:rsid w:val="00EC7D1A"/>
    <w:rsid w:val="00EC7D5E"/>
    <w:rsid w:val="00EC7D94"/>
    <w:rsid w:val="00EC7DE7"/>
    <w:rsid w:val="00EC7E37"/>
    <w:rsid w:val="00EC7EEE"/>
    <w:rsid w:val="00EC7F02"/>
    <w:rsid w:val="00ED0053"/>
    <w:rsid w:val="00ED0092"/>
    <w:rsid w:val="00ED00B4"/>
    <w:rsid w:val="00ED012A"/>
    <w:rsid w:val="00ED01D5"/>
    <w:rsid w:val="00ED0327"/>
    <w:rsid w:val="00ED032B"/>
    <w:rsid w:val="00ED0343"/>
    <w:rsid w:val="00ED03A0"/>
    <w:rsid w:val="00ED03FC"/>
    <w:rsid w:val="00ED045A"/>
    <w:rsid w:val="00ED04D3"/>
    <w:rsid w:val="00ED04D5"/>
    <w:rsid w:val="00ED04EA"/>
    <w:rsid w:val="00ED05B2"/>
    <w:rsid w:val="00ED063D"/>
    <w:rsid w:val="00ED063F"/>
    <w:rsid w:val="00ED06AA"/>
    <w:rsid w:val="00ED072D"/>
    <w:rsid w:val="00ED0732"/>
    <w:rsid w:val="00ED075E"/>
    <w:rsid w:val="00ED077D"/>
    <w:rsid w:val="00ED0792"/>
    <w:rsid w:val="00ED0843"/>
    <w:rsid w:val="00ED089F"/>
    <w:rsid w:val="00ED08F7"/>
    <w:rsid w:val="00ED0948"/>
    <w:rsid w:val="00ED0A02"/>
    <w:rsid w:val="00ED0A3B"/>
    <w:rsid w:val="00ED0A4F"/>
    <w:rsid w:val="00ED0AAE"/>
    <w:rsid w:val="00ED0B45"/>
    <w:rsid w:val="00ED0B4A"/>
    <w:rsid w:val="00ED0B5E"/>
    <w:rsid w:val="00ED0C56"/>
    <w:rsid w:val="00ED0CAA"/>
    <w:rsid w:val="00ED0D46"/>
    <w:rsid w:val="00ED0E9D"/>
    <w:rsid w:val="00ED0EB2"/>
    <w:rsid w:val="00ED0F02"/>
    <w:rsid w:val="00ED0F18"/>
    <w:rsid w:val="00ED0F44"/>
    <w:rsid w:val="00ED0FE9"/>
    <w:rsid w:val="00ED100D"/>
    <w:rsid w:val="00ED1066"/>
    <w:rsid w:val="00ED10EE"/>
    <w:rsid w:val="00ED1176"/>
    <w:rsid w:val="00ED1199"/>
    <w:rsid w:val="00ED12D0"/>
    <w:rsid w:val="00ED12D3"/>
    <w:rsid w:val="00ED130F"/>
    <w:rsid w:val="00ED1394"/>
    <w:rsid w:val="00ED1399"/>
    <w:rsid w:val="00ED13B5"/>
    <w:rsid w:val="00ED142A"/>
    <w:rsid w:val="00ED1436"/>
    <w:rsid w:val="00ED1478"/>
    <w:rsid w:val="00ED1498"/>
    <w:rsid w:val="00ED14E7"/>
    <w:rsid w:val="00ED155A"/>
    <w:rsid w:val="00ED1591"/>
    <w:rsid w:val="00ED1636"/>
    <w:rsid w:val="00ED16BD"/>
    <w:rsid w:val="00ED16EA"/>
    <w:rsid w:val="00ED1780"/>
    <w:rsid w:val="00ED17A2"/>
    <w:rsid w:val="00ED17C7"/>
    <w:rsid w:val="00ED17CD"/>
    <w:rsid w:val="00ED17D1"/>
    <w:rsid w:val="00ED17E3"/>
    <w:rsid w:val="00ED1839"/>
    <w:rsid w:val="00ED18B8"/>
    <w:rsid w:val="00ED19C9"/>
    <w:rsid w:val="00ED1A44"/>
    <w:rsid w:val="00ED1A91"/>
    <w:rsid w:val="00ED1A92"/>
    <w:rsid w:val="00ED1AB9"/>
    <w:rsid w:val="00ED1B2B"/>
    <w:rsid w:val="00ED1B6C"/>
    <w:rsid w:val="00ED1BB2"/>
    <w:rsid w:val="00ED1BF2"/>
    <w:rsid w:val="00ED1C03"/>
    <w:rsid w:val="00ED1CE4"/>
    <w:rsid w:val="00ED1D05"/>
    <w:rsid w:val="00ED1D2D"/>
    <w:rsid w:val="00ED1D50"/>
    <w:rsid w:val="00ED1D57"/>
    <w:rsid w:val="00ED1DB8"/>
    <w:rsid w:val="00ED1DC7"/>
    <w:rsid w:val="00ED1EB6"/>
    <w:rsid w:val="00ED1EEB"/>
    <w:rsid w:val="00ED1F2B"/>
    <w:rsid w:val="00ED1F5E"/>
    <w:rsid w:val="00ED1F89"/>
    <w:rsid w:val="00ED2031"/>
    <w:rsid w:val="00ED2051"/>
    <w:rsid w:val="00ED207D"/>
    <w:rsid w:val="00ED20B6"/>
    <w:rsid w:val="00ED2105"/>
    <w:rsid w:val="00ED2173"/>
    <w:rsid w:val="00ED2235"/>
    <w:rsid w:val="00ED2299"/>
    <w:rsid w:val="00ED22B7"/>
    <w:rsid w:val="00ED22FF"/>
    <w:rsid w:val="00ED232B"/>
    <w:rsid w:val="00ED234B"/>
    <w:rsid w:val="00ED238C"/>
    <w:rsid w:val="00ED2391"/>
    <w:rsid w:val="00ED24A4"/>
    <w:rsid w:val="00ED26AC"/>
    <w:rsid w:val="00ED27A1"/>
    <w:rsid w:val="00ED2891"/>
    <w:rsid w:val="00ED293A"/>
    <w:rsid w:val="00ED29C8"/>
    <w:rsid w:val="00ED29EC"/>
    <w:rsid w:val="00ED2A82"/>
    <w:rsid w:val="00ED2B6F"/>
    <w:rsid w:val="00ED2CEE"/>
    <w:rsid w:val="00ED2D18"/>
    <w:rsid w:val="00ED2D90"/>
    <w:rsid w:val="00ED2E24"/>
    <w:rsid w:val="00ED2E5D"/>
    <w:rsid w:val="00ED2F1E"/>
    <w:rsid w:val="00ED2F2C"/>
    <w:rsid w:val="00ED3071"/>
    <w:rsid w:val="00ED31A9"/>
    <w:rsid w:val="00ED323F"/>
    <w:rsid w:val="00ED32C2"/>
    <w:rsid w:val="00ED33D1"/>
    <w:rsid w:val="00ED3413"/>
    <w:rsid w:val="00ED34A0"/>
    <w:rsid w:val="00ED34F7"/>
    <w:rsid w:val="00ED3505"/>
    <w:rsid w:val="00ED3571"/>
    <w:rsid w:val="00ED35B1"/>
    <w:rsid w:val="00ED35D6"/>
    <w:rsid w:val="00ED3628"/>
    <w:rsid w:val="00ED362A"/>
    <w:rsid w:val="00ED365A"/>
    <w:rsid w:val="00ED368C"/>
    <w:rsid w:val="00ED3822"/>
    <w:rsid w:val="00ED38D3"/>
    <w:rsid w:val="00ED3A7B"/>
    <w:rsid w:val="00ED3A90"/>
    <w:rsid w:val="00ED3B5B"/>
    <w:rsid w:val="00ED3BAD"/>
    <w:rsid w:val="00ED3D7A"/>
    <w:rsid w:val="00ED3DE8"/>
    <w:rsid w:val="00ED3E6B"/>
    <w:rsid w:val="00ED3ECE"/>
    <w:rsid w:val="00ED3F54"/>
    <w:rsid w:val="00ED3FB1"/>
    <w:rsid w:val="00ED3FB6"/>
    <w:rsid w:val="00ED3FDB"/>
    <w:rsid w:val="00ED4143"/>
    <w:rsid w:val="00ED4222"/>
    <w:rsid w:val="00ED430B"/>
    <w:rsid w:val="00ED431C"/>
    <w:rsid w:val="00ED43DD"/>
    <w:rsid w:val="00ED44C3"/>
    <w:rsid w:val="00ED45D1"/>
    <w:rsid w:val="00ED4619"/>
    <w:rsid w:val="00ED4666"/>
    <w:rsid w:val="00ED4672"/>
    <w:rsid w:val="00ED4750"/>
    <w:rsid w:val="00ED47A9"/>
    <w:rsid w:val="00ED47DB"/>
    <w:rsid w:val="00ED48CC"/>
    <w:rsid w:val="00ED48D5"/>
    <w:rsid w:val="00ED4906"/>
    <w:rsid w:val="00ED4A37"/>
    <w:rsid w:val="00ED4A3C"/>
    <w:rsid w:val="00ED4A4E"/>
    <w:rsid w:val="00ED4A61"/>
    <w:rsid w:val="00ED4A64"/>
    <w:rsid w:val="00ED4AEC"/>
    <w:rsid w:val="00ED4AF4"/>
    <w:rsid w:val="00ED4AFB"/>
    <w:rsid w:val="00ED4B58"/>
    <w:rsid w:val="00ED4BAF"/>
    <w:rsid w:val="00ED4BC3"/>
    <w:rsid w:val="00ED4CFB"/>
    <w:rsid w:val="00ED4DA3"/>
    <w:rsid w:val="00ED4DF0"/>
    <w:rsid w:val="00ED4E9A"/>
    <w:rsid w:val="00ED4F17"/>
    <w:rsid w:val="00ED4F1E"/>
    <w:rsid w:val="00ED4F9D"/>
    <w:rsid w:val="00ED502F"/>
    <w:rsid w:val="00ED5052"/>
    <w:rsid w:val="00ED5094"/>
    <w:rsid w:val="00ED50AB"/>
    <w:rsid w:val="00ED50B0"/>
    <w:rsid w:val="00ED513B"/>
    <w:rsid w:val="00ED5241"/>
    <w:rsid w:val="00ED5254"/>
    <w:rsid w:val="00ED530D"/>
    <w:rsid w:val="00ED549D"/>
    <w:rsid w:val="00ED54F9"/>
    <w:rsid w:val="00ED5520"/>
    <w:rsid w:val="00ED5551"/>
    <w:rsid w:val="00ED5563"/>
    <w:rsid w:val="00ED566B"/>
    <w:rsid w:val="00ED575A"/>
    <w:rsid w:val="00ED5762"/>
    <w:rsid w:val="00ED57E0"/>
    <w:rsid w:val="00ED5850"/>
    <w:rsid w:val="00ED5975"/>
    <w:rsid w:val="00ED5989"/>
    <w:rsid w:val="00ED59F2"/>
    <w:rsid w:val="00ED5AA7"/>
    <w:rsid w:val="00ED5ACC"/>
    <w:rsid w:val="00ED5AD8"/>
    <w:rsid w:val="00ED5B2E"/>
    <w:rsid w:val="00ED5B87"/>
    <w:rsid w:val="00ED5B8D"/>
    <w:rsid w:val="00ED5E33"/>
    <w:rsid w:val="00ED5E63"/>
    <w:rsid w:val="00ED5F59"/>
    <w:rsid w:val="00ED5F93"/>
    <w:rsid w:val="00ED6012"/>
    <w:rsid w:val="00ED60CA"/>
    <w:rsid w:val="00ED60E1"/>
    <w:rsid w:val="00ED61AB"/>
    <w:rsid w:val="00ED61EB"/>
    <w:rsid w:val="00ED62A3"/>
    <w:rsid w:val="00ED639A"/>
    <w:rsid w:val="00ED6467"/>
    <w:rsid w:val="00ED649A"/>
    <w:rsid w:val="00ED6509"/>
    <w:rsid w:val="00ED654A"/>
    <w:rsid w:val="00ED6557"/>
    <w:rsid w:val="00ED6586"/>
    <w:rsid w:val="00ED66FE"/>
    <w:rsid w:val="00ED6714"/>
    <w:rsid w:val="00ED6721"/>
    <w:rsid w:val="00ED6727"/>
    <w:rsid w:val="00ED677F"/>
    <w:rsid w:val="00ED67CE"/>
    <w:rsid w:val="00ED67FE"/>
    <w:rsid w:val="00ED687C"/>
    <w:rsid w:val="00ED689A"/>
    <w:rsid w:val="00ED6942"/>
    <w:rsid w:val="00ED6960"/>
    <w:rsid w:val="00ED6981"/>
    <w:rsid w:val="00ED6AAB"/>
    <w:rsid w:val="00ED6AF6"/>
    <w:rsid w:val="00ED6AF7"/>
    <w:rsid w:val="00ED6B8A"/>
    <w:rsid w:val="00ED6BD5"/>
    <w:rsid w:val="00ED6BF4"/>
    <w:rsid w:val="00ED6C16"/>
    <w:rsid w:val="00ED6C8A"/>
    <w:rsid w:val="00ED6D68"/>
    <w:rsid w:val="00ED6D79"/>
    <w:rsid w:val="00ED6D84"/>
    <w:rsid w:val="00ED6E4A"/>
    <w:rsid w:val="00ED6F4A"/>
    <w:rsid w:val="00ED6F69"/>
    <w:rsid w:val="00ED6FAB"/>
    <w:rsid w:val="00ED7064"/>
    <w:rsid w:val="00ED7113"/>
    <w:rsid w:val="00ED7142"/>
    <w:rsid w:val="00ED7162"/>
    <w:rsid w:val="00ED7191"/>
    <w:rsid w:val="00ED7263"/>
    <w:rsid w:val="00ED72CC"/>
    <w:rsid w:val="00ED7338"/>
    <w:rsid w:val="00ED7364"/>
    <w:rsid w:val="00ED738E"/>
    <w:rsid w:val="00ED73AA"/>
    <w:rsid w:val="00ED73CF"/>
    <w:rsid w:val="00ED7454"/>
    <w:rsid w:val="00ED745E"/>
    <w:rsid w:val="00ED746A"/>
    <w:rsid w:val="00ED74CE"/>
    <w:rsid w:val="00ED75A1"/>
    <w:rsid w:val="00ED75ED"/>
    <w:rsid w:val="00ED766A"/>
    <w:rsid w:val="00ED7672"/>
    <w:rsid w:val="00ED7699"/>
    <w:rsid w:val="00ED76C7"/>
    <w:rsid w:val="00ED76CD"/>
    <w:rsid w:val="00ED7756"/>
    <w:rsid w:val="00ED7759"/>
    <w:rsid w:val="00ED778F"/>
    <w:rsid w:val="00ED77CD"/>
    <w:rsid w:val="00ED77ED"/>
    <w:rsid w:val="00ED77FB"/>
    <w:rsid w:val="00ED7818"/>
    <w:rsid w:val="00ED789C"/>
    <w:rsid w:val="00ED78FD"/>
    <w:rsid w:val="00ED79B9"/>
    <w:rsid w:val="00ED79CE"/>
    <w:rsid w:val="00ED79EF"/>
    <w:rsid w:val="00ED7A22"/>
    <w:rsid w:val="00ED7BBA"/>
    <w:rsid w:val="00ED7C7E"/>
    <w:rsid w:val="00ED7CDB"/>
    <w:rsid w:val="00ED7D20"/>
    <w:rsid w:val="00ED7D8E"/>
    <w:rsid w:val="00ED7DB4"/>
    <w:rsid w:val="00ED7E34"/>
    <w:rsid w:val="00ED7EED"/>
    <w:rsid w:val="00ED7F93"/>
    <w:rsid w:val="00EE006A"/>
    <w:rsid w:val="00EE0085"/>
    <w:rsid w:val="00EE01E6"/>
    <w:rsid w:val="00EE0223"/>
    <w:rsid w:val="00EE0225"/>
    <w:rsid w:val="00EE023A"/>
    <w:rsid w:val="00EE0280"/>
    <w:rsid w:val="00EE02AB"/>
    <w:rsid w:val="00EE035D"/>
    <w:rsid w:val="00EE045C"/>
    <w:rsid w:val="00EE048D"/>
    <w:rsid w:val="00EE053B"/>
    <w:rsid w:val="00EE0554"/>
    <w:rsid w:val="00EE06E3"/>
    <w:rsid w:val="00EE077B"/>
    <w:rsid w:val="00EE0806"/>
    <w:rsid w:val="00EE0816"/>
    <w:rsid w:val="00EE08B4"/>
    <w:rsid w:val="00EE0A47"/>
    <w:rsid w:val="00EE0B20"/>
    <w:rsid w:val="00EE0B2C"/>
    <w:rsid w:val="00EE0B84"/>
    <w:rsid w:val="00EE0BCC"/>
    <w:rsid w:val="00EE0BEB"/>
    <w:rsid w:val="00EE0C2C"/>
    <w:rsid w:val="00EE0CE5"/>
    <w:rsid w:val="00EE0DA8"/>
    <w:rsid w:val="00EE0DD3"/>
    <w:rsid w:val="00EE0EF9"/>
    <w:rsid w:val="00EE0F1C"/>
    <w:rsid w:val="00EE0F45"/>
    <w:rsid w:val="00EE0F58"/>
    <w:rsid w:val="00EE0FCB"/>
    <w:rsid w:val="00EE1015"/>
    <w:rsid w:val="00EE1022"/>
    <w:rsid w:val="00EE103F"/>
    <w:rsid w:val="00EE105A"/>
    <w:rsid w:val="00EE105E"/>
    <w:rsid w:val="00EE111C"/>
    <w:rsid w:val="00EE1140"/>
    <w:rsid w:val="00EE1165"/>
    <w:rsid w:val="00EE130E"/>
    <w:rsid w:val="00EE13A6"/>
    <w:rsid w:val="00EE1441"/>
    <w:rsid w:val="00EE150E"/>
    <w:rsid w:val="00EE15A0"/>
    <w:rsid w:val="00EE15DF"/>
    <w:rsid w:val="00EE1608"/>
    <w:rsid w:val="00EE1635"/>
    <w:rsid w:val="00EE1685"/>
    <w:rsid w:val="00EE16B7"/>
    <w:rsid w:val="00EE1713"/>
    <w:rsid w:val="00EE171B"/>
    <w:rsid w:val="00EE1746"/>
    <w:rsid w:val="00EE17C1"/>
    <w:rsid w:val="00EE17DA"/>
    <w:rsid w:val="00EE17F7"/>
    <w:rsid w:val="00EE183F"/>
    <w:rsid w:val="00EE1A83"/>
    <w:rsid w:val="00EE1ADF"/>
    <w:rsid w:val="00EE1B0C"/>
    <w:rsid w:val="00EE1B62"/>
    <w:rsid w:val="00EE1B68"/>
    <w:rsid w:val="00EE1BAD"/>
    <w:rsid w:val="00EE1BBC"/>
    <w:rsid w:val="00EE1BC6"/>
    <w:rsid w:val="00EE1C35"/>
    <w:rsid w:val="00EE1D16"/>
    <w:rsid w:val="00EE1D2E"/>
    <w:rsid w:val="00EE1DFD"/>
    <w:rsid w:val="00EE1E1E"/>
    <w:rsid w:val="00EE1E34"/>
    <w:rsid w:val="00EE1E75"/>
    <w:rsid w:val="00EE1EC8"/>
    <w:rsid w:val="00EE1F4B"/>
    <w:rsid w:val="00EE20C7"/>
    <w:rsid w:val="00EE229E"/>
    <w:rsid w:val="00EE234A"/>
    <w:rsid w:val="00EE23D5"/>
    <w:rsid w:val="00EE24D9"/>
    <w:rsid w:val="00EE24E1"/>
    <w:rsid w:val="00EE24F5"/>
    <w:rsid w:val="00EE251C"/>
    <w:rsid w:val="00EE258F"/>
    <w:rsid w:val="00EE2614"/>
    <w:rsid w:val="00EE262B"/>
    <w:rsid w:val="00EE26E9"/>
    <w:rsid w:val="00EE2719"/>
    <w:rsid w:val="00EE2743"/>
    <w:rsid w:val="00EE280F"/>
    <w:rsid w:val="00EE284F"/>
    <w:rsid w:val="00EE287E"/>
    <w:rsid w:val="00EE2918"/>
    <w:rsid w:val="00EE2955"/>
    <w:rsid w:val="00EE2973"/>
    <w:rsid w:val="00EE2A40"/>
    <w:rsid w:val="00EE2A7D"/>
    <w:rsid w:val="00EE2B44"/>
    <w:rsid w:val="00EE2B75"/>
    <w:rsid w:val="00EE2BC6"/>
    <w:rsid w:val="00EE2C50"/>
    <w:rsid w:val="00EE2C83"/>
    <w:rsid w:val="00EE2CED"/>
    <w:rsid w:val="00EE2D69"/>
    <w:rsid w:val="00EE2DBE"/>
    <w:rsid w:val="00EE2DF1"/>
    <w:rsid w:val="00EE2EB8"/>
    <w:rsid w:val="00EE2EF8"/>
    <w:rsid w:val="00EE2FBD"/>
    <w:rsid w:val="00EE2FDF"/>
    <w:rsid w:val="00EE3086"/>
    <w:rsid w:val="00EE3149"/>
    <w:rsid w:val="00EE3263"/>
    <w:rsid w:val="00EE3460"/>
    <w:rsid w:val="00EE34C6"/>
    <w:rsid w:val="00EE3512"/>
    <w:rsid w:val="00EE356E"/>
    <w:rsid w:val="00EE3662"/>
    <w:rsid w:val="00EE3694"/>
    <w:rsid w:val="00EE36BA"/>
    <w:rsid w:val="00EE36BB"/>
    <w:rsid w:val="00EE38B6"/>
    <w:rsid w:val="00EE3937"/>
    <w:rsid w:val="00EE3980"/>
    <w:rsid w:val="00EE399D"/>
    <w:rsid w:val="00EE39D5"/>
    <w:rsid w:val="00EE39DF"/>
    <w:rsid w:val="00EE3A95"/>
    <w:rsid w:val="00EE3A98"/>
    <w:rsid w:val="00EE3ADB"/>
    <w:rsid w:val="00EE3AF6"/>
    <w:rsid w:val="00EE3B8F"/>
    <w:rsid w:val="00EE3B95"/>
    <w:rsid w:val="00EE3CC6"/>
    <w:rsid w:val="00EE3CDE"/>
    <w:rsid w:val="00EE3CF0"/>
    <w:rsid w:val="00EE3D2D"/>
    <w:rsid w:val="00EE3DA4"/>
    <w:rsid w:val="00EE3E8A"/>
    <w:rsid w:val="00EE3EAE"/>
    <w:rsid w:val="00EE3F20"/>
    <w:rsid w:val="00EE3F3F"/>
    <w:rsid w:val="00EE3F59"/>
    <w:rsid w:val="00EE3F74"/>
    <w:rsid w:val="00EE403A"/>
    <w:rsid w:val="00EE4064"/>
    <w:rsid w:val="00EE41D9"/>
    <w:rsid w:val="00EE41E5"/>
    <w:rsid w:val="00EE4225"/>
    <w:rsid w:val="00EE4238"/>
    <w:rsid w:val="00EE424F"/>
    <w:rsid w:val="00EE4285"/>
    <w:rsid w:val="00EE42B1"/>
    <w:rsid w:val="00EE42B3"/>
    <w:rsid w:val="00EE43A3"/>
    <w:rsid w:val="00EE43B1"/>
    <w:rsid w:val="00EE4490"/>
    <w:rsid w:val="00EE449C"/>
    <w:rsid w:val="00EE45A9"/>
    <w:rsid w:val="00EE45FD"/>
    <w:rsid w:val="00EE4699"/>
    <w:rsid w:val="00EE46C5"/>
    <w:rsid w:val="00EE4721"/>
    <w:rsid w:val="00EE4800"/>
    <w:rsid w:val="00EE4895"/>
    <w:rsid w:val="00EE48CA"/>
    <w:rsid w:val="00EE48D8"/>
    <w:rsid w:val="00EE4903"/>
    <w:rsid w:val="00EE49EB"/>
    <w:rsid w:val="00EE4A5D"/>
    <w:rsid w:val="00EE4A61"/>
    <w:rsid w:val="00EE4ABD"/>
    <w:rsid w:val="00EE4AD8"/>
    <w:rsid w:val="00EE4B31"/>
    <w:rsid w:val="00EE4BC7"/>
    <w:rsid w:val="00EE4CA7"/>
    <w:rsid w:val="00EE4CC3"/>
    <w:rsid w:val="00EE4CE0"/>
    <w:rsid w:val="00EE4D00"/>
    <w:rsid w:val="00EE4D1D"/>
    <w:rsid w:val="00EE4D79"/>
    <w:rsid w:val="00EE4E09"/>
    <w:rsid w:val="00EE4E3C"/>
    <w:rsid w:val="00EE4E86"/>
    <w:rsid w:val="00EE4EAF"/>
    <w:rsid w:val="00EE5104"/>
    <w:rsid w:val="00EE5126"/>
    <w:rsid w:val="00EE529D"/>
    <w:rsid w:val="00EE52B0"/>
    <w:rsid w:val="00EE52C0"/>
    <w:rsid w:val="00EE5396"/>
    <w:rsid w:val="00EE541C"/>
    <w:rsid w:val="00EE547D"/>
    <w:rsid w:val="00EE5498"/>
    <w:rsid w:val="00EE55E7"/>
    <w:rsid w:val="00EE55FD"/>
    <w:rsid w:val="00EE561F"/>
    <w:rsid w:val="00EE563B"/>
    <w:rsid w:val="00EE56B8"/>
    <w:rsid w:val="00EE56D0"/>
    <w:rsid w:val="00EE56F1"/>
    <w:rsid w:val="00EE5719"/>
    <w:rsid w:val="00EE573E"/>
    <w:rsid w:val="00EE576C"/>
    <w:rsid w:val="00EE5772"/>
    <w:rsid w:val="00EE5834"/>
    <w:rsid w:val="00EE5AED"/>
    <w:rsid w:val="00EE5B70"/>
    <w:rsid w:val="00EE5C5C"/>
    <w:rsid w:val="00EE5D45"/>
    <w:rsid w:val="00EE5D8B"/>
    <w:rsid w:val="00EE5DC3"/>
    <w:rsid w:val="00EE5DE3"/>
    <w:rsid w:val="00EE5DFD"/>
    <w:rsid w:val="00EE5EA2"/>
    <w:rsid w:val="00EE5EC9"/>
    <w:rsid w:val="00EE5F1B"/>
    <w:rsid w:val="00EE5F21"/>
    <w:rsid w:val="00EE5FCF"/>
    <w:rsid w:val="00EE5FD6"/>
    <w:rsid w:val="00EE6010"/>
    <w:rsid w:val="00EE6051"/>
    <w:rsid w:val="00EE60A8"/>
    <w:rsid w:val="00EE60CD"/>
    <w:rsid w:val="00EE60D0"/>
    <w:rsid w:val="00EE6108"/>
    <w:rsid w:val="00EE611D"/>
    <w:rsid w:val="00EE61B2"/>
    <w:rsid w:val="00EE628F"/>
    <w:rsid w:val="00EE63AD"/>
    <w:rsid w:val="00EE63C6"/>
    <w:rsid w:val="00EE6451"/>
    <w:rsid w:val="00EE6482"/>
    <w:rsid w:val="00EE6538"/>
    <w:rsid w:val="00EE6682"/>
    <w:rsid w:val="00EE66BC"/>
    <w:rsid w:val="00EE66CF"/>
    <w:rsid w:val="00EE6776"/>
    <w:rsid w:val="00EE67B1"/>
    <w:rsid w:val="00EE6802"/>
    <w:rsid w:val="00EE689D"/>
    <w:rsid w:val="00EE68EF"/>
    <w:rsid w:val="00EE6A82"/>
    <w:rsid w:val="00EE6A90"/>
    <w:rsid w:val="00EE6B01"/>
    <w:rsid w:val="00EE6B2A"/>
    <w:rsid w:val="00EE6B2C"/>
    <w:rsid w:val="00EE6BB1"/>
    <w:rsid w:val="00EE6BC4"/>
    <w:rsid w:val="00EE6C00"/>
    <w:rsid w:val="00EE6C66"/>
    <w:rsid w:val="00EE6C8C"/>
    <w:rsid w:val="00EE6D07"/>
    <w:rsid w:val="00EE6D86"/>
    <w:rsid w:val="00EE6DAF"/>
    <w:rsid w:val="00EE6DD7"/>
    <w:rsid w:val="00EE6DE5"/>
    <w:rsid w:val="00EE6E15"/>
    <w:rsid w:val="00EE6F82"/>
    <w:rsid w:val="00EE6FCD"/>
    <w:rsid w:val="00EE7080"/>
    <w:rsid w:val="00EE709F"/>
    <w:rsid w:val="00EE70C8"/>
    <w:rsid w:val="00EE722C"/>
    <w:rsid w:val="00EE73D6"/>
    <w:rsid w:val="00EE7449"/>
    <w:rsid w:val="00EE74BB"/>
    <w:rsid w:val="00EE74C6"/>
    <w:rsid w:val="00EE74DB"/>
    <w:rsid w:val="00EE74DC"/>
    <w:rsid w:val="00EE75B1"/>
    <w:rsid w:val="00EE7795"/>
    <w:rsid w:val="00EE7844"/>
    <w:rsid w:val="00EE788A"/>
    <w:rsid w:val="00EE7898"/>
    <w:rsid w:val="00EE79D3"/>
    <w:rsid w:val="00EE7A06"/>
    <w:rsid w:val="00EE7AA3"/>
    <w:rsid w:val="00EE7ABC"/>
    <w:rsid w:val="00EE7B19"/>
    <w:rsid w:val="00EE7B54"/>
    <w:rsid w:val="00EE7B5F"/>
    <w:rsid w:val="00EE7BA8"/>
    <w:rsid w:val="00EE7E19"/>
    <w:rsid w:val="00EE7E4E"/>
    <w:rsid w:val="00EE7EFE"/>
    <w:rsid w:val="00EE7F72"/>
    <w:rsid w:val="00EE7F88"/>
    <w:rsid w:val="00EE7F9B"/>
    <w:rsid w:val="00EE7FF3"/>
    <w:rsid w:val="00EF00B3"/>
    <w:rsid w:val="00EF0126"/>
    <w:rsid w:val="00EF013B"/>
    <w:rsid w:val="00EF018D"/>
    <w:rsid w:val="00EF0230"/>
    <w:rsid w:val="00EF0266"/>
    <w:rsid w:val="00EF027A"/>
    <w:rsid w:val="00EF02B0"/>
    <w:rsid w:val="00EF038B"/>
    <w:rsid w:val="00EF03F2"/>
    <w:rsid w:val="00EF0491"/>
    <w:rsid w:val="00EF04F4"/>
    <w:rsid w:val="00EF05F7"/>
    <w:rsid w:val="00EF0670"/>
    <w:rsid w:val="00EF06BF"/>
    <w:rsid w:val="00EF06CB"/>
    <w:rsid w:val="00EF0727"/>
    <w:rsid w:val="00EF074C"/>
    <w:rsid w:val="00EF0752"/>
    <w:rsid w:val="00EF0777"/>
    <w:rsid w:val="00EF07C6"/>
    <w:rsid w:val="00EF0824"/>
    <w:rsid w:val="00EF0842"/>
    <w:rsid w:val="00EF089C"/>
    <w:rsid w:val="00EF08BD"/>
    <w:rsid w:val="00EF08F7"/>
    <w:rsid w:val="00EF094D"/>
    <w:rsid w:val="00EF09B7"/>
    <w:rsid w:val="00EF09BB"/>
    <w:rsid w:val="00EF09D1"/>
    <w:rsid w:val="00EF0A18"/>
    <w:rsid w:val="00EF0A9C"/>
    <w:rsid w:val="00EF0A9D"/>
    <w:rsid w:val="00EF0AE5"/>
    <w:rsid w:val="00EF0B50"/>
    <w:rsid w:val="00EF0C63"/>
    <w:rsid w:val="00EF0D08"/>
    <w:rsid w:val="00EF0D35"/>
    <w:rsid w:val="00EF0E00"/>
    <w:rsid w:val="00EF0E14"/>
    <w:rsid w:val="00EF0EB0"/>
    <w:rsid w:val="00EF0F0B"/>
    <w:rsid w:val="00EF0F9C"/>
    <w:rsid w:val="00EF1004"/>
    <w:rsid w:val="00EF1064"/>
    <w:rsid w:val="00EF107C"/>
    <w:rsid w:val="00EF109A"/>
    <w:rsid w:val="00EF10B8"/>
    <w:rsid w:val="00EF1125"/>
    <w:rsid w:val="00EF1243"/>
    <w:rsid w:val="00EF12C0"/>
    <w:rsid w:val="00EF1337"/>
    <w:rsid w:val="00EF134B"/>
    <w:rsid w:val="00EF1375"/>
    <w:rsid w:val="00EF1478"/>
    <w:rsid w:val="00EF1480"/>
    <w:rsid w:val="00EF14DB"/>
    <w:rsid w:val="00EF1517"/>
    <w:rsid w:val="00EF1589"/>
    <w:rsid w:val="00EF1604"/>
    <w:rsid w:val="00EF16EE"/>
    <w:rsid w:val="00EF16F0"/>
    <w:rsid w:val="00EF1730"/>
    <w:rsid w:val="00EF173F"/>
    <w:rsid w:val="00EF17B3"/>
    <w:rsid w:val="00EF18D9"/>
    <w:rsid w:val="00EF18F5"/>
    <w:rsid w:val="00EF192B"/>
    <w:rsid w:val="00EF192F"/>
    <w:rsid w:val="00EF1997"/>
    <w:rsid w:val="00EF19B3"/>
    <w:rsid w:val="00EF19BC"/>
    <w:rsid w:val="00EF1A8A"/>
    <w:rsid w:val="00EF1B5D"/>
    <w:rsid w:val="00EF1BD4"/>
    <w:rsid w:val="00EF1CA2"/>
    <w:rsid w:val="00EF1CB4"/>
    <w:rsid w:val="00EF1D23"/>
    <w:rsid w:val="00EF1D3C"/>
    <w:rsid w:val="00EF1DA1"/>
    <w:rsid w:val="00EF1DB9"/>
    <w:rsid w:val="00EF1DBB"/>
    <w:rsid w:val="00EF1DDF"/>
    <w:rsid w:val="00EF1DF8"/>
    <w:rsid w:val="00EF1F8B"/>
    <w:rsid w:val="00EF1F8C"/>
    <w:rsid w:val="00EF1FE9"/>
    <w:rsid w:val="00EF2008"/>
    <w:rsid w:val="00EF20AA"/>
    <w:rsid w:val="00EF20FD"/>
    <w:rsid w:val="00EF21D8"/>
    <w:rsid w:val="00EF2324"/>
    <w:rsid w:val="00EF2366"/>
    <w:rsid w:val="00EF236F"/>
    <w:rsid w:val="00EF23D7"/>
    <w:rsid w:val="00EF264C"/>
    <w:rsid w:val="00EF2677"/>
    <w:rsid w:val="00EF26F7"/>
    <w:rsid w:val="00EF2743"/>
    <w:rsid w:val="00EF27B0"/>
    <w:rsid w:val="00EF27E1"/>
    <w:rsid w:val="00EF28A7"/>
    <w:rsid w:val="00EF28BA"/>
    <w:rsid w:val="00EF2945"/>
    <w:rsid w:val="00EF2956"/>
    <w:rsid w:val="00EF2AD2"/>
    <w:rsid w:val="00EF2AD6"/>
    <w:rsid w:val="00EF2B12"/>
    <w:rsid w:val="00EF2B58"/>
    <w:rsid w:val="00EF2B93"/>
    <w:rsid w:val="00EF2BD5"/>
    <w:rsid w:val="00EF2C8F"/>
    <w:rsid w:val="00EF2CAC"/>
    <w:rsid w:val="00EF2D25"/>
    <w:rsid w:val="00EF2D55"/>
    <w:rsid w:val="00EF2D90"/>
    <w:rsid w:val="00EF2DB1"/>
    <w:rsid w:val="00EF2FD9"/>
    <w:rsid w:val="00EF2FE2"/>
    <w:rsid w:val="00EF315F"/>
    <w:rsid w:val="00EF3173"/>
    <w:rsid w:val="00EF31E9"/>
    <w:rsid w:val="00EF3231"/>
    <w:rsid w:val="00EF3268"/>
    <w:rsid w:val="00EF3270"/>
    <w:rsid w:val="00EF3277"/>
    <w:rsid w:val="00EF333A"/>
    <w:rsid w:val="00EF3345"/>
    <w:rsid w:val="00EF357F"/>
    <w:rsid w:val="00EF35B3"/>
    <w:rsid w:val="00EF360D"/>
    <w:rsid w:val="00EF3616"/>
    <w:rsid w:val="00EF3628"/>
    <w:rsid w:val="00EF36B6"/>
    <w:rsid w:val="00EF371C"/>
    <w:rsid w:val="00EF3722"/>
    <w:rsid w:val="00EF3814"/>
    <w:rsid w:val="00EF383B"/>
    <w:rsid w:val="00EF38DD"/>
    <w:rsid w:val="00EF3904"/>
    <w:rsid w:val="00EF39ED"/>
    <w:rsid w:val="00EF3A38"/>
    <w:rsid w:val="00EF3A88"/>
    <w:rsid w:val="00EF3AE2"/>
    <w:rsid w:val="00EF3BA3"/>
    <w:rsid w:val="00EF3BB7"/>
    <w:rsid w:val="00EF3BBC"/>
    <w:rsid w:val="00EF3C33"/>
    <w:rsid w:val="00EF3CE8"/>
    <w:rsid w:val="00EF3D47"/>
    <w:rsid w:val="00EF3E37"/>
    <w:rsid w:val="00EF3FB2"/>
    <w:rsid w:val="00EF3FC0"/>
    <w:rsid w:val="00EF4092"/>
    <w:rsid w:val="00EF40E1"/>
    <w:rsid w:val="00EF4152"/>
    <w:rsid w:val="00EF41CA"/>
    <w:rsid w:val="00EF41ED"/>
    <w:rsid w:val="00EF42C3"/>
    <w:rsid w:val="00EF431D"/>
    <w:rsid w:val="00EF4590"/>
    <w:rsid w:val="00EF4591"/>
    <w:rsid w:val="00EF4599"/>
    <w:rsid w:val="00EF459C"/>
    <w:rsid w:val="00EF45F5"/>
    <w:rsid w:val="00EF4608"/>
    <w:rsid w:val="00EF4764"/>
    <w:rsid w:val="00EF47FB"/>
    <w:rsid w:val="00EF485D"/>
    <w:rsid w:val="00EF4908"/>
    <w:rsid w:val="00EF49EF"/>
    <w:rsid w:val="00EF4A27"/>
    <w:rsid w:val="00EF4A3D"/>
    <w:rsid w:val="00EF4A47"/>
    <w:rsid w:val="00EF4A5D"/>
    <w:rsid w:val="00EF4AB1"/>
    <w:rsid w:val="00EF4B41"/>
    <w:rsid w:val="00EF4C73"/>
    <w:rsid w:val="00EF4CA2"/>
    <w:rsid w:val="00EF4CDE"/>
    <w:rsid w:val="00EF4D37"/>
    <w:rsid w:val="00EF4D87"/>
    <w:rsid w:val="00EF4F62"/>
    <w:rsid w:val="00EF4FD8"/>
    <w:rsid w:val="00EF5032"/>
    <w:rsid w:val="00EF5070"/>
    <w:rsid w:val="00EF511F"/>
    <w:rsid w:val="00EF51B0"/>
    <w:rsid w:val="00EF51FE"/>
    <w:rsid w:val="00EF524C"/>
    <w:rsid w:val="00EF5264"/>
    <w:rsid w:val="00EF52D0"/>
    <w:rsid w:val="00EF5379"/>
    <w:rsid w:val="00EF54FF"/>
    <w:rsid w:val="00EF5543"/>
    <w:rsid w:val="00EF554C"/>
    <w:rsid w:val="00EF55B1"/>
    <w:rsid w:val="00EF5640"/>
    <w:rsid w:val="00EF5684"/>
    <w:rsid w:val="00EF56AC"/>
    <w:rsid w:val="00EF5732"/>
    <w:rsid w:val="00EF5868"/>
    <w:rsid w:val="00EF58AD"/>
    <w:rsid w:val="00EF58C4"/>
    <w:rsid w:val="00EF58C6"/>
    <w:rsid w:val="00EF58EC"/>
    <w:rsid w:val="00EF5919"/>
    <w:rsid w:val="00EF5945"/>
    <w:rsid w:val="00EF594C"/>
    <w:rsid w:val="00EF5A73"/>
    <w:rsid w:val="00EF5B03"/>
    <w:rsid w:val="00EF5D43"/>
    <w:rsid w:val="00EF5D74"/>
    <w:rsid w:val="00EF5E4A"/>
    <w:rsid w:val="00EF5EB0"/>
    <w:rsid w:val="00EF5F00"/>
    <w:rsid w:val="00EF5F4A"/>
    <w:rsid w:val="00EF5F60"/>
    <w:rsid w:val="00EF5F88"/>
    <w:rsid w:val="00EF60B0"/>
    <w:rsid w:val="00EF6110"/>
    <w:rsid w:val="00EF61CD"/>
    <w:rsid w:val="00EF61F0"/>
    <w:rsid w:val="00EF6217"/>
    <w:rsid w:val="00EF628F"/>
    <w:rsid w:val="00EF6479"/>
    <w:rsid w:val="00EF6499"/>
    <w:rsid w:val="00EF64B6"/>
    <w:rsid w:val="00EF6521"/>
    <w:rsid w:val="00EF659F"/>
    <w:rsid w:val="00EF6614"/>
    <w:rsid w:val="00EF663C"/>
    <w:rsid w:val="00EF66A1"/>
    <w:rsid w:val="00EF678A"/>
    <w:rsid w:val="00EF6890"/>
    <w:rsid w:val="00EF69C1"/>
    <w:rsid w:val="00EF6A6B"/>
    <w:rsid w:val="00EF6A77"/>
    <w:rsid w:val="00EF6AC0"/>
    <w:rsid w:val="00EF6AE2"/>
    <w:rsid w:val="00EF6B5F"/>
    <w:rsid w:val="00EF6B6E"/>
    <w:rsid w:val="00EF6BAE"/>
    <w:rsid w:val="00EF6BFB"/>
    <w:rsid w:val="00EF6C12"/>
    <w:rsid w:val="00EF6C33"/>
    <w:rsid w:val="00EF6CD3"/>
    <w:rsid w:val="00EF6D01"/>
    <w:rsid w:val="00EF6D57"/>
    <w:rsid w:val="00EF6D5F"/>
    <w:rsid w:val="00EF6E60"/>
    <w:rsid w:val="00EF6F6F"/>
    <w:rsid w:val="00EF6FD4"/>
    <w:rsid w:val="00EF6FEC"/>
    <w:rsid w:val="00EF7044"/>
    <w:rsid w:val="00EF70DE"/>
    <w:rsid w:val="00EF7100"/>
    <w:rsid w:val="00EF71DC"/>
    <w:rsid w:val="00EF71F1"/>
    <w:rsid w:val="00EF71F4"/>
    <w:rsid w:val="00EF7255"/>
    <w:rsid w:val="00EF728C"/>
    <w:rsid w:val="00EF7339"/>
    <w:rsid w:val="00EF7384"/>
    <w:rsid w:val="00EF75A5"/>
    <w:rsid w:val="00EF75B0"/>
    <w:rsid w:val="00EF75BE"/>
    <w:rsid w:val="00EF7642"/>
    <w:rsid w:val="00EF76C7"/>
    <w:rsid w:val="00EF7787"/>
    <w:rsid w:val="00EF779B"/>
    <w:rsid w:val="00EF77FB"/>
    <w:rsid w:val="00EF7804"/>
    <w:rsid w:val="00EF780B"/>
    <w:rsid w:val="00EF7863"/>
    <w:rsid w:val="00EF78FC"/>
    <w:rsid w:val="00EF798A"/>
    <w:rsid w:val="00EF79C8"/>
    <w:rsid w:val="00EF7A32"/>
    <w:rsid w:val="00EF7B93"/>
    <w:rsid w:val="00EF7BD5"/>
    <w:rsid w:val="00EF7CC4"/>
    <w:rsid w:val="00EF7CF2"/>
    <w:rsid w:val="00EF7D9D"/>
    <w:rsid w:val="00EF7E4F"/>
    <w:rsid w:val="00EF7E89"/>
    <w:rsid w:val="00EF7EA4"/>
    <w:rsid w:val="00EF7FD4"/>
    <w:rsid w:val="00EF7FD7"/>
    <w:rsid w:val="00F0000C"/>
    <w:rsid w:val="00F00013"/>
    <w:rsid w:val="00F00034"/>
    <w:rsid w:val="00F00060"/>
    <w:rsid w:val="00F000F2"/>
    <w:rsid w:val="00F000F3"/>
    <w:rsid w:val="00F00123"/>
    <w:rsid w:val="00F00156"/>
    <w:rsid w:val="00F0026C"/>
    <w:rsid w:val="00F0032D"/>
    <w:rsid w:val="00F00382"/>
    <w:rsid w:val="00F00456"/>
    <w:rsid w:val="00F00485"/>
    <w:rsid w:val="00F004C0"/>
    <w:rsid w:val="00F004D7"/>
    <w:rsid w:val="00F005FC"/>
    <w:rsid w:val="00F00627"/>
    <w:rsid w:val="00F0078B"/>
    <w:rsid w:val="00F007C6"/>
    <w:rsid w:val="00F007F8"/>
    <w:rsid w:val="00F00814"/>
    <w:rsid w:val="00F0082E"/>
    <w:rsid w:val="00F00884"/>
    <w:rsid w:val="00F00896"/>
    <w:rsid w:val="00F008A5"/>
    <w:rsid w:val="00F00909"/>
    <w:rsid w:val="00F00950"/>
    <w:rsid w:val="00F00970"/>
    <w:rsid w:val="00F00A80"/>
    <w:rsid w:val="00F00ABC"/>
    <w:rsid w:val="00F00AC1"/>
    <w:rsid w:val="00F00B1C"/>
    <w:rsid w:val="00F00B29"/>
    <w:rsid w:val="00F00B6F"/>
    <w:rsid w:val="00F00BD1"/>
    <w:rsid w:val="00F00BD9"/>
    <w:rsid w:val="00F00BDE"/>
    <w:rsid w:val="00F00C8F"/>
    <w:rsid w:val="00F00D50"/>
    <w:rsid w:val="00F00D53"/>
    <w:rsid w:val="00F00D56"/>
    <w:rsid w:val="00F00DC5"/>
    <w:rsid w:val="00F00DE2"/>
    <w:rsid w:val="00F00E4D"/>
    <w:rsid w:val="00F00FCC"/>
    <w:rsid w:val="00F00FF9"/>
    <w:rsid w:val="00F01023"/>
    <w:rsid w:val="00F010A3"/>
    <w:rsid w:val="00F01100"/>
    <w:rsid w:val="00F0111A"/>
    <w:rsid w:val="00F01149"/>
    <w:rsid w:val="00F011C8"/>
    <w:rsid w:val="00F0122B"/>
    <w:rsid w:val="00F01239"/>
    <w:rsid w:val="00F0123B"/>
    <w:rsid w:val="00F0124B"/>
    <w:rsid w:val="00F0125E"/>
    <w:rsid w:val="00F01396"/>
    <w:rsid w:val="00F0150D"/>
    <w:rsid w:val="00F015CA"/>
    <w:rsid w:val="00F0164A"/>
    <w:rsid w:val="00F01686"/>
    <w:rsid w:val="00F016D9"/>
    <w:rsid w:val="00F01753"/>
    <w:rsid w:val="00F0176E"/>
    <w:rsid w:val="00F01791"/>
    <w:rsid w:val="00F0183A"/>
    <w:rsid w:val="00F01848"/>
    <w:rsid w:val="00F018EF"/>
    <w:rsid w:val="00F01989"/>
    <w:rsid w:val="00F019EB"/>
    <w:rsid w:val="00F01A37"/>
    <w:rsid w:val="00F01B24"/>
    <w:rsid w:val="00F01B89"/>
    <w:rsid w:val="00F01BCE"/>
    <w:rsid w:val="00F01BDE"/>
    <w:rsid w:val="00F01BFD"/>
    <w:rsid w:val="00F01C0F"/>
    <w:rsid w:val="00F01C40"/>
    <w:rsid w:val="00F01CA9"/>
    <w:rsid w:val="00F01D0A"/>
    <w:rsid w:val="00F01E61"/>
    <w:rsid w:val="00F01E9F"/>
    <w:rsid w:val="00F01EA1"/>
    <w:rsid w:val="00F01F2C"/>
    <w:rsid w:val="00F01F6E"/>
    <w:rsid w:val="00F02018"/>
    <w:rsid w:val="00F020C5"/>
    <w:rsid w:val="00F020F0"/>
    <w:rsid w:val="00F02202"/>
    <w:rsid w:val="00F022F4"/>
    <w:rsid w:val="00F02303"/>
    <w:rsid w:val="00F0232A"/>
    <w:rsid w:val="00F0232B"/>
    <w:rsid w:val="00F0237A"/>
    <w:rsid w:val="00F023AB"/>
    <w:rsid w:val="00F02424"/>
    <w:rsid w:val="00F02491"/>
    <w:rsid w:val="00F0249E"/>
    <w:rsid w:val="00F0257C"/>
    <w:rsid w:val="00F025BA"/>
    <w:rsid w:val="00F025CC"/>
    <w:rsid w:val="00F025F0"/>
    <w:rsid w:val="00F02732"/>
    <w:rsid w:val="00F02752"/>
    <w:rsid w:val="00F0275B"/>
    <w:rsid w:val="00F027CF"/>
    <w:rsid w:val="00F027DF"/>
    <w:rsid w:val="00F02890"/>
    <w:rsid w:val="00F028A7"/>
    <w:rsid w:val="00F028D4"/>
    <w:rsid w:val="00F0295F"/>
    <w:rsid w:val="00F02A0D"/>
    <w:rsid w:val="00F02A88"/>
    <w:rsid w:val="00F02AAD"/>
    <w:rsid w:val="00F02AD3"/>
    <w:rsid w:val="00F02AF0"/>
    <w:rsid w:val="00F02B3F"/>
    <w:rsid w:val="00F02B4B"/>
    <w:rsid w:val="00F02B98"/>
    <w:rsid w:val="00F02BE7"/>
    <w:rsid w:val="00F02C7A"/>
    <w:rsid w:val="00F02C97"/>
    <w:rsid w:val="00F02DAD"/>
    <w:rsid w:val="00F02EB9"/>
    <w:rsid w:val="00F02EEA"/>
    <w:rsid w:val="00F02F0A"/>
    <w:rsid w:val="00F02F60"/>
    <w:rsid w:val="00F03080"/>
    <w:rsid w:val="00F030A8"/>
    <w:rsid w:val="00F031AF"/>
    <w:rsid w:val="00F031BF"/>
    <w:rsid w:val="00F03278"/>
    <w:rsid w:val="00F032D3"/>
    <w:rsid w:val="00F032F2"/>
    <w:rsid w:val="00F03458"/>
    <w:rsid w:val="00F034BB"/>
    <w:rsid w:val="00F03519"/>
    <w:rsid w:val="00F035AA"/>
    <w:rsid w:val="00F035D4"/>
    <w:rsid w:val="00F036F2"/>
    <w:rsid w:val="00F03717"/>
    <w:rsid w:val="00F03745"/>
    <w:rsid w:val="00F03752"/>
    <w:rsid w:val="00F0379B"/>
    <w:rsid w:val="00F037AB"/>
    <w:rsid w:val="00F0385C"/>
    <w:rsid w:val="00F03866"/>
    <w:rsid w:val="00F0387D"/>
    <w:rsid w:val="00F0399A"/>
    <w:rsid w:val="00F03A34"/>
    <w:rsid w:val="00F03A53"/>
    <w:rsid w:val="00F03AF4"/>
    <w:rsid w:val="00F03B04"/>
    <w:rsid w:val="00F03B2C"/>
    <w:rsid w:val="00F03B7D"/>
    <w:rsid w:val="00F03BB7"/>
    <w:rsid w:val="00F03BB9"/>
    <w:rsid w:val="00F03BD9"/>
    <w:rsid w:val="00F03BED"/>
    <w:rsid w:val="00F03C15"/>
    <w:rsid w:val="00F03C47"/>
    <w:rsid w:val="00F03C88"/>
    <w:rsid w:val="00F03CB0"/>
    <w:rsid w:val="00F03CE8"/>
    <w:rsid w:val="00F03CEA"/>
    <w:rsid w:val="00F03D78"/>
    <w:rsid w:val="00F03D7F"/>
    <w:rsid w:val="00F03DB8"/>
    <w:rsid w:val="00F03E96"/>
    <w:rsid w:val="00F03EC1"/>
    <w:rsid w:val="00F03ED5"/>
    <w:rsid w:val="00F03F9A"/>
    <w:rsid w:val="00F04037"/>
    <w:rsid w:val="00F04040"/>
    <w:rsid w:val="00F04059"/>
    <w:rsid w:val="00F04070"/>
    <w:rsid w:val="00F0411F"/>
    <w:rsid w:val="00F04124"/>
    <w:rsid w:val="00F04254"/>
    <w:rsid w:val="00F0431C"/>
    <w:rsid w:val="00F04345"/>
    <w:rsid w:val="00F04386"/>
    <w:rsid w:val="00F043C0"/>
    <w:rsid w:val="00F043D1"/>
    <w:rsid w:val="00F04431"/>
    <w:rsid w:val="00F0448C"/>
    <w:rsid w:val="00F044D7"/>
    <w:rsid w:val="00F0457C"/>
    <w:rsid w:val="00F04696"/>
    <w:rsid w:val="00F046E4"/>
    <w:rsid w:val="00F0472E"/>
    <w:rsid w:val="00F04796"/>
    <w:rsid w:val="00F047C8"/>
    <w:rsid w:val="00F047CD"/>
    <w:rsid w:val="00F047EE"/>
    <w:rsid w:val="00F04800"/>
    <w:rsid w:val="00F04813"/>
    <w:rsid w:val="00F048C8"/>
    <w:rsid w:val="00F048FB"/>
    <w:rsid w:val="00F0499A"/>
    <w:rsid w:val="00F049F4"/>
    <w:rsid w:val="00F04A8B"/>
    <w:rsid w:val="00F04BE5"/>
    <w:rsid w:val="00F04C6F"/>
    <w:rsid w:val="00F04C7A"/>
    <w:rsid w:val="00F04CBE"/>
    <w:rsid w:val="00F04CC5"/>
    <w:rsid w:val="00F04D1C"/>
    <w:rsid w:val="00F04D24"/>
    <w:rsid w:val="00F04D6A"/>
    <w:rsid w:val="00F04D7E"/>
    <w:rsid w:val="00F04E62"/>
    <w:rsid w:val="00F04E80"/>
    <w:rsid w:val="00F04E83"/>
    <w:rsid w:val="00F04EB7"/>
    <w:rsid w:val="00F04F5D"/>
    <w:rsid w:val="00F05019"/>
    <w:rsid w:val="00F05035"/>
    <w:rsid w:val="00F050CE"/>
    <w:rsid w:val="00F0510B"/>
    <w:rsid w:val="00F05147"/>
    <w:rsid w:val="00F05273"/>
    <w:rsid w:val="00F052B4"/>
    <w:rsid w:val="00F05324"/>
    <w:rsid w:val="00F05379"/>
    <w:rsid w:val="00F053E2"/>
    <w:rsid w:val="00F05431"/>
    <w:rsid w:val="00F05466"/>
    <w:rsid w:val="00F054E5"/>
    <w:rsid w:val="00F055E1"/>
    <w:rsid w:val="00F05614"/>
    <w:rsid w:val="00F0565C"/>
    <w:rsid w:val="00F05690"/>
    <w:rsid w:val="00F0575D"/>
    <w:rsid w:val="00F0578F"/>
    <w:rsid w:val="00F057B9"/>
    <w:rsid w:val="00F057DE"/>
    <w:rsid w:val="00F05886"/>
    <w:rsid w:val="00F05888"/>
    <w:rsid w:val="00F05960"/>
    <w:rsid w:val="00F05985"/>
    <w:rsid w:val="00F05A11"/>
    <w:rsid w:val="00F05A12"/>
    <w:rsid w:val="00F05A84"/>
    <w:rsid w:val="00F05A8F"/>
    <w:rsid w:val="00F05AFA"/>
    <w:rsid w:val="00F05B85"/>
    <w:rsid w:val="00F05C95"/>
    <w:rsid w:val="00F05CA9"/>
    <w:rsid w:val="00F05DD3"/>
    <w:rsid w:val="00F05DDD"/>
    <w:rsid w:val="00F05E16"/>
    <w:rsid w:val="00F05E5C"/>
    <w:rsid w:val="00F05E80"/>
    <w:rsid w:val="00F05EEC"/>
    <w:rsid w:val="00F05EF6"/>
    <w:rsid w:val="00F05F41"/>
    <w:rsid w:val="00F05F8A"/>
    <w:rsid w:val="00F05FE3"/>
    <w:rsid w:val="00F060CF"/>
    <w:rsid w:val="00F060D6"/>
    <w:rsid w:val="00F060EA"/>
    <w:rsid w:val="00F06326"/>
    <w:rsid w:val="00F0632F"/>
    <w:rsid w:val="00F0633C"/>
    <w:rsid w:val="00F06372"/>
    <w:rsid w:val="00F063FA"/>
    <w:rsid w:val="00F0644A"/>
    <w:rsid w:val="00F0654E"/>
    <w:rsid w:val="00F065D7"/>
    <w:rsid w:val="00F0664E"/>
    <w:rsid w:val="00F0672D"/>
    <w:rsid w:val="00F06779"/>
    <w:rsid w:val="00F067A8"/>
    <w:rsid w:val="00F067C1"/>
    <w:rsid w:val="00F067E0"/>
    <w:rsid w:val="00F0681E"/>
    <w:rsid w:val="00F0689B"/>
    <w:rsid w:val="00F068E6"/>
    <w:rsid w:val="00F0698B"/>
    <w:rsid w:val="00F0699C"/>
    <w:rsid w:val="00F06A18"/>
    <w:rsid w:val="00F06AEF"/>
    <w:rsid w:val="00F06B36"/>
    <w:rsid w:val="00F06B9F"/>
    <w:rsid w:val="00F06BD8"/>
    <w:rsid w:val="00F06BFB"/>
    <w:rsid w:val="00F06D54"/>
    <w:rsid w:val="00F06DC5"/>
    <w:rsid w:val="00F06DEF"/>
    <w:rsid w:val="00F06EDD"/>
    <w:rsid w:val="00F06F1B"/>
    <w:rsid w:val="00F07049"/>
    <w:rsid w:val="00F07084"/>
    <w:rsid w:val="00F0708C"/>
    <w:rsid w:val="00F070AF"/>
    <w:rsid w:val="00F07191"/>
    <w:rsid w:val="00F07233"/>
    <w:rsid w:val="00F07299"/>
    <w:rsid w:val="00F072B1"/>
    <w:rsid w:val="00F072E9"/>
    <w:rsid w:val="00F0735E"/>
    <w:rsid w:val="00F07408"/>
    <w:rsid w:val="00F07411"/>
    <w:rsid w:val="00F07422"/>
    <w:rsid w:val="00F074E4"/>
    <w:rsid w:val="00F07510"/>
    <w:rsid w:val="00F07532"/>
    <w:rsid w:val="00F07554"/>
    <w:rsid w:val="00F075BE"/>
    <w:rsid w:val="00F0763B"/>
    <w:rsid w:val="00F076EE"/>
    <w:rsid w:val="00F07754"/>
    <w:rsid w:val="00F077AF"/>
    <w:rsid w:val="00F07912"/>
    <w:rsid w:val="00F07A22"/>
    <w:rsid w:val="00F07A25"/>
    <w:rsid w:val="00F07A40"/>
    <w:rsid w:val="00F07A9D"/>
    <w:rsid w:val="00F07B75"/>
    <w:rsid w:val="00F07B8E"/>
    <w:rsid w:val="00F07BD9"/>
    <w:rsid w:val="00F07C02"/>
    <w:rsid w:val="00F07CB3"/>
    <w:rsid w:val="00F07CB5"/>
    <w:rsid w:val="00F07D11"/>
    <w:rsid w:val="00F07D13"/>
    <w:rsid w:val="00F07D28"/>
    <w:rsid w:val="00F07D4C"/>
    <w:rsid w:val="00F07DC5"/>
    <w:rsid w:val="00F07ECF"/>
    <w:rsid w:val="00F07F00"/>
    <w:rsid w:val="00F07F2B"/>
    <w:rsid w:val="00F07FBC"/>
    <w:rsid w:val="00F10007"/>
    <w:rsid w:val="00F10015"/>
    <w:rsid w:val="00F100C5"/>
    <w:rsid w:val="00F10179"/>
    <w:rsid w:val="00F101E0"/>
    <w:rsid w:val="00F101EA"/>
    <w:rsid w:val="00F101F9"/>
    <w:rsid w:val="00F10226"/>
    <w:rsid w:val="00F1029C"/>
    <w:rsid w:val="00F102CD"/>
    <w:rsid w:val="00F102ED"/>
    <w:rsid w:val="00F1030C"/>
    <w:rsid w:val="00F1036C"/>
    <w:rsid w:val="00F103A5"/>
    <w:rsid w:val="00F104A7"/>
    <w:rsid w:val="00F1052A"/>
    <w:rsid w:val="00F10545"/>
    <w:rsid w:val="00F1055E"/>
    <w:rsid w:val="00F105A2"/>
    <w:rsid w:val="00F10696"/>
    <w:rsid w:val="00F106A1"/>
    <w:rsid w:val="00F106B1"/>
    <w:rsid w:val="00F106DF"/>
    <w:rsid w:val="00F10718"/>
    <w:rsid w:val="00F107BB"/>
    <w:rsid w:val="00F10961"/>
    <w:rsid w:val="00F1098F"/>
    <w:rsid w:val="00F10A73"/>
    <w:rsid w:val="00F10AB4"/>
    <w:rsid w:val="00F10B15"/>
    <w:rsid w:val="00F10B78"/>
    <w:rsid w:val="00F10B9A"/>
    <w:rsid w:val="00F10BEE"/>
    <w:rsid w:val="00F10C9D"/>
    <w:rsid w:val="00F10CD9"/>
    <w:rsid w:val="00F10D6C"/>
    <w:rsid w:val="00F10EB8"/>
    <w:rsid w:val="00F10EC0"/>
    <w:rsid w:val="00F10EDF"/>
    <w:rsid w:val="00F10F32"/>
    <w:rsid w:val="00F10FD0"/>
    <w:rsid w:val="00F11107"/>
    <w:rsid w:val="00F111C3"/>
    <w:rsid w:val="00F11204"/>
    <w:rsid w:val="00F1125B"/>
    <w:rsid w:val="00F1129D"/>
    <w:rsid w:val="00F112C3"/>
    <w:rsid w:val="00F112C4"/>
    <w:rsid w:val="00F113A1"/>
    <w:rsid w:val="00F113BD"/>
    <w:rsid w:val="00F1140E"/>
    <w:rsid w:val="00F11461"/>
    <w:rsid w:val="00F114E2"/>
    <w:rsid w:val="00F11513"/>
    <w:rsid w:val="00F115C2"/>
    <w:rsid w:val="00F11655"/>
    <w:rsid w:val="00F1165C"/>
    <w:rsid w:val="00F1167D"/>
    <w:rsid w:val="00F11696"/>
    <w:rsid w:val="00F1172B"/>
    <w:rsid w:val="00F11747"/>
    <w:rsid w:val="00F11764"/>
    <w:rsid w:val="00F117B3"/>
    <w:rsid w:val="00F11828"/>
    <w:rsid w:val="00F11897"/>
    <w:rsid w:val="00F11906"/>
    <w:rsid w:val="00F1192D"/>
    <w:rsid w:val="00F11A5E"/>
    <w:rsid w:val="00F11AA2"/>
    <w:rsid w:val="00F11AB6"/>
    <w:rsid w:val="00F11ABF"/>
    <w:rsid w:val="00F11B6D"/>
    <w:rsid w:val="00F11C35"/>
    <w:rsid w:val="00F11C89"/>
    <w:rsid w:val="00F11CA7"/>
    <w:rsid w:val="00F11CAF"/>
    <w:rsid w:val="00F11CEC"/>
    <w:rsid w:val="00F11D6D"/>
    <w:rsid w:val="00F11E0D"/>
    <w:rsid w:val="00F11E71"/>
    <w:rsid w:val="00F11F85"/>
    <w:rsid w:val="00F1211B"/>
    <w:rsid w:val="00F1217E"/>
    <w:rsid w:val="00F12187"/>
    <w:rsid w:val="00F122B8"/>
    <w:rsid w:val="00F1235F"/>
    <w:rsid w:val="00F12384"/>
    <w:rsid w:val="00F12394"/>
    <w:rsid w:val="00F123AC"/>
    <w:rsid w:val="00F12416"/>
    <w:rsid w:val="00F12433"/>
    <w:rsid w:val="00F12454"/>
    <w:rsid w:val="00F12546"/>
    <w:rsid w:val="00F125E2"/>
    <w:rsid w:val="00F1266F"/>
    <w:rsid w:val="00F126BC"/>
    <w:rsid w:val="00F12731"/>
    <w:rsid w:val="00F12739"/>
    <w:rsid w:val="00F12760"/>
    <w:rsid w:val="00F12821"/>
    <w:rsid w:val="00F12870"/>
    <w:rsid w:val="00F12956"/>
    <w:rsid w:val="00F1296C"/>
    <w:rsid w:val="00F12973"/>
    <w:rsid w:val="00F12A86"/>
    <w:rsid w:val="00F12AE0"/>
    <w:rsid w:val="00F12B06"/>
    <w:rsid w:val="00F12B88"/>
    <w:rsid w:val="00F12CE1"/>
    <w:rsid w:val="00F12CF4"/>
    <w:rsid w:val="00F12D21"/>
    <w:rsid w:val="00F12DD4"/>
    <w:rsid w:val="00F12DD8"/>
    <w:rsid w:val="00F12E2A"/>
    <w:rsid w:val="00F12EF9"/>
    <w:rsid w:val="00F12F0D"/>
    <w:rsid w:val="00F12F1E"/>
    <w:rsid w:val="00F12F41"/>
    <w:rsid w:val="00F12F68"/>
    <w:rsid w:val="00F12FB9"/>
    <w:rsid w:val="00F13040"/>
    <w:rsid w:val="00F13045"/>
    <w:rsid w:val="00F1305A"/>
    <w:rsid w:val="00F13131"/>
    <w:rsid w:val="00F1325B"/>
    <w:rsid w:val="00F13279"/>
    <w:rsid w:val="00F13284"/>
    <w:rsid w:val="00F1328E"/>
    <w:rsid w:val="00F132DC"/>
    <w:rsid w:val="00F1339A"/>
    <w:rsid w:val="00F133B0"/>
    <w:rsid w:val="00F13475"/>
    <w:rsid w:val="00F134F1"/>
    <w:rsid w:val="00F13503"/>
    <w:rsid w:val="00F135C1"/>
    <w:rsid w:val="00F135E0"/>
    <w:rsid w:val="00F13607"/>
    <w:rsid w:val="00F13614"/>
    <w:rsid w:val="00F13628"/>
    <w:rsid w:val="00F13680"/>
    <w:rsid w:val="00F13684"/>
    <w:rsid w:val="00F13808"/>
    <w:rsid w:val="00F13815"/>
    <w:rsid w:val="00F13873"/>
    <w:rsid w:val="00F138C4"/>
    <w:rsid w:val="00F138E0"/>
    <w:rsid w:val="00F13935"/>
    <w:rsid w:val="00F13953"/>
    <w:rsid w:val="00F13A51"/>
    <w:rsid w:val="00F13A80"/>
    <w:rsid w:val="00F13A87"/>
    <w:rsid w:val="00F13ACF"/>
    <w:rsid w:val="00F13AE6"/>
    <w:rsid w:val="00F13AE7"/>
    <w:rsid w:val="00F13B09"/>
    <w:rsid w:val="00F13B6A"/>
    <w:rsid w:val="00F13B76"/>
    <w:rsid w:val="00F13C36"/>
    <w:rsid w:val="00F13C37"/>
    <w:rsid w:val="00F13CDF"/>
    <w:rsid w:val="00F13D5E"/>
    <w:rsid w:val="00F13DE5"/>
    <w:rsid w:val="00F13DFA"/>
    <w:rsid w:val="00F13E4B"/>
    <w:rsid w:val="00F13E96"/>
    <w:rsid w:val="00F13F60"/>
    <w:rsid w:val="00F13FAE"/>
    <w:rsid w:val="00F13FE0"/>
    <w:rsid w:val="00F13FFB"/>
    <w:rsid w:val="00F13FFE"/>
    <w:rsid w:val="00F14001"/>
    <w:rsid w:val="00F14145"/>
    <w:rsid w:val="00F14147"/>
    <w:rsid w:val="00F141F1"/>
    <w:rsid w:val="00F14275"/>
    <w:rsid w:val="00F1428B"/>
    <w:rsid w:val="00F14322"/>
    <w:rsid w:val="00F14358"/>
    <w:rsid w:val="00F14385"/>
    <w:rsid w:val="00F143C0"/>
    <w:rsid w:val="00F14550"/>
    <w:rsid w:val="00F146FF"/>
    <w:rsid w:val="00F14718"/>
    <w:rsid w:val="00F147D4"/>
    <w:rsid w:val="00F1482B"/>
    <w:rsid w:val="00F1484E"/>
    <w:rsid w:val="00F1489A"/>
    <w:rsid w:val="00F14967"/>
    <w:rsid w:val="00F149B8"/>
    <w:rsid w:val="00F14B18"/>
    <w:rsid w:val="00F14CC0"/>
    <w:rsid w:val="00F14DCF"/>
    <w:rsid w:val="00F14E0A"/>
    <w:rsid w:val="00F14E8D"/>
    <w:rsid w:val="00F14F57"/>
    <w:rsid w:val="00F14F98"/>
    <w:rsid w:val="00F14FD3"/>
    <w:rsid w:val="00F15075"/>
    <w:rsid w:val="00F15121"/>
    <w:rsid w:val="00F151A8"/>
    <w:rsid w:val="00F151C2"/>
    <w:rsid w:val="00F15255"/>
    <w:rsid w:val="00F152C5"/>
    <w:rsid w:val="00F152F4"/>
    <w:rsid w:val="00F1531F"/>
    <w:rsid w:val="00F1543E"/>
    <w:rsid w:val="00F155A2"/>
    <w:rsid w:val="00F156F4"/>
    <w:rsid w:val="00F156FC"/>
    <w:rsid w:val="00F15747"/>
    <w:rsid w:val="00F157BE"/>
    <w:rsid w:val="00F1583A"/>
    <w:rsid w:val="00F1584B"/>
    <w:rsid w:val="00F15920"/>
    <w:rsid w:val="00F15941"/>
    <w:rsid w:val="00F15974"/>
    <w:rsid w:val="00F15AA7"/>
    <w:rsid w:val="00F15B01"/>
    <w:rsid w:val="00F15B10"/>
    <w:rsid w:val="00F15B20"/>
    <w:rsid w:val="00F15B2B"/>
    <w:rsid w:val="00F15C35"/>
    <w:rsid w:val="00F15C3D"/>
    <w:rsid w:val="00F15D66"/>
    <w:rsid w:val="00F15D94"/>
    <w:rsid w:val="00F15DA6"/>
    <w:rsid w:val="00F15E30"/>
    <w:rsid w:val="00F15E45"/>
    <w:rsid w:val="00F15E60"/>
    <w:rsid w:val="00F15EF2"/>
    <w:rsid w:val="00F15F2E"/>
    <w:rsid w:val="00F15F74"/>
    <w:rsid w:val="00F15F89"/>
    <w:rsid w:val="00F16004"/>
    <w:rsid w:val="00F1606D"/>
    <w:rsid w:val="00F161ED"/>
    <w:rsid w:val="00F16205"/>
    <w:rsid w:val="00F162FA"/>
    <w:rsid w:val="00F163BE"/>
    <w:rsid w:val="00F164F3"/>
    <w:rsid w:val="00F1664A"/>
    <w:rsid w:val="00F166C9"/>
    <w:rsid w:val="00F166CF"/>
    <w:rsid w:val="00F16724"/>
    <w:rsid w:val="00F1676C"/>
    <w:rsid w:val="00F16824"/>
    <w:rsid w:val="00F169A8"/>
    <w:rsid w:val="00F169B1"/>
    <w:rsid w:val="00F16AAB"/>
    <w:rsid w:val="00F16AF3"/>
    <w:rsid w:val="00F16B89"/>
    <w:rsid w:val="00F16BCA"/>
    <w:rsid w:val="00F16C4D"/>
    <w:rsid w:val="00F16C5F"/>
    <w:rsid w:val="00F16DFD"/>
    <w:rsid w:val="00F16E0C"/>
    <w:rsid w:val="00F16EA2"/>
    <w:rsid w:val="00F16F3C"/>
    <w:rsid w:val="00F16F3F"/>
    <w:rsid w:val="00F17005"/>
    <w:rsid w:val="00F17027"/>
    <w:rsid w:val="00F1710D"/>
    <w:rsid w:val="00F1718F"/>
    <w:rsid w:val="00F171CE"/>
    <w:rsid w:val="00F17202"/>
    <w:rsid w:val="00F173B5"/>
    <w:rsid w:val="00F17448"/>
    <w:rsid w:val="00F17461"/>
    <w:rsid w:val="00F174CE"/>
    <w:rsid w:val="00F174F7"/>
    <w:rsid w:val="00F17514"/>
    <w:rsid w:val="00F1755D"/>
    <w:rsid w:val="00F17571"/>
    <w:rsid w:val="00F175B1"/>
    <w:rsid w:val="00F175C0"/>
    <w:rsid w:val="00F17637"/>
    <w:rsid w:val="00F1768A"/>
    <w:rsid w:val="00F176C8"/>
    <w:rsid w:val="00F17719"/>
    <w:rsid w:val="00F1771F"/>
    <w:rsid w:val="00F1778B"/>
    <w:rsid w:val="00F177A2"/>
    <w:rsid w:val="00F1794B"/>
    <w:rsid w:val="00F179A4"/>
    <w:rsid w:val="00F179C6"/>
    <w:rsid w:val="00F17A02"/>
    <w:rsid w:val="00F17A32"/>
    <w:rsid w:val="00F17A86"/>
    <w:rsid w:val="00F17BC6"/>
    <w:rsid w:val="00F17BD2"/>
    <w:rsid w:val="00F17BE4"/>
    <w:rsid w:val="00F17E13"/>
    <w:rsid w:val="00F17E27"/>
    <w:rsid w:val="00F17E37"/>
    <w:rsid w:val="00F17E50"/>
    <w:rsid w:val="00F17EAE"/>
    <w:rsid w:val="00F17F43"/>
    <w:rsid w:val="00F17FFB"/>
    <w:rsid w:val="00F20085"/>
    <w:rsid w:val="00F20091"/>
    <w:rsid w:val="00F200C5"/>
    <w:rsid w:val="00F20118"/>
    <w:rsid w:val="00F2016F"/>
    <w:rsid w:val="00F20192"/>
    <w:rsid w:val="00F2032D"/>
    <w:rsid w:val="00F20364"/>
    <w:rsid w:val="00F2039D"/>
    <w:rsid w:val="00F203A5"/>
    <w:rsid w:val="00F203C1"/>
    <w:rsid w:val="00F2061A"/>
    <w:rsid w:val="00F2066E"/>
    <w:rsid w:val="00F206E6"/>
    <w:rsid w:val="00F20701"/>
    <w:rsid w:val="00F20702"/>
    <w:rsid w:val="00F20712"/>
    <w:rsid w:val="00F20719"/>
    <w:rsid w:val="00F2074D"/>
    <w:rsid w:val="00F207FF"/>
    <w:rsid w:val="00F2091A"/>
    <w:rsid w:val="00F20997"/>
    <w:rsid w:val="00F20A34"/>
    <w:rsid w:val="00F20A99"/>
    <w:rsid w:val="00F20B14"/>
    <w:rsid w:val="00F20B1E"/>
    <w:rsid w:val="00F20B7A"/>
    <w:rsid w:val="00F20BD0"/>
    <w:rsid w:val="00F20CBB"/>
    <w:rsid w:val="00F20CD9"/>
    <w:rsid w:val="00F20CED"/>
    <w:rsid w:val="00F20D3E"/>
    <w:rsid w:val="00F20DD2"/>
    <w:rsid w:val="00F20E95"/>
    <w:rsid w:val="00F20EFD"/>
    <w:rsid w:val="00F20FF5"/>
    <w:rsid w:val="00F21091"/>
    <w:rsid w:val="00F210FC"/>
    <w:rsid w:val="00F2111C"/>
    <w:rsid w:val="00F211E3"/>
    <w:rsid w:val="00F212C5"/>
    <w:rsid w:val="00F212CF"/>
    <w:rsid w:val="00F212D0"/>
    <w:rsid w:val="00F212D9"/>
    <w:rsid w:val="00F212F5"/>
    <w:rsid w:val="00F212FA"/>
    <w:rsid w:val="00F213B0"/>
    <w:rsid w:val="00F213E4"/>
    <w:rsid w:val="00F21438"/>
    <w:rsid w:val="00F21465"/>
    <w:rsid w:val="00F2153B"/>
    <w:rsid w:val="00F21769"/>
    <w:rsid w:val="00F2185C"/>
    <w:rsid w:val="00F2191F"/>
    <w:rsid w:val="00F2193C"/>
    <w:rsid w:val="00F21A2E"/>
    <w:rsid w:val="00F21B65"/>
    <w:rsid w:val="00F21C39"/>
    <w:rsid w:val="00F21C3B"/>
    <w:rsid w:val="00F21CCF"/>
    <w:rsid w:val="00F21D1C"/>
    <w:rsid w:val="00F21D59"/>
    <w:rsid w:val="00F21D5C"/>
    <w:rsid w:val="00F21D6C"/>
    <w:rsid w:val="00F21E9B"/>
    <w:rsid w:val="00F21F25"/>
    <w:rsid w:val="00F2207C"/>
    <w:rsid w:val="00F220AB"/>
    <w:rsid w:val="00F220D5"/>
    <w:rsid w:val="00F22112"/>
    <w:rsid w:val="00F22261"/>
    <w:rsid w:val="00F222DF"/>
    <w:rsid w:val="00F22325"/>
    <w:rsid w:val="00F2236F"/>
    <w:rsid w:val="00F223EB"/>
    <w:rsid w:val="00F223FB"/>
    <w:rsid w:val="00F223FF"/>
    <w:rsid w:val="00F224B0"/>
    <w:rsid w:val="00F22530"/>
    <w:rsid w:val="00F22566"/>
    <w:rsid w:val="00F22687"/>
    <w:rsid w:val="00F2269D"/>
    <w:rsid w:val="00F226D5"/>
    <w:rsid w:val="00F22713"/>
    <w:rsid w:val="00F2274D"/>
    <w:rsid w:val="00F22762"/>
    <w:rsid w:val="00F2281E"/>
    <w:rsid w:val="00F2289F"/>
    <w:rsid w:val="00F22931"/>
    <w:rsid w:val="00F2296A"/>
    <w:rsid w:val="00F2297A"/>
    <w:rsid w:val="00F22B41"/>
    <w:rsid w:val="00F22B6C"/>
    <w:rsid w:val="00F22BA8"/>
    <w:rsid w:val="00F22BCE"/>
    <w:rsid w:val="00F22BE9"/>
    <w:rsid w:val="00F22CFF"/>
    <w:rsid w:val="00F22D70"/>
    <w:rsid w:val="00F22D9D"/>
    <w:rsid w:val="00F22E3D"/>
    <w:rsid w:val="00F22EDC"/>
    <w:rsid w:val="00F230D3"/>
    <w:rsid w:val="00F23140"/>
    <w:rsid w:val="00F23151"/>
    <w:rsid w:val="00F231EF"/>
    <w:rsid w:val="00F23231"/>
    <w:rsid w:val="00F23265"/>
    <w:rsid w:val="00F23295"/>
    <w:rsid w:val="00F233DB"/>
    <w:rsid w:val="00F23414"/>
    <w:rsid w:val="00F23552"/>
    <w:rsid w:val="00F235AC"/>
    <w:rsid w:val="00F235CE"/>
    <w:rsid w:val="00F2361E"/>
    <w:rsid w:val="00F23723"/>
    <w:rsid w:val="00F237A2"/>
    <w:rsid w:val="00F237E7"/>
    <w:rsid w:val="00F238F2"/>
    <w:rsid w:val="00F23959"/>
    <w:rsid w:val="00F23991"/>
    <w:rsid w:val="00F239FC"/>
    <w:rsid w:val="00F23A25"/>
    <w:rsid w:val="00F23AE1"/>
    <w:rsid w:val="00F23B5E"/>
    <w:rsid w:val="00F23B7E"/>
    <w:rsid w:val="00F23C84"/>
    <w:rsid w:val="00F23CDD"/>
    <w:rsid w:val="00F23EB1"/>
    <w:rsid w:val="00F23ED8"/>
    <w:rsid w:val="00F23F1F"/>
    <w:rsid w:val="00F23F80"/>
    <w:rsid w:val="00F23F90"/>
    <w:rsid w:val="00F23F96"/>
    <w:rsid w:val="00F23FDA"/>
    <w:rsid w:val="00F24011"/>
    <w:rsid w:val="00F2402A"/>
    <w:rsid w:val="00F24031"/>
    <w:rsid w:val="00F24044"/>
    <w:rsid w:val="00F240B2"/>
    <w:rsid w:val="00F2429C"/>
    <w:rsid w:val="00F242B4"/>
    <w:rsid w:val="00F242DB"/>
    <w:rsid w:val="00F242ED"/>
    <w:rsid w:val="00F24349"/>
    <w:rsid w:val="00F2437E"/>
    <w:rsid w:val="00F243B7"/>
    <w:rsid w:val="00F2442A"/>
    <w:rsid w:val="00F24457"/>
    <w:rsid w:val="00F24518"/>
    <w:rsid w:val="00F2455C"/>
    <w:rsid w:val="00F24587"/>
    <w:rsid w:val="00F2459A"/>
    <w:rsid w:val="00F245B7"/>
    <w:rsid w:val="00F247A9"/>
    <w:rsid w:val="00F247D9"/>
    <w:rsid w:val="00F2482C"/>
    <w:rsid w:val="00F24836"/>
    <w:rsid w:val="00F24843"/>
    <w:rsid w:val="00F24852"/>
    <w:rsid w:val="00F24972"/>
    <w:rsid w:val="00F24A24"/>
    <w:rsid w:val="00F24AC7"/>
    <w:rsid w:val="00F24B1F"/>
    <w:rsid w:val="00F24B40"/>
    <w:rsid w:val="00F24BC6"/>
    <w:rsid w:val="00F24C7E"/>
    <w:rsid w:val="00F24D2C"/>
    <w:rsid w:val="00F24D8B"/>
    <w:rsid w:val="00F24FAA"/>
    <w:rsid w:val="00F2506E"/>
    <w:rsid w:val="00F25097"/>
    <w:rsid w:val="00F251AB"/>
    <w:rsid w:val="00F2527A"/>
    <w:rsid w:val="00F25475"/>
    <w:rsid w:val="00F25495"/>
    <w:rsid w:val="00F25521"/>
    <w:rsid w:val="00F25537"/>
    <w:rsid w:val="00F25550"/>
    <w:rsid w:val="00F2568C"/>
    <w:rsid w:val="00F256A0"/>
    <w:rsid w:val="00F256EB"/>
    <w:rsid w:val="00F25726"/>
    <w:rsid w:val="00F257C8"/>
    <w:rsid w:val="00F2594A"/>
    <w:rsid w:val="00F2594F"/>
    <w:rsid w:val="00F2599C"/>
    <w:rsid w:val="00F25A74"/>
    <w:rsid w:val="00F25AA5"/>
    <w:rsid w:val="00F25B2B"/>
    <w:rsid w:val="00F25BE2"/>
    <w:rsid w:val="00F25C00"/>
    <w:rsid w:val="00F25C6B"/>
    <w:rsid w:val="00F25D36"/>
    <w:rsid w:val="00F25D49"/>
    <w:rsid w:val="00F25D79"/>
    <w:rsid w:val="00F25DC4"/>
    <w:rsid w:val="00F25E5E"/>
    <w:rsid w:val="00F25EBB"/>
    <w:rsid w:val="00F25EE8"/>
    <w:rsid w:val="00F25F3A"/>
    <w:rsid w:val="00F25F8B"/>
    <w:rsid w:val="00F25FAA"/>
    <w:rsid w:val="00F25FD2"/>
    <w:rsid w:val="00F2603A"/>
    <w:rsid w:val="00F2609A"/>
    <w:rsid w:val="00F260B8"/>
    <w:rsid w:val="00F2614C"/>
    <w:rsid w:val="00F2619E"/>
    <w:rsid w:val="00F261C8"/>
    <w:rsid w:val="00F261E3"/>
    <w:rsid w:val="00F26256"/>
    <w:rsid w:val="00F26296"/>
    <w:rsid w:val="00F2634A"/>
    <w:rsid w:val="00F26394"/>
    <w:rsid w:val="00F263E7"/>
    <w:rsid w:val="00F2653E"/>
    <w:rsid w:val="00F265BD"/>
    <w:rsid w:val="00F265EF"/>
    <w:rsid w:val="00F26673"/>
    <w:rsid w:val="00F2669C"/>
    <w:rsid w:val="00F2669F"/>
    <w:rsid w:val="00F266D7"/>
    <w:rsid w:val="00F267D7"/>
    <w:rsid w:val="00F26835"/>
    <w:rsid w:val="00F26838"/>
    <w:rsid w:val="00F26841"/>
    <w:rsid w:val="00F26844"/>
    <w:rsid w:val="00F2686F"/>
    <w:rsid w:val="00F26892"/>
    <w:rsid w:val="00F268AD"/>
    <w:rsid w:val="00F26916"/>
    <w:rsid w:val="00F2695A"/>
    <w:rsid w:val="00F2699E"/>
    <w:rsid w:val="00F26A04"/>
    <w:rsid w:val="00F26B79"/>
    <w:rsid w:val="00F26BDD"/>
    <w:rsid w:val="00F26C86"/>
    <w:rsid w:val="00F26CB9"/>
    <w:rsid w:val="00F26CE7"/>
    <w:rsid w:val="00F26D07"/>
    <w:rsid w:val="00F26E02"/>
    <w:rsid w:val="00F26E34"/>
    <w:rsid w:val="00F26E42"/>
    <w:rsid w:val="00F26E44"/>
    <w:rsid w:val="00F26EF2"/>
    <w:rsid w:val="00F26F78"/>
    <w:rsid w:val="00F27005"/>
    <w:rsid w:val="00F2706A"/>
    <w:rsid w:val="00F27076"/>
    <w:rsid w:val="00F27080"/>
    <w:rsid w:val="00F27097"/>
    <w:rsid w:val="00F27101"/>
    <w:rsid w:val="00F27114"/>
    <w:rsid w:val="00F27155"/>
    <w:rsid w:val="00F2719F"/>
    <w:rsid w:val="00F27283"/>
    <w:rsid w:val="00F272B8"/>
    <w:rsid w:val="00F27334"/>
    <w:rsid w:val="00F2734E"/>
    <w:rsid w:val="00F27466"/>
    <w:rsid w:val="00F27488"/>
    <w:rsid w:val="00F27545"/>
    <w:rsid w:val="00F27549"/>
    <w:rsid w:val="00F2758F"/>
    <w:rsid w:val="00F275FD"/>
    <w:rsid w:val="00F27699"/>
    <w:rsid w:val="00F276E3"/>
    <w:rsid w:val="00F2772E"/>
    <w:rsid w:val="00F277FD"/>
    <w:rsid w:val="00F278DA"/>
    <w:rsid w:val="00F27A1B"/>
    <w:rsid w:val="00F27A1E"/>
    <w:rsid w:val="00F27A4B"/>
    <w:rsid w:val="00F27AEE"/>
    <w:rsid w:val="00F27AF4"/>
    <w:rsid w:val="00F27B4F"/>
    <w:rsid w:val="00F27BD7"/>
    <w:rsid w:val="00F27C5B"/>
    <w:rsid w:val="00F27D2F"/>
    <w:rsid w:val="00F27EBB"/>
    <w:rsid w:val="00F27F12"/>
    <w:rsid w:val="00F30079"/>
    <w:rsid w:val="00F300F9"/>
    <w:rsid w:val="00F3010A"/>
    <w:rsid w:val="00F301C9"/>
    <w:rsid w:val="00F302E1"/>
    <w:rsid w:val="00F302EE"/>
    <w:rsid w:val="00F30309"/>
    <w:rsid w:val="00F30366"/>
    <w:rsid w:val="00F30387"/>
    <w:rsid w:val="00F303C9"/>
    <w:rsid w:val="00F303D2"/>
    <w:rsid w:val="00F303EF"/>
    <w:rsid w:val="00F3047F"/>
    <w:rsid w:val="00F304DD"/>
    <w:rsid w:val="00F3053E"/>
    <w:rsid w:val="00F30593"/>
    <w:rsid w:val="00F305CD"/>
    <w:rsid w:val="00F30616"/>
    <w:rsid w:val="00F30691"/>
    <w:rsid w:val="00F306B2"/>
    <w:rsid w:val="00F307BC"/>
    <w:rsid w:val="00F307D4"/>
    <w:rsid w:val="00F30898"/>
    <w:rsid w:val="00F30942"/>
    <w:rsid w:val="00F309CA"/>
    <w:rsid w:val="00F30B75"/>
    <w:rsid w:val="00F30BBC"/>
    <w:rsid w:val="00F30CAA"/>
    <w:rsid w:val="00F30DB4"/>
    <w:rsid w:val="00F30E4E"/>
    <w:rsid w:val="00F30F6E"/>
    <w:rsid w:val="00F30F9A"/>
    <w:rsid w:val="00F311AE"/>
    <w:rsid w:val="00F3137A"/>
    <w:rsid w:val="00F313AC"/>
    <w:rsid w:val="00F313BC"/>
    <w:rsid w:val="00F31421"/>
    <w:rsid w:val="00F3145F"/>
    <w:rsid w:val="00F31469"/>
    <w:rsid w:val="00F3148B"/>
    <w:rsid w:val="00F3149A"/>
    <w:rsid w:val="00F314CF"/>
    <w:rsid w:val="00F31589"/>
    <w:rsid w:val="00F31642"/>
    <w:rsid w:val="00F316E9"/>
    <w:rsid w:val="00F31719"/>
    <w:rsid w:val="00F317AA"/>
    <w:rsid w:val="00F3184F"/>
    <w:rsid w:val="00F31895"/>
    <w:rsid w:val="00F318EC"/>
    <w:rsid w:val="00F3193A"/>
    <w:rsid w:val="00F31988"/>
    <w:rsid w:val="00F3198A"/>
    <w:rsid w:val="00F31A19"/>
    <w:rsid w:val="00F31A42"/>
    <w:rsid w:val="00F31A87"/>
    <w:rsid w:val="00F31A8F"/>
    <w:rsid w:val="00F31AA3"/>
    <w:rsid w:val="00F31AD2"/>
    <w:rsid w:val="00F31AD3"/>
    <w:rsid w:val="00F31B75"/>
    <w:rsid w:val="00F31B76"/>
    <w:rsid w:val="00F31C2F"/>
    <w:rsid w:val="00F31CBA"/>
    <w:rsid w:val="00F31CD2"/>
    <w:rsid w:val="00F31CD7"/>
    <w:rsid w:val="00F31D26"/>
    <w:rsid w:val="00F31E50"/>
    <w:rsid w:val="00F31E52"/>
    <w:rsid w:val="00F31ECC"/>
    <w:rsid w:val="00F31EE6"/>
    <w:rsid w:val="00F31F27"/>
    <w:rsid w:val="00F31F32"/>
    <w:rsid w:val="00F31F82"/>
    <w:rsid w:val="00F31F8E"/>
    <w:rsid w:val="00F31FBA"/>
    <w:rsid w:val="00F3208C"/>
    <w:rsid w:val="00F321EB"/>
    <w:rsid w:val="00F32213"/>
    <w:rsid w:val="00F323AB"/>
    <w:rsid w:val="00F323D4"/>
    <w:rsid w:val="00F32616"/>
    <w:rsid w:val="00F3265E"/>
    <w:rsid w:val="00F326C6"/>
    <w:rsid w:val="00F32716"/>
    <w:rsid w:val="00F3275A"/>
    <w:rsid w:val="00F327DF"/>
    <w:rsid w:val="00F327FE"/>
    <w:rsid w:val="00F328DF"/>
    <w:rsid w:val="00F32923"/>
    <w:rsid w:val="00F32997"/>
    <w:rsid w:val="00F32999"/>
    <w:rsid w:val="00F329F2"/>
    <w:rsid w:val="00F32A17"/>
    <w:rsid w:val="00F32A8A"/>
    <w:rsid w:val="00F32ADD"/>
    <w:rsid w:val="00F32AEB"/>
    <w:rsid w:val="00F32B82"/>
    <w:rsid w:val="00F32BB8"/>
    <w:rsid w:val="00F32D38"/>
    <w:rsid w:val="00F32D6E"/>
    <w:rsid w:val="00F32DC3"/>
    <w:rsid w:val="00F32E67"/>
    <w:rsid w:val="00F32E68"/>
    <w:rsid w:val="00F32EFC"/>
    <w:rsid w:val="00F32F40"/>
    <w:rsid w:val="00F32F49"/>
    <w:rsid w:val="00F330B9"/>
    <w:rsid w:val="00F33121"/>
    <w:rsid w:val="00F33137"/>
    <w:rsid w:val="00F3316D"/>
    <w:rsid w:val="00F33172"/>
    <w:rsid w:val="00F331C4"/>
    <w:rsid w:val="00F332B3"/>
    <w:rsid w:val="00F33308"/>
    <w:rsid w:val="00F333A3"/>
    <w:rsid w:val="00F33458"/>
    <w:rsid w:val="00F334AC"/>
    <w:rsid w:val="00F334B0"/>
    <w:rsid w:val="00F334F8"/>
    <w:rsid w:val="00F335CA"/>
    <w:rsid w:val="00F3361B"/>
    <w:rsid w:val="00F337CF"/>
    <w:rsid w:val="00F33885"/>
    <w:rsid w:val="00F33939"/>
    <w:rsid w:val="00F3396A"/>
    <w:rsid w:val="00F33984"/>
    <w:rsid w:val="00F33A36"/>
    <w:rsid w:val="00F33A93"/>
    <w:rsid w:val="00F33B62"/>
    <w:rsid w:val="00F33B6A"/>
    <w:rsid w:val="00F33C32"/>
    <w:rsid w:val="00F33C71"/>
    <w:rsid w:val="00F33CE9"/>
    <w:rsid w:val="00F33E5D"/>
    <w:rsid w:val="00F33EAC"/>
    <w:rsid w:val="00F33EDE"/>
    <w:rsid w:val="00F33F4C"/>
    <w:rsid w:val="00F3401E"/>
    <w:rsid w:val="00F34043"/>
    <w:rsid w:val="00F3412C"/>
    <w:rsid w:val="00F34213"/>
    <w:rsid w:val="00F3421D"/>
    <w:rsid w:val="00F34302"/>
    <w:rsid w:val="00F34344"/>
    <w:rsid w:val="00F344C1"/>
    <w:rsid w:val="00F345B1"/>
    <w:rsid w:val="00F34732"/>
    <w:rsid w:val="00F3474A"/>
    <w:rsid w:val="00F347A3"/>
    <w:rsid w:val="00F34856"/>
    <w:rsid w:val="00F34857"/>
    <w:rsid w:val="00F348DE"/>
    <w:rsid w:val="00F3493D"/>
    <w:rsid w:val="00F34990"/>
    <w:rsid w:val="00F349AB"/>
    <w:rsid w:val="00F349AC"/>
    <w:rsid w:val="00F349BD"/>
    <w:rsid w:val="00F34A32"/>
    <w:rsid w:val="00F34AAB"/>
    <w:rsid w:val="00F34C05"/>
    <w:rsid w:val="00F34C9C"/>
    <w:rsid w:val="00F34CA2"/>
    <w:rsid w:val="00F34CEC"/>
    <w:rsid w:val="00F34D9D"/>
    <w:rsid w:val="00F34DC4"/>
    <w:rsid w:val="00F34DC9"/>
    <w:rsid w:val="00F34E42"/>
    <w:rsid w:val="00F34E89"/>
    <w:rsid w:val="00F34EB2"/>
    <w:rsid w:val="00F34F34"/>
    <w:rsid w:val="00F34F75"/>
    <w:rsid w:val="00F34FF7"/>
    <w:rsid w:val="00F35033"/>
    <w:rsid w:val="00F35041"/>
    <w:rsid w:val="00F3505B"/>
    <w:rsid w:val="00F350B3"/>
    <w:rsid w:val="00F35127"/>
    <w:rsid w:val="00F3517B"/>
    <w:rsid w:val="00F35277"/>
    <w:rsid w:val="00F35281"/>
    <w:rsid w:val="00F35345"/>
    <w:rsid w:val="00F35444"/>
    <w:rsid w:val="00F35613"/>
    <w:rsid w:val="00F35690"/>
    <w:rsid w:val="00F35695"/>
    <w:rsid w:val="00F356B0"/>
    <w:rsid w:val="00F3595F"/>
    <w:rsid w:val="00F35A99"/>
    <w:rsid w:val="00F35A9F"/>
    <w:rsid w:val="00F35B00"/>
    <w:rsid w:val="00F35B98"/>
    <w:rsid w:val="00F35BAA"/>
    <w:rsid w:val="00F35BCC"/>
    <w:rsid w:val="00F35C55"/>
    <w:rsid w:val="00F35CF5"/>
    <w:rsid w:val="00F35D38"/>
    <w:rsid w:val="00F35DD7"/>
    <w:rsid w:val="00F35E83"/>
    <w:rsid w:val="00F3600E"/>
    <w:rsid w:val="00F36034"/>
    <w:rsid w:val="00F36045"/>
    <w:rsid w:val="00F36053"/>
    <w:rsid w:val="00F36291"/>
    <w:rsid w:val="00F3629C"/>
    <w:rsid w:val="00F362B8"/>
    <w:rsid w:val="00F3635C"/>
    <w:rsid w:val="00F363B3"/>
    <w:rsid w:val="00F363BD"/>
    <w:rsid w:val="00F363E2"/>
    <w:rsid w:val="00F3648E"/>
    <w:rsid w:val="00F364B1"/>
    <w:rsid w:val="00F3655B"/>
    <w:rsid w:val="00F36581"/>
    <w:rsid w:val="00F366E0"/>
    <w:rsid w:val="00F36730"/>
    <w:rsid w:val="00F3677F"/>
    <w:rsid w:val="00F3680B"/>
    <w:rsid w:val="00F36812"/>
    <w:rsid w:val="00F36826"/>
    <w:rsid w:val="00F368BA"/>
    <w:rsid w:val="00F36931"/>
    <w:rsid w:val="00F369D8"/>
    <w:rsid w:val="00F36A01"/>
    <w:rsid w:val="00F36A9E"/>
    <w:rsid w:val="00F36AF2"/>
    <w:rsid w:val="00F36B05"/>
    <w:rsid w:val="00F36C25"/>
    <w:rsid w:val="00F36C7E"/>
    <w:rsid w:val="00F36D1E"/>
    <w:rsid w:val="00F36D1F"/>
    <w:rsid w:val="00F36D7E"/>
    <w:rsid w:val="00F36DD0"/>
    <w:rsid w:val="00F36DEE"/>
    <w:rsid w:val="00F37045"/>
    <w:rsid w:val="00F370B8"/>
    <w:rsid w:val="00F3713F"/>
    <w:rsid w:val="00F37253"/>
    <w:rsid w:val="00F372AB"/>
    <w:rsid w:val="00F372BE"/>
    <w:rsid w:val="00F372EB"/>
    <w:rsid w:val="00F37382"/>
    <w:rsid w:val="00F373E0"/>
    <w:rsid w:val="00F3741A"/>
    <w:rsid w:val="00F37425"/>
    <w:rsid w:val="00F3746F"/>
    <w:rsid w:val="00F37481"/>
    <w:rsid w:val="00F374B3"/>
    <w:rsid w:val="00F37539"/>
    <w:rsid w:val="00F37581"/>
    <w:rsid w:val="00F37617"/>
    <w:rsid w:val="00F37700"/>
    <w:rsid w:val="00F377A3"/>
    <w:rsid w:val="00F37810"/>
    <w:rsid w:val="00F37817"/>
    <w:rsid w:val="00F3782D"/>
    <w:rsid w:val="00F378BC"/>
    <w:rsid w:val="00F378F3"/>
    <w:rsid w:val="00F3799F"/>
    <w:rsid w:val="00F379E9"/>
    <w:rsid w:val="00F37A6E"/>
    <w:rsid w:val="00F37AB2"/>
    <w:rsid w:val="00F37AD6"/>
    <w:rsid w:val="00F37ADA"/>
    <w:rsid w:val="00F37B35"/>
    <w:rsid w:val="00F37B95"/>
    <w:rsid w:val="00F37C48"/>
    <w:rsid w:val="00F37CF6"/>
    <w:rsid w:val="00F37DC8"/>
    <w:rsid w:val="00F37EBB"/>
    <w:rsid w:val="00F37F28"/>
    <w:rsid w:val="00F37F8A"/>
    <w:rsid w:val="00F37FE3"/>
    <w:rsid w:val="00F37FF6"/>
    <w:rsid w:val="00F40103"/>
    <w:rsid w:val="00F40105"/>
    <w:rsid w:val="00F40136"/>
    <w:rsid w:val="00F40144"/>
    <w:rsid w:val="00F401E4"/>
    <w:rsid w:val="00F40225"/>
    <w:rsid w:val="00F40249"/>
    <w:rsid w:val="00F40359"/>
    <w:rsid w:val="00F4038C"/>
    <w:rsid w:val="00F4038E"/>
    <w:rsid w:val="00F403F2"/>
    <w:rsid w:val="00F40503"/>
    <w:rsid w:val="00F40527"/>
    <w:rsid w:val="00F405F2"/>
    <w:rsid w:val="00F4069A"/>
    <w:rsid w:val="00F406CF"/>
    <w:rsid w:val="00F406FB"/>
    <w:rsid w:val="00F40723"/>
    <w:rsid w:val="00F407E7"/>
    <w:rsid w:val="00F40862"/>
    <w:rsid w:val="00F40893"/>
    <w:rsid w:val="00F408A5"/>
    <w:rsid w:val="00F4090A"/>
    <w:rsid w:val="00F4091C"/>
    <w:rsid w:val="00F40955"/>
    <w:rsid w:val="00F40965"/>
    <w:rsid w:val="00F409CE"/>
    <w:rsid w:val="00F40A24"/>
    <w:rsid w:val="00F40A9A"/>
    <w:rsid w:val="00F40AF6"/>
    <w:rsid w:val="00F40B90"/>
    <w:rsid w:val="00F40BB8"/>
    <w:rsid w:val="00F40BDA"/>
    <w:rsid w:val="00F40C44"/>
    <w:rsid w:val="00F40D15"/>
    <w:rsid w:val="00F40DCC"/>
    <w:rsid w:val="00F40E5E"/>
    <w:rsid w:val="00F40EBA"/>
    <w:rsid w:val="00F40FD7"/>
    <w:rsid w:val="00F4106F"/>
    <w:rsid w:val="00F410B7"/>
    <w:rsid w:val="00F4118C"/>
    <w:rsid w:val="00F411CE"/>
    <w:rsid w:val="00F41230"/>
    <w:rsid w:val="00F4123A"/>
    <w:rsid w:val="00F4124C"/>
    <w:rsid w:val="00F41256"/>
    <w:rsid w:val="00F4127E"/>
    <w:rsid w:val="00F41386"/>
    <w:rsid w:val="00F4138A"/>
    <w:rsid w:val="00F4140E"/>
    <w:rsid w:val="00F4141E"/>
    <w:rsid w:val="00F41502"/>
    <w:rsid w:val="00F41508"/>
    <w:rsid w:val="00F415A3"/>
    <w:rsid w:val="00F4162E"/>
    <w:rsid w:val="00F4163C"/>
    <w:rsid w:val="00F41667"/>
    <w:rsid w:val="00F417D5"/>
    <w:rsid w:val="00F41875"/>
    <w:rsid w:val="00F418B2"/>
    <w:rsid w:val="00F418C3"/>
    <w:rsid w:val="00F41907"/>
    <w:rsid w:val="00F4191A"/>
    <w:rsid w:val="00F41B01"/>
    <w:rsid w:val="00F41B26"/>
    <w:rsid w:val="00F41B77"/>
    <w:rsid w:val="00F41B81"/>
    <w:rsid w:val="00F41B98"/>
    <w:rsid w:val="00F41BA8"/>
    <w:rsid w:val="00F41C39"/>
    <w:rsid w:val="00F41C7D"/>
    <w:rsid w:val="00F41CB5"/>
    <w:rsid w:val="00F41CF5"/>
    <w:rsid w:val="00F41DBA"/>
    <w:rsid w:val="00F41DBD"/>
    <w:rsid w:val="00F41E23"/>
    <w:rsid w:val="00F41FAC"/>
    <w:rsid w:val="00F4204F"/>
    <w:rsid w:val="00F420A0"/>
    <w:rsid w:val="00F4211B"/>
    <w:rsid w:val="00F42396"/>
    <w:rsid w:val="00F42403"/>
    <w:rsid w:val="00F42504"/>
    <w:rsid w:val="00F4254E"/>
    <w:rsid w:val="00F4263F"/>
    <w:rsid w:val="00F42690"/>
    <w:rsid w:val="00F4272A"/>
    <w:rsid w:val="00F42784"/>
    <w:rsid w:val="00F427C7"/>
    <w:rsid w:val="00F428DF"/>
    <w:rsid w:val="00F42937"/>
    <w:rsid w:val="00F42976"/>
    <w:rsid w:val="00F429DB"/>
    <w:rsid w:val="00F42A9C"/>
    <w:rsid w:val="00F42AE6"/>
    <w:rsid w:val="00F42B2E"/>
    <w:rsid w:val="00F42B3B"/>
    <w:rsid w:val="00F42D3E"/>
    <w:rsid w:val="00F42D54"/>
    <w:rsid w:val="00F42E1D"/>
    <w:rsid w:val="00F42E21"/>
    <w:rsid w:val="00F42E22"/>
    <w:rsid w:val="00F42EA2"/>
    <w:rsid w:val="00F42FA6"/>
    <w:rsid w:val="00F42FD6"/>
    <w:rsid w:val="00F4301C"/>
    <w:rsid w:val="00F43069"/>
    <w:rsid w:val="00F43081"/>
    <w:rsid w:val="00F4314B"/>
    <w:rsid w:val="00F431D6"/>
    <w:rsid w:val="00F43256"/>
    <w:rsid w:val="00F4325C"/>
    <w:rsid w:val="00F43395"/>
    <w:rsid w:val="00F434B6"/>
    <w:rsid w:val="00F435CF"/>
    <w:rsid w:val="00F43612"/>
    <w:rsid w:val="00F43658"/>
    <w:rsid w:val="00F436BB"/>
    <w:rsid w:val="00F436FC"/>
    <w:rsid w:val="00F437B7"/>
    <w:rsid w:val="00F437C2"/>
    <w:rsid w:val="00F437CB"/>
    <w:rsid w:val="00F4381B"/>
    <w:rsid w:val="00F4387F"/>
    <w:rsid w:val="00F43A14"/>
    <w:rsid w:val="00F43A8E"/>
    <w:rsid w:val="00F43BC3"/>
    <w:rsid w:val="00F43BF3"/>
    <w:rsid w:val="00F43C79"/>
    <w:rsid w:val="00F43E8D"/>
    <w:rsid w:val="00F43F35"/>
    <w:rsid w:val="00F44045"/>
    <w:rsid w:val="00F4405A"/>
    <w:rsid w:val="00F44099"/>
    <w:rsid w:val="00F4435F"/>
    <w:rsid w:val="00F443C7"/>
    <w:rsid w:val="00F443FA"/>
    <w:rsid w:val="00F44463"/>
    <w:rsid w:val="00F44571"/>
    <w:rsid w:val="00F44598"/>
    <w:rsid w:val="00F445A7"/>
    <w:rsid w:val="00F445CA"/>
    <w:rsid w:val="00F445EB"/>
    <w:rsid w:val="00F447E1"/>
    <w:rsid w:val="00F448FB"/>
    <w:rsid w:val="00F44907"/>
    <w:rsid w:val="00F4493B"/>
    <w:rsid w:val="00F44AC8"/>
    <w:rsid w:val="00F44AD5"/>
    <w:rsid w:val="00F44BA5"/>
    <w:rsid w:val="00F44C89"/>
    <w:rsid w:val="00F44C9D"/>
    <w:rsid w:val="00F44CA9"/>
    <w:rsid w:val="00F44CDB"/>
    <w:rsid w:val="00F44E4A"/>
    <w:rsid w:val="00F44EA5"/>
    <w:rsid w:val="00F44F86"/>
    <w:rsid w:val="00F44FA7"/>
    <w:rsid w:val="00F4509A"/>
    <w:rsid w:val="00F451EF"/>
    <w:rsid w:val="00F4525D"/>
    <w:rsid w:val="00F452D7"/>
    <w:rsid w:val="00F45342"/>
    <w:rsid w:val="00F454FE"/>
    <w:rsid w:val="00F4554B"/>
    <w:rsid w:val="00F45589"/>
    <w:rsid w:val="00F455B9"/>
    <w:rsid w:val="00F455DF"/>
    <w:rsid w:val="00F45623"/>
    <w:rsid w:val="00F4564A"/>
    <w:rsid w:val="00F4568E"/>
    <w:rsid w:val="00F45697"/>
    <w:rsid w:val="00F456E6"/>
    <w:rsid w:val="00F456E9"/>
    <w:rsid w:val="00F457CB"/>
    <w:rsid w:val="00F45817"/>
    <w:rsid w:val="00F4584E"/>
    <w:rsid w:val="00F45945"/>
    <w:rsid w:val="00F4598E"/>
    <w:rsid w:val="00F45A5D"/>
    <w:rsid w:val="00F45B11"/>
    <w:rsid w:val="00F45D13"/>
    <w:rsid w:val="00F45EEC"/>
    <w:rsid w:val="00F46038"/>
    <w:rsid w:val="00F46076"/>
    <w:rsid w:val="00F460D1"/>
    <w:rsid w:val="00F4619F"/>
    <w:rsid w:val="00F4620E"/>
    <w:rsid w:val="00F46244"/>
    <w:rsid w:val="00F4627C"/>
    <w:rsid w:val="00F462BA"/>
    <w:rsid w:val="00F463A7"/>
    <w:rsid w:val="00F463CD"/>
    <w:rsid w:val="00F463F6"/>
    <w:rsid w:val="00F4642A"/>
    <w:rsid w:val="00F46448"/>
    <w:rsid w:val="00F4644E"/>
    <w:rsid w:val="00F464A2"/>
    <w:rsid w:val="00F464F1"/>
    <w:rsid w:val="00F46509"/>
    <w:rsid w:val="00F466A1"/>
    <w:rsid w:val="00F466BD"/>
    <w:rsid w:val="00F4672F"/>
    <w:rsid w:val="00F4675C"/>
    <w:rsid w:val="00F468B4"/>
    <w:rsid w:val="00F46905"/>
    <w:rsid w:val="00F4690F"/>
    <w:rsid w:val="00F46A69"/>
    <w:rsid w:val="00F46A85"/>
    <w:rsid w:val="00F46AE8"/>
    <w:rsid w:val="00F46B03"/>
    <w:rsid w:val="00F46B36"/>
    <w:rsid w:val="00F46C17"/>
    <w:rsid w:val="00F46C78"/>
    <w:rsid w:val="00F46E60"/>
    <w:rsid w:val="00F46EA5"/>
    <w:rsid w:val="00F46EEE"/>
    <w:rsid w:val="00F46F86"/>
    <w:rsid w:val="00F46F99"/>
    <w:rsid w:val="00F4700D"/>
    <w:rsid w:val="00F47046"/>
    <w:rsid w:val="00F47094"/>
    <w:rsid w:val="00F471BD"/>
    <w:rsid w:val="00F47212"/>
    <w:rsid w:val="00F4722E"/>
    <w:rsid w:val="00F47280"/>
    <w:rsid w:val="00F4728F"/>
    <w:rsid w:val="00F474BB"/>
    <w:rsid w:val="00F4752D"/>
    <w:rsid w:val="00F4756A"/>
    <w:rsid w:val="00F47592"/>
    <w:rsid w:val="00F475AA"/>
    <w:rsid w:val="00F47632"/>
    <w:rsid w:val="00F476B4"/>
    <w:rsid w:val="00F476D6"/>
    <w:rsid w:val="00F47709"/>
    <w:rsid w:val="00F4775C"/>
    <w:rsid w:val="00F4778B"/>
    <w:rsid w:val="00F477C2"/>
    <w:rsid w:val="00F47827"/>
    <w:rsid w:val="00F47850"/>
    <w:rsid w:val="00F478B1"/>
    <w:rsid w:val="00F478E1"/>
    <w:rsid w:val="00F4792C"/>
    <w:rsid w:val="00F47981"/>
    <w:rsid w:val="00F47991"/>
    <w:rsid w:val="00F47A28"/>
    <w:rsid w:val="00F47A3A"/>
    <w:rsid w:val="00F47A81"/>
    <w:rsid w:val="00F47ABF"/>
    <w:rsid w:val="00F47ADE"/>
    <w:rsid w:val="00F47BCD"/>
    <w:rsid w:val="00F47BFF"/>
    <w:rsid w:val="00F47D4A"/>
    <w:rsid w:val="00F47D9D"/>
    <w:rsid w:val="00F47E05"/>
    <w:rsid w:val="00F47E07"/>
    <w:rsid w:val="00F47E38"/>
    <w:rsid w:val="00F47E94"/>
    <w:rsid w:val="00F47EAD"/>
    <w:rsid w:val="00F47EE7"/>
    <w:rsid w:val="00F47EF5"/>
    <w:rsid w:val="00F5001D"/>
    <w:rsid w:val="00F500F3"/>
    <w:rsid w:val="00F50141"/>
    <w:rsid w:val="00F5014A"/>
    <w:rsid w:val="00F50189"/>
    <w:rsid w:val="00F501D6"/>
    <w:rsid w:val="00F501E9"/>
    <w:rsid w:val="00F502E9"/>
    <w:rsid w:val="00F503C9"/>
    <w:rsid w:val="00F50400"/>
    <w:rsid w:val="00F50443"/>
    <w:rsid w:val="00F5047F"/>
    <w:rsid w:val="00F504D6"/>
    <w:rsid w:val="00F505B1"/>
    <w:rsid w:val="00F506D4"/>
    <w:rsid w:val="00F506DC"/>
    <w:rsid w:val="00F5074A"/>
    <w:rsid w:val="00F507A3"/>
    <w:rsid w:val="00F507AF"/>
    <w:rsid w:val="00F507E9"/>
    <w:rsid w:val="00F50807"/>
    <w:rsid w:val="00F50816"/>
    <w:rsid w:val="00F5081D"/>
    <w:rsid w:val="00F50848"/>
    <w:rsid w:val="00F509B1"/>
    <w:rsid w:val="00F509F0"/>
    <w:rsid w:val="00F50A38"/>
    <w:rsid w:val="00F50A87"/>
    <w:rsid w:val="00F50ACE"/>
    <w:rsid w:val="00F50AFD"/>
    <w:rsid w:val="00F50BE5"/>
    <w:rsid w:val="00F50C4F"/>
    <w:rsid w:val="00F50C9C"/>
    <w:rsid w:val="00F50CCB"/>
    <w:rsid w:val="00F50D15"/>
    <w:rsid w:val="00F50E29"/>
    <w:rsid w:val="00F50EC3"/>
    <w:rsid w:val="00F50F0B"/>
    <w:rsid w:val="00F50F3A"/>
    <w:rsid w:val="00F510B5"/>
    <w:rsid w:val="00F51107"/>
    <w:rsid w:val="00F51118"/>
    <w:rsid w:val="00F5117A"/>
    <w:rsid w:val="00F5119C"/>
    <w:rsid w:val="00F51261"/>
    <w:rsid w:val="00F512C3"/>
    <w:rsid w:val="00F51328"/>
    <w:rsid w:val="00F51346"/>
    <w:rsid w:val="00F51390"/>
    <w:rsid w:val="00F5140D"/>
    <w:rsid w:val="00F515B2"/>
    <w:rsid w:val="00F515CE"/>
    <w:rsid w:val="00F51661"/>
    <w:rsid w:val="00F5166B"/>
    <w:rsid w:val="00F516BF"/>
    <w:rsid w:val="00F5173C"/>
    <w:rsid w:val="00F517A4"/>
    <w:rsid w:val="00F517D0"/>
    <w:rsid w:val="00F517D5"/>
    <w:rsid w:val="00F517DF"/>
    <w:rsid w:val="00F51806"/>
    <w:rsid w:val="00F5183D"/>
    <w:rsid w:val="00F5185F"/>
    <w:rsid w:val="00F5192A"/>
    <w:rsid w:val="00F51933"/>
    <w:rsid w:val="00F519F6"/>
    <w:rsid w:val="00F51A3A"/>
    <w:rsid w:val="00F51BFD"/>
    <w:rsid w:val="00F51C39"/>
    <w:rsid w:val="00F51CDA"/>
    <w:rsid w:val="00F51D5D"/>
    <w:rsid w:val="00F51D7D"/>
    <w:rsid w:val="00F51D90"/>
    <w:rsid w:val="00F51DF4"/>
    <w:rsid w:val="00F51E3A"/>
    <w:rsid w:val="00F51E7E"/>
    <w:rsid w:val="00F51ED3"/>
    <w:rsid w:val="00F51F51"/>
    <w:rsid w:val="00F51F69"/>
    <w:rsid w:val="00F51FDD"/>
    <w:rsid w:val="00F51FF9"/>
    <w:rsid w:val="00F520E9"/>
    <w:rsid w:val="00F520F2"/>
    <w:rsid w:val="00F52154"/>
    <w:rsid w:val="00F52205"/>
    <w:rsid w:val="00F523D2"/>
    <w:rsid w:val="00F523D4"/>
    <w:rsid w:val="00F52424"/>
    <w:rsid w:val="00F525A0"/>
    <w:rsid w:val="00F525B1"/>
    <w:rsid w:val="00F525CE"/>
    <w:rsid w:val="00F525DC"/>
    <w:rsid w:val="00F5276D"/>
    <w:rsid w:val="00F527C7"/>
    <w:rsid w:val="00F5282A"/>
    <w:rsid w:val="00F52948"/>
    <w:rsid w:val="00F52A43"/>
    <w:rsid w:val="00F52A73"/>
    <w:rsid w:val="00F52AEE"/>
    <w:rsid w:val="00F52B40"/>
    <w:rsid w:val="00F52BAC"/>
    <w:rsid w:val="00F52BEF"/>
    <w:rsid w:val="00F52C1A"/>
    <w:rsid w:val="00F52CB5"/>
    <w:rsid w:val="00F52D43"/>
    <w:rsid w:val="00F52DBF"/>
    <w:rsid w:val="00F52DC3"/>
    <w:rsid w:val="00F52DC8"/>
    <w:rsid w:val="00F52DD3"/>
    <w:rsid w:val="00F52E51"/>
    <w:rsid w:val="00F52F30"/>
    <w:rsid w:val="00F52F40"/>
    <w:rsid w:val="00F52FF1"/>
    <w:rsid w:val="00F530D8"/>
    <w:rsid w:val="00F5313B"/>
    <w:rsid w:val="00F531AE"/>
    <w:rsid w:val="00F531E9"/>
    <w:rsid w:val="00F5322D"/>
    <w:rsid w:val="00F5325E"/>
    <w:rsid w:val="00F5327D"/>
    <w:rsid w:val="00F53394"/>
    <w:rsid w:val="00F533F4"/>
    <w:rsid w:val="00F534BC"/>
    <w:rsid w:val="00F536C3"/>
    <w:rsid w:val="00F53752"/>
    <w:rsid w:val="00F537EC"/>
    <w:rsid w:val="00F5382D"/>
    <w:rsid w:val="00F538C8"/>
    <w:rsid w:val="00F53999"/>
    <w:rsid w:val="00F539E2"/>
    <w:rsid w:val="00F539E6"/>
    <w:rsid w:val="00F539F2"/>
    <w:rsid w:val="00F53A20"/>
    <w:rsid w:val="00F53A2F"/>
    <w:rsid w:val="00F53A33"/>
    <w:rsid w:val="00F53A7E"/>
    <w:rsid w:val="00F53C19"/>
    <w:rsid w:val="00F53C54"/>
    <w:rsid w:val="00F53C7D"/>
    <w:rsid w:val="00F53CC3"/>
    <w:rsid w:val="00F53D13"/>
    <w:rsid w:val="00F53D73"/>
    <w:rsid w:val="00F53D9C"/>
    <w:rsid w:val="00F53E0D"/>
    <w:rsid w:val="00F53F68"/>
    <w:rsid w:val="00F53FD1"/>
    <w:rsid w:val="00F5403E"/>
    <w:rsid w:val="00F5403F"/>
    <w:rsid w:val="00F541CC"/>
    <w:rsid w:val="00F5421A"/>
    <w:rsid w:val="00F5424F"/>
    <w:rsid w:val="00F54338"/>
    <w:rsid w:val="00F5435E"/>
    <w:rsid w:val="00F5436F"/>
    <w:rsid w:val="00F544A6"/>
    <w:rsid w:val="00F544FF"/>
    <w:rsid w:val="00F545A3"/>
    <w:rsid w:val="00F5461A"/>
    <w:rsid w:val="00F5464D"/>
    <w:rsid w:val="00F546AD"/>
    <w:rsid w:val="00F546BC"/>
    <w:rsid w:val="00F546EC"/>
    <w:rsid w:val="00F54725"/>
    <w:rsid w:val="00F54747"/>
    <w:rsid w:val="00F5475F"/>
    <w:rsid w:val="00F547EC"/>
    <w:rsid w:val="00F54840"/>
    <w:rsid w:val="00F548D1"/>
    <w:rsid w:val="00F54901"/>
    <w:rsid w:val="00F5490E"/>
    <w:rsid w:val="00F54924"/>
    <w:rsid w:val="00F54936"/>
    <w:rsid w:val="00F549B6"/>
    <w:rsid w:val="00F549E6"/>
    <w:rsid w:val="00F54A62"/>
    <w:rsid w:val="00F54ABE"/>
    <w:rsid w:val="00F54AE7"/>
    <w:rsid w:val="00F54BDB"/>
    <w:rsid w:val="00F54C3F"/>
    <w:rsid w:val="00F54C4C"/>
    <w:rsid w:val="00F54C4E"/>
    <w:rsid w:val="00F54C84"/>
    <w:rsid w:val="00F54D33"/>
    <w:rsid w:val="00F54E4F"/>
    <w:rsid w:val="00F54E5F"/>
    <w:rsid w:val="00F54E94"/>
    <w:rsid w:val="00F54F80"/>
    <w:rsid w:val="00F54FC3"/>
    <w:rsid w:val="00F550F8"/>
    <w:rsid w:val="00F5529C"/>
    <w:rsid w:val="00F552AE"/>
    <w:rsid w:val="00F552C8"/>
    <w:rsid w:val="00F5533D"/>
    <w:rsid w:val="00F55399"/>
    <w:rsid w:val="00F553B6"/>
    <w:rsid w:val="00F554A4"/>
    <w:rsid w:val="00F55588"/>
    <w:rsid w:val="00F55671"/>
    <w:rsid w:val="00F556C1"/>
    <w:rsid w:val="00F556EC"/>
    <w:rsid w:val="00F5572D"/>
    <w:rsid w:val="00F55751"/>
    <w:rsid w:val="00F5575F"/>
    <w:rsid w:val="00F55764"/>
    <w:rsid w:val="00F55785"/>
    <w:rsid w:val="00F5580D"/>
    <w:rsid w:val="00F55975"/>
    <w:rsid w:val="00F559CF"/>
    <w:rsid w:val="00F55A45"/>
    <w:rsid w:val="00F55A67"/>
    <w:rsid w:val="00F55B24"/>
    <w:rsid w:val="00F55BE4"/>
    <w:rsid w:val="00F55C52"/>
    <w:rsid w:val="00F55CAE"/>
    <w:rsid w:val="00F55E39"/>
    <w:rsid w:val="00F55F8E"/>
    <w:rsid w:val="00F55FA5"/>
    <w:rsid w:val="00F560BF"/>
    <w:rsid w:val="00F560E2"/>
    <w:rsid w:val="00F5615D"/>
    <w:rsid w:val="00F561A2"/>
    <w:rsid w:val="00F56284"/>
    <w:rsid w:val="00F56418"/>
    <w:rsid w:val="00F5642B"/>
    <w:rsid w:val="00F56478"/>
    <w:rsid w:val="00F56488"/>
    <w:rsid w:val="00F564E9"/>
    <w:rsid w:val="00F56641"/>
    <w:rsid w:val="00F5664B"/>
    <w:rsid w:val="00F56657"/>
    <w:rsid w:val="00F566A0"/>
    <w:rsid w:val="00F566CF"/>
    <w:rsid w:val="00F566E8"/>
    <w:rsid w:val="00F56718"/>
    <w:rsid w:val="00F567B1"/>
    <w:rsid w:val="00F569B0"/>
    <w:rsid w:val="00F56A3E"/>
    <w:rsid w:val="00F56B2B"/>
    <w:rsid w:val="00F56B5D"/>
    <w:rsid w:val="00F56BCD"/>
    <w:rsid w:val="00F56C2F"/>
    <w:rsid w:val="00F56C45"/>
    <w:rsid w:val="00F56C65"/>
    <w:rsid w:val="00F56C66"/>
    <w:rsid w:val="00F56D19"/>
    <w:rsid w:val="00F56D2D"/>
    <w:rsid w:val="00F56D34"/>
    <w:rsid w:val="00F56D74"/>
    <w:rsid w:val="00F56D9E"/>
    <w:rsid w:val="00F56DCF"/>
    <w:rsid w:val="00F56DDF"/>
    <w:rsid w:val="00F56E13"/>
    <w:rsid w:val="00F56E1A"/>
    <w:rsid w:val="00F56ECF"/>
    <w:rsid w:val="00F56EF0"/>
    <w:rsid w:val="00F56EF2"/>
    <w:rsid w:val="00F56FA9"/>
    <w:rsid w:val="00F57082"/>
    <w:rsid w:val="00F5716B"/>
    <w:rsid w:val="00F57199"/>
    <w:rsid w:val="00F571F9"/>
    <w:rsid w:val="00F5726D"/>
    <w:rsid w:val="00F572CA"/>
    <w:rsid w:val="00F57430"/>
    <w:rsid w:val="00F574BA"/>
    <w:rsid w:val="00F57525"/>
    <w:rsid w:val="00F576CD"/>
    <w:rsid w:val="00F576F1"/>
    <w:rsid w:val="00F57742"/>
    <w:rsid w:val="00F57750"/>
    <w:rsid w:val="00F57752"/>
    <w:rsid w:val="00F5777C"/>
    <w:rsid w:val="00F57886"/>
    <w:rsid w:val="00F5789A"/>
    <w:rsid w:val="00F5791A"/>
    <w:rsid w:val="00F5795E"/>
    <w:rsid w:val="00F579CC"/>
    <w:rsid w:val="00F579E2"/>
    <w:rsid w:val="00F579FB"/>
    <w:rsid w:val="00F57A1E"/>
    <w:rsid w:val="00F57A2E"/>
    <w:rsid w:val="00F57A53"/>
    <w:rsid w:val="00F57A56"/>
    <w:rsid w:val="00F57A6B"/>
    <w:rsid w:val="00F57B5C"/>
    <w:rsid w:val="00F57C9C"/>
    <w:rsid w:val="00F57CEC"/>
    <w:rsid w:val="00F57DE4"/>
    <w:rsid w:val="00F57E69"/>
    <w:rsid w:val="00F57E77"/>
    <w:rsid w:val="00F57E83"/>
    <w:rsid w:val="00F60046"/>
    <w:rsid w:val="00F6012D"/>
    <w:rsid w:val="00F60135"/>
    <w:rsid w:val="00F601CA"/>
    <w:rsid w:val="00F601D2"/>
    <w:rsid w:val="00F60202"/>
    <w:rsid w:val="00F60237"/>
    <w:rsid w:val="00F60255"/>
    <w:rsid w:val="00F602A2"/>
    <w:rsid w:val="00F603A6"/>
    <w:rsid w:val="00F603CB"/>
    <w:rsid w:val="00F60449"/>
    <w:rsid w:val="00F60586"/>
    <w:rsid w:val="00F6068B"/>
    <w:rsid w:val="00F606B0"/>
    <w:rsid w:val="00F6074B"/>
    <w:rsid w:val="00F607B4"/>
    <w:rsid w:val="00F607E0"/>
    <w:rsid w:val="00F60801"/>
    <w:rsid w:val="00F60847"/>
    <w:rsid w:val="00F6099B"/>
    <w:rsid w:val="00F609DF"/>
    <w:rsid w:val="00F60A15"/>
    <w:rsid w:val="00F60A69"/>
    <w:rsid w:val="00F60A82"/>
    <w:rsid w:val="00F60B13"/>
    <w:rsid w:val="00F60B3C"/>
    <w:rsid w:val="00F60B6C"/>
    <w:rsid w:val="00F60BA1"/>
    <w:rsid w:val="00F60BD9"/>
    <w:rsid w:val="00F60C0E"/>
    <w:rsid w:val="00F60CEE"/>
    <w:rsid w:val="00F60D90"/>
    <w:rsid w:val="00F60DA1"/>
    <w:rsid w:val="00F60E6B"/>
    <w:rsid w:val="00F60E7C"/>
    <w:rsid w:val="00F60EA5"/>
    <w:rsid w:val="00F60F44"/>
    <w:rsid w:val="00F60F6E"/>
    <w:rsid w:val="00F60FD2"/>
    <w:rsid w:val="00F6100E"/>
    <w:rsid w:val="00F61051"/>
    <w:rsid w:val="00F612EA"/>
    <w:rsid w:val="00F61364"/>
    <w:rsid w:val="00F613A9"/>
    <w:rsid w:val="00F614EC"/>
    <w:rsid w:val="00F61613"/>
    <w:rsid w:val="00F616ED"/>
    <w:rsid w:val="00F61736"/>
    <w:rsid w:val="00F617B3"/>
    <w:rsid w:val="00F617D2"/>
    <w:rsid w:val="00F61808"/>
    <w:rsid w:val="00F61824"/>
    <w:rsid w:val="00F61837"/>
    <w:rsid w:val="00F61874"/>
    <w:rsid w:val="00F618A5"/>
    <w:rsid w:val="00F618EA"/>
    <w:rsid w:val="00F61932"/>
    <w:rsid w:val="00F61A5D"/>
    <w:rsid w:val="00F61B42"/>
    <w:rsid w:val="00F61B97"/>
    <w:rsid w:val="00F61BC5"/>
    <w:rsid w:val="00F61C04"/>
    <w:rsid w:val="00F61C52"/>
    <w:rsid w:val="00F61CE9"/>
    <w:rsid w:val="00F61D0B"/>
    <w:rsid w:val="00F61D33"/>
    <w:rsid w:val="00F61E7E"/>
    <w:rsid w:val="00F61EC4"/>
    <w:rsid w:val="00F61F3D"/>
    <w:rsid w:val="00F62055"/>
    <w:rsid w:val="00F6205B"/>
    <w:rsid w:val="00F620B1"/>
    <w:rsid w:val="00F620D8"/>
    <w:rsid w:val="00F6210E"/>
    <w:rsid w:val="00F621F1"/>
    <w:rsid w:val="00F6221D"/>
    <w:rsid w:val="00F62228"/>
    <w:rsid w:val="00F62268"/>
    <w:rsid w:val="00F623AF"/>
    <w:rsid w:val="00F624EB"/>
    <w:rsid w:val="00F62550"/>
    <w:rsid w:val="00F62631"/>
    <w:rsid w:val="00F62658"/>
    <w:rsid w:val="00F6277D"/>
    <w:rsid w:val="00F62812"/>
    <w:rsid w:val="00F6284E"/>
    <w:rsid w:val="00F6295B"/>
    <w:rsid w:val="00F62993"/>
    <w:rsid w:val="00F629A9"/>
    <w:rsid w:val="00F629D6"/>
    <w:rsid w:val="00F62B92"/>
    <w:rsid w:val="00F62C13"/>
    <w:rsid w:val="00F62D91"/>
    <w:rsid w:val="00F62DD0"/>
    <w:rsid w:val="00F62DEC"/>
    <w:rsid w:val="00F62E06"/>
    <w:rsid w:val="00F62E44"/>
    <w:rsid w:val="00F62E88"/>
    <w:rsid w:val="00F62EE0"/>
    <w:rsid w:val="00F62F14"/>
    <w:rsid w:val="00F62F3D"/>
    <w:rsid w:val="00F62F97"/>
    <w:rsid w:val="00F62FBB"/>
    <w:rsid w:val="00F62FE1"/>
    <w:rsid w:val="00F63032"/>
    <w:rsid w:val="00F63088"/>
    <w:rsid w:val="00F630D5"/>
    <w:rsid w:val="00F630FB"/>
    <w:rsid w:val="00F63190"/>
    <w:rsid w:val="00F631B6"/>
    <w:rsid w:val="00F631C0"/>
    <w:rsid w:val="00F6320C"/>
    <w:rsid w:val="00F6322D"/>
    <w:rsid w:val="00F632AC"/>
    <w:rsid w:val="00F63376"/>
    <w:rsid w:val="00F633A0"/>
    <w:rsid w:val="00F6350C"/>
    <w:rsid w:val="00F6352E"/>
    <w:rsid w:val="00F63531"/>
    <w:rsid w:val="00F635F3"/>
    <w:rsid w:val="00F63944"/>
    <w:rsid w:val="00F63A3D"/>
    <w:rsid w:val="00F63AAC"/>
    <w:rsid w:val="00F63AD4"/>
    <w:rsid w:val="00F63ADA"/>
    <w:rsid w:val="00F63AFC"/>
    <w:rsid w:val="00F63B29"/>
    <w:rsid w:val="00F63B6F"/>
    <w:rsid w:val="00F63C03"/>
    <w:rsid w:val="00F63C79"/>
    <w:rsid w:val="00F63C7B"/>
    <w:rsid w:val="00F63CFD"/>
    <w:rsid w:val="00F63D44"/>
    <w:rsid w:val="00F63D48"/>
    <w:rsid w:val="00F63E68"/>
    <w:rsid w:val="00F63EBE"/>
    <w:rsid w:val="00F63EFE"/>
    <w:rsid w:val="00F63F3E"/>
    <w:rsid w:val="00F63F65"/>
    <w:rsid w:val="00F64057"/>
    <w:rsid w:val="00F64069"/>
    <w:rsid w:val="00F640A7"/>
    <w:rsid w:val="00F640F8"/>
    <w:rsid w:val="00F64142"/>
    <w:rsid w:val="00F64222"/>
    <w:rsid w:val="00F64263"/>
    <w:rsid w:val="00F6428D"/>
    <w:rsid w:val="00F642E7"/>
    <w:rsid w:val="00F64356"/>
    <w:rsid w:val="00F6439D"/>
    <w:rsid w:val="00F6441C"/>
    <w:rsid w:val="00F64480"/>
    <w:rsid w:val="00F64496"/>
    <w:rsid w:val="00F64497"/>
    <w:rsid w:val="00F644E1"/>
    <w:rsid w:val="00F64594"/>
    <w:rsid w:val="00F64614"/>
    <w:rsid w:val="00F64625"/>
    <w:rsid w:val="00F646AA"/>
    <w:rsid w:val="00F647C0"/>
    <w:rsid w:val="00F647D6"/>
    <w:rsid w:val="00F64852"/>
    <w:rsid w:val="00F6486B"/>
    <w:rsid w:val="00F64917"/>
    <w:rsid w:val="00F64933"/>
    <w:rsid w:val="00F6495F"/>
    <w:rsid w:val="00F6498C"/>
    <w:rsid w:val="00F649D0"/>
    <w:rsid w:val="00F64AB8"/>
    <w:rsid w:val="00F64B81"/>
    <w:rsid w:val="00F64BD3"/>
    <w:rsid w:val="00F64CFC"/>
    <w:rsid w:val="00F64D17"/>
    <w:rsid w:val="00F64D4F"/>
    <w:rsid w:val="00F64E98"/>
    <w:rsid w:val="00F64EF8"/>
    <w:rsid w:val="00F6501E"/>
    <w:rsid w:val="00F65041"/>
    <w:rsid w:val="00F65076"/>
    <w:rsid w:val="00F65089"/>
    <w:rsid w:val="00F6514E"/>
    <w:rsid w:val="00F651A9"/>
    <w:rsid w:val="00F651DF"/>
    <w:rsid w:val="00F6522D"/>
    <w:rsid w:val="00F65285"/>
    <w:rsid w:val="00F65299"/>
    <w:rsid w:val="00F652CD"/>
    <w:rsid w:val="00F6542C"/>
    <w:rsid w:val="00F6554E"/>
    <w:rsid w:val="00F6555A"/>
    <w:rsid w:val="00F65563"/>
    <w:rsid w:val="00F65620"/>
    <w:rsid w:val="00F657FB"/>
    <w:rsid w:val="00F6585C"/>
    <w:rsid w:val="00F65880"/>
    <w:rsid w:val="00F658A6"/>
    <w:rsid w:val="00F658EC"/>
    <w:rsid w:val="00F65947"/>
    <w:rsid w:val="00F65A99"/>
    <w:rsid w:val="00F65B3B"/>
    <w:rsid w:val="00F65B3E"/>
    <w:rsid w:val="00F65B6F"/>
    <w:rsid w:val="00F65C11"/>
    <w:rsid w:val="00F65C1E"/>
    <w:rsid w:val="00F65C42"/>
    <w:rsid w:val="00F65C7F"/>
    <w:rsid w:val="00F65C86"/>
    <w:rsid w:val="00F65C8F"/>
    <w:rsid w:val="00F65CF0"/>
    <w:rsid w:val="00F65D52"/>
    <w:rsid w:val="00F65D73"/>
    <w:rsid w:val="00F65D89"/>
    <w:rsid w:val="00F65DE3"/>
    <w:rsid w:val="00F65EC5"/>
    <w:rsid w:val="00F65F0F"/>
    <w:rsid w:val="00F65F43"/>
    <w:rsid w:val="00F65F5F"/>
    <w:rsid w:val="00F65F8F"/>
    <w:rsid w:val="00F65FAF"/>
    <w:rsid w:val="00F65FFD"/>
    <w:rsid w:val="00F66093"/>
    <w:rsid w:val="00F660A1"/>
    <w:rsid w:val="00F660B6"/>
    <w:rsid w:val="00F66227"/>
    <w:rsid w:val="00F66254"/>
    <w:rsid w:val="00F662BF"/>
    <w:rsid w:val="00F663F1"/>
    <w:rsid w:val="00F663F7"/>
    <w:rsid w:val="00F664CA"/>
    <w:rsid w:val="00F66509"/>
    <w:rsid w:val="00F66556"/>
    <w:rsid w:val="00F6659E"/>
    <w:rsid w:val="00F665EC"/>
    <w:rsid w:val="00F6661E"/>
    <w:rsid w:val="00F6664A"/>
    <w:rsid w:val="00F666B6"/>
    <w:rsid w:val="00F6679D"/>
    <w:rsid w:val="00F668B0"/>
    <w:rsid w:val="00F668F7"/>
    <w:rsid w:val="00F66910"/>
    <w:rsid w:val="00F66917"/>
    <w:rsid w:val="00F6691F"/>
    <w:rsid w:val="00F669EB"/>
    <w:rsid w:val="00F66A2D"/>
    <w:rsid w:val="00F66A46"/>
    <w:rsid w:val="00F66A72"/>
    <w:rsid w:val="00F66AF8"/>
    <w:rsid w:val="00F66B7C"/>
    <w:rsid w:val="00F66B87"/>
    <w:rsid w:val="00F66BAC"/>
    <w:rsid w:val="00F66C47"/>
    <w:rsid w:val="00F66C5E"/>
    <w:rsid w:val="00F66CAA"/>
    <w:rsid w:val="00F66E22"/>
    <w:rsid w:val="00F67108"/>
    <w:rsid w:val="00F67128"/>
    <w:rsid w:val="00F67153"/>
    <w:rsid w:val="00F671B7"/>
    <w:rsid w:val="00F671D1"/>
    <w:rsid w:val="00F671E4"/>
    <w:rsid w:val="00F6726F"/>
    <w:rsid w:val="00F672FB"/>
    <w:rsid w:val="00F67386"/>
    <w:rsid w:val="00F67460"/>
    <w:rsid w:val="00F67512"/>
    <w:rsid w:val="00F675EF"/>
    <w:rsid w:val="00F67709"/>
    <w:rsid w:val="00F67713"/>
    <w:rsid w:val="00F6782A"/>
    <w:rsid w:val="00F6783E"/>
    <w:rsid w:val="00F67866"/>
    <w:rsid w:val="00F678E2"/>
    <w:rsid w:val="00F67919"/>
    <w:rsid w:val="00F67935"/>
    <w:rsid w:val="00F67990"/>
    <w:rsid w:val="00F679E1"/>
    <w:rsid w:val="00F679E9"/>
    <w:rsid w:val="00F679FC"/>
    <w:rsid w:val="00F67B85"/>
    <w:rsid w:val="00F67B8C"/>
    <w:rsid w:val="00F67BA8"/>
    <w:rsid w:val="00F67C3B"/>
    <w:rsid w:val="00F67CAE"/>
    <w:rsid w:val="00F67CB6"/>
    <w:rsid w:val="00F67CD9"/>
    <w:rsid w:val="00F67E19"/>
    <w:rsid w:val="00F67E38"/>
    <w:rsid w:val="00F67E7F"/>
    <w:rsid w:val="00F67ED0"/>
    <w:rsid w:val="00F67F3F"/>
    <w:rsid w:val="00F67F54"/>
    <w:rsid w:val="00F67FCD"/>
    <w:rsid w:val="00F70034"/>
    <w:rsid w:val="00F7008B"/>
    <w:rsid w:val="00F70133"/>
    <w:rsid w:val="00F701A8"/>
    <w:rsid w:val="00F701F4"/>
    <w:rsid w:val="00F70207"/>
    <w:rsid w:val="00F7028B"/>
    <w:rsid w:val="00F7030A"/>
    <w:rsid w:val="00F7057D"/>
    <w:rsid w:val="00F70587"/>
    <w:rsid w:val="00F705EE"/>
    <w:rsid w:val="00F70600"/>
    <w:rsid w:val="00F70637"/>
    <w:rsid w:val="00F706BC"/>
    <w:rsid w:val="00F706DA"/>
    <w:rsid w:val="00F70708"/>
    <w:rsid w:val="00F70711"/>
    <w:rsid w:val="00F7075D"/>
    <w:rsid w:val="00F70821"/>
    <w:rsid w:val="00F708A5"/>
    <w:rsid w:val="00F7096D"/>
    <w:rsid w:val="00F70A72"/>
    <w:rsid w:val="00F70AAE"/>
    <w:rsid w:val="00F70C39"/>
    <w:rsid w:val="00F70D24"/>
    <w:rsid w:val="00F70DBC"/>
    <w:rsid w:val="00F70DF8"/>
    <w:rsid w:val="00F70E3B"/>
    <w:rsid w:val="00F70E6E"/>
    <w:rsid w:val="00F70E98"/>
    <w:rsid w:val="00F70F2E"/>
    <w:rsid w:val="00F70F6B"/>
    <w:rsid w:val="00F70F87"/>
    <w:rsid w:val="00F71013"/>
    <w:rsid w:val="00F7101E"/>
    <w:rsid w:val="00F711A5"/>
    <w:rsid w:val="00F71204"/>
    <w:rsid w:val="00F7120A"/>
    <w:rsid w:val="00F71268"/>
    <w:rsid w:val="00F7127D"/>
    <w:rsid w:val="00F712E8"/>
    <w:rsid w:val="00F713C6"/>
    <w:rsid w:val="00F713CB"/>
    <w:rsid w:val="00F7140A"/>
    <w:rsid w:val="00F71468"/>
    <w:rsid w:val="00F7152C"/>
    <w:rsid w:val="00F7164B"/>
    <w:rsid w:val="00F71724"/>
    <w:rsid w:val="00F71798"/>
    <w:rsid w:val="00F717E8"/>
    <w:rsid w:val="00F71829"/>
    <w:rsid w:val="00F71854"/>
    <w:rsid w:val="00F7186F"/>
    <w:rsid w:val="00F718F6"/>
    <w:rsid w:val="00F71900"/>
    <w:rsid w:val="00F7190C"/>
    <w:rsid w:val="00F7198C"/>
    <w:rsid w:val="00F719A4"/>
    <w:rsid w:val="00F71A1B"/>
    <w:rsid w:val="00F71A39"/>
    <w:rsid w:val="00F71A43"/>
    <w:rsid w:val="00F71A85"/>
    <w:rsid w:val="00F71AE9"/>
    <w:rsid w:val="00F71B2D"/>
    <w:rsid w:val="00F71B6D"/>
    <w:rsid w:val="00F71B99"/>
    <w:rsid w:val="00F71C63"/>
    <w:rsid w:val="00F71C96"/>
    <w:rsid w:val="00F71C9A"/>
    <w:rsid w:val="00F71CA8"/>
    <w:rsid w:val="00F71E6E"/>
    <w:rsid w:val="00F71E7E"/>
    <w:rsid w:val="00F71E8F"/>
    <w:rsid w:val="00F71E9F"/>
    <w:rsid w:val="00F71EA7"/>
    <w:rsid w:val="00F71F07"/>
    <w:rsid w:val="00F71F0B"/>
    <w:rsid w:val="00F71F0E"/>
    <w:rsid w:val="00F71F2B"/>
    <w:rsid w:val="00F71F9B"/>
    <w:rsid w:val="00F71FCA"/>
    <w:rsid w:val="00F72013"/>
    <w:rsid w:val="00F7208E"/>
    <w:rsid w:val="00F720E3"/>
    <w:rsid w:val="00F720FF"/>
    <w:rsid w:val="00F721B5"/>
    <w:rsid w:val="00F721EE"/>
    <w:rsid w:val="00F7224F"/>
    <w:rsid w:val="00F723BC"/>
    <w:rsid w:val="00F72438"/>
    <w:rsid w:val="00F724FC"/>
    <w:rsid w:val="00F7252E"/>
    <w:rsid w:val="00F72643"/>
    <w:rsid w:val="00F72692"/>
    <w:rsid w:val="00F727A6"/>
    <w:rsid w:val="00F727F1"/>
    <w:rsid w:val="00F72852"/>
    <w:rsid w:val="00F728BB"/>
    <w:rsid w:val="00F729D8"/>
    <w:rsid w:val="00F72B6B"/>
    <w:rsid w:val="00F72BC5"/>
    <w:rsid w:val="00F72BF7"/>
    <w:rsid w:val="00F72BFB"/>
    <w:rsid w:val="00F72C84"/>
    <w:rsid w:val="00F72D02"/>
    <w:rsid w:val="00F72DA8"/>
    <w:rsid w:val="00F72E07"/>
    <w:rsid w:val="00F7307D"/>
    <w:rsid w:val="00F730B1"/>
    <w:rsid w:val="00F730B6"/>
    <w:rsid w:val="00F731A9"/>
    <w:rsid w:val="00F732CD"/>
    <w:rsid w:val="00F7330A"/>
    <w:rsid w:val="00F733C7"/>
    <w:rsid w:val="00F733D4"/>
    <w:rsid w:val="00F73468"/>
    <w:rsid w:val="00F73471"/>
    <w:rsid w:val="00F734D3"/>
    <w:rsid w:val="00F736A0"/>
    <w:rsid w:val="00F73726"/>
    <w:rsid w:val="00F73767"/>
    <w:rsid w:val="00F7377A"/>
    <w:rsid w:val="00F7378A"/>
    <w:rsid w:val="00F7379C"/>
    <w:rsid w:val="00F73809"/>
    <w:rsid w:val="00F738AF"/>
    <w:rsid w:val="00F73923"/>
    <w:rsid w:val="00F73995"/>
    <w:rsid w:val="00F739C4"/>
    <w:rsid w:val="00F739F1"/>
    <w:rsid w:val="00F73A0E"/>
    <w:rsid w:val="00F73A8B"/>
    <w:rsid w:val="00F73AAF"/>
    <w:rsid w:val="00F73B13"/>
    <w:rsid w:val="00F73B14"/>
    <w:rsid w:val="00F73C2C"/>
    <w:rsid w:val="00F73C40"/>
    <w:rsid w:val="00F73CB1"/>
    <w:rsid w:val="00F73D2C"/>
    <w:rsid w:val="00F73D40"/>
    <w:rsid w:val="00F73D9D"/>
    <w:rsid w:val="00F73DAE"/>
    <w:rsid w:val="00F73DFC"/>
    <w:rsid w:val="00F73F0B"/>
    <w:rsid w:val="00F73F3D"/>
    <w:rsid w:val="00F740AB"/>
    <w:rsid w:val="00F74165"/>
    <w:rsid w:val="00F7416E"/>
    <w:rsid w:val="00F74279"/>
    <w:rsid w:val="00F74287"/>
    <w:rsid w:val="00F742E1"/>
    <w:rsid w:val="00F74301"/>
    <w:rsid w:val="00F7437C"/>
    <w:rsid w:val="00F744AE"/>
    <w:rsid w:val="00F74515"/>
    <w:rsid w:val="00F74582"/>
    <w:rsid w:val="00F745A8"/>
    <w:rsid w:val="00F74696"/>
    <w:rsid w:val="00F746A1"/>
    <w:rsid w:val="00F746FE"/>
    <w:rsid w:val="00F74707"/>
    <w:rsid w:val="00F7476B"/>
    <w:rsid w:val="00F74789"/>
    <w:rsid w:val="00F74804"/>
    <w:rsid w:val="00F74846"/>
    <w:rsid w:val="00F7499B"/>
    <w:rsid w:val="00F74A23"/>
    <w:rsid w:val="00F74B4E"/>
    <w:rsid w:val="00F74B8B"/>
    <w:rsid w:val="00F74BB2"/>
    <w:rsid w:val="00F74BD2"/>
    <w:rsid w:val="00F74C27"/>
    <w:rsid w:val="00F74C88"/>
    <w:rsid w:val="00F74CC5"/>
    <w:rsid w:val="00F74CCC"/>
    <w:rsid w:val="00F74D0D"/>
    <w:rsid w:val="00F74D50"/>
    <w:rsid w:val="00F74E15"/>
    <w:rsid w:val="00F74EAB"/>
    <w:rsid w:val="00F74F32"/>
    <w:rsid w:val="00F74FA7"/>
    <w:rsid w:val="00F74FC5"/>
    <w:rsid w:val="00F750C3"/>
    <w:rsid w:val="00F75135"/>
    <w:rsid w:val="00F752AC"/>
    <w:rsid w:val="00F75329"/>
    <w:rsid w:val="00F7538E"/>
    <w:rsid w:val="00F7539F"/>
    <w:rsid w:val="00F753C6"/>
    <w:rsid w:val="00F7559B"/>
    <w:rsid w:val="00F7572B"/>
    <w:rsid w:val="00F75775"/>
    <w:rsid w:val="00F75800"/>
    <w:rsid w:val="00F75807"/>
    <w:rsid w:val="00F75836"/>
    <w:rsid w:val="00F7587A"/>
    <w:rsid w:val="00F758A3"/>
    <w:rsid w:val="00F758EE"/>
    <w:rsid w:val="00F75922"/>
    <w:rsid w:val="00F759F2"/>
    <w:rsid w:val="00F75A1F"/>
    <w:rsid w:val="00F75B39"/>
    <w:rsid w:val="00F75B93"/>
    <w:rsid w:val="00F75C0F"/>
    <w:rsid w:val="00F75C18"/>
    <w:rsid w:val="00F75C82"/>
    <w:rsid w:val="00F75CA1"/>
    <w:rsid w:val="00F75CB9"/>
    <w:rsid w:val="00F75D04"/>
    <w:rsid w:val="00F75D09"/>
    <w:rsid w:val="00F75D3B"/>
    <w:rsid w:val="00F75D3F"/>
    <w:rsid w:val="00F75D79"/>
    <w:rsid w:val="00F75DAC"/>
    <w:rsid w:val="00F75DD1"/>
    <w:rsid w:val="00F75DF2"/>
    <w:rsid w:val="00F75E27"/>
    <w:rsid w:val="00F75E90"/>
    <w:rsid w:val="00F75F05"/>
    <w:rsid w:val="00F75F15"/>
    <w:rsid w:val="00F7604D"/>
    <w:rsid w:val="00F7605D"/>
    <w:rsid w:val="00F76095"/>
    <w:rsid w:val="00F760CE"/>
    <w:rsid w:val="00F7625B"/>
    <w:rsid w:val="00F76268"/>
    <w:rsid w:val="00F7626F"/>
    <w:rsid w:val="00F762D8"/>
    <w:rsid w:val="00F76354"/>
    <w:rsid w:val="00F76393"/>
    <w:rsid w:val="00F763FD"/>
    <w:rsid w:val="00F76430"/>
    <w:rsid w:val="00F76463"/>
    <w:rsid w:val="00F76499"/>
    <w:rsid w:val="00F765A3"/>
    <w:rsid w:val="00F7661E"/>
    <w:rsid w:val="00F76637"/>
    <w:rsid w:val="00F76641"/>
    <w:rsid w:val="00F766E4"/>
    <w:rsid w:val="00F767AC"/>
    <w:rsid w:val="00F76802"/>
    <w:rsid w:val="00F76859"/>
    <w:rsid w:val="00F7688B"/>
    <w:rsid w:val="00F768CA"/>
    <w:rsid w:val="00F76921"/>
    <w:rsid w:val="00F76923"/>
    <w:rsid w:val="00F76961"/>
    <w:rsid w:val="00F76A7A"/>
    <w:rsid w:val="00F76BA5"/>
    <w:rsid w:val="00F76CEB"/>
    <w:rsid w:val="00F76CFF"/>
    <w:rsid w:val="00F76DE9"/>
    <w:rsid w:val="00F76FC2"/>
    <w:rsid w:val="00F76FD7"/>
    <w:rsid w:val="00F76FE1"/>
    <w:rsid w:val="00F77035"/>
    <w:rsid w:val="00F7703C"/>
    <w:rsid w:val="00F77061"/>
    <w:rsid w:val="00F770F8"/>
    <w:rsid w:val="00F77140"/>
    <w:rsid w:val="00F7718E"/>
    <w:rsid w:val="00F77235"/>
    <w:rsid w:val="00F77291"/>
    <w:rsid w:val="00F772E2"/>
    <w:rsid w:val="00F772EF"/>
    <w:rsid w:val="00F77315"/>
    <w:rsid w:val="00F77425"/>
    <w:rsid w:val="00F77544"/>
    <w:rsid w:val="00F77569"/>
    <w:rsid w:val="00F77655"/>
    <w:rsid w:val="00F7767D"/>
    <w:rsid w:val="00F776B8"/>
    <w:rsid w:val="00F776C5"/>
    <w:rsid w:val="00F777F2"/>
    <w:rsid w:val="00F77809"/>
    <w:rsid w:val="00F77815"/>
    <w:rsid w:val="00F77871"/>
    <w:rsid w:val="00F7788A"/>
    <w:rsid w:val="00F778AE"/>
    <w:rsid w:val="00F778EE"/>
    <w:rsid w:val="00F7791A"/>
    <w:rsid w:val="00F77956"/>
    <w:rsid w:val="00F779A9"/>
    <w:rsid w:val="00F77A4F"/>
    <w:rsid w:val="00F77A9C"/>
    <w:rsid w:val="00F77AA8"/>
    <w:rsid w:val="00F77B37"/>
    <w:rsid w:val="00F77BB5"/>
    <w:rsid w:val="00F77C47"/>
    <w:rsid w:val="00F77C54"/>
    <w:rsid w:val="00F77CA5"/>
    <w:rsid w:val="00F77CAE"/>
    <w:rsid w:val="00F77CC1"/>
    <w:rsid w:val="00F77D3B"/>
    <w:rsid w:val="00F77D52"/>
    <w:rsid w:val="00F77DE7"/>
    <w:rsid w:val="00F77EEC"/>
    <w:rsid w:val="00F77F59"/>
    <w:rsid w:val="00F77F65"/>
    <w:rsid w:val="00F77FE8"/>
    <w:rsid w:val="00F7AC64"/>
    <w:rsid w:val="00F8000B"/>
    <w:rsid w:val="00F8003A"/>
    <w:rsid w:val="00F80042"/>
    <w:rsid w:val="00F8013B"/>
    <w:rsid w:val="00F80206"/>
    <w:rsid w:val="00F80283"/>
    <w:rsid w:val="00F80284"/>
    <w:rsid w:val="00F802AA"/>
    <w:rsid w:val="00F802BD"/>
    <w:rsid w:val="00F80300"/>
    <w:rsid w:val="00F804E0"/>
    <w:rsid w:val="00F8050A"/>
    <w:rsid w:val="00F805B1"/>
    <w:rsid w:val="00F80642"/>
    <w:rsid w:val="00F8064B"/>
    <w:rsid w:val="00F80690"/>
    <w:rsid w:val="00F8077F"/>
    <w:rsid w:val="00F8085E"/>
    <w:rsid w:val="00F808BD"/>
    <w:rsid w:val="00F809C2"/>
    <w:rsid w:val="00F80A36"/>
    <w:rsid w:val="00F80AAB"/>
    <w:rsid w:val="00F80B06"/>
    <w:rsid w:val="00F80B18"/>
    <w:rsid w:val="00F80B35"/>
    <w:rsid w:val="00F80B3C"/>
    <w:rsid w:val="00F80BAC"/>
    <w:rsid w:val="00F80BBB"/>
    <w:rsid w:val="00F80C4A"/>
    <w:rsid w:val="00F80CC6"/>
    <w:rsid w:val="00F80CF3"/>
    <w:rsid w:val="00F80D69"/>
    <w:rsid w:val="00F80D6C"/>
    <w:rsid w:val="00F80EDC"/>
    <w:rsid w:val="00F80EE1"/>
    <w:rsid w:val="00F80F19"/>
    <w:rsid w:val="00F80F4D"/>
    <w:rsid w:val="00F810C3"/>
    <w:rsid w:val="00F8118A"/>
    <w:rsid w:val="00F81204"/>
    <w:rsid w:val="00F8130C"/>
    <w:rsid w:val="00F81333"/>
    <w:rsid w:val="00F81335"/>
    <w:rsid w:val="00F8134F"/>
    <w:rsid w:val="00F813CF"/>
    <w:rsid w:val="00F813D3"/>
    <w:rsid w:val="00F81697"/>
    <w:rsid w:val="00F816BD"/>
    <w:rsid w:val="00F816CF"/>
    <w:rsid w:val="00F8176B"/>
    <w:rsid w:val="00F817B6"/>
    <w:rsid w:val="00F81829"/>
    <w:rsid w:val="00F8185D"/>
    <w:rsid w:val="00F81901"/>
    <w:rsid w:val="00F81931"/>
    <w:rsid w:val="00F819CC"/>
    <w:rsid w:val="00F819F3"/>
    <w:rsid w:val="00F81A9F"/>
    <w:rsid w:val="00F81BAE"/>
    <w:rsid w:val="00F81C02"/>
    <w:rsid w:val="00F81D38"/>
    <w:rsid w:val="00F81D85"/>
    <w:rsid w:val="00F81DB2"/>
    <w:rsid w:val="00F81EF8"/>
    <w:rsid w:val="00F81EFD"/>
    <w:rsid w:val="00F82056"/>
    <w:rsid w:val="00F8215A"/>
    <w:rsid w:val="00F821D2"/>
    <w:rsid w:val="00F821E2"/>
    <w:rsid w:val="00F82235"/>
    <w:rsid w:val="00F82247"/>
    <w:rsid w:val="00F822F9"/>
    <w:rsid w:val="00F822FD"/>
    <w:rsid w:val="00F8243F"/>
    <w:rsid w:val="00F82461"/>
    <w:rsid w:val="00F8249F"/>
    <w:rsid w:val="00F824D0"/>
    <w:rsid w:val="00F82541"/>
    <w:rsid w:val="00F82672"/>
    <w:rsid w:val="00F8282B"/>
    <w:rsid w:val="00F8284F"/>
    <w:rsid w:val="00F82862"/>
    <w:rsid w:val="00F8286A"/>
    <w:rsid w:val="00F828E3"/>
    <w:rsid w:val="00F82950"/>
    <w:rsid w:val="00F82976"/>
    <w:rsid w:val="00F8298C"/>
    <w:rsid w:val="00F829FE"/>
    <w:rsid w:val="00F82AF2"/>
    <w:rsid w:val="00F82BBA"/>
    <w:rsid w:val="00F82C84"/>
    <w:rsid w:val="00F82CBD"/>
    <w:rsid w:val="00F82CE4"/>
    <w:rsid w:val="00F82DEF"/>
    <w:rsid w:val="00F82E11"/>
    <w:rsid w:val="00F82E1F"/>
    <w:rsid w:val="00F82E2A"/>
    <w:rsid w:val="00F82E3C"/>
    <w:rsid w:val="00F82E74"/>
    <w:rsid w:val="00F82F4B"/>
    <w:rsid w:val="00F82F75"/>
    <w:rsid w:val="00F82F8E"/>
    <w:rsid w:val="00F830D5"/>
    <w:rsid w:val="00F83114"/>
    <w:rsid w:val="00F83115"/>
    <w:rsid w:val="00F8314D"/>
    <w:rsid w:val="00F83170"/>
    <w:rsid w:val="00F831BA"/>
    <w:rsid w:val="00F832E2"/>
    <w:rsid w:val="00F83307"/>
    <w:rsid w:val="00F8337A"/>
    <w:rsid w:val="00F83402"/>
    <w:rsid w:val="00F8341B"/>
    <w:rsid w:val="00F8349C"/>
    <w:rsid w:val="00F834D0"/>
    <w:rsid w:val="00F834D6"/>
    <w:rsid w:val="00F834E0"/>
    <w:rsid w:val="00F83510"/>
    <w:rsid w:val="00F835B4"/>
    <w:rsid w:val="00F8366B"/>
    <w:rsid w:val="00F83675"/>
    <w:rsid w:val="00F8368A"/>
    <w:rsid w:val="00F83832"/>
    <w:rsid w:val="00F83838"/>
    <w:rsid w:val="00F83933"/>
    <w:rsid w:val="00F83991"/>
    <w:rsid w:val="00F839E3"/>
    <w:rsid w:val="00F83A11"/>
    <w:rsid w:val="00F83AEF"/>
    <w:rsid w:val="00F83B49"/>
    <w:rsid w:val="00F83BAE"/>
    <w:rsid w:val="00F83C24"/>
    <w:rsid w:val="00F83C3D"/>
    <w:rsid w:val="00F83CC4"/>
    <w:rsid w:val="00F83CE3"/>
    <w:rsid w:val="00F83CEF"/>
    <w:rsid w:val="00F83D74"/>
    <w:rsid w:val="00F83D79"/>
    <w:rsid w:val="00F83DDA"/>
    <w:rsid w:val="00F840E9"/>
    <w:rsid w:val="00F841AC"/>
    <w:rsid w:val="00F84283"/>
    <w:rsid w:val="00F8441C"/>
    <w:rsid w:val="00F8448B"/>
    <w:rsid w:val="00F84514"/>
    <w:rsid w:val="00F84516"/>
    <w:rsid w:val="00F84555"/>
    <w:rsid w:val="00F845A1"/>
    <w:rsid w:val="00F84675"/>
    <w:rsid w:val="00F846D3"/>
    <w:rsid w:val="00F846DE"/>
    <w:rsid w:val="00F8474C"/>
    <w:rsid w:val="00F84873"/>
    <w:rsid w:val="00F8496A"/>
    <w:rsid w:val="00F849D6"/>
    <w:rsid w:val="00F849ED"/>
    <w:rsid w:val="00F84A5E"/>
    <w:rsid w:val="00F84AE6"/>
    <w:rsid w:val="00F84B93"/>
    <w:rsid w:val="00F84BCD"/>
    <w:rsid w:val="00F84C5B"/>
    <w:rsid w:val="00F84CAF"/>
    <w:rsid w:val="00F84CC4"/>
    <w:rsid w:val="00F84DF3"/>
    <w:rsid w:val="00F84EB1"/>
    <w:rsid w:val="00F84F95"/>
    <w:rsid w:val="00F84FA4"/>
    <w:rsid w:val="00F84FAF"/>
    <w:rsid w:val="00F84FCE"/>
    <w:rsid w:val="00F84FE4"/>
    <w:rsid w:val="00F850C2"/>
    <w:rsid w:val="00F850EE"/>
    <w:rsid w:val="00F851A6"/>
    <w:rsid w:val="00F85205"/>
    <w:rsid w:val="00F85363"/>
    <w:rsid w:val="00F8546E"/>
    <w:rsid w:val="00F8546F"/>
    <w:rsid w:val="00F85485"/>
    <w:rsid w:val="00F856B8"/>
    <w:rsid w:val="00F85748"/>
    <w:rsid w:val="00F85769"/>
    <w:rsid w:val="00F858B2"/>
    <w:rsid w:val="00F8595A"/>
    <w:rsid w:val="00F859EE"/>
    <w:rsid w:val="00F85A2D"/>
    <w:rsid w:val="00F85A3C"/>
    <w:rsid w:val="00F85A8C"/>
    <w:rsid w:val="00F85ABD"/>
    <w:rsid w:val="00F85ACD"/>
    <w:rsid w:val="00F85B67"/>
    <w:rsid w:val="00F85CE3"/>
    <w:rsid w:val="00F85CFD"/>
    <w:rsid w:val="00F85D34"/>
    <w:rsid w:val="00F85D60"/>
    <w:rsid w:val="00F85D82"/>
    <w:rsid w:val="00F85E0C"/>
    <w:rsid w:val="00F85E86"/>
    <w:rsid w:val="00F85F18"/>
    <w:rsid w:val="00F85F1A"/>
    <w:rsid w:val="00F85F20"/>
    <w:rsid w:val="00F85FED"/>
    <w:rsid w:val="00F85FF3"/>
    <w:rsid w:val="00F86070"/>
    <w:rsid w:val="00F8611F"/>
    <w:rsid w:val="00F861C0"/>
    <w:rsid w:val="00F86279"/>
    <w:rsid w:val="00F862B7"/>
    <w:rsid w:val="00F862D9"/>
    <w:rsid w:val="00F86306"/>
    <w:rsid w:val="00F86393"/>
    <w:rsid w:val="00F863DC"/>
    <w:rsid w:val="00F863F5"/>
    <w:rsid w:val="00F86449"/>
    <w:rsid w:val="00F8659E"/>
    <w:rsid w:val="00F86600"/>
    <w:rsid w:val="00F86628"/>
    <w:rsid w:val="00F8669E"/>
    <w:rsid w:val="00F866CB"/>
    <w:rsid w:val="00F8684B"/>
    <w:rsid w:val="00F868DD"/>
    <w:rsid w:val="00F868E8"/>
    <w:rsid w:val="00F869DA"/>
    <w:rsid w:val="00F86ACE"/>
    <w:rsid w:val="00F86B5F"/>
    <w:rsid w:val="00F86C22"/>
    <w:rsid w:val="00F86C9B"/>
    <w:rsid w:val="00F86CD6"/>
    <w:rsid w:val="00F86CEE"/>
    <w:rsid w:val="00F86D38"/>
    <w:rsid w:val="00F86DCB"/>
    <w:rsid w:val="00F86DEA"/>
    <w:rsid w:val="00F86E43"/>
    <w:rsid w:val="00F86ED3"/>
    <w:rsid w:val="00F86F33"/>
    <w:rsid w:val="00F86F99"/>
    <w:rsid w:val="00F86FB8"/>
    <w:rsid w:val="00F8704D"/>
    <w:rsid w:val="00F870B5"/>
    <w:rsid w:val="00F87109"/>
    <w:rsid w:val="00F8712E"/>
    <w:rsid w:val="00F8715B"/>
    <w:rsid w:val="00F87166"/>
    <w:rsid w:val="00F87191"/>
    <w:rsid w:val="00F872DF"/>
    <w:rsid w:val="00F87577"/>
    <w:rsid w:val="00F87580"/>
    <w:rsid w:val="00F87613"/>
    <w:rsid w:val="00F876EB"/>
    <w:rsid w:val="00F8772A"/>
    <w:rsid w:val="00F87780"/>
    <w:rsid w:val="00F8778E"/>
    <w:rsid w:val="00F877E8"/>
    <w:rsid w:val="00F878C8"/>
    <w:rsid w:val="00F87AFC"/>
    <w:rsid w:val="00F87B11"/>
    <w:rsid w:val="00F87BE0"/>
    <w:rsid w:val="00F87C0B"/>
    <w:rsid w:val="00F87CE3"/>
    <w:rsid w:val="00F87CFD"/>
    <w:rsid w:val="00F87DEE"/>
    <w:rsid w:val="00F87E02"/>
    <w:rsid w:val="00F87E49"/>
    <w:rsid w:val="00F87F00"/>
    <w:rsid w:val="00F87F57"/>
    <w:rsid w:val="00F87F66"/>
    <w:rsid w:val="00F87F67"/>
    <w:rsid w:val="00F9001A"/>
    <w:rsid w:val="00F90030"/>
    <w:rsid w:val="00F9012C"/>
    <w:rsid w:val="00F90137"/>
    <w:rsid w:val="00F901AA"/>
    <w:rsid w:val="00F902B6"/>
    <w:rsid w:val="00F90372"/>
    <w:rsid w:val="00F90470"/>
    <w:rsid w:val="00F904D1"/>
    <w:rsid w:val="00F904FA"/>
    <w:rsid w:val="00F90517"/>
    <w:rsid w:val="00F90602"/>
    <w:rsid w:val="00F90625"/>
    <w:rsid w:val="00F906C1"/>
    <w:rsid w:val="00F907CF"/>
    <w:rsid w:val="00F9088A"/>
    <w:rsid w:val="00F9095C"/>
    <w:rsid w:val="00F90983"/>
    <w:rsid w:val="00F909B0"/>
    <w:rsid w:val="00F90A88"/>
    <w:rsid w:val="00F90B4F"/>
    <w:rsid w:val="00F90B94"/>
    <w:rsid w:val="00F90BC8"/>
    <w:rsid w:val="00F90BCF"/>
    <w:rsid w:val="00F90C0E"/>
    <w:rsid w:val="00F90D4E"/>
    <w:rsid w:val="00F90D5B"/>
    <w:rsid w:val="00F90DB8"/>
    <w:rsid w:val="00F90E0C"/>
    <w:rsid w:val="00F90F91"/>
    <w:rsid w:val="00F90FFB"/>
    <w:rsid w:val="00F9113F"/>
    <w:rsid w:val="00F911A1"/>
    <w:rsid w:val="00F912A5"/>
    <w:rsid w:val="00F91318"/>
    <w:rsid w:val="00F91358"/>
    <w:rsid w:val="00F913A2"/>
    <w:rsid w:val="00F913E5"/>
    <w:rsid w:val="00F913F6"/>
    <w:rsid w:val="00F914BC"/>
    <w:rsid w:val="00F9157F"/>
    <w:rsid w:val="00F91587"/>
    <w:rsid w:val="00F9160E"/>
    <w:rsid w:val="00F9164E"/>
    <w:rsid w:val="00F9169E"/>
    <w:rsid w:val="00F916D3"/>
    <w:rsid w:val="00F9182D"/>
    <w:rsid w:val="00F91834"/>
    <w:rsid w:val="00F919EB"/>
    <w:rsid w:val="00F91BC7"/>
    <w:rsid w:val="00F91BCA"/>
    <w:rsid w:val="00F91C53"/>
    <w:rsid w:val="00F91C61"/>
    <w:rsid w:val="00F91C6B"/>
    <w:rsid w:val="00F91CB9"/>
    <w:rsid w:val="00F91D10"/>
    <w:rsid w:val="00F91D28"/>
    <w:rsid w:val="00F91D47"/>
    <w:rsid w:val="00F91D9A"/>
    <w:rsid w:val="00F91DCB"/>
    <w:rsid w:val="00F91E54"/>
    <w:rsid w:val="00F91ED5"/>
    <w:rsid w:val="00F91F08"/>
    <w:rsid w:val="00F91F1F"/>
    <w:rsid w:val="00F91F7C"/>
    <w:rsid w:val="00F91FB3"/>
    <w:rsid w:val="00F920A4"/>
    <w:rsid w:val="00F920F4"/>
    <w:rsid w:val="00F921B5"/>
    <w:rsid w:val="00F921E1"/>
    <w:rsid w:val="00F922D7"/>
    <w:rsid w:val="00F922E6"/>
    <w:rsid w:val="00F9234A"/>
    <w:rsid w:val="00F92497"/>
    <w:rsid w:val="00F9259A"/>
    <w:rsid w:val="00F92754"/>
    <w:rsid w:val="00F927C4"/>
    <w:rsid w:val="00F92896"/>
    <w:rsid w:val="00F92914"/>
    <w:rsid w:val="00F92924"/>
    <w:rsid w:val="00F92982"/>
    <w:rsid w:val="00F92AB4"/>
    <w:rsid w:val="00F92B41"/>
    <w:rsid w:val="00F92BA4"/>
    <w:rsid w:val="00F92BB6"/>
    <w:rsid w:val="00F92C1F"/>
    <w:rsid w:val="00F92C4A"/>
    <w:rsid w:val="00F92C79"/>
    <w:rsid w:val="00F92CDF"/>
    <w:rsid w:val="00F92D1D"/>
    <w:rsid w:val="00F92D4B"/>
    <w:rsid w:val="00F92D4D"/>
    <w:rsid w:val="00F92D62"/>
    <w:rsid w:val="00F92DF8"/>
    <w:rsid w:val="00F92E36"/>
    <w:rsid w:val="00F92F23"/>
    <w:rsid w:val="00F92F36"/>
    <w:rsid w:val="00F92F76"/>
    <w:rsid w:val="00F930C1"/>
    <w:rsid w:val="00F9327F"/>
    <w:rsid w:val="00F9328A"/>
    <w:rsid w:val="00F9329E"/>
    <w:rsid w:val="00F93372"/>
    <w:rsid w:val="00F934A0"/>
    <w:rsid w:val="00F934CE"/>
    <w:rsid w:val="00F936B2"/>
    <w:rsid w:val="00F93803"/>
    <w:rsid w:val="00F93830"/>
    <w:rsid w:val="00F9385E"/>
    <w:rsid w:val="00F938BF"/>
    <w:rsid w:val="00F9391A"/>
    <w:rsid w:val="00F93A74"/>
    <w:rsid w:val="00F93B57"/>
    <w:rsid w:val="00F93B5B"/>
    <w:rsid w:val="00F93CCB"/>
    <w:rsid w:val="00F93CD3"/>
    <w:rsid w:val="00F93D1C"/>
    <w:rsid w:val="00F93D2A"/>
    <w:rsid w:val="00F93D9F"/>
    <w:rsid w:val="00F93DEA"/>
    <w:rsid w:val="00F93DEF"/>
    <w:rsid w:val="00F93E40"/>
    <w:rsid w:val="00F93E79"/>
    <w:rsid w:val="00F93E97"/>
    <w:rsid w:val="00F93EFE"/>
    <w:rsid w:val="00F93F0B"/>
    <w:rsid w:val="00F94000"/>
    <w:rsid w:val="00F9406E"/>
    <w:rsid w:val="00F9407D"/>
    <w:rsid w:val="00F940E4"/>
    <w:rsid w:val="00F94124"/>
    <w:rsid w:val="00F941B1"/>
    <w:rsid w:val="00F94213"/>
    <w:rsid w:val="00F9425C"/>
    <w:rsid w:val="00F942B0"/>
    <w:rsid w:val="00F942BF"/>
    <w:rsid w:val="00F942CF"/>
    <w:rsid w:val="00F94370"/>
    <w:rsid w:val="00F9439D"/>
    <w:rsid w:val="00F944C8"/>
    <w:rsid w:val="00F94631"/>
    <w:rsid w:val="00F94707"/>
    <w:rsid w:val="00F947BE"/>
    <w:rsid w:val="00F9487C"/>
    <w:rsid w:val="00F949B6"/>
    <w:rsid w:val="00F94A32"/>
    <w:rsid w:val="00F94B00"/>
    <w:rsid w:val="00F94B76"/>
    <w:rsid w:val="00F94B8E"/>
    <w:rsid w:val="00F94B9C"/>
    <w:rsid w:val="00F94BE8"/>
    <w:rsid w:val="00F94C1E"/>
    <w:rsid w:val="00F94C62"/>
    <w:rsid w:val="00F94D66"/>
    <w:rsid w:val="00F94EF3"/>
    <w:rsid w:val="00F94F2B"/>
    <w:rsid w:val="00F94F35"/>
    <w:rsid w:val="00F94F50"/>
    <w:rsid w:val="00F94F66"/>
    <w:rsid w:val="00F94F93"/>
    <w:rsid w:val="00F94FB9"/>
    <w:rsid w:val="00F9501B"/>
    <w:rsid w:val="00F9505B"/>
    <w:rsid w:val="00F95110"/>
    <w:rsid w:val="00F9515C"/>
    <w:rsid w:val="00F9518D"/>
    <w:rsid w:val="00F951AA"/>
    <w:rsid w:val="00F951F1"/>
    <w:rsid w:val="00F95274"/>
    <w:rsid w:val="00F952EA"/>
    <w:rsid w:val="00F95448"/>
    <w:rsid w:val="00F95477"/>
    <w:rsid w:val="00F95492"/>
    <w:rsid w:val="00F95528"/>
    <w:rsid w:val="00F955B1"/>
    <w:rsid w:val="00F95604"/>
    <w:rsid w:val="00F95618"/>
    <w:rsid w:val="00F957AE"/>
    <w:rsid w:val="00F958A6"/>
    <w:rsid w:val="00F9594E"/>
    <w:rsid w:val="00F9595F"/>
    <w:rsid w:val="00F95972"/>
    <w:rsid w:val="00F95A23"/>
    <w:rsid w:val="00F95A80"/>
    <w:rsid w:val="00F95A8A"/>
    <w:rsid w:val="00F95C3A"/>
    <w:rsid w:val="00F95C5F"/>
    <w:rsid w:val="00F95CEC"/>
    <w:rsid w:val="00F95D3A"/>
    <w:rsid w:val="00F95DF8"/>
    <w:rsid w:val="00F95E34"/>
    <w:rsid w:val="00F95E7B"/>
    <w:rsid w:val="00F95FE8"/>
    <w:rsid w:val="00F96031"/>
    <w:rsid w:val="00F9604A"/>
    <w:rsid w:val="00F96067"/>
    <w:rsid w:val="00F9606C"/>
    <w:rsid w:val="00F9619D"/>
    <w:rsid w:val="00F96239"/>
    <w:rsid w:val="00F96273"/>
    <w:rsid w:val="00F96286"/>
    <w:rsid w:val="00F96316"/>
    <w:rsid w:val="00F96364"/>
    <w:rsid w:val="00F9636C"/>
    <w:rsid w:val="00F963A8"/>
    <w:rsid w:val="00F9642D"/>
    <w:rsid w:val="00F96438"/>
    <w:rsid w:val="00F9646C"/>
    <w:rsid w:val="00F964D4"/>
    <w:rsid w:val="00F96542"/>
    <w:rsid w:val="00F965DD"/>
    <w:rsid w:val="00F96604"/>
    <w:rsid w:val="00F96665"/>
    <w:rsid w:val="00F9669C"/>
    <w:rsid w:val="00F966FB"/>
    <w:rsid w:val="00F967E4"/>
    <w:rsid w:val="00F96835"/>
    <w:rsid w:val="00F9684A"/>
    <w:rsid w:val="00F968B4"/>
    <w:rsid w:val="00F96916"/>
    <w:rsid w:val="00F96957"/>
    <w:rsid w:val="00F969B4"/>
    <w:rsid w:val="00F969EE"/>
    <w:rsid w:val="00F96A20"/>
    <w:rsid w:val="00F96AC3"/>
    <w:rsid w:val="00F96AD9"/>
    <w:rsid w:val="00F96ADE"/>
    <w:rsid w:val="00F96B00"/>
    <w:rsid w:val="00F96B28"/>
    <w:rsid w:val="00F96B2E"/>
    <w:rsid w:val="00F96B74"/>
    <w:rsid w:val="00F96BB4"/>
    <w:rsid w:val="00F96BDD"/>
    <w:rsid w:val="00F96BF5"/>
    <w:rsid w:val="00F96C3E"/>
    <w:rsid w:val="00F96CA6"/>
    <w:rsid w:val="00F96D38"/>
    <w:rsid w:val="00F96D46"/>
    <w:rsid w:val="00F96DFF"/>
    <w:rsid w:val="00F96E06"/>
    <w:rsid w:val="00F96EEF"/>
    <w:rsid w:val="00F96FF6"/>
    <w:rsid w:val="00F9707B"/>
    <w:rsid w:val="00F97147"/>
    <w:rsid w:val="00F971D3"/>
    <w:rsid w:val="00F971FA"/>
    <w:rsid w:val="00F9722A"/>
    <w:rsid w:val="00F972A6"/>
    <w:rsid w:val="00F972CB"/>
    <w:rsid w:val="00F973D9"/>
    <w:rsid w:val="00F9740B"/>
    <w:rsid w:val="00F9741B"/>
    <w:rsid w:val="00F974F4"/>
    <w:rsid w:val="00F97509"/>
    <w:rsid w:val="00F97545"/>
    <w:rsid w:val="00F975A9"/>
    <w:rsid w:val="00F97617"/>
    <w:rsid w:val="00F976C8"/>
    <w:rsid w:val="00F976F4"/>
    <w:rsid w:val="00F9772F"/>
    <w:rsid w:val="00F97790"/>
    <w:rsid w:val="00F977C6"/>
    <w:rsid w:val="00F977EE"/>
    <w:rsid w:val="00F9781D"/>
    <w:rsid w:val="00F9785D"/>
    <w:rsid w:val="00F97888"/>
    <w:rsid w:val="00F978C4"/>
    <w:rsid w:val="00F97985"/>
    <w:rsid w:val="00F97A2D"/>
    <w:rsid w:val="00F97AB7"/>
    <w:rsid w:val="00F97AE9"/>
    <w:rsid w:val="00F97AF9"/>
    <w:rsid w:val="00F97B53"/>
    <w:rsid w:val="00F97BDC"/>
    <w:rsid w:val="00F97C0E"/>
    <w:rsid w:val="00F97C66"/>
    <w:rsid w:val="00F97D67"/>
    <w:rsid w:val="00F97D76"/>
    <w:rsid w:val="00F97E5F"/>
    <w:rsid w:val="00F97EA2"/>
    <w:rsid w:val="00FA00D3"/>
    <w:rsid w:val="00FA0157"/>
    <w:rsid w:val="00FA01A9"/>
    <w:rsid w:val="00FA025A"/>
    <w:rsid w:val="00FA02B5"/>
    <w:rsid w:val="00FA02C0"/>
    <w:rsid w:val="00FA0353"/>
    <w:rsid w:val="00FA03D3"/>
    <w:rsid w:val="00FA048D"/>
    <w:rsid w:val="00FA049E"/>
    <w:rsid w:val="00FA04D4"/>
    <w:rsid w:val="00FA053C"/>
    <w:rsid w:val="00FA0549"/>
    <w:rsid w:val="00FA062F"/>
    <w:rsid w:val="00FA064D"/>
    <w:rsid w:val="00FA067B"/>
    <w:rsid w:val="00FA06AA"/>
    <w:rsid w:val="00FA07EC"/>
    <w:rsid w:val="00FA07F9"/>
    <w:rsid w:val="00FA0812"/>
    <w:rsid w:val="00FA0849"/>
    <w:rsid w:val="00FA0852"/>
    <w:rsid w:val="00FA089C"/>
    <w:rsid w:val="00FA08C9"/>
    <w:rsid w:val="00FA08FC"/>
    <w:rsid w:val="00FA095F"/>
    <w:rsid w:val="00FA09B6"/>
    <w:rsid w:val="00FA0A1F"/>
    <w:rsid w:val="00FA0A2D"/>
    <w:rsid w:val="00FA0AF0"/>
    <w:rsid w:val="00FA0B74"/>
    <w:rsid w:val="00FA0C60"/>
    <w:rsid w:val="00FA0D0B"/>
    <w:rsid w:val="00FA0D9D"/>
    <w:rsid w:val="00FA0DE7"/>
    <w:rsid w:val="00FA0DF5"/>
    <w:rsid w:val="00FA0E78"/>
    <w:rsid w:val="00FA0F24"/>
    <w:rsid w:val="00FA0F67"/>
    <w:rsid w:val="00FA0F6E"/>
    <w:rsid w:val="00FA0FAA"/>
    <w:rsid w:val="00FA10BD"/>
    <w:rsid w:val="00FA1136"/>
    <w:rsid w:val="00FA1140"/>
    <w:rsid w:val="00FA1186"/>
    <w:rsid w:val="00FA11A0"/>
    <w:rsid w:val="00FA12B6"/>
    <w:rsid w:val="00FA1348"/>
    <w:rsid w:val="00FA13FC"/>
    <w:rsid w:val="00FA14C8"/>
    <w:rsid w:val="00FA15BE"/>
    <w:rsid w:val="00FA15C1"/>
    <w:rsid w:val="00FA15FE"/>
    <w:rsid w:val="00FA1611"/>
    <w:rsid w:val="00FA1673"/>
    <w:rsid w:val="00FA1680"/>
    <w:rsid w:val="00FA170C"/>
    <w:rsid w:val="00FA180A"/>
    <w:rsid w:val="00FA182C"/>
    <w:rsid w:val="00FA1831"/>
    <w:rsid w:val="00FA183B"/>
    <w:rsid w:val="00FA184C"/>
    <w:rsid w:val="00FA18BE"/>
    <w:rsid w:val="00FA1967"/>
    <w:rsid w:val="00FA1A1F"/>
    <w:rsid w:val="00FA1A6D"/>
    <w:rsid w:val="00FA1AC1"/>
    <w:rsid w:val="00FA1AFE"/>
    <w:rsid w:val="00FA1CCC"/>
    <w:rsid w:val="00FA1D15"/>
    <w:rsid w:val="00FA1D61"/>
    <w:rsid w:val="00FA1E11"/>
    <w:rsid w:val="00FA1EF9"/>
    <w:rsid w:val="00FA1F42"/>
    <w:rsid w:val="00FA1F91"/>
    <w:rsid w:val="00FA1FF7"/>
    <w:rsid w:val="00FA203D"/>
    <w:rsid w:val="00FA20E5"/>
    <w:rsid w:val="00FA2145"/>
    <w:rsid w:val="00FA21C1"/>
    <w:rsid w:val="00FA21E2"/>
    <w:rsid w:val="00FA220A"/>
    <w:rsid w:val="00FA2302"/>
    <w:rsid w:val="00FA2314"/>
    <w:rsid w:val="00FA23C0"/>
    <w:rsid w:val="00FA244E"/>
    <w:rsid w:val="00FA24AE"/>
    <w:rsid w:val="00FA2533"/>
    <w:rsid w:val="00FA2548"/>
    <w:rsid w:val="00FA2556"/>
    <w:rsid w:val="00FA2583"/>
    <w:rsid w:val="00FA258B"/>
    <w:rsid w:val="00FA26CF"/>
    <w:rsid w:val="00FA26D0"/>
    <w:rsid w:val="00FA27C4"/>
    <w:rsid w:val="00FA2823"/>
    <w:rsid w:val="00FA28B5"/>
    <w:rsid w:val="00FA28D1"/>
    <w:rsid w:val="00FA291C"/>
    <w:rsid w:val="00FA297C"/>
    <w:rsid w:val="00FA2A20"/>
    <w:rsid w:val="00FA2ACF"/>
    <w:rsid w:val="00FA2AEE"/>
    <w:rsid w:val="00FA2BA5"/>
    <w:rsid w:val="00FA2BBE"/>
    <w:rsid w:val="00FA2BD9"/>
    <w:rsid w:val="00FA2BED"/>
    <w:rsid w:val="00FA2C0E"/>
    <w:rsid w:val="00FA2C17"/>
    <w:rsid w:val="00FA2C7D"/>
    <w:rsid w:val="00FA2D29"/>
    <w:rsid w:val="00FA2D7D"/>
    <w:rsid w:val="00FA2DC8"/>
    <w:rsid w:val="00FA2E47"/>
    <w:rsid w:val="00FA2EF6"/>
    <w:rsid w:val="00FA2FA3"/>
    <w:rsid w:val="00FA30CB"/>
    <w:rsid w:val="00FA3100"/>
    <w:rsid w:val="00FA31CC"/>
    <w:rsid w:val="00FA32FF"/>
    <w:rsid w:val="00FA342E"/>
    <w:rsid w:val="00FA347C"/>
    <w:rsid w:val="00FA3537"/>
    <w:rsid w:val="00FA3567"/>
    <w:rsid w:val="00FA36EE"/>
    <w:rsid w:val="00FA36F1"/>
    <w:rsid w:val="00FA3732"/>
    <w:rsid w:val="00FA3784"/>
    <w:rsid w:val="00FA37BF"/>
    <w:rsid w:val="00FA381D"/>
    <w:rsid w:val="00FA3872"/>
    <w:rsid w:val="00FA38A9"/>
    <w:rsid w:val="00FA3913"/>
    <w:rsid w:val="00FA391E"/>
    <w:rsid w:val="00FA39A2"/>
    <w:rsid w:val="00FA3AE5"/>
    <w:rsid w:val="00FA3B30"/>
    <w:rsid w:val="00FA3BBD"/>
    <w:rsid w:val="00FA3C1B"/>
    <w:rsid w:val="00FA3C9E"/>
    <w:rsid w:val="00FA3CB5"/>
    <w:rsid w:val="00FA3D7C"/>
    <w:rsid w:val="00FA3D9C"/>
    <w:rsid w:val="00FA3DAA"/>
    <w:rsid w:val="00FA3E75"/>
    <w:rsid w:val="00FA3F00"/>
    <w:rsid w:val="00FA3F53"/>
    <w:rsid w:val="00FA3FE9"/>
    <w:rsid w:val="00FA4095"/>
    <w:rsid w:val="00FA40A0"/>
    <w:rsid w:val="00FA40F7"/>
    <w:rsid w:val="00FA4101"/>
    <w:rsid w:val="00FA4103"/>
    <w:rsid w:val="00FA4133"/>
    <w:rsid w:val="00FA41DE"/>
    <w:rsid w:val="00FA42FA"/>
    <w:rsid w:val="00FA4306"/>
    <w:rsid w:val="00FA433F"/>
    <w:rsid w:val="00FA439F"/>
    <w:rsid w:val="00FA4456"/>
    <w:rsid w:val="00FA446A"/>
    <w:rsid w:val="00FA4494"/>
    <w:rsid w:val="00FA44DD"/>
    <w:rsid w:val="00FA454D"/>
    <w:rsid w:val="00FA45AF"/>
    <w:rsid w:val="00FA4655"/>
    <w:rsid w:val="00FA4688"/>
    <w:rsid w:val="00FA47D6"/>
    <w:rsid w:val="00FA4895"/>
    <w:rsid w:val="00FA4917"/>
    <w:rsid w:val="00FA4918"/>
    <w:rsid w:val="00FA494A"/>
    <w:rsid w:val="00FA49F9"/>
    <w:rsid w:val="00FA4A55"/>
    <w:rsid w:val="00FA4A6E"/>
    <w:rsid w:val="00FA4A74"/>
    <w:rsid w:val="00FA4A77"/>
    <w:rsid w:val="00FA4A92"/>
    <w:rsid w:val="00FA4B14"/>
    <w:rsid w:val="00FA4BA7"/>
    <w:rsid w:val="00FA4BAD"/>
    <w:rsid w:val="00FA4BCF"/>
    <w:rsid w:val="00FA4C94"/>
    <w:rsid w:val="00FA4D0B"/>
    <w:rsid w:val="00FA4DBB"/>
    <w:rsid w:val="00FA4EA3"/>
    <w:rsid w:val="00FA4EAF"/>
    <w:rsid w:val="00FA4EE0"/>
    <w:rsid w:val="00FA4F67"/>
    <w:rsid w:val="00FA4F96"/>
    <w:rsid w:val="00FA4FC1"/>
    <w:rsid w:val="00FA5077"/>
    <w:rsid w:val="00FA5089"/>
    <w:rsid w:val="00FA5091"/>
    <w:rsid w:val="00FA50A4"/>
    <w:rsid w:val="00FA50F4"/>
    <w:rsid w:val="00FA5197"/>
    <w:rsid w:val="00FA51FB"/>
    <w:rsid w:val="00FA520B"/>
    <w:rsid w:val="00FA52B8"/>
    <w:rsid w:val="00FA531D"/>
    <w:rsid w:val="00FA5367"/>
    <w:rsid w:val="00FA53A2"/>
    <w:rsid w:val="00FA53AD"/>
    <w:rsid w:val="00FA543B"/>
    <w:rsid w:val="00FA5488"/>
    <w:rsid w:val="00FA54B7"/>
    <w:rsid w:val="00FA5597"/>
    <w:rsid w:val="00FA55D3"/>
    <w:rsid w:val="00FA563C"/>
    <w:rsid w:val="00FA5705"/>
    <w:rsid w:val="00FA5730"/>
    <w:rsid w:val="00FA575F"/>
    <w:rsid w:val="00FA5763"/>
    <w:rsid w:val="00FA582D"/>
    <w:rsid w:val="00FA58E9"/>
    <w:rsid w:val="00FA59E1"/>
    <w:rsid w:val="00FA59E7"/>
    <w:rsid w:val="00FA5A7E"/>
    <w:rsid w:val="00FA5AC0"/>
    <w:rsid w:val="00FA5B44"/>
    <w:rsid w:val="00FA5BFF"/>
    <w:rsid w:val="00FA5D54"/>
    <w:rsid w:val="00FA5D85"/>
    <w:rsid w:val="00FA5E7E"/>
    <w:rsid w:val="00FA5FA6"/>
    <w:rsid w:val="00FA5FE5"/>
    <w:rsid w:val="00FA6037"/>
    <w:rsid w:val="00FA6063"/>
    <w:rsid w:val="00FA608E"/>
    <w:rsid w:val="00FA60BE"/>
    <w:rsid w:val="00FA61A0"/>
    <w:rsid w:val="00FA6252"/>
    <w:rsid w:val="00FA6367"/>
    <w:rsid w:val="00FA649F"/>
    <w:rsid w:val="00FA652D"/>
    <w:rsid w:val="00FA6557"/>
    <w:rsid w:val="00FA657D"/>
    <w:rsid w:val="00FA659B"/>
    <w:rsid w:val="00FA65BC"/>
    <w:rsid w:val="00FA6673"/>
    <w:rsid w:val="00FA6698"/>
    <w:rsid w:val="00FA66EA"/>
    <w:rsid w:val="00FA671F"/>
    <w:rsid w:val="00FA672A"/>
    <w:rsid w:val="00FA6731"/>
    <w:rsid w:val="00FA674F"/>
    <w:rsid w:val="00FA6764"/>
    <w:rsid w:val="00FA6931"/>
    <w:rsid w:val="00FA694B"/>
    <w:rsid w:val="00FA6A59"/>
    <w:rsid w:val="00FA6A6B"/>
    <w:rsid w:val="00FA6B1F"/>
    <w:rsid w:val="00FA6BB3"/>
    <w:rsid w:val="00FA6BCB"/>
    <w:rsid w:val="00FA6BE2"/>
    <w:rsid w:val="00FA6D0C"/>
    <w:rsid w:val="00FA6D31"/>
    <w:rsid w:val="00FA6D6F"/>
    <w:rsid w:val="00FA6DEB"/>
    <w:rsid w:val="00FA6DEC"/>
    <w:rsid w:val="00FA6E63"/>
    <w:rsid w:val="00FA6E85"/>
    <w:rsid w:val="00FA6F6C"/>
    <w:rsid w:val="00FA6FBC"/>
    <w:rsid w:val="00FA7060"/>
    <w:rsid w:val="00FA71D1"/>
    <w:rsid w:val="00FA71DA"/>
    <w:rsid w:val="00FA7267"/>
    <w:rsid w:val="00FA7290"/>
    <w:rsid w:val="00FA72AD"/>
    <w:rsid w:val="00FA72D5"/>
    <w:rsid w:val="00FA72EA"/>
    <w:rsid w:val="00FA7393"/>
    <w:rsid w:val="00FA73F7"/>
    <w:rsid w:val="00FA750E"/>
    <w:rsid w:val="00FA7533"/>
    <w:rsid w:val="00FA753B"/>
    <w:rsid w:val="00FA7563"/>
    <w:rsid w:val="00FA75BD"/>
    <w:rsid w:val="00FA7608"/>
    <w:rsid w:val="00FA7728"/>
    <w:rsid w:val="00FA7751"/>
    <w:rsid w:val="00FA77FE"/>
    <w:rsid w:val="00FA785E"/>
    <w:rsid w:val="00FA787C"/>
    <w:rsid w:val="00FA78AF"/>
    <w:rsid w:val="00FA78B6"/>
    <w:rsid w:val="00FA78D2"/>
    <w:rsid w:val="00FA7957"/>
    <w:rsid w:val="00FA7976"/>
    <w:rsid w:val="00FA7A3E"/>
    <w:rsid w:val="00FA7ACD"/>
    <w:rsid w:val="00FA7BE2"/>
    <w:rsid w:val="00FA7BFA"/>
    <w:rsid w:val="00FA7C29"/>
    <w:rsid w:val="00FA7C43"/>
    <w:rsid w:val="00FA7C64"/>
    <w:rsid w:val="00FA7CF4"/>
    <w:rsid w:val="00FA7DF9"/>
    <w:rsid w:val="00FA7E13"/>
    <w:rsid w:val="00FA7F39"/>
    <w:rsid w:val="00FA7F44"/>
    <w:rsid w:val="00FA7F8A"/>
    <w:rsid w:val="00FA7FAC"/>
    <w:rsid w:val="00FA7FBE"/>
    <w:rsid w:val="00FB0031"/>
    <w:rsid w:val="00FB00DA"/>
    <w:rsid w:val="00FB01AB"/>
    <w:rsid w:val="00FB0216"/>
    <w:rsid w:val="00FB0255"/>
    <w:rsid w:val="00FB0285"/>
    <w:rsid w:val="00FB02CC"/>
    <w:rsid w:val="00FB02F0"/>
    <w:rsid w:val="00FB030C"/>
    <w:rsid w:val="00FB0331"/>
    <w:rsid w:val="00FB0343"/>
    <w:rsid w:val="00FB0392"/>
    <w:rsid w:val="00FB03D5"/>
    <w:rsid w:val="00FB0459"/>
    <w:rsid w:val="00FB04B8"/>
    <w:rsid w:val="00FB04DC"/>
    <w:rsid w:val="00FB052D"/>
    <w:rsid w:val="00FB05D3"/>
    <w:rsid w:val="00FB0631"/>
    <w:rsid w:val="00FB071D"/>
    <w:rsid w:val="00FB0754"/>
    <w:rsid w:val="00FB0781"/>
    <w:rsid w:val="00FB084D"/>
    <w:rsid w:val="00FB08A6"/>
    <w:rsid w:val="00FB0930"/>
    <w:rsid w:val="00FB095F"/>
    <w:rsid w:val="00FB09A2"/>
    <w:rsid w:val="00FB09F7"/>
    <w:rsid w:val="00FB0B74"/>
    <w:rsid w:val="00FB0B8B"/>
    <w:rsid w:val="00FB0D1D"/>
    <w:rsid w:val="00FB0D61"/>
    <w:rsid w:val="00FB0E5F"/>
    <w:rsid w:val="00FB0EDC"/>
    <w:rsid w:val="00FB0F0D"/>
    <w:rsid w:val="00FB0F29"/>
    <w:rsid w:val="00FB0FD5"/>
    <w:rsid w:val="00FB1052"/>
    <w:rsid w:val="00FB1154"/>
    <w:rsid w:val="00FB1179"/>
    <w:rsid w:val="00FB117D"/>
    <w:rsid w:val="00FB119B"/>
    <w:rsid w:val="00FB1255"/>
    <w:rsid w:val="00FB13DE"/>
    <w:rsid w:val="00FB140C"/>
    <w:rsid w:val="00FB1435"/>
    <w:rsid w:val="00FB15AD"/>
    <w:rsid w:val="00FB1617"/>
    <w:rsid w:val="00FB165C"/>
    <w:rsid w:val="00FB1678"/>
    <w:rsid w:val="00FB16FB"/>
    <w:rsid w:val="00FB16FE"/>
    <w:rsid w:val="00FB1775"/>
    <w:rsid w:val="00FB18B6"/>
    <w:rsid w:val="00FB1964"/>
    <w:rsid w:val="00FB197B"/>
    <w:rsid w:val="00FB1995"/>
    <w:rsid w:val="00FB19A4"/>
    <w:rsid w:val="00FB1A2F"/>
    <w:rsid w:val="00FB1A7D"/>
    <w:rsid w:val="00FB1A9A"/>
    <w:rsid w:val="00FB1B04"/>
    <w:rsid w:val="00FB1B23"/>
    <w:rsid w:val="00FB1B45"/>
    <w:rsid w:val="00FB1C70"/>
    <w:rsid w:val="00FB1F1F"/>
    <w:rsid w:val="00FB1F3B"/>
    <w:rsid w:val="00FB1F93"/>
    <w:rsid w:val="00FB1FB4"/>
    <w:rsid w:val="00FB1FD2"/>
    <w:rsid w:val="00FB2031"/>
    <w:rsid w:val="00FB203B"/>
    <w:rsid w:val="00FB2128"/>
    <w:rsid w:val="00FB21CF"/>
    <w:rsid w:val="00FB2246"/>
    <w:rsid w:val="00FB23BE"/>
    <w:rsid w:val="00FB2402"/>
    <w:rsid w:val="00FB2428"/>
    <w:rsid w:val="00FB2469"/>
    <w:rsid w:val="00FB2472"/>
    <w:rsid w:val="00FB252A"/>
    <w:rsid w:val="00FB2565"/>
    <w:rsid w:val="00FB256C"/>
    <w:rsid w:val="00FB25B5"/>
    <w:rsid w:val="00FB26E9"/>
    <w:rsid w:val="00FB277F"/>
    <w:rsid w:val="00FB27DC"/>
    <w:rsid w:val="00FB280D"/>
    <w:rsid w:val="00FB28B9"/>
    <w:rsid w:val="00FB2955"/>
    <w:rsid w:val="00FB2998"/>
    <w:rsid w:val="00FB2A41"/>
    <w:rsid w:val="00FB2AE4"/>
    <w:rsid w:val="00FB2B32"/>
    <w:rsid w:val="00FB2B48"/>
    <w:rsid w:val="00FB2BA1"/>
    <w:rsid w:val="00FB2C50"/>
    <w:rsid w:val="00FB2D0E"/>
    <w:rsid w:val="00FB2D1C"/>
    <w:rsid w:val="00FB2F41"/>
    <w:rsid w:val="00FB2FC1"/>
    <w:rsid w:val="00FB2FCB"/>
    <w:rsid w:val="00FB3187"/>
    <w:rsid w:val="00FB3244"/>
    <w:rsid w:val="00FB32CA"/>
    <w:rsid w:val="00FB3347"/>
    <w:rsid w:val="00FB334D"/>
    <w:rsid w:val="00FB33F5"/>
    <w:rsid w:val="00FB342F"/>
    <w:rsid w:val="00FB3483"/>
    <w:rsid w:val="00FB349E"/>
    <w:rsid w:val="00FB3540"/>
    <w:rsid w:val="00FB3575"/>
    <w:rsid w:val="00FB3578"/>
    <w:rsid w:val="00FB35DD"/>
    <w:rsid w:val="00FB36B4"/>
    <w:rsid w:val="00FB372E"/>
    <w:rsid w:val="00FB3807"/>
    <w:rsid w:val="00FB3887"/>
    <w:rsid w:val="00FB389A"/>
    <w:rsid w:val="00FB394B"/>
    <w:rsid w:val="00FB3A25"/>
    <w:rsid w:val="00FB3A37"/>
    <w:rsid w:val="00FB3A8F"/>
    <w:rsid w:val="00FB3A9E"/>
    <w:rsid w:val="00FB3B2A"/>
    <w:rsid w:val="00FB3C37"/>
    <w:rsid w:val="00FB3C49"/>
    <w:rsid w:val="00FB3C83"/>
    <w:rsid w:val="00FB3D77"/>
    <w:rsid w:val="00FB3D91"/>
    <w:rsid w:val="00FB3E55"/>
    <w:rsid w:val="00FB3EAE"/>
    <w:rsid w:val="00FB3F12"/>
    <w:rsid w:val="00FB3F6F"/>
    <w:rsid w:val="00FB3FAA"/>
    <w:rsid w:val="00FB4022"/>
    <w:rsid w:val="00FB413C"/>
    <w:rsid w:val="00FB41C8"/>
    <w:rsid w:val="00FB428D"/>
    <w:rsid w:val="00FB4311"/>
    <w:rsid w:val="00FB43D6"/>
    <w:rsid w:val="00FB43E8"/>
    <w:rsid w:val="00FB4403"/>
    <w:rsid w:val="00FB440F"/>
    <w:rsid w:val="00FB441E"/>
    <w:rsid w:val="00FB44E7"/>
    <w:rsid w:val="00FB4627"/>
    <w:rsid w:val="00FB4708"/>
    <w:rsid w:val="00FB470A"/>
    <w:rsid w:val="00FB4854"/>
    <w:rsid w:val="00FB486C"/>
    <w:rsid w:val="00FB4880"/>
    <w:rsid w:val="00FB48A4"/>
    <w:rsid w:val="00FB48A9"/>
    <w:rsid w:val="00FB48E6"/>
    <w:rsid w:val="00FB496C"/>
    <w:rsid w:val="00FB499E"/>
    <w:rsid w:val="00FB49A0"/>
    <w:rsid w:val="00FB49A7"/>
    <w:rsid w:val="00FB4A7E"/>
    <w:rsid w:val="00FB4AB4"/>
    <w:rsid w:val="00FB4AC1"/>
    <w:rsid w:val="00FB4AEA"/>
    <w:rsid w:val="00FB4AFC"/>
    <w:rsid w:val="00FB4B35"/>
    <w:rsid w:val="00FB4B36"/>
    <w:rsid w:val="00FB4BAF"/>
    <w:rsid w:val="00FB4C72"/>
    <w:rsid w:val="00FB4CF5"/>
    <w:rsid w:val="00FB4E94"/>
    <w:rsid w:val="00FB4F1C"/>
    <w:rsid w:val="00FB4F2D"/>
    <w:rsid w:val="00FB4F73"/>
    <w:rsid w:val="00FB4FF4"/>
    <w:rsid w:val="00FB5070"/>
    <w:rsid w:val="00FB508B"/>
    <w:rsid w:val="00FB50B5"/>
    <w:rsid w:val="00FB518A"/>
    <w:rsid w:val="00FB52C6"/>
    <w:rsid w:val="00FB5351"/>
    <w:rsid w:val="00FB5399"/>
    <w:rsid w:val="00FB544F"/>
    <w:rsid w:val="00FB547F"/>
    <w:rsid w:val="00FB54A6"/>
    <w:rsid w:val="00FB55AB"/>
    <w:rsid w:val="00FB5692"/>
    <w:rsid w:val="00FB574F"/>
    <w:rsid w:val="00FB57D3"/>
    <w:rsid w:val="00FB5803"/>
    <w:rsid w:val="00FB5808"/>
    <w:rsid w:val="00FB58F3"/>
    <w:rsid w:val="00FB5991"/>
    <w:rsid w:val="00FB5AF6"/>
    <w:rsid w:val="00FB5C0D"/>
    <w:rsid w:val="00FB5CB0"/>
    <w:rsid w:val="00FB5D0A"/>
    <w:rsid w:val="00FB5D38"/>
    <w:rsid w:val="00FB5D50"/>
    <w:rsid w:val="00FB5D96"/>
    <w:rsid w:val="00FB5DB1"/>
    <w:rsid w:val="00FB5EC7"/>
    <w:rsid w:val="00FB5F56"/>
    <w:rsid w:val="00FB5F5D"/>
    <w:rsid w:val="00FB603C"/>
    <w:rsid w:val="00FB60E1"/>
    <w:rsid w:val="00FB6175"/>
    <w:rsid w:val="00FB61E9"/>
    <w:rsid w:val="00FB624E"/>
    <w:rsid w:val="00FB6250"/>
    <w:rsid w:val="00FB6305"/>
    <w:rsid w:val="00FB6314"/>
    <w:rsid w:val="00FB6379"/>
    <w:rsid w:val="00FB64A2"/>
    <w:rsid w:val="00FB64CB"/>
    <w:rsid w:val="00FB65AF"/>
    <w:rsid w:val="00FB6685"/>
    <w:rsid w:val="00FB6699"/>
    <w:rsid w:val="00FB66A9"/>
    <w:rsid w:val="00FB6787"/>
    <w:rsid w:val="00FB6794"/>
    <w:rsid w:val="00FB67E0"/>
    <w:rsid w:val="00FB67E5"/>
    <w:rsid w:val="00FB6819"/>
    <w:rsid w:val="00FB6858"/>
    <w:rsid w:val="00FB6937"/>
    <w:rsid w:val="00FB69AA"/>
    <w:rsid w:val="00FB6A24"/>
    <w:rsid w:val="00FB6A9A"/>
    <w:rsid w:val="00FB6AF9"/>
    <w:rsid w:val="00FB6B15"/>
    <w:rsid w:val="00FB6C28"/>
    <w:rsid w:val="00FB6CA7"/>
    <w:rsid w:val="00FB6CAD"/>
    <w:rsid w:val="00FB6DB3"/>
    <w:rsid w:val="00FB6DE5"/>
    <w:rsid w:val="00FB6DEB"/>
    <w:rsid w:val="00FB6F1C"/>
    <w:rsid w:val="00FB6F7C"/>
    <w:rsid w:val="00FB6FA2"/>
    <w:rsid w:val="00FB6FB5"/>
    <w:rsid w:val="00FB6FDD"/>
    <w:rsid w:val="00FB6FEA"/>
    <w:rsid w:val="00FB6FFD"/>
    <w:rsid w:val="00FB7094"/>
    <w:rsid w:val="00FB70FA"/>
    <w:rsid w:val="00FB710E"/>
    <w:rsid w:val="00FB72BC"/>
    <w:rsid w:val="00FB72E8"/>
    <w:rsid w:val="00FB730D"/>
    <w:rsid w:val="00FB73B3"/>
    <w:rsid w:val="00FB73C2"/>
    <w:rsid w:val="00FB7506"/>
    <w:rsid w:val="00FB758C"/>
    <w:rsid w:val="00FB75B8"/>
    <w:rsid w:val="00FB75E9"/>
    <w:rsid w:val="00FB763E"/>
    <w:rsid w:val="00FB76FC"/>
    <w:rsid w:val="00FB76FD"/>
    <w:rsid w:val="00FB7706"/>
    <w:rsid w:val="00FB7785"/>
    <w:rsid w:val="00FB7792"/>
    <w:rsid w:val="00FB77CB"/>
    <w:rsid w:val="00FB7821"/>
    <w:rsid w:val="00FB7853"/>
    <w:rsid w:val="00FB7A63"/>
    <w:rsid w:val="00FB7CB5"/>
    <w:rsid w:val="00FB7CE8"/>
    <w:rsid w:val="00FB7D47"/>
    <w:rsid w:val="00FB7D64"/>
    <w:rsid w:val="00FB7EAE"/>
    <w:rsid w:val="00FB7EBB"/>
    <w:rsid w:val="00FB7FED"/>
    <w:rsid w:val="00FC0061"/>
    <w:rsid w:val="00FC0097"/>
    <w:rsid w:val="00FC00DE"/>
    <w:rsid w:val="00FC0101"/>
    <w:rsid w:val="00FC0126"/>
    <w:rsid w:val="00FC01C9"/>
    <w:rsid w:val="00FC01EE"/>
    <w:rsid w:val="00FC0212"/>
    <w:rsid w:val="00FC023E"/>
    <w:rsid w:val="00FC029A"/>
    <w:rsid w:val="00FC02CB"/>
    <w:rsid w:val="00FC02EF"/>
    <w:rsid w:val="00FC0381"/>
    <w:rsid w:val="00FC03B2"/>
    <w:rsid w:val="00FC03B8"/>
    <w:rsid w:val="00FC03D2"/>
    <w:rsid w:val="00FC03F0"/>
    <w:rsid w:val="00FC0467"/>
    <w:rsid w:val="00FC050A"/>
    <w:rsid w:val="00FC05D5"/>
    <w:rsid w:val="00FC0636"/>
    <w:rsid w:val="00FC0670"/>
    <w:rsid w:val="00FC0824"/>
    <w:rsid w:val="00FC087D"/>
    <w:rsid w:val="00FC089C"/>
    <w:rsid w:val="00FC08B4"/>
    <w:rsid w:val="00FC092A"/>
    <w:rsid w:val="00FC097B"/>
    <w:rsid w:val="00FC09E4"/>
    <w:rsid w:val="00FC0A0D"/>
    <w:rsid w:val="00FC0BDF"/>
    <w:rsid w:val="00FC0BE2"/>
    <w:rsid w:val="00FC0C7C"/>
    <w:rsid w:val="00FC0C91"/>
    <w:rsid w:val="00FC0CA6"/>
    <w:rsid w:val="00FC0DBA"/>
    <w:rsid w:val="00FC0DD0"/>
    <w:rsid w:val="00FC0DE3"/>
    <w:rsid w:val="00FC0E33"/>
    <w:rsid w:val="00FC0E3F"/>
    <w:rsid w:val="00FC0F70"/>
    <w:rsid w:val="00FC0FBD"/>
    <w:rsid w:val="00FC0FDD"/>
    <w:rsid w:val="00FC0FE5"/>
    <w:rsid w:val="00FC110F"/>
    <w:rsid w:val="00FC112E"/>
    <w:rsid w:val="00FC116D"/>
    <w:rsid w:val="00FC133D"/>
    <w:rsid w:val="00FC13DC"/>
    <w:rsid w:val="00FC13E1"/>
    <w:rsid w:val="00FC14B9"/>
    <w:rsid w:val="00FC157A"/>
    <w:rsid w:val="00FC15B2"/>
    <w:rsid w:val="00FC160C"/>
    <w:rsid w:val="00FC16DE"/>
    <w:rsid w:val="00FC1725"/>
    <w:rsid w:val="00FC176F"/>
    <w:rsid w:val="00FC1837"/>
    <w:rsid w:val="00FC184A"/>
    <w:rsid w:val="00FC1898"/>
    <w:rsid w:val="00FC18F7"/>
    <w:rsid w:val="00FC18FB"/>
    <w:rsid w:val="00FC19DF"/>
    <w:rsid w:val="00FC1A1C"/>
    <w:rsid w:val="00FC1A2D"/>
    <w:rsid w:val="00FC1AF3"/>
    <w:rsid w:val="00FC1BBD"/>
    <w:rsid w:val="00FC1DA0"/>
    <w:rsid w:val="00FC1E25"/>
    <w:rsid w:val="00FC1E3F"/>
    <w:rsid w:val="00FC1E70"/>
    <w:rsid w:val="00FC1E74"/>
    <w:rsid w:val="00FC210B"/>
    <w:rsid w:val="00FC2115"/>
    <w:rsid w:val="00FC2155"/>
    <w:rsid w:val="00FC21ED"/>
    <w:rsid w:val="00FC22D9"/>
    <w:rsid w:val="00FC2310"/>
    <w:rsid w:val="00FC2336"/>
    <w:rsid w:val="00FC235F"/>
    <w:rsid w:val="00FC23B3"/>
    <w:rsid w:val="00FC2428"/>
    <w:rsid w:val="00FC2488"/>
    <w:rsid w:val="00FC2503"/>
    <w:rsid w:val="00FC252E"/>
    <w:rsid w:val="00FC25BA"/>
    <w:rsid w:val="00FC261F"/>
    <w:rsid w:val="00FC26B7"/>
    <w:rsid w:val="00FC2770"/>
    <w:rsid w:val="00FC27E1"/>
    <w:rsid w:val="00FC27F0"/>
    <w:rsid w:val="00FC286E"/>
    <w:rsid w:val="00FC2897"/>
    <w:rsid w:val="00FC2A91"/>
    <w:rsid w:val="00FC2AE3"/>
    <w:rsid w:val="00FC2B48"/>
    <w:rsid w:val="00FC2C34"/>
    <w:rsid w:val="00FC2C4D"/>
    <w:rsid w:val="00FC2C83"/>
    <w:rsid w:val="00FC2CA5"/>
    <w:rsid w:val="00FC2D17"/>
    <w:rsid w:val="00FC2E05"/>
    <w:rsid w:val="00FC2E4A"/>
    <w:rsid w:val="00FC2E78"/>
    <w:rsid w:val="00FC2F07"/>
    <w:rsid w:val="00FC2F97"/>
    <w:rsid w:val="00FC30B4"/>
    <w:rsid w:val="00FC30D3"/>
    <w:rsid w:val="00FC30FA"/>
    <w:rsid w:val="00FC311A"/>
    <w:rsid w:val="00FC3189"/>
    <w:rsid w:val="00FC31C8"/>
    <w:rsid w:val="00FC3275"/>
    <w:rsid w:val="00FC327F"/>
    <w:rsid w:val="00FC3336"/>
    <w:rsid w:val="00FC3387"/>
    <w:rsid w:val="00FC350F"/>
    <w:rsid w:val="00FC3524"/>
    <w:rsid w:val="00FC3558"/>
    <w:rsid w:val="00FC3563"/>
    <w:rsid w:val="00FC35BB"/>
    <w:rsid w:val="00FC35C2"/>
    <w:rsid w:val="00FC35F1"/>
    <w:rsid w:val="00FC3607"/>
    <w:rsid w:val="00FC36E1"/>
    <w:rsid w:val="00FC3787"/>
    <w:rsid w:val="00FC37B9"/>
    <w:rsid w:val="00FC37E4"/>
    <w:rsid w:val="00FC38CE"/>
    <w:rsid w:val="00FC3934"/>
    <w:rsid w:val="00FC39D6"/>
    <w:rsid w:val="00FC3ABA"/>
    <w:rsid w:val="00FC3BA6"/>
    <w:rsid w:val="00FC3C08"/>
    <w:rsid w:val="00FC3C0E"/>
    <w:rsid w:val="00FC3C61"/>
    <w:rsid w:val="00FC3C85"/>
    <w:rsid w:val="00FC3D20"/>
    <w:rsid w:val="00FC3DB6"/>
    <w:rsid w:val="00FC3DD8"/>
    <w:rsid w:val="00FC3DE6"/>
    <w:rsid w:val="00FC3E3E"/>
    <w:rsid w:val="00FC3EAD"/>
    <w:rsid w:val="00FC3F8C"/>
    <w:rsid w:val="00FC40B1"/>
    <w:rsid w:val="00FC40B2"/>
    <w:rsid w:val="00FC40E0"/>
    <w:rsid w:val="00FC40EF"/>
    <w:rsid w:val="00FC4114"/>
    <w:rsid w:val="00FC4272"/>
    <w:rsid w:val="00FC427F"/>
    <w:rsid w:val="00FC42A9"/>
    <w:rsid w:val="00FC42BF"/>
    <w:rsid w:val="00FC42E8"/>
    <w:rsid w:val="00FC4375"/>
    <w:rsid w:val="00FC4388"/>
    <w:rsid w:val="00FC445F"/>
    <w:rsid w:val="00FC448D"/>
    <w:rsid w:val="00FC453B"/>
    <w:rsid w:val="00FC45BA"/>
    <w:rsid w:val="00FC45BF"/>
    <w:rsid w:val="00FC4656"/>
    <w:rsid w:val="00FC46A1"/>
    <w:rsid w:val="00FC46DE"/>
    <w:rsid w:val="00FC4762"/>
    <w:rsid w:val="00FC4818"/>
    <w:rsid w:val="00FC4840"/>
    <w:rsid w:val="00FC48B2"/>
    <w:rsid w:val="00FC4985"/>
    <w:rsid w:val="00FC4994"/>
    <w:rsid w:val="00FC49B4"/>
    <w:rsid w:val="00FC49C1"/>
    <w:rsid w:val="00FC49C3"/>
    <w:rsid w:val="00FC4B32"/>
    <w:rsid w:val="00FC4B34"/>
    <w:rsid w:val="00FC4C44"/>
    <w:rsid w:val="00FC4C59"/>
    <w:rsid w:val="00FC4C87"/>
    <w:rsid w:val="00FC4D0E"/>
    <w:rsid w:val="00FC4D2B"/>
    <w:rsid w:val="00FC4D34"/>
    <w:rsid w:val="00FC4D82"/>
    <w:rsid w:val="00FC4D8E"/>
    <w:rsid w:val="00FC4DBC"/>
    <w:rsid w:val="00FC4DF3"/>
    <w:rsid w:val="00FC4E28"/>
    <w:rsid w:val="00FC4F0E"/>
    <w:rsid w:val="00FC4F50"/>
    <w:rsid w:val="00FC5045"/>
    <w:rsid w:val="00FC507D"/>
    <w:rsid w:val="00FC5093"/>
    <w:rsid w:val="00FC5097"/>
    <w:rsid w:val="00FC50CA"/>
    <w:rsid w:val="00FC51AA"/>
    <w:rsid w:val="00FC5277"/>
    <w:rsid w:val="00FC5294"/>
    <w:rsid w:val="00FC52C4"/>
    <w:rsid w:val="00FC52EA"/>
    <w:rsid w:val="00FC5306"/>
    <w:rsid w:val="00FC53D7"/>
    <w:rsid w:val="00FC5409"/>
    <w:rsid w:val="00FC5451"/>
    <w:rsid w:val="00FC54DD"/>
    <w:rsid w:val="00FC5574"/>
    <w:rsid w:val="00FC5578"/>
    <w:rsid w:val="00FC558F"/>
    <w:rsid w:val="00FC55C5"/>
    <w:rsid w:val="00FC5635"/>
    <w:rsid w:val="00FC5693"/>
    <w:rsid w:val="00FC56D2"/>
    <w:rsid w:val="00FC572B"/>
    <w:rsid w:val="00FC5763"/>
    <w:rsid w:val="00FC57E8"/>
    <w:rsid w:val="00FC58DB"/>
    <w:rsid w:val="00FC59AA"/>
    <w:rsid w:val="00FC59CC"/>
    <w:rsid w:val="00FC5B96"/>
    <w:rsid w:val="00FC5BE1"/>
    <w:rsid w:val="00FC5C44"/>
    <w:rsid w:val="00FC5CEF"/>
    <w:rsid w:val="00FC5D50"/>
    <w:rsid w:val="00FC5D56"/>
    <w:rsid w:val="00FC5D79"/>
    <w:rsid w:val="00FC5DB3"/>
    <w:rsid w:val="00FC5EF0"/>
    <w:rsid w:val="00FC5F03"/>
    <w:rsid w:val="00FC5FD8"/>
    <w:rsid w:val="00FC5FDE"/>
    <w:rsid w:val="00FC5FF2"/>
    <w:rsid w:val="00FC6079"/>
    <w:rsid w:val="00FC60A3"/>
    <w:rsid w:val="00FC6148"/>
    <w:rsid w:val="00FC6174"/>
    <w:rsid w:val="00FC62BF"/>
    <w:rsid w:val="00FC6316"/>
    <w:rsid w:val="00FC636D"/>
    <w:rsid w:val="00FC639C"/>
    <w:rsid w:val="00FC639E"/>
    <w:rsid w:val="00FC63DA"/>
    <w:rsid w:val="00FC6476"/>
    <w:rsid w:val="00FC655B"/>
    <w:rsid w:val="00FC65A1"/>
    <w:rsid w:val="00FC65AC"/>
    <w:rsid w:val="00FC65BA"/>
    <w:rsid w:val="00FC65C2"/>
    <w:rsid w:val="00FC668C"/>
    <w:rsid w:val="00FC66B0"/>
    <w:rsid w:val="00FC679E"/>
    <w:rsid w:val="00FC6888"/>
    <w:rsid w:val="00FC689C"/>
    <w:rsid w:val="00FC68DB"/>
    <w:rsid w:val="00FC6946"/>
    <w:rsid w:val="00FC6972"/>
    <w:rsid w:val="00FC69B4"/>
    <w:rsid w:val="00FC6A78"/>
    <w:rsid w:val="00FC6CD4"/>
    <w:rsid w:val="00FC6CD7"/>
    <w:rsid w:val="00FC6CF5"/>
    <w:rsid w:val="00FC6D29"/>
    <w:rsid w:val="00FC6D7E"/>
    <w:rsid w:val="00FC6EC5"/>
    <w:rsid w:val="00FC6EC8"/>
    <w:rsid w:val="00FC6ED3"/>
    <w:rsid w:val="00FC6F0E"/>
    <w:rsid w:val="00FC6F6C"/>
    <w:rsid w:val="00FC6FA1"/>
    <w:rsid w:val="00FC6FE1"/>
    <w:rsid w:val="00FC6FEB"/>
    <w:rsid w:val="00FC6FF8"/>
    <w:rsid w:val="00FC707A"/>
    <w:rsid w:val="00FC7080"/>
    <w:rsid w:val="00FC70A7"/>
    <w:rsid w:val="00FC714A"/>
    <w:rsid w:val="00FC7237"/>
    <w:rsid w:val="00FC7264"/>
    <w:rsid w:val="00FC7294"/>
    <w:rsid w:val="00FC72A1"/>
    <w:rsid w:val="00FC738A"/>
    <w:rsid w:val="00FC73AA"/>
    <w:rsid w:val="00FC73EB"/>
    <w:rsid w:val="00FC73EC"/>
    <w:rsid w:val="00FC753B"/>
    <w:rsid w:val="00FC7562"/>
    <w:rsid w:val="00FC758E"/>
    <w:rsid w:val="00FC7780"/>
    <w:rsid w:val="00FC7783"/>
    <w:rsid w:val="00FC77B0"/>
    <w:rsid w:val="00FC781C"/>
    <w:rsid w:val="00FC782C"/>
    <w:rsid w:val="00FC7848"/>
    <w:rsid w:val="00FC7874"/>
    <w:rsid w:val="00FC7933"/>
    <w:rsid w:val="00FC7973"/>
    <w:rsid w:val="00FC79F0"/>
    <w:rsid w:val="00FC7A88"/>
    <w:rsid w:val="00FC7A8E"/>
    <w:rsid w:val="00FC7C23"/>
    <w:rsid w:val="00FC7C99"/>
    <w:rsid w:val="00FC7D04"/>
    <w:rsid w:val="00FC7DA1"/>
    <w:rsid w:val="00FC7EAE"/>
    <w:rsid w:val="00FC7EC7"/>
    <w:rsid w:val="00FC7F25"/>
    <w:rsid w:val="00FC7F2D"/>
    <w:rsid w:val="00FC7F41"/>
    <w:rsid w:val="00FC7F9A"/>
    <w:rsid w:val="00FD0128"/>
    <w:rsid w:val="00FD0164"/>
    <w:rsid w:val="00FD0172"/>
    <w:rsid w:val="00FD0220"/>
    <w:rsid w:val="00FD0222"/>
    <w:rsid w:val="00FD02A9"/>
    <w:rsid w:val="00FD034E"/>
    <w:rsid w:val="00FD0356"/>
    <w:rsid w:val="00FD0469"/>
    <w:rsid w:val="00FD0613"/>
    <w:rsid w:val="00FD06B6"/>
    <w:rsid w:val="00FD06C2"/>
    <w:rsid w:val="00FD06E2"/>
    <w:rsid w:val="00FD0761"/>
    <w:rsid w:val="00FD07C7"/>
    <w:rsid w:val="00FD07E9"/>
    <w:rsid w:val="00FD0803"/>
    <w:rsid w:val="00FD080B"/>
    <w:rsid w:val="00FD081D"/>
    <w:rsid w:val="00FD083B"/>
    <w:rsid w:val="00FD08C4"/>
    <w:rsid w:val="00FD0914"/>
    <w:rsid w:val="00FD0A0D"/>
    <w:rsid w:val="00FD0A45"/>
    <w:rsid w:val="00FD0ACE"/>
    <w:rsid w:val="00FD0BCF"/>
    <w:rsid w:val="00FD0C45"/>
    <w:rsid w:val="00FD0CDF"/>
    <w:rsid w:val="00FD0D8A"/>
    <w:rsid w:val="00FD0E68"/>
    <w:rsid w:val="00FD0ED2"/>
    <w:rsid w:val="00FD0F08"/>
    <w:rsid w:val="00FD0F3C"/>
    <w:rsid w:val="00FD1025"/>
    <w:rsid w:val="00FD103B"/>
    <w:rsid w:val="00FD1093"/>
    <w:rsid w:val="00FD1113"/>
    <w:rsid w:val="00FD113D"/>
    <w:rsid w:val="00FD11CC"/>
    <w:rsid w:val="00FD1288"/>
    <w:rsid w:val="00FD12A7"/>
    <w:rsid w:val="00FD1301"/>
    <w:rsid w:val="00FD13C1"/>
    <w:rsid w:val="00FD1435"/>
    <w:rsid w:val="00FD1444"/>
    <w:rsid w:val="00FD1553"/>
    <w:rsid w:val="00FD158C"/>
    <w:rsid w:val="00FD15A1"/>
    <w:rsid w:val="00FD1604"/>
    <w:rsid w:val="00FD164C"/>
    <w:rsid w:val="00FD1841"/>
    <w:rsid w:val="00FD18FD"/>
    <w:rsid w:val="00FD1950"/>
    <w:rsid w:val="00FD1970"/>
    <w:rsid w:val="00FD198E"/>
    <w:rsid w:val="00FD19FC"/>
    <w:rsid w:val="00FD1A8D"/>
    <w:rsid w:val="00FD1AAF"/>
    <w:rsid w:val="00FD1AEC"/>
    <w:rsid w:val="00FD1B5D"/>
    <w:rsid w:val="00FD1BD8"/>
    <w:rsid w:val="00FD1BE8"/>
    <w:rsid w:val="00FD1C5D"/>
    <w:rsid w:val="00FD1C6A"/>
    <w:rsid w:val="00FD1C96"/>
    <w:rsid w:val="00FD1E0F"/>
    <w:rsid w:val="00FD1E7A"/>
    <w:rsid w:val="00FD1E83"/>
    <w:rsid w:val="00FD1E90"/>
    <w:rsid w:val="00FD1EE9"/>
    <w:rsid w:val="00FD1F30"/>
    <w:rsid w:val="00FD1FC2"/>
    <w:rsid w:val="00FD20B5"/>
    <w:rsid w:val="00FD212D"/>
    <w:rsid w:val="00FD22C4"/>
    <w:rsid w:val="00FD22F3"/>
    <w:rsid w:val="00FD232A"/>
    <w:rsid w:val="00FD2385"/>
    <w:rsid w:val="00FD2386"/>
    <w:rsid w:val="00FD23B0"/>
    <w:rsid w:val="00FD23B8"/>
    <w:rsid w:val="00FD24A7"/>
    <w:rsid w:val="00FD24E4"/>
    <w:rsid w:val="00FD252E"/>
    <w:rsid w:val="00FD2579"/>
    <w:rsid w:val="00FD261F"/>
    <w:rsid w:val="00FD2621"/>
    <w:rsid w:val="00FD266B"/>
    <w:rsid w:val="00FD26D3"/>
    <w:rsid w:val="00FD279A"/>
    <w:rsid w:val="00FD27F5"/>
    <w:rsid w:val="00FD2848"/>
    <w:rsid w:val="00FD285B"/>
    <w:rsid w:val="00FD2875"/>
    <w:rsid w:val="00FD287B"/>
    <w:rsid w:val="00FD288F"/>
    <w:rsid w:val="00FD2891"/>
    <w:rsid w:val="00FD28BA"/>
    <w:rsid w:val="00FD2952"/>
    <w:rsid w:val="00FD2973"/>
    <w:rsid w:val="00FD2A03"/>
    <w:rsid w:val="00FD2A08"/>
    <w:rsid w:val="00FD2ACE"/>
    <w:rsid w:val="00FD2BC1"/>
    <w:rsid w:val="00FD2C0A"/>
    <w:rsid w:val="00FD2C49"/>
    <w:rsid w:val="00FD2C67"/>
    <w:rsid w:val="00FD2D9C"/>
    <w:rsid w:val="00FD2DDE"/>
    <w:rsid w:val="00FD2DFA"/>
    <w:rsid w:val="00FD2F4C"/>
    <w:rsid w:val="00FD2FFE"/>
    <w:rsid w:val="00FD3012"/>
    <w:rsid w:val="00FD3052"/>
    <w:rsid w:val="00FD310A"/>
    <w:rsid w:val="00FD315D"/>
    <w:rsid w:val="00FD31A3"/>
    <w:rsid w:val="00FD31C2"/>
    <w:rsid w:val="00FD31EE"/>
    <w:rsid w:val="00FD3251"/>
    <w:rsid w:val="00FD338A"/>
    <w:rsid w:val="00FD33E3"/>
    <w:rsid w:val="00FD33EB"/>
    <w:rsid w:val="00FD346D"/>
    <w:rsid w:val="00FD3480"/>
    <w:rsid w:val="00FD3497"/>
    <w:rsid w:val="00FD3534"/>
    <w:rsid w:val="00FD35A8"/>
    <w:rsid w:val="00FD36A1"/>
    <w:rsid w:val="00FD36B1"/>
    <w:rsid w:val="00FD37B6"/>
    <w:rsid w:val="00FD37BA"/>
    <w:rsid w:val="00FD37D4"/>
    <w:rsid w:val="00FD37E4"/>
    <w:rsid w:val="00FD3861"/>
    <w:rsid w:val="00FD38F5"/>
    <w:rsid w:val="00FD3960"/>
    <w:rsid w:val="00FD3985"/>
    <w:rsid w:val="00FD3A86"/>
    <w:rsid w:val="00FD3AD3"/>
    <w:rsid w:val="00FD3ADD"/>
    <w:rsid w:val="00FD3B24"/>
    <w:rsid w:val="00FD3CE0"/>
    <w:rsid w:val="00FD3D23"/>
    <w:rsid w:val="00FD3DE8"/>
    <w:rsid w:val="00FD3F73"/>
    <w:rsid w:val="00FD400A"/>
    <w:rsid w:val="00FD4030"/>
    <w:rsid w:val="00FD4091"/>
    <w:rsid w:val="00FD4139"/>
    <w:rsid w:val="00FD4156"/>
    <w:rsid w:val="00FD41D7"/>
    <w:rsid w:val="00FD41FC"/>
    <w:rsid w:val="00FD42C3"/>
    <w:rsid w:val="00FD438A"/>
    <w:rsid w:val="00FD4420"/>
    <w:rsid w:val="00FD44E6"/>
    <w:rsid w:val="00FD468F"/>
    <w:rsid w:val="00FD46E2"/>
    <w:rsid w:val="00FD47A4"/>
    <w:rsid w:val="00FD4802"/>
    <w:rsid w:val="00FD4827"/>
    <w:rsid w:val="00FD487D"/>
    <w:rsid w:val="00FD48C2"/>
    <w:rsid w:val="00FD4908"/>
    <w:rsid w:val="00FD49F9"/>
    <w:rsid w:val="00FD4B81"/>
    <w:rsid w:val="00FD4BF5"/>
    <w:rsid w:val="00FD4CF0"/>
    <w:rsid w:val="00FD4D2E"/>
    <w:rsid w:val="00FD4D41"/>
    <w:rsid w:val="00FD4F38"/>
    <w:rsid w:val="00FD5031"/>
    <w:rsid w:val="00FD508B"/>
    <w:rsid w:val="00FD5107"/>
    <w:rsid w:val="00FD51D1"/>
    <w:rsid w:val="00FD52F5"/>
    <w:rsid w:val="00FD5349"/>
    <w:rsid w:val="00FD53E1"/>
    <w:rsid w:val="00FD541D"/>
    <w:rsid w:val="00FD541F"/>
    <w:rsid w:val="00FD54BF"/>
    <w:rsid w:val="00FD5523"/>
    <w:rsid w:val="00FD55D1"/>
    <w:rsid w:val="00FD565D"/>
    <w:rsid w:val="00FD57EE"/>
    <w:rsid w:val="00FD580A"/>
    <w:rsid w:val="00FD5844"/>
    <w:rsid w:val="00FD5856"/>
    <w:rsid w:val="00FD58C8"/>
    <w:rsid w:val="00FD596B"/>
    <w:rsid w:val="00FD5984"/>
    <w:rsid w:val="00FD59FE"/>
    <w:rsid w:val="00FD5A48"/>
    <w:rsid w:val="00FD5A67"/>
    <w:rsid w:val="00FD5B52"/>
    <w:rsid w:val="00FD5C41"/>
    <w:rsid w:val="00FD5C62"/>
    <w:rsid w:val="00FD5D15"/>
    <w:rsid w:val="00FD5D9D"/>
    <w:rsid w:val="00FD5DB7"/>
    <w:rsid w:val="00FD5DB9"/>
    <w:rsid w:val="00FD5EA8"/>
    <w:rsid w:val="00FD5ECD"/>
    <w:rsid w:val="00FD6054"/>
    <w:rsid w:val="00FD60B3"/>
    <w:rsid w:val="00FD60C7"/>
    <w:rsid w:val="00FD60EA"/>
    <w:rsid w:val="00FD60F3"/>
    <w:rsid w:val="00FD6283"/>
    <w:rsid w:val="00FD628B"/>
    <w:rsid w:val="00FD6291"/>
    <w:rsid w:val="00FD630C"/>
    <w:rsid w:val="00FD63DB"/>
    <w:rsid w:val="00FD6552"/>
    <w:rsid w:val="00FD662C"/>
    <w:rsid w:val="00FD66A5"/>
    <w:rsid w:val="00FD670F"/>
    <w:rsid w:val="00FD678C"/>
    <w:rsid w:val="00FD67E2"/>
    <w:rsid w:val="00FD67E4"/>
    <w:rsid w:val="00FD67F3"/>
    <w:rsid w:val="00FD6811"/>
    <w:rsid w:val="00FD6847"/>
    <w:rsid w:val="00FD68EC"/>
    <w:rsid w:val="00FD68F8"/>
    <w:rsid w:val="00FD69E9"/>
    <w:rsid w:val="00FD6A32"/>
    <w:rsid w:val="00FD6A67"/>
    <w:rsid w:val="00FD6A8C"/>
    <w:rsid w:val="00FD6ACD"/>
    <w:rsid w:val="00FD6AD0"/>
    <w:rsid w:val="00FD6ADF"/>
    <w:rsid w:val="00FD6B01"/>
    <w:rsid w:val="00FD6B36"/>
    <w:rsid w:val="00FD6B56"/>
    <w:rsid w:val="00FD6BC1"/>
    <w:rsid w:val="00FD6BDB"/>
    <w:rsid w:val="00FD6E34"/>
    <w:rsid w:val="00FD6E7F"/>
    <w:rsid w:val="00FD6EBF"/>
    <w:rsid w:val="00FD6ED9"/>
    <w:rsid w:val="00FD6F05"/>
    <w:rsid w:val="00FD6F3C"/>
    <w:rsid w:val="00FD70EA"/>
    <w:rsid w:val="00FD7105"/>
    <w:rsid w:val="00FD72E4"/>
    <w:rsid w:val="00FD735E"/>
    <w:rsid w:val="00FD73A0"/>
    <w:rsid w:val="00FD73E5"/>
    <w:rsid w:val="00FD743B"/>
    <w:rsid w:val="00FD74F2"/>
    <w:rsid w:val="00FD7550"/>
    <w:rsid w:val="00FD759F"/>
    <w:rsid w:val="00FD765B"/>
    <w:rsid w:val="00FD7705"/>
    <w:rsid w:val="00FD7706"/>
    <w:rsid w:val="00FD787C"/>
    <w:rsid w:val="00FD789B"/>
    <w:rsid w:val="00FD798E"/>
    <w:rsid w:val="00FD7A2C"/>
    <w:rsid w:val="00FD7A2E"/>
    <w:rsid w:val="00FD7A96"/>
    <w:rsid w:val="00FD7B94"/>
    <w:rsid w:val="00FD7BED"/>
    <w:rsid w:val="00FD7C7A"/>
    <w:rsid w:val="00FD7CD9"/>
    <w:rsid w:val="00FD7CDF"/>
    <w:rsid w:val="00FD7D4F"/>
    <w:rsid w:val="00FD7D67"/>
    <w:rsid w:val="00FD7D6E"/>
    <w:rsid w:val="00FD7DF2"/>
    <w:rsid w:val="00FD7E21"/>
    <w:rsid w:val="00FD7E67"/>
    <w:rsid w:val="00FD7F1D"/>
    <w:rsid w:val="00FD7FAB"/>
    <w:rsid w:val="00FE0007"/>
    <w:rsid w:val="00FE00D4"/>
    <w:rsid w:val="00FE0205"/>
    <w:rsid w:val="00FE0223"/>
    <w:rsid w:val="00FE0230"/>
    <w:rsid w:val="00FE0315"/>
    <w:rsid w:val="00FE0337"/>
    <w:rsid w:val="00FE03B0"/>
    <w:rsid w:val="00FE0540"/>
    <w:rsid w:val="00FE05BD"/>
    <w:rsid w:val="00FE05EC"/>
    <w:rsid w:val="00FE062A"/>
    <w:rsid w:val="00FE0696"/>
    <w:rsid w:val="00FE06EF"/>
    <w:rsid w:val="00FE0818"/>
    <w:rsid w:val="00FE08B0"/>
    <w:rsid w:val="00FE08B3"/>
    <w:rsid w:val="00FE08DE"/>
    <w:rsid w:val="00FE08E6"/>
    <w:rsid w:val="00FE0927"/>
    <w:rsid w:val="00FE097D"/>
    <w:rsid w:val="00FE09F7"/>
    <w:rsid w:val="00FE0A3C"/>
    <w:rsid w:val="00FE0AA2"/>
    <w:rsid w:val="00FE0B39"/>
    <w:rsid w:val="00FE0B3C"/>
    <w:rsid w:val="00FE0B76"/>
    <w:rsid w:val="00FE0BA0"/>
    <w:rsid w:val="00FE0BC5"/>
    <w:rsid w:val="00FE0CA6"/>
    <w:rsid w:val="00FE0CB2"/>
    <w:rsid w:val="00FE0D1A"/>
    <w:rsid w:val="00FE0D25"/>
    <w:rsid w:val="00FE0D2B"/>
    <w:rsid w:val="00FE0D9F"/>
    <w:rsid w:val="00FE0E3F"/>
    <w:rsid w:val="00FE0E80"/>
    <w:rsid w:val="00FE0ED3"/>
    <w:rsid w:val="00FE0F31"/>
    <w:rsid w:val="00FE0F74"/>
    <w:rsid w:val="00FE102A"/>
    <w:rsid w:val="00FE1035"/>
    <w:rsid w:val="00FE10B4"/>
    <w:rsid w:val="00FE110B"/>
    <w:rsid w:val="00FE1153"/>
    <w:rsid w:val="00FE116C"/>
    <w:rsid w:val="00FE118F"/>
    <w:rsid w:val="00FE11DE"/>
    <w:rsid w:val="00FE129E"/>
    <w:rsid w:val="00FE12F1"/>
    <w:rsid w:val="00FE1315"/>
    <w:rsid w:val="00FE13E0"/>
    <w:rsid w:val="00FE1453"/>
    <w:rsid w:val="00FE145A"/>
    <w:rsid w:val="00FE15D8"/>
    <w:rsid w:val="00FE1846"/>
    <w:rsid w:val="00FE18C6"/>
    <w:rsid w:val="00FE19BC"/>
    <w:rsid w:val="00FE19D0"/>
    <w:rsid w:val="00FE1ABF"/>
    <w:rsid w:val="00FE1B6B"/>
    <w:rsid w:val="00FE1D24"/>
    <w:rsid w:val="00FE1D2B"/>
    <w:rsid w:val="00FE1D79"/>
    <w:rsid w:val="00FE1E0F"/>
    <w:rsid w:val="00FE1E77"/>
    <w:rsid w:val="00FE20A6"/>
    <w:rsid w:val="00FE2156"/>
    <w:rsid w:val="00FE2233"/>
    <w:rsid w:val="00FE2257"/>
    <w:rsid w:val="00FE225D"/>
    <w:rsid w:val="00FE22AF"/>
    <w:rsid w:val="00FE2337"/>
    <w:rsid w:val="00FE235D"/>
    <w:rsid w:val="00FE23E3"/>
    <w:rsid w:val="00FE2430"/>
    <w:rsid w:val="00FE2560"/>
    <w:rsid w:val="00FE262D"/>
    <w:rsid w:val="00FE2655"/>
    <w:rsid w:val="00FE26B3"/>
    <w:rsid w:val="00FE2740"/>
    <w:rsid w:val="00FE27D3"/>
    <w:rsid w:val="00FE288D"/>
    <w:rsid w:val="00FE28BA"/>
    <w:rsid w:val="00FE28BD"/>
    <w:rsid w:val="00FE2986"/>
    <w:rsid w:val="00FE2A5C"/>
    <w:rsid w:val="00FE2ABE"/>
    <w:rsid w:val="00FE2B0A"/>
    <w:rsid w:val="00FE2B1F"/>
    <w:rsid w:val="00FE2C63"/>
    <w:rsid w:val="00FE2C93"/>
    <w:rsid w:val="00FE2C98"/>
    <w:rsid w:val="00FE2E5A"/>
    <w:rsid w:val="00FE2E64"/>
    <w:rsid w:val="00FE2F02"/>
    <w:rsid w:val="00FE30A0"/>
    <w:rsid w:val="00FE30F2"/>
    <w:rsid w:val="00FE3191"/>
    <w:rsid w:val="00FE3210"/>
    <w:rsid w:val="00FE3212"/>
    <w:rsid w:val="00FE3233"/>
    <w:rsid w:val="00FE33BD"/>
    <w:rsid w:val="00FE33F9"/>
    <w:rsid w:val="00FE342F"/>
    <w:rsid w:val="00FE354A"/>
    <w:rsid w:val="00FE3656"/>
    <w:rsid w:val="00FE366A"/>
    <w:rsid w:val="00FE36BF"/>
    <w:rsid w:val="00FE36CA"/>
    <w:rsid w:val="00FE36DE"/>
    <w:rsid w:val="00FE3737"/>
    <w:rsid w:val="00FE379C"/>
    <w:rsid w:val="00FE37D3"/>
    <w:rsid w:val="00FE3851"/>
    <w:rsid w:val="00FE3854"/>
    <w:rsid w:val="00FE3860"/>
    <w:rsid w:val="00FE38BE"/>
    <w:rsid w:val="00FE390D"/>
    <w:rsid w:val="00FE3983"/>
    <w:rsid w:val="00FE39B5"/>
    <w:rsid w:val="00FE39F5"/>
    <w:rsid w:val="00FE3A32"/>
    <w:rsid w:val="00FE3AA4"/>
    <w:rsid w:val="00FE3ACC"/>
    <w:rsid w:val="00FE3AD1"/>
    <w:rsid w:val="00FE3B05"/>
    <w:rsid w:val="00FE3B35"/>
    <w:rsid w:val="00FE3CB0"/>
    <w:rsid w:val="00FE3CB9"/>
    <w:rsid w:val="00FE3DBB"/>
    <w:rsid w:val="00FE3DC7"/>
    <w:rsid w:val="00FE3E05"/>
    <w:rsid w:val="00FE3E8B"/>
    <w:rsid w:val="00FE3EBB"/>
    <w:rsid w:val="00FE3EBF"/>
    <w:rsid w:val="00FE3F9F"/>
    <w:rsid w:val="00FE3FEE"/>
    <w:rsid w:val="00FE4050"/>
    <w:rsid w:val="00FE405C"/>
    <w:rsid w:val="00FE4066"/>
    <w:rsid w:val="00FE40F1"/>
    <w:rsid w:val="00FE40F4"/>
    <w:rsid w:val="00FE4105"/>
    <w:rsid w:val="00FE4109"/>
    <w:rsid w:val="00FE42BB"/>
    <w:rsid w:val="00FE432F"/>
    <w:rsid w:val="00FE434B"/>
    <w:rsid w:val="00FE438F"/>
    <w:rsid w:val="00FE43E9"/>
    <w:rsid w:val="00FE443E"/>
    <w:rsid w:val="00FE449B"/>
    <w:rsid w:val="00FE44B6"/>
    <w:rsid w:val="00FE44BD"/>
    <w:rsid w:val="00FE4531"/>
    <w:rsid w:val="00FE4533"/>
    <w:rsid w:val="00FE4553"/>
    <w:rsid w:val="00FE4564"/>
    <w:rsid w:val="00FE4588"/>
    <w:rsid w:val="00FE45E9"/>
    <w:rsid w:val="00FE469A"/>
    <w:rsid w:val="00FE46D5"/>
    <w:rsid w:val="00FE473E"/>
    <w:rsid w:val="00FE484E"/>
    <w:rsid w:val="00FE4888"/>
    <w:rsid w:val="00FE48B1"/>
    <w:rsid w:val="00FE48F3"/>
    <w:rsid w:val="00FE4AB2"/>
    <w:rsid w:val="00FE4AB9"/>
    <w:rsid w:val="00FE4C5C"/>
    <w:rsid w:val="00FE4C83"/>
    <w:rsid w:val="00FE4C99"/>
    <w:rsid w:val="00FE4CD9"/>
    <w:rsid w:val="00FE4D19"/>
    <w:rsid w:val="00FE4D22"/>
    <w:rsid w:val="00FE4D29"/>
    <w:rsid w:val="00FE4DAF"/>
    <w:rsid w:val="00FE4DB2"/>
    <w:rsid w:val="00FE4E4B"/>
    <w:rsid w:val="00FE4F6E"/>
    <w:rsid w:val="00FE4FDF"/>
    <w:rsid w:val="00FE502A"/>
    <w:rsid w:val="00FE50B5"/>
    <w:rsid w:val="00FE511C"/>
    <w:rsid w:val="00FE5120"/>
    <w:rsid w:val="00FE51A5"/>
    <w:rsid w:val="00FE526B"/>
    <w:rsid w:val="00FE5284"/>
    <w:rsid w:val="00FE528B"/>
    <w:rsid w:val="00FE52F8"/>
    <w:rsid w:val="00FE53A5"/>
    <w:rsid w:val="00FE53BD"/>
    <w:rsid w:val="00FE53CB"/>
    <w:rsid w:val="00FE5404"/>
    <w:rsid w:val="00FE547E"/>
    <w:rsid w:val="00FE5487"/>
    <w:rsid w:val="00FE5543"/>
    <w:rsid w:val="00FE5551"/>
    <w:rsid w:val="00FE5552"/>
    <w:rsid w:val="00FE562C"/>
    <w:rsid w:val="00FE56E5"/>
    <w:rsid w:val="00FE57B8"/>
    <w:rsid w:val="00FE590C"/>
    <w:rsid w:val="00FE592F"/>
    <w:rsid w:val="00FE594F"/>
    <w:rsid w:val="00FE5A57"/>
    <w:rsid w:val="00FE5AF7"/>
    <w:rsid w:val="00FE5B12"/>
    <w:rsid w:val="00FE5B66"/>
    <w:rsid w:val="00FE5BE7"/>
    <w:rsid w:val="00FE5D0B"/>
    <w:rsid w:val="00FE5D0D"/>
    <w:rsid w:val="00FE5D55"/>
    <w:rsid w:val="00FE5E04"/>
    <w:rsid w:val="00FE5EAC"/>
    <w:rsid w:val="00FE5F55"/>
    <w:rsid w:val="00FE600F"/>
    <w:rsid w:val="00FE60C8"/>
    <w:rsid w:val="00FE60D5"/>
    <w:rsid w:val="00FE6144"/>
    <w:rsid w:val="00FE61A1"/>
    <w:rsid w:val="00FE61C0"/>
    <w:rsid w:val="00FE624D"/>
    <w:rsid w:val="00FE6396"/>
    <w:rsid w:val="00FE639F"/>
    <w:rsid w:val="00FE64CA"/>
    <w:rsid w:val="00FE6584"/>
    <w:rsid w:val="00FE67DF"/>
    <w:rsid w:val="00FE6884"/>
    <w:rsid w:val="00FE6888"/>
    <w:rsid w:val="00FE6890"/>
    <w:rsid w:val="00FE695C"/>
    <w:rsid w:val="00FE6960"/>
    <w:rsid w:val="00FE698A"/>
    <w:rsid w:val="00FE69B4"/>
    <w:rsid w:val="00FE69DD"/>
    <w:rsid w:val="00FE6A6F"/>
    <w:rsid w:val="00FE6B80"/>
    <w:rsid w:val="00FE6C6C"/>
    <w:rsid w:val="00FE6CEC"/>
    <w:rsid w:val="00FE6DB5"/>
    <w:rsid w:val="00FE6E6C"/>
    <w:rsid w:val="00FE6EB6"/>
    <w:rsid w:val="00FE6ECE"/>
    <w:rsid w:val="00FE6EED"/>
    <w:rsid w:val="00FE6EF6"/>
    <w:rsid w:val="00FE6F18"/>
    <w:rsid w:val="00FE6F46"/>
    <w:rsid w:val="00FE7024"/>
    <w:rsid w:val="00FE7031"/>
    <w:rsid w:val="00FE7077"/>
    <w:rsid w:val="00FE70BE"/>
    <w:rsid w:val="00FE70F8"/>
    <w:rsid w:val="00FE71E4"/>
    <w:rsid w:val="00FE72A2"/>
    <w:rsid w:val="00FE7449"/>
    <w:rsid w:val="00FE7487"/>
    <w:rsid w:val="00FE74E9"/>
    <w:rsid w:val="00FE7513"/>
    <w:rsid w:val="00FE75A0"/>
    <w:rsid w:val="00FE75F3"/>
    <w:rsid w:val="00FE7611"/>
    <w:rsid w:val="00FE7626"/>
    <w:rsid w:val="00FE7696"/>
    <w:rsid w:val="00FE770D"/>
    <w:rsid w:val="00FE78C4"/>
    <w:rsid w:val="00FE78D8"/>
    <w:rsid w:val="00FE79BE"/>
    <w:rsid w:val="00FE7A1B"/>
    <w:rsid w:val="00FE7A31"/>
    <w:rsid w:val="00FE7A37"/>
    <w:rsid w:val="00FE7A4F"/>
    <w:rsid w:val="00FE7A89"/>
    <w:rsid w:val="00FE7AE2"/>
    <w:rsid w:val="00FE7AE4"/>
    <w:rsid w:val="00FE7B2E"/>
    <w:rsid w:val="00FE7B2F"/>
    <w:rsid w:val="00FE7B4D"/>
    <w:rsid w:val="00FE7BE2"/>
    <w:rsid w:val="00FE7C13"/>
    <w:rsid w:val="00FE7C58"/>
    <w:rsid w:val="00FE7C5C"/>
    <w:rsid w:val="00FE7CB9"/>
    <w:rsid w:val="00FE7CEE"/>
    <w:rsid w:val="00FE7D03"/>
    <w:rsid w:val="00FE7DC8"/>
    <w:rsid w:val="00FE7EF8"/>
    <w:rsid w:val="00FE7FAA"/>
    <w:rsid w:val="00FEE8A8"/>
    <w:rsid w:val="00FF0209"/>
    <w:rsid w:val="00FF0218"/>
    <w:rsid w:val="00FF021B"/>
    <w:rsid w:val="00FF025E"/>
    <w:rsid w:val="00FF0346"/>
    <w:rsid w:val="00FF03AE"/>
    <w:rsid w:val="00FF0456"/>
    <w:rsid w:val="00FF04B4"/>
    <w:rsid w:val="00FF054F"/>
    <w:rsid w:val="00FF0557"/>
    <w:rsid w:val="00FF05C4"/>
    <w:rsid w:val="00FF06B9"/>
    <w:rsid w:val="00FF06C5"/>
    <w:rsid w:val="00FF0769"/>
    <w:rsid w:val="00FF07CC"/>
    <w:rsid w:val="00FF08BC"/>
    <w:rsid w:val="00FF08DF"/>
    <w:rsid w:val="00FF0969"/>
    <w:rsid w:val="00FF09F2"/>
    <w:rsid w:val="00FF0A2E"/>
    <w:rsid w:val="00FF0A73"/>
    <w:rsid w:val="00FF0A87"/>
    <w:rsid w:val="00FF0AC6"/>
    <w:rsid w:val="00FF0AF6"/>
    <w:rsid w:val="00FF0AFC"/>
    <w:rsid w:val="00FF0B76"/>
    <w:rsid w:val="00FF0BD1"/>
    <w:rsid w:val="00FF0BE1"/>
    <w:rsid w:val="00FF0C2E"/>
    <w:rsid w:val="00FF0C89"/>
    <w:rsid w:val="00FF0D91"/>
    <w:rsid w:val="00FF0D98"/>
    <w:rsid w:val="00FF0DD7"/>
    <w:rsid w:val="00FF0E13"/>
    <w:rsid w:val="00FF0E1B"/>
    <w:rsid w:val="00FF0E36"/>
    <w:rsid w:val="00FF0E72"/>
    <w:rsid w:val="00FF0EB2"/>
    <w:rsid w:val="00FF0F0E"/>
    <w:rsid w:val="00FF10F4"/>
    <w:rsid w:val="00FF1214"/>
    <w:rsid w:val="00FF121B"/>
    <w:rsid w:val="00FF12EA"/>
    <w:rsid w:val="00FF137C"/>
    <w:rsid w:val="00FF138C"/>
    <w:rsid w:val="00FF1450"/>
    <w:rsid w:val="00FF1471"/>
    <w:rsid w:val="00FF1477"/>
    <w:rsid w:val="00FF147D"/>
    <w:rsid w:val="00FF14DF"/>
    <w:rsid w:val="00FF16B6"/>
    <w:rsid w:val="00FF170D"/>
    <w:rsid w:val="00FF17A5"/>
    <w:rsid w:val="00FF190D"/>
    <w:rsid w:val="00FF1921"/>
    <w:rsid w:val="00FF1996"/>
    <w:rsid w:val="00FF19A2"/>
    <w:rsid w:val="00FF19BF"/>
    <w:rsid w:val="00FF1A36"/>
    <w:rsid w:val="00FF1A6D"/>
    <w:rsid w:val="00FF1A99"/>
    <w:rsid w:val="00FF1B20"/>
    <w:rsid w:val="00FF1B47"/>
    <w:rsid w:val="00FF1C62"/>
    <w:rsid w:val="00FF1D0B"/>
    <w:rsid w:val="00FF1D0E"/>
    <w:rsid w:val="00FF1DB4"/>
    <w:rsid w:val="00FF1DD7"/>
    <w:rsid w:val="00FF1E2F"/>
    <w:rsid w:val="00FF1E3E"/>
    <w:rsid w:val="00FF1E50"/>
    <w:rsid w:val="00FF1F41"/>
    <w:rsid w:val="00FF2074"/>
    <w:rsid w:val="00FF20DC"/>
    <w:rsid w:val="00FF2181"/>
    <w:rsid w:val="00FF2273"/>
    <w:rsid w:val="00FF2317"/>
    <w:rsid w:val="00FF23C6"/>
    <w:rsid w:val="00FF241F"/>
    <w:rsid w:val="00FF249F"/>
    <w:rsid w:val="00FF24D4"/>
    <w:rsid w:val="00FF24DB"/>
    <w:rsid w:val="00FF25D3"/>
    <w:rsid w:val="00FF260E"/>
    <w:rsid w:val="00FF268C"/>
    <w:rsid w:val="00FF26B4"/>
    <w:rsid w:val="00FF26BD"/>
    <w:rsid w:val="00FF272F"/>
    <w:rsid w:val="00FF2892"/>
    <w:rsid w:val="00FF28B8"/>
    <w:rsid w:val="00FF28E4"/>
    <w:rsid w:val="00FF2923"/>
    <w:rsid w:val="00FF2A47"/>
    <w:rsid w:val="00FF2B40"/>
    <w:rsid w:val="00FF2B54"/>
    <w:rsid w:val="00FF2C9E"/>
    <w:rsid w:val="00FF2CF0"/>
    <w:rsid w:val="00FF2D9C"/>
    <w:rsid w:val="00FF2DAD"/>
    <w:rsid w:val="00FF2E1B"/>
    <w:rsid w:val="00FF2F59"/>
    <w:rsid w:val="00FF2F8E"/>
    <w:rsid w:val="00FF2FD2"/>
    <w:rsid w:val="00FF2FE9"/>
    <w:rsid w:val="00FF30C9"/>
    <w:rsid w:val="00FF30D8"/>
    <w:rsid w:val="00FF31AB"/>
    <w:rsid w:val="00FF31B2"/>
    <w:rsid w:val="00FF3274"/>
    <w:rsid w:val="00FF3320"/>
    <w:rsid w:val="00FF3352"/>
    <w:rsid w:val="00FF3374"/>
    <w:rsid w:val="00FF33E6"/>
    <w:rsid w:val="00FF3468"/>
    <w:rsid w:val="00FF3478"/>
    <w:rsid w:val="00FF3490"/>
    <w:rsid w:val="00FF349E"/>
    <w:rsid w:val="00FF3664"/>
    <w:rsid w:val="00FF36E4"/>
    <w:rsid w:val="00FF3721"/>
    <w:rsid w:val="00FF3726"/>
    <w:rsid w:val="00FF385E"/>
    <w:rsid w:val="00FF3A42"/>
    <w:rsid w:val="00FF3AD2"/>
    <w:rsid w:val="00FF3BD9"/>
    <w:rsid w:val="00FF3CBE"/>
    <w:rsid w:val="00FF3D6E"/>
    <w:rsid w:val="00FF3D9E"/>
    <w:rsid w:val="00FF3DFF"/>
    <w:rsid w:val="00FF3E2B"/>
    <w:rsid w:val="00FF3F47"/>
    <w:rsid w:val="00FF4066"/>
    <w:rsid w:val="00FF40E6"/>
    <w:rsid w:val="00FF411D"/>
    <w:rsid w:val="00FF4183"/>
    <w:rsid w:val="00FF41C9"/>
    <w:rsid w:val="00FF4253"/>
    <w:rsid w:val="00FF4268"/>
    <w:rsid w:val="00FF428E"/>
    <w:rsid w:val="00FF4356"/>
    <w:rsid w:val="00FF437E"/>
    <w:rsid w:val="00FF43D6"/>
    <w:rsid w:val="00FF43FC"/>
    <w:rsid w:val="00FF4411"/>
    <w:rsid w:val="00FF455F"/>
    <w:rsid w:val="00FF45C6"/>
    <w:rsid w:val="00FF462A"/>
    <w:rsid w:val="00FF4635"/>
    <w:rsid w:val="00FF469D"/>
    <w:rsid w:val="00FF469E"/>
    <w:rsid w:val="00FF46A1"/>
    <w:rsid w:val="00FF473B"/>
    <w:rsid w:val="00FF473F"/>
    <w:rsid w:val="00FF4748"/>
    <w:rsid w:val="00FF47BB"/>
    <w:rsid w:val="00FF47CA"/>
    <w:rsid w:val="00FF47E1"/>
    <w:rsid w:val="00FF4825"/>
    <w:rsid w:val="00FF483F"/>
    <w:rsid w:val="00FF4885"/>
    <w:rsid w:val="00FF48F2"/>
    <w:rsid w:val="00FF491A"/>
    <w:rsid w:val="00FF49FA"/>
    <w:rsid w:val="00FF4A3C"/>
    <w:rsid w:val="00FF4A78"/>
    <w:rsid w:val="00FF4AE9"/>
    <w:rsid w:val="00FF4AF6"/>
    <w:rsid w:val="00FF4AFA"/>
    <w:rsid w:val="00FF4BC2"/>
    <w:rsid w:val="00FF4C7D"/>
    <w:rsid w:val="00FF4CA0"/>
    <w:rsid w:val="00FF4CAF"/>
    <w:rsid w:val="00FF4CBA"/>
    <w:rsid w:val="00FF4CDD"/>
    <w:rsid w:val="00FF4D10"/>
    <w:rsid w:val="00FF4D2D"/>
    <w:rsid w:val="00FF4DAE"/>
    <w:rsid w:val="00FF4F34"/>
    <w:rsid w:val="00FF4F9D"/>
    <w:rsid w:val="00FF4FC2"/>
    <w:rsid w:val="00FF4FF6"/>
    <w:rsid w:val="00FF50D5"/>
    <w:rsid w:val="00FF50E7"/>
    <w:rsid w:val="00FF5118"/>
    <w:rsid w:val="00FF5174"/>
    <w:rsid w:val="00FF519F"/>
    <w:rsid w:val="00FF51E0"/>
    <w:rsid w:val="00FF51FE"/>
    <w:rsid w:val="00FF531C"/>
    <w:rsid w:val="00FF533C"/>
    <w:rsid w:val="00FF5347"/>
    <w:rsid w:val="00FF53A0"/>
    <w:rsid w:val="00FF53A3"/>
    <w:rsid w:val="00FF54DB"/>
    <w:rsid w:val="00FF5528"/>
    <w:rsid w:val="00FF5563"/>
    <w:rsid w:val="00FF55C5"/>
    <w:rsid w:val="00FF55FC"/>
    <w:rsid w:val="00FF5648"/>
    <w:rsid w:val="00FF565A"/>
    <w:rsid w:val="00FF56E8"/>
    <w:rsid w:val="00FF56F7"/>
    <w:rsid w:val="00FF5704"/>
    <w:rsid w:val="00FF5745"/>
    <w:rsid w:val="00FF5746"/>
    <w:rsid w:val="00FF5771"/>
    <w:rsid w:val="00FF57C8"/>
    <w:rsid w:val="00FF5851"/>
    <w:rsid w:val="00FF5925"/>
    <w:rsid w:val="00FF5927"/>
    <w:rsid w:val="00FF59B8"/>
    <w:rsid w:val="00FF5AA7"/>
    <w:rsid w:val="00FF5B01"/>
    <w:rsid w:val="00FF5BFF"/>
    <w:rsid w:val="00FF5C0E"/>
    <w:rsid w:val="00FF5CC0"/>
    <w:rsid w:val="00FF5CC1"/>
    <w:rsid w:val="00FF5DB4"/>
    <w:rsid w:val="00FF5F51"/>
    <w:rsid w:val="00FF5F70"/>
    <w:rsid w:val="00FF5FA8"/>
    <w:rsid w:val="00FF5FFE"/>
    <w:rsid w:val="00FF6014"/>
    <w:rsid w:val="00FF60B4"/>
    <w:rsid w:val="00FF60C5"/>
    <w:rsid w:val="00FF6117"/>
    <w:rsid w:val="00FF6142"/>
    <w:rsid w:val="00FF61A9"/>
    <w:rsid w:val="00FF620E"/>
    <w:rsid w:val="00FF623D"/>
    <w:rsid w:val="00FF6310"/>
    <w:rsid w:val="00FF6368"/>
    <w:rsid w:val="00FF6455"/>
    <w:rsid w:val="00FF6457"/>
    <w:rsid w:val="00FF6548"/>
    <w:rsid w:val="00FF6607"/>
    <w:rsid w:val="00FF6731"/>
    <w:rsid w:val="00FF67CB"/>
    <w:rsid w:val="00FF67D7"/>
    <w:rsid w:val="00FF68A5"/>
    <w:rsid w:val="00FF6966"/>
    <w:rsid w:val="00FF6A05"/>
    <w:rsid w:val="00FF6A24"/>
    <w:rsid w:val="00FF6A84"/>
    <w:rsid w:val="00FF6B09"/>
    <w:rsid w:val="00FF6BAA"/>
    <w:rsid w:val="00FF6BCF"/>
    <w:rsid w:val="00FF6BD1"/>
    <w:rsid w:val="00FF6BDE"/>
    <w:rsid w:val="00FF6C82"/>
    <w:rsid w:val="00FF6C99"/>
    <w:rsid w:val="00FF6CC9"/>
    <w:rsid w:val="00FF6D21"/>
    <w:rsid w:val="00FF6D64"/>
    <w:rsid w:val="00FF6D66"/>
    <w:rsid w:val="00FF6D98"/>
    <w:rsid w:val="00FF6E09"/>
    <w:rsid w:val="00FF6E10"/>
    <w:rsid w:val="00FF6E1D"/>
    <w:rsid w:val="00FF6E6E"/>
    <w:rsid w:val="00FF6F22"/>
    <w:rsid w:val="00FF6F4B"/>
    <w:rsid w:val="00FF6F77"/>
    <w:rsid w:val="00FF6FEE"/>
    <w:rsid w:val="00FF704E"/>
    <w:rsid w:val="00FF7066"/>
    <w:rsid w:val="00FF70A2"/>
    <w:rsid w:val="00FF71A2"/>
    <w:rsid w:val="00FF7274"/>
    <w:rsid w:val="00FF73FB"/>
    <w:rsid w:val="00FF7428"/>
    <w:rsid w:val="00FF742D"/>
    <w:rsid w:val="00FF74D2"/>
    <w:rsid w:val="00FF750F"/>
    <w:rsid w:val="00FF7525"/>
    <w:rsid w:val="00FF75CE"/>
    <w:rsid w:val="00FF777F"/>
    <w:rsid w:val="00FF7789"/>
    <w:rsid w:val="00FF782B"/>
    <w:rsid w:val="00FF7883"/>
    <w:rsid w:val="00FF78C2"/>
    <w:rsid w:val="00FF78CB"/>
    <w:rsid w:val="00FF79AD"/>
    <w:rsid w:val="00FF79E9"/>
    <w:rsid w:val="00FF7A05"/>
    <w:rsid w:val="00FF7A58"/>
    <w:rsid w:val="00FF7ABD"/>
    <w:rsid w:val="00FF7B27"/>
    <w:rsid w:val="00FF7B3C"/>
    <w:rsid w:val="00FF7B5A"/>
    <w:rsid w:val="00FF7B69"/>
    <w:rsid w:val="00FF7BC1"/>
    <w:rsid w:val="00FF7BC4"/>
    <w:rsid w:val="00FF7BF0"/>
    <w:rsid w:val="00FF7BFB"/>
    <w:rsid w:val="00FF7C10"/>
    <w:rsid w:val="00FF7C1D"/>
    <w:rsid w:val="00FF7C38"/>
    <w:rsid w:val="00FF7D2D"/>
    <w:rsid w:val="00FF7D50"/>
    <w:rsid w:val="00FF7E5D"/>
    <w:rsid w:val="00FF7EA8"/>
    <w:rsid w:val="00FF7EC0"/>
    <w:rsid w:val="00FF7ECB"/>
    <w:rsid w:val="00FF7F0C"/>
    <w:rsid w:val="00FF7F42"/>
    <w:rsid w:val="00FF7F69"/>
    <w:rsid w:val="00FF7FA2"/>
    <w:rsid w:val="010C7DF7"/>
    <w:rsid w:val="010D7E8C"/>
    <w:rsid w:val="011154F7"/>
    <w:rsid w:val="01121F08"/>
    <w:rsid w:val="011AEB2D"/>
    <w:rsid w:val="011B685C"/>
    <w:rsid w:val="0126197F"/>
    <w:rsid w:val="012EC182"/>
    <w:rsid w:val="013716DC"/>
    <w:rsid w:val="013AC366"/>
    <w:rsid w:val="013B2D9D"/>
    <w:rsid w:val="014111D0"/>
    <w:rsid w:val="0150D28F"/>
    <w:rsid w:val="01515616"/>
    <w:rsid w:val="015A538A"/>
    <w:rsid w:val="01603889"/>
    <w:rsid w:val="0163DB1E"/>
    <w:rsid w:val="01642E2F"/>
    <w:rsid w:val="016746A2"/>
    <w:rsid w:val="016A337D"/>
    <w:rsid w:val="016ECF1C"/>
    <w:rsid w:val="016FFCC0"/>
    <w:rsid w:val="01713680"/>
    <w:rsid w:val="01784AC4"/>
    <w:rsid w:val="017BD4BC"/>
    <w:rsid w:val="017EAF21"/>
    <w:rsid w:val="0187E70A"/>
    <w:rsid w:val="018B1E8E"/>
    <w:rsid w:val="018B6E16"/>
    <w:rsid w:val="018C4258"/>
    <w:rsid w:val="01940219"/>
    <w:rsid w:val="01A1DE0C"/>
    <w:rsid w:val="01A294C9"/>
    <w:rsid w:val="01A42701"/>
    <w:rsid w:val="01AA8467"/>
    <w:rsid w:val="01ACF84A"/>
    <w:rsid w:val="01AE2AB9"/>
    <w:rsid w:val="01AFCFF7"/>
    <w:rsid w:val="01B7DE19"/>
    <w:rsid w:val="01C23286"/>
    <w:rsid w:val="01C82E05"/>
    <w:rsid w:val="01C8A76F"/>
    <w:rsid w:val="01CFDE0A"/>
    <w:rsid w:val="01D1FC09"/>
    <w:rsid w:val="01D57A21"/>
    <w:rsid w:val="01DC336B"/>
    <w:rsid w:val="01DC3A69"/>
    <w:rsid w:val="01DC451D"/>
    <w:rsid w:val="01E66E91"/>
    <w:rsid w:val="01EB8C01"/>
    <w:rsid w:val="01F001F7"/>
    <w:rsid w:val="01F238B7"/>
    <w:rsid w:val="01F3FFDD"/>
    <w:rsid w:val="020B2E20"/>
    <w:rsid w:val="02115E56"/>
    <w:rsid w:val="0217F63F"/>
    <w:rsid w:val="021DD279"/>
    <w:rsid w:val="0224FA13"/>
    <w:rsid w:val="02280456"/>
    <w:rsid w:val="023BED79"/>
    <w:rsid w:val="02477845"/>
    <w:rsid w:val="025D94A8"/>
    <w:rsid w:val="025E251D"/>
    <w:rsid w:val="0265F69E"/>
    <w:rsid w:val="02683E16"/>
    <w:rsid w:val="026D9E9F"/>
    <w:rsid w:val="0270AF3C"/>
    <w:rsid w:val="0271462B"/>
    <w:rsid w:val="027B51F7"/>
    <w:rsid w:val="027BF16A"/>
    <w:rsid w:val="027D6091"/>
    <w:rsid w:val="028836E3"/>
    <w:rsid w:val="02886C4C"/>
    <w:rsid w:val="028AE962"/>
    <w:rsid w:val="028B4E11"/>
    <w:rsid w:val="02943DF1"/>
    <w:rsid w:val="029B5E0B"/>
    <w:rsid w:val="02A035BB"/>
    <w:rsid w:val="02B35B75"/>
    <w:rsid w:val="02BA20D2"/>
    <w:rsid w:val="02BB9FF3"/>
    <w:rsid w:val="02C01401"/>
    <w:rsid w:val="02C1E2D0"/>
    <w:rsid w:val="02CCBCEB"/>
    <w:rsid w:val="02CE78D4"/>
    <w:rsid w:val="02CEA551"/>
    <w:rsid w:val="02D44870"/>
    <w:rsid w:val="02DAE5B0"/>
    <w:rsid w:val="02DE4ADA"/>
    <w:rsid w:val="02DE7FD7"/>
    <w:rsid w:val="02E8B083"/>
    <w:rsid w:val="02EBA121"/>
    <w:rsid w:val="02EDAD40"/>
    <w:rsid w:val="02F049B9"/>
    <w:rsid w:val="02F6D01C"/>
    <w:rsid w:val="02F6E2A9"/>
    <w:rsid w:val="02FAF36D"/>
    <w:rsid w:val="02FB97C2"/>
    <w:rsid w:val="0302B15C"/>
    <w:rsid w:val="030A01EA"/>
    <w:rsid w:val="030CEFED"/>
    <w:rsid w:val="030E9A46"/>
    <w:rsid w:val="031A5824"/>
    <w:rsid w:val="031E98EF"/>
    <w:rsid w:val="03228705"/>
    <w:rsid w:val="0326CBDC"/>
    <w:rsid w:val="0327593C"/>
    <w:rsid w:val="0328CDF7"/>
    <w:rsid w:val="0329180B"/>
    <w:rsid w:val="032D9401"/>
    <w:rsid w:val="032DDD54"/>
    <w:rsid w:val="032E18D0"/>
    <w:rsid w:val="033046D8"/>
    <w:rsid w:val="03356197"/>
    <w:rsid w:val="03379A07"/>
    <w:rsid w:val="034810EE"/>
    <w:rsid w:val="034A6F71"/>
    <w:rsid w:val="034B6372"/>
    <w:rsid w:val="034F53D2"/>
    <w:rsid w:val="035137F9"/>
    <w:rsid w:val="03544205"/>
    <w:rsid w:val="0359A8A5"/>
    <w:rsid w:val="035ED618"/>
    <w:rsid w:val="036923FC"/>
    <w:rsid w:val="036BE7C2"/>
    <w:rsid w:val="036CF14F"/>
    <w:rsid w:val="03734CA0"/>
    <w:rsid w:val="03762619"/>
    <w:rsid w:val="0377D3C3"/>
    <w:rsid w:val="038348A8"/>
    <w:rsid w:val="038B0D31"/>
    <w:rsid w:val="038D56E4"/>
    <w:rsid w:val="038F89EE"/>
    <w:rsid w:val="039256A0"/>
    <w:rsid w:val="039ABD8D"/>
    <w:rsid w:val="03A3205A"/>
    <w:rsid w:val="03A6D8DF"/>
    <w:rsid w:val="03B41130"/>
    <w:rsid w:val="03BA0602"/>
    <w:rsid w:val="03BEE0CD"/>
    <w:rsid w:val="03D4BFF9"/>
    <w:rsid w:val="03D4C094"/>
    <w:rsid w:val="03DAB06C"/>
    <w:rsid w:val="03E51D54"/>
    <w:rsid w:val="03EEE822"/>
    <w:rsid w:val="03F4609F"/>
    <w:rsid w:val="0403AE68"/>
    <w:rsid w:val="040403C0"/>
    <w:rsid w:val="0404BCCF"/>
    <w:rsid w:val="0408C6AF"/>
    <w:rsid w:val="040B2F90"/>
    <w:rsid w:val="040C8C69"/>
    <w:rsid w:val="0419DB3D"/>
    <w:rsid w:val="041C9571"/>
    <w:rsid w:val="041D9FE3"/>
    <w:rsid w:val="041FD926"/>
    <w:rsid w:val="0426F218"/>
    <w:rsid w:val="04284705"/>
    <w:rsid w:val="043857CD"/>
    <w:rsid w:val="043DD33D"/>
    <w:rsid w:val="044962C3"/>
    <w:rsid w:val="044F61D0"/>
    <w:rsid w:val="04524F43"/>
    <w:rsid w:val="0455EB63"/>
    <w:rsid w:val="0456FB9A"/>
    <w:rsid w:val="0461089C"/>
    <w:rsid w:val="04630F6E"/>
    <w:rsid w:val="0465C810"/>
    <w:rsid w:val="046DF388"/>
    <w:rsid w:val="046EB79E"/>
    <w:rsid w:val="0472157B"/>
    <w:rsid w:val="0474468E"/>
    <w:rsid w:val="04759AEF"/>
    <w:rsid w:val="047705D7"/>
    <w:rsid w:val="047908CD"/>
    <w:rsid w:val="04795F06"/>
    <w:rsid w:val="04799890"/>
    <w:rsid w:val="047B41B9"/>
    <w:rsid w:val="047B43B0"/>
    <w:rsid w:val="0483E459"/>
    <w:rsid w:val="048CB366"/>
    <w:rsid w:val="04982CAA"/>
    <w:rsid w:val="04A2CA01"/>
    <w:rsid w:val="04A92F92"/>
    <w:rsid w:val="04ACA473"/>
    <w:rsid w:val="04B25F5D"/>
    <w:rsid w:val="04B96093"/>
    <w:rsid w:val="04CC8A03"/>
    <w:rsid w:val="04D26BA3"/>
    <w:rsid w:val="04D5216F"/>
    <w:rsid w:val="04DAAD97"/>
    <w:rsid w:val="04DBC403"/>
    <w:rsid w:val="04DF0776"/>
    <w:rsid w:val="04E8B951"/>
    <w:rsid w:val="04EA9DDE"/>
    <w:rsid w:val="04F30EF3"/>
    <w:rsid w:val="04F9EAA8"/>
    <w:rsid w:val="0502E4C1"/>
    <w:rsid w:val="05035AA7"/>
    <w:rsid w:val="0510F831"/>
    <w:rsid w:val="05126A4E"/>
    <w:rsid w:val="0513B0DF"/>
    <w:rsid w:val="05154E42"/>
    <w:rsid w:val="05162B96"/>
    <w:rsid w:val="05319630"/>
    <w:rsid w:val="05340C7A"/>
    <w:rsid w:val="053CD28F"/>
    <w:rsid w:val="053E34BE"/>
    <w:rsid w:val="054677AF"/>
    <w:rsid w:val="054B56A2"/>
    <w:rsid w:val="05523D86"/>
    <w:rsid w:val="05564A60"/>
    <w:rsid w:val="05575A32"/>
    <w:rsid w:val="055A234C"/>
    <w:rsid w:val="055BA364"/>
    <w:rsid w:val="056207D5"/>
    <w:rsid w:val="05636020"/>
    <w:rsid w:val="05693899"/>
    <w:rsid w:val="0573638C"/>
    <w:rsid w:val="057D1E2A"/>
    <w:rsid w:val="0580CBF7"/>
    <w:rsid w:val="05811A12"/>
    <w:rsid w:val="0582CE26"/>
    <w:rsid w:val="058A4E77"/>
    <w:rsid w:val="058E70CE"/>
    <w:rsid w:val="0594F674"/>
    <w:rsid w:val="05955A95"/>
    <w:rsid w:val="059AEC19"/>
    <w:rsid w:val="059E1ADE"/>
    <w:rsid w:val="05B0BA61"/>
    <w:rsid w:val="05BAD542"/>
    <w:rsid w:val="05BCB911"/>
    <w:rsid w:val="05BFDA2C"/>
    <w:rsid w:val="05C7FA94"/>
    <w:rsid w:val="05CB155B"/>
    <w:rsid w:val="05D1C024"/>
    <w:rsid w:val="05D8B54F"/>
    <w:rsid w:val="05D9F100"/>
    <w:rsid w:val="05DD50C0"/>
    <w:rsid w:val="05DDCF05"/>
    <w:rsid w:val="05DFA928"/>
    <w:rsid w:val="05DFC130"/>
    <w:rsid w:val="05F0C66B"/>
    <w:rsid w:val="05F79A8B"/>
    <w:rsid w:val="05FF7645"/>
    <w:rsid w:val="06016259"/>
    <w:rsid w:val="06122EFE"/>
    <w:rsid w:val="06171A4A"/>
    <w:rsid w:val="061D1DD8"/>
    <w:rsid w:val="061D6613"/>
    <w:rsid w:val="06276DB9"/>
    <w:rsid w:val="062EB168"/>
    <w:rsid w:val="062F6087"/>
    <w:rsid w:val="06358993"/>
    <w:rsid w:val="0636EC84"/>
    <w:rsid w:val="0643F47C"/>
    <w:rsid w:val="064CEBD1"/>
    <w:rsid w:val="064EF894"/>
    <w:rsid w:val="0655296C"/>
    <w:rsid w:val="065C541C"/>
    <w:rsid w:val="06639514"/>
    <w:rsid w:val="066E8CBD"/>
    <w:rsid w:val="0675CAA2"/>
    <w:rsid w:val="0678B2FC"/>
    <w:rsid w:val="0683C566"/>
    <w:rsid w:val="0688F74C"/>
    <w:rsid w:val="06896546"/>
    <w:rsid w:val="068E9AF8"/>
    <w:rsid w:val="068EA030"/>
    <w:rsid w:val="0691B7A1"/>
    <w:rsid w:val="0699FA5D"/>
    <w:rsid w:val="069A1AEC"/>
    <w:rsid w:val="069EEFC3"/>
    <w:rsid w:val="06AEACDE"/>
    <w:rsid w:val="06B54996"/>
    <w:rsid w:val="06BBB4ED"/>
    <w:rsid w:val="06BC77AE"/>
    <w:rsid w:val="06C7E039"/>
    <w:rsid w:val="06D3E984"/>
    <w:rsid w:val="06D686E6"/>
    <w:rsid w:val="06DB01DF"/>
    <w:rsid w:val="06DD5DB5"/>
    <w:rsid w:val="06E7DD40"/>
    <w:rsid w:val="06E96919"/>
    <w:rsid w:val="06ECDDB7"/>
    <w:rsid w:val="06ED2785"/>
    <w:rsid w:val="06F87097"/>
    <w:rsid w:val="0708593C"/>
    <w:rsid w:val="07116849"/>
    <w:rsid w:val="071381D3"/>
    <w:rsid w:val="0714CCE0"/>
    <w:rsid w:val="071BDA21"/>
    <w:rsid w:val="071D1F0D"/>
    <w:rsid w:val="071E36F8"/>
    <w:rsid w:val="072664DD"/>
    <w:rsid w:val="072F602B"/>
    <w:rsid w:val="0731B3E3"/>
    <w:rsid w:val="0734F499"/>
    <w:rsid w:val="0735AC02"/>
    <w:rsid w:val="073D9E63"/>
    <w:rsid w:val="073E8A3E"/>
    <w:rsid w:val="0740AC5A"/>
    <w:rsid w:val="0743C64D"/>
    <w:rsid w:val="075052BB"/>
    <w:rsid w:val="075C2EEB"/>
    <w:rsid w:val="075C5841"/>
    <w:rsid w:val="077454E1"/>
    <w:rsid w:val="077669A3"/>
    <w:rsid w:val="07794130"/>
    <w:rsid w:val="077B4A36"/>
    <w:rsid w:val="077F1C84"/>
    <w:rsid w:val="07895E49"/>
    <w:rsid w:val="078D9D29"/>
    <w:rsid w:val="079F01DC"/>
    <w:rsid w:val="079F7D50"/>
    <w:rsid w:val="07A11635"/>
    <w:rsid w:val="07A5C485"/>
    <w:rsid w:val="07AA45B7"/>
    <w:rsid w:val="07B05354"/>
    <w:rsid w:val="07BB786F"/>
    <w:rsid w:val="07C7CFA2"/>
    <w:rsid w:val="07CDE6C7"/>
    <w:rsid w:val="07CF7A0D"/>
    <w:rsid w:val="07D08A62"/>
    <w:rsid w:val="07D8BDDF"/>
    <w:rsid w:val="07D8DB9E"/>
    <w:rsid w:val="07E59308"/>
    <w:rsid w:val="07E760C7"/>
    <w:rsid w:val="07EB4AB2"/>
    <w:rsid w:val="07EF26A5"/>
    <w:rsid w:val="07F2E58B"/>
    <w:rsid w:val="07F3238C"/>
    <w:rsid w:val="07F9CE05"/>
    <w:rsid w:val="07FAAC24"/>
    <w:rsid w:val="07FAF3CA"/>
    <w:rsid w:val="0804A716"/>
    <w:rsid w:val="0808B0D6"/>
    <w:rsid w:val="080B6705"/>
    <w:rsid w:val="0817EC47"/>
    <w:rsid w:val="082161E6"/>
    <w:rsid w:val="082362E5"/>
    <w:rsid w:val="08264956"/>
    <w:rsid w:val="082E67FA"/>
    <w:rsid w:val="08313CA9"/>
    <w:rsid w:val="08323133"/>
    <w:rsid w:val="0835CD70"/>
    <w:rsid w:val="08379CD9"/>
    <w:rsid w:val="0838E705"/>
    <w:rsid w:val="083AC27F"/>
    <w:rsid w:val="083FDF51"/>
    <w:rsid w:val="0847171A"/>
    <w:rsid w:val="0851CED5"/>
    <w:rsid w:val="08521E8F"/>
    <w:rsid w:val="0852CAA1"/>
    <w:rsid w:val="0854DB7A"/>
    <w:rsid w:val="08556E83"/>
    <w:rsid w:val="085B6B25"/>
    <w:rsid w:val="0865978A"/>
    <w:rsid w:val="08763F5A"/>
    <w:rsid w:val="087B95F2"/>
    <w:rsid w:val="087C8AA1"/>
    <w:rsid w:val="087E780E"/>
    <w:rsid w:val="08877FC7"/>
    <w:rsid w:val="0889BB0E"/>
    <w:rsid w:val="0893725F"/>
    <w:rsid w:val="0896B729"/>
    <w:rsid w:val="08AA9728"/>
    <w:rsid w:val="08ADEFD3"/>
    <w:rsid w:val="08B165B6"/>
    <w:rsid w:val="08BC86C7"/>
    <w:rsid w:val="08C7907D"/>
    <w:rsid w:val="08CA19E2"/>
    <w:rsid w:val="08D84724"/>
    <w:rsid w:val="08E4DAA6"/>
    <w:rsid w:val="08EED84E"/>
    <w:rsid w:val="08EF564C"/>
    <w:rsid w:val="08F090A5"/>
    <w:rsid w:val="08F33148"/>
    <w:rsid w:val="08F5155F"/>
    <w:rsid w:val="08F8F372"/>
    <w:rsid w:val="08F986A8"/>
    <w:rsid w:val="08FBE551"/>
    <w:rsid w:val="08FC89FA"/>
    <w:rsid w:val="08FE50C9"/>
    <w:rsid w:val="0909BE1D"/>
    <w:rsid w:val="090B4998"/>
    <w:rsid w:val="090BC6B4"/>
    <w:rsid w:val="09114413"/>
    <w:rsid w:val="091E1114"/>
    <w:rsid w:val="092069BF"/>
    <w:rsid w:val="0922F2DB"/>
    <w:rsid w:val="0925DA7C"/>
    <w:rsid w:val="0926A79C"/>
    <w:rsid w:val="092B68D8"/>
    <w:rsid w:val="092C05D2"/>
    <w:rsid w:val="093D15C8"/>
    <w:rsid w:val="09441D7C"/>
    <w:rsid w:val="094578AD"/>
    <w:rsid w:val="09466310"/>
    <w:rsid w:val="0956855F"/>
    <w:rsid w:val="09680418"/>
    <w:rsid w:val="096AEC00"/>
    <w:rsid w:val="096C8919"/>
    <w:rsid w:val="096E02F7"/>
    <w:rsid w:val="096F5228"/>
    <w:rsid w:val="0972BBAA"/>
    <w:rsid w:val="09759B1C"/>
    <w:rsid w:val="0994FC2C"/>
    <w:rsid w:val="0996A62F"/>
    <w:rsid w:val="099CF058"/>
    <w:rsid w:val="099F885C"/>
    <w:rsid w:val="09A517D6"/>
    <w:rsid w:val="09AC6531"/>
    <w:rsid w:val="09AF2E00"/>
    <w:rsid w:val="09C457E7"/>
    <w:rsid w:val="09CBA683"/>
    <w:rsid w:val="09CF8EDB"/>
    <w:rsid w:val="09D91124"/>
    <w:rsid w:val="09DEE0D4"/>
    <w:rsid w:val="09E1A4A6"/>
    <w:rsid w:val="09E64387"/>
    <w:rsid w:val="09E657DB"/>
    <w:rsid w:val="09E7B921"/>
    <w:rsid w:val="09EB424D"/>
    <w:rsid w:val="09ED0B7F"/>
    <w:rsid w:val="09EE74F9"/>
    <w:rsid w:val="09EF4488"/>
    <w:rsid w:val="09EF8B7A"/>
    <w:rsid w:val="09F3801B"/>
    <w:rsid w:val="09F41870"/>
    <w:rsid w:val="09FAB2C8"/>
    <w:rsid w:val="09FBA0DF"/>
    <w:rsid w:val="09FC1157"/>
    <w:rsid w:val="0A004CDC"/>
    <w:rsid w:val="0A00E6C3"/>
    <w:rsid w:val="0A0A0663"/>
    <w:rsid w:val="0A0A3D62"/>
    <w:rsid w:val="0A0A4970"/>
    <w:rsid w:val="0A1CE9B5"/>
    <w:rsid w:val="0A1FF9E5"/>
    <w:rsid w:val="0A25A299"/>
    <w:rsid w:val="0A268C32"/>
    <w:rsid w:val="0A282B1C"/>
    <w:rsid w:val="0A284020"/>
    <w:rsid w:val="0A288514"/>
    <w:rsid w:val="0A2A556C"/>
    <w:rsid w:val="0A2C90E1"/>
    <w:rsid w:val="0A3012A3"/>
    <w:rsid w:val="0A30910F"/>
    <w:rsid w:val="0A362952"/>
    <w:rsid w:val="0A3D7A7F"/>
    <w:rsid w:val="0A3DF912"/>
    <w:rsid w:val="0A4588C9"/>
    <w:rsid w:val="0A4F3890"/>
    <w:rsid w:val="0A578F67"/>
    <w:rsid w:val="0A58FFC2"/>
    <w:rsid w:val="0A5ABF53"/>
    <w:rsid w:val="0A684658"/>
    <w:rsid w:val="0A6896FE"/>
    <w:rsid w:val="0A6BA034"/>
    <w:rsid w:val="0A6EA525"/>
    <w:rsid w:val="0A831598"/>
    <w:rsid w:val="0A850ED0"/>
    <w:rsid w:val="0A8B9B05"/>
    <w:rsid w:val="0A92606B"/>
    <w:rsid w:val="0A942DB6"/>
    <w:rsid w:val="0A966C39"/>
    <w:rsid w:val="0A984D06"/>
    <w:rsid w:val="0A99AD3A"/>
    <w:rsid w:val="0A99F1A1"/>
    <w:rsid w:val="0A9BA273"/>
    <w:rsid w:val="0A9D10BD"/>
    <w:rsid w:val="0AA34D0B"/>
    <w:rsid w:val="0AA4AD23"/>
    <w:rsid w:val="0AA746E9"/>
    <w:rsid w:val="0ABA22BF"/>
    <w:rsid w:val="0ACAA978"/>
    <w:rsid w:val="0ACCF43E"/>
    <w:rsid w:val="0AD79944"/>
    <w:rsid w:val="0ADF96C8"/>
    <w:rsid w:val="0AE1B605"/>
    <w:rsid w:val="0AE2FC55"/>
    <w:rsid w:val="0AE60EEC"/>
    <w:rsid w:val="0AECD4F1"/>
    <w:rsid w:val="0AF67B75"/>
    <w:rsid w:val="0AFC0EB1"/>
    <w:rsid w:val="0AFC3584"/>
    <w:rsid w:val="0B046EFC"/>
    <w:rsid w:val="0B06BA0E"/>
    <w:rsid w:val="0B08FAB6"/>
    <w:rsid w:val="0B15449F"/>
    <w:rsid w:val="0B1653A0"/>
    <w:rsid w:val="0B1D6879"/>
    <w:rsid w:val="0B243824"/>
    <w:rsid w:val="0B293A97"/>
    <w:rsid w:val="0B2B3078"/>
    <w:rsid w:val="0B302829"/>
    <w:rsid w:val="0B3204AB"/>
    <w:rsid w:val="0B37534A"/>
    <w:rsid w:val="0B379F3D"/>
    <w:rsid w:val="0B3B58BD"/>
    <w:rsid w:val="0B3E8408"/>
    <w:rsid w:val="0B3FF93A"/>
    <w:rsid w:val="0B423EFE"/>
    <w:rsid w:val="0B427F58"/>
    <w:rsid w:val="0B495D7E"/>
    <w:rsid w:val="0B4B0C70"/>
    <w:rsid w:val="0B59CA5F"/>
    <w:rsid w:val="0B61239A"/>
    <w:rsid w:val="0B63490B"/>
    <w:rsid w:val="0B63FBE5"/>
    <w:rsid w:val="0B666614"/>
    <w:rsid w:val="0B671B35"/>
    <w:rsid w:val="0B6D9300"/>
    <w:rsid w:val="0B89D2C0"/>
    <w:rsid w:val="0B934FF7"/>
    <w:rsid w:val="0B9C34A2"/>
    <w:rsid w:val="0B9C90D6"/>
    <w:rsid w:val="0B9DA31D"/>
    <w:rsid w:val="0B9DDCDC"/>
    <w:rsid w:val="0BA18282"/>
    <w:rsid w:val="0BB83D42"/>
    <w:rsid w:val="0BC5099F"/>
    <w:rsid w:val="0BD124FC"/>
    <w:rsid w:val="0BD3B386"/>
    <w:rsid w:val="0BEFE28D"/>
    <w:rsid w:val="0BF00D7B"/>
    <w:rsid w:val="0BF256DB"/>
    <w:rsid w:val="0BF65530"/>
    <w:rsid w:val="0BF744D3"/>
    <w:rsid w:val="0BFD5BF3"/>
    <w:rsid w:val="0C03F35D"/>
    <w:rsid w:val="0C08C5B3"/>
    <w:rsid w:val="0C0D4DC4"/>
    <w:rsid w:val="0C11F63D"/>
    <w:rsid w:val="0C22E703"/>
    <w:rsid w:val="0C2AE847"/>
    <w:rsid w:val="0C31D739"/>
    <w:rsid w:val="0C32BFF4"/>
    <w:rsid w:val="0C33EA0F"/>
    <w:rsid w:val="0C35F9BB"/>
    <w:rsid w:val="0C3725EA"/>
    <w:rsid w:val="0C379A20"/>
    <w:rsid w:val="0C3BDF8A"/>
    <w:rsid w:val="0C3F6EF0"/>
    <w:rsid w:val="0C42D52B"/>
    <w:rsid w:val="0C49CBD0"/>
    <w:rsid w:val="0C4D7AAA"/>
    <w:rsid w:val="0C50F1A1"/>
    <w:rsid w:val="0C617942"/>
    <w:rsid w:val="0C652781"/>
    <w:rsid w:val="0C66BF21"/>
    <w:rsid w:val="0C685142"/>
    <w:rsid w:val="0C6FE3BF"/>
    <w:rsid w:val="0C74726A"/>
    <w:rsid w:val="0C758E13"/>
    <w:rsid w:val="0C793C52"/>
    <w:rsid w:val="0C7B2E17"/>
    <w:rsid w:val="0C7BE449"/>
    <w:rsid w:val="0C8CF28D"/>
    <w:rsid w:val="0C94E69B"/>
    <w:rsid w:val="0C9CD7AF"/>
    <w:rsid w:val="0CAC1174"/>
    <w:rsid w:val="0CB1D61E"/>
    <w:rsid w:val="0CB4E1F8"/>
    <w:rsid w:val="0CB5793C"/>
    <w:rsid w:val="0CB89D32"/>
    <w:rsid w:val="0CBB865A"/>
    <w:rsid w:val="0CD370FC"/>
    <w:rsid w:val="0CD6E2A8"/>
    <w:rsid w:val="0CDD07AE"/>
    <w:rsid w:val="0CE62AA6"/>
    <w:rsid w:val="0CF0FC44"/>
    <w:rsid w:val="0CFCCDDD"/>
    <w:rsid w:val="0D065EF9"/>
    <w:rsid w:val="0D074527"/>
    <w:rsid w:val="0D0AE0AC"/>
    <w:rsid w:val="0D0CC0DC"/>
    <w:rsid w:val="0D192BC5"/>
    <w:rsid w:val="0D2422A2"/>
    <w:rsid w:val="0D26E54A"/>
    <w:rsid w:val="0D36BBF4"/>
    <w:rsid w:val="0D406A53"/>
    <w:rsid w:val="0D415C27"/>
    <w:rsid w:val="0D4AAF5D"/>
    <w:rsid w:val="0D4B3FA7"/>
    <w:rsid w:val="0D4C7693"/>
    <w:rsid w:val="0D51D0B3"/>
    <w:rsid w:val="0D54D4C0"/>
    <w:rsid w:val="0D5668A8"/>
    <w:rsid w:val="0D5CF0B7"/>
    <w:rsid w:val="0D6F9A40"/>
    <w:rsid w:val="0D7006AA"/>
    <w:rsid w:val="0D750417"/>
    <w:rsid w:val="0D75EA5D"/>
    <w:rsid w:val="0D7F2A45"/>
    <w:rsid w:val="0D7F9098"/>
    <w:rsid w:val="0D81D206"/>
    <w:rsid w:val="0D85AA4C"/>
    <w:rsid w:val="0D85C1DD"/>
    <w:rsid w:val="0D8D787C"/>
    <w:rsid w:val="0D8FC125"/>
    <w:rsid w:val="0D907402"/>
    <w:rsid w:val="0D9BC9F7"/>
    <w:rsid w:val="0DA50639"/>
    <w:rsid w:val="0DB74D9D"/>
    <w:rsid w:val="0DD5E781"/>
    <w:rsid w:val="0DDC26E8"/>
    <w:rsid w:val="0DDEDAB2"/>
    <w:rsid w:val="0DE258E7"/>
    <w:rsid w:val="0DEA61CC"/>
    <w:rsid w:val="0DEC1E0C"/>
    <w:rsid w:val="0DF9626C"/>
    <w:rsid w:val="0DFBCB5A"/>
    <w:rsid w:val="0E0584EF"/>
    <w:rsid w:val="0E0A970A"/>
    <w:rsid w:val="0E15F404"/>
    <w:rsid w:val="0E19CDF2"/>
    <w:rsid w:val="0E213700"/>
    <w:rsid w:val="0E22B5A6"/>
    <w:rsid w:val="0E287F42"/>
    <w:rsid w:val="0E2D83EF"/>
    <w:rsid w:val="0E2E1A8A"/>
    <w:rsid w:val="0E2F1C61"/>
    <w:rsid w:val="0E3AB569"/>
    <w:rsid w:val="0E3BF856"/>
    <w:rsid w:val="0E425615"/>
    <w:rsid w:val="0E4FACBE"/>
    <w:rsid w:val="0E6B0BF9"/>
    <w:rsid w:val="0E6BCFC7"/>
    <w:rsid w:val="0E73009D"/>
    <w:rsid w:val="0E73521C"/>
    <w:rsid w:val="0E8D9A42"/>
    <w:rsid w:val="0E8FAEE2"/>
    <w:rsid w:val="0E91A27B"/>
    <w:rsid w:val="0E92B3FF"/>
    <w:rsid w:val="0E940FD8"/>
    <w:rsid w:val="0EAB3871"/>
    <w:rsid w:val="0EAC2477"/>
    <w:rsid w:val="0EB054DC"/>
    <w:rsid w:val="0EB89DA9"/>
    <w:rsid w:val="0EC1F0CA"/>
    <w:rsid w:val="0ED6AB93"/>
    <w:rsid w:val="0ED81CA8"/>
    <w:rsid w:val="0EDFF9DF"/>
    <w:rsid w:val="0EE22F86"/>
    <w:rsid w:val="0EE80538"/>
    <w:rsid w:val="0EEF87F2"/>
    <w:rsid w:val="0EF1D220"/>
    <w:rsid w:val="0EF25FF6"/>
    <w:rsid w:val="0F066B9C"/>
    <w:rsid w:val="0F1055EA"/>
    <w:rsid w:val="0F1455E2"/>
    <w:rsid w:val="0F20392E"/>
    <w:rsid w:val="0F23A5F1"/>
    <w:rsid w:val="0F27752C"/>
    <w:rsid w:val="0F3947B9"/>
    <w:rsid w:val="0F45F0EE"/>
    <w:rsid w:val="0F4C5267"/>
    <w:rsid w:val="0F4F8B99"/>
    <w:rsid w:val="0F6191E0"/>
    <w:rsid w:val="0F61FAA6"/>
    <w:rsid w:val="0F62E66E"/>
    <w:rsid w:val="0F66F453"/>
    <w:rsid w:val="0F6A5AA3"/>
    <w:rsid w:val="0F6B1FA3"/>
    <w:rsid w:val="0F72DBEA"/>
    <w:rsid w:val="0F75817F"/>
    <w:rsid w:val="0F7DC981"/>
    <w:rsid w:val="0F7DCB40"/>
    <w:rsid w:val="0F82EDE1"/>
    <w:rsid w:val="0F838F00"/>
    <w:rsid w:val="0F849B56"/>
    <w:rsid w:val="0F891331"/>
    <w:rsid w:val="0F9644F0"/>
    <w:rsid w:val="0F96B3B9"/>
    <w:rsid w:val="0F97906A"/>
    <w:rsid w:val="0F9D4D29"/>
    <w:rsid w:val="0FA84591"/>
    <w:rsid w:val="0FAAC151"/>
    <w:rsid w:val="0FACFB12"/>
    <w:rsid w:val="0FB0333E"/>
    <w:rsid w:val="0FB0D6EA"/>
    <w:rsid w:val="0FB1C465"/>
    <w:rsid w:val="0FB6AFCD"/>
    <w:rsid w:val="0FB75B74"/>
    <w:rsid w:val="0FCB442A"/>
    <w:rsid w:val="0FCC7461"/>
    <w:rsid w:val="0FD560F3"/>
    <w:rsid w:val="0FD6F45F"/>
    <w:rsid w:val="0FDCA357"/>
    <w:rsid w:val="0FDE3BFF"/>
    <w:rsid w:val="0FF0ED96"/>
    <w:rsid w:val="0FF19DD9"/>
    <w:rsid w:val="0FF8A302"/>
    <w:rsid w:val="100D0999"/>
    <w:rsid w:val="1011FB68"/>
    <w:rsid w:val="1020A7F6"/>
    <w:rsid w:val="1021CC0B"/>
    <w:rsid w:val="10266438"/>
    <w:rsid w:val="102BBA8F"/>
    <w:rsid w:val="10409517"/>
    <w:rsid w:val="1041B999"/>
    <w:rsid w:val="104DCD51"/>
    <w:rsid w:val="10534812"/>
    <w:rsid w:val="1057E8BA"/>
    <w:rsid w:val="105C0793"/>
    <w:rsid w:val="105E00CC"/>
    <w:rsid w:val="105E66BA"/>
    <w:rsid w:val="10663F56"/>
    <w:rsid w:val="107A62A3"/>
    <w:rsid w:val="107F0288"/>
    <w:rsid w:val="10885559"/>
    <w:rsid w:val="1089684F"/>
    <w:rsid w:val="108BD3B2"/>
    <w:rsid w:val="108CF320"/>
    <w:rsid w:val="108D0639"/>
    <w:rsid w:val="109AB489"/>
    <w:rsid w:val="109C9F65"/>
    <w:rsid w:val="109E0757"/>
    <w:rsid w:val="10A73B02"/>
    <w:rsid w:val="10B601E2"/>
    <w:rsid w:val="10C37E9E"/>
    <w:rsid w:val="10D96ABC"/>
    <w:rsid w:val="10DC5679"/>
    <w:rsid w:val="10F14811"/>
    <w:rsid w:val="10F778A8"/>
    <w:rsid w:val="10F9640F"/>
    <w:rsid w:val="10FE80D9"/>
    <w:rsid w:val="11042CE2"/>
    <w:rsid w:val="1111997B"/>
    <w:rsid w:val="1112EE73"/>
    <w:rsid w:val="111594AD"/>
    <w:rsid w:val="1119433B"/>
    <w:rsid w:val="1119876C"/>
    <w:rsid w:val="111D4E99"/>
    <w:rsid w:val="111FF005"/>
    <w:rsid w:val="112246C4"/>
    <w:rsid w:val="113920A2"/>
    <w:rsid w:val="114BE012"/>
    <w:rsid w:val="114E4537"/>
    <w:rsid w:val="114FAD71"/>
    <w:rsid w:val="1157D3FA"/>
    <w:rsid w:val="115DA8CF"/>
    <w:rsid w:val="115F73DE"/>
    <w:rsid w:val="11768AA4"/>
    <w:rsid w:val="117E56B1"/>
    <w:rsid w:val="1181AF0A"/>
    <w:rsid w:val="11824C1A"/>
    <w:rsid w:val="1184DBE6"/>
    <w:rsid w:val="1187B1D5"/>
    <w:rsid w:val="118A924F"/>
    <w:rsid w:val="1190ECC1"/>
    <w:rsid w:val="11953AFB"/>
    <w:rsid w:val="11962740"/>
    <w:rsid w:val="1196829B"/>
    <w:rsid w:val="1198962D"/>
    <w:rsid w:val="119DF740"/>
    <w:rsid w:val="11A00AF9"/>
    <w:rsid w:val="11A69D86"/>
    <w:rsid w:val="11AE6258"/>
    <w:rsid w:val="11C85B33"/>
    <w:rsid w:val="11CEC6B4"/>
    <w:rsid w:val="11D30D37"/>
    <w:rsid w:val="11D42134"/>
    <w:rsid w:val="11D61D8A"/>
    <w:rsid w:val="11D7B9ED"/>
    <w:rsid w:val="11E12E10"/>
    <w:rsid w:val="11EBA572"/>
    <w:rsid w:val="11F5DFF9"/>
    <w:rsid w:val="11FB9EF2"/>
    <w:rsid w:val="11FF1E5B"/>
    <w:rsid w:val="11FF3655"/>
    <w:rsid w:val="1208A0D3"/>
    <w:rsid w:val="120FE773"/>
    <w:rsid w:val="1211CE0D"/>
    <w:rsid w:val="12218A75"/>
    <w:rsid w:val="122B944F"/>
    <w:rsid w:val="122C6418"/>
    <w:rsid w:val="122CA211"/>
    <w:rsid w:val="122D04F0"/>
    <w:rsid w:val="1231578F"/>
    <w:rsid w:val="12316068"/>
    <w:rsid w:val="1233E688"/>
    <w:rsid w:val="123E6A2C"/>
    <w:rsid w:val="1248E237"/>
    <w:rsid w:val="125BCFEE"/>
    <w:rsid w:val="125D381B"/>
    <w:rsid w:val="12624F5C"/>
    <w:rsid w:val="126DD39B"/>
    <w:rsid w:val="126E4096"/>
    <w:rsid w:val="12708BDA"/>
    <w:rsid w:val="1271ABED"/>
    <w:rsid w:val="12726E4C"/>
    <w:rsid w:val="1277AE1F"/>
    <w:rsid w:val="1278B6CC"/>
    <w:rsid w:val="127B10D1"/>
    <w:rsid w:val="127CAB08"/>
    <w:rsid w:val="12819F1C"/>
    <w:rsid w:val="128DAC93"/>
    <w:rsid w:val="12912799"/>
    <w:rsid w:val="1296F632"/>
    <w:rsid w:val="12976226"/>
    <w:rsid w:val="12994420"/>
    <w:rsid w:val="129A40E3"/>
    <w:rsid w:val="12A44756"/>
    <w:rsid w:val="12A62899"/>
    <w:rsid w:val="12B18835"/>
    <w:rsid w:val="12B2C212"/>
    <w:rsid w:val="12B33F9B"/>
    <w:rsid w:val="12BEDB3F"/>
    <w:rsid w:val="12CAA70C"/>
    <w:rsid w:val="12CB8ADF"/>
    <w:rsid w:val="12CE5330"/>
    <w:rsid w:val="12D8B2A1"/>
    <w:rsid w:val="12E44792"/>
    <w:rsid w:val="12E73D2E"/>
    <w:rsid w:val="12EFF8D8"/>
    <w:rsid w:val="12F21067"/>
    <w:rsid w:val="12F27C7A"/>
    <w:rsid w:val="12F4690A"/>
    <w:rsid w:val="12F64354"/>
    <w:rsid w:val="12F75122"/>
    <w:rsid w:val="12F88563"/>
    <w:rsid w:val="12FA15A6"/>
    <w:rsid w:val="12FAFD07"/>
    <w:rsid w:val="13014F51"/>
    <w:rsid w:val="13072CC6"/>
    <w:rsid w:val="130C59B3"/>
    <w:rsid w:val="1310AE82"/>
    <w:rsid w:val="13235D6E"/>
    <w:rsid w:val="13283164"/>
    <w:rsid w:val="132B0A8E"/>
    <w:rsid w:val="132B5E7A"/>
    <w:rsid w:val="132C3AED"/>
    <w:rsid w:val="1334D8F3"/>
    <w:rsid w:val="13375714"/>
    <w:rsid w:val="133B392F"/>
    <w:rsid w:val="1341A93D"/>
    <w:rsid w:val="134376CA"/>
    <w:rsid w:val="13455581"/>
    <w:rsid w:val="1345EC4D"/>
    <w:rsid w:val="13482C62"/>
    <w:rsid w:val="134AFB05"/>
    <w:rsid w:val="134BFF6E"/>
    <w:rsid w:val="134FBEFC"/>
    <w:rsid w:val="1358E84D"/>
    <w:rsid w:val="135D7970"/>
    <w:rsid w:val="136127FA"/>
    <w:rsid w:val="1362A54E"/>
    <w:rsid w:val="136E5043"/>
    <w:rsid w:val="13710A44"/>
    <w:rsid w:val="13746284"/>
    <w:rsid w:val="1378BF17"/>
    <w:rsid w:val="137DB422"/>
    <w:rsid w:val="137E299D"/>
    <w:rsid w:val="138FFF7F"/>
    <w:rsid w:val="13926BF7"/>
    <w:rsid w:val="1394BCD4"/>
    <w:rsid w:val="13996C6B"/>
    <w:rsid w:val="13A3B437"/>
    <w:rsid w:val="13A82167"/>
    <w:rsid w:val="13B03233"/>
    <w:rsid w:val="13BB5338"/>
    <w:rsid w:val="13BE7CAA"/>
    <w:rsid w:val="13C0E157"/>
    <w:rsid w:val="13C9F531"/>
    <w:rsid w:val="13CA734D"/>
    <w:rsid w:val="13CF46B6"/>
    <w:rsid w:val="13D2BC6E"/>
    <w:rsid w:val="13D536F4"/>
    <w:rsid w:val="13D5B972"/>
    <w:rsid w:val="13DB3E80"/>
    <w:rsid w:val="13DB5D97"/>
    <w:rsid w:val="13DC11BA"/>
    <w:rsid w:val="13F121BC"/>
    <w:rsid w:val="13F7B3DA"/>
    <w:rsid w:val="13FE73F9"/>
    <w:rsid w:val="1403B128"/>
    <w:rsid w:val="1406F335"/>
    <w:rsid w:val="140D6B5D"/>
    <w:rsid w:val="14136269"/>
    <w:rsid w:val="1425683E"/>
    <w:rsid w:val="1429D52F"/>
    <w:rsid w:val="142B03D4"/>
    <w:rsid w:val="142E5000"/>
    <w:rsid w:val="14324FC9"/>
    <w:rsid w:val="1434E8E1"/>
    <w:rsid w:val="1435BCD7"/>
    <w:rsid w:val="143BDFF5"/>
    <w:rsid w:val="143D21DB"/>
    <w:rsid w:val="143DA263"/>
    <w:rsid w:val="1440C09D"/>
    <w:rsid w:val="14436828"/>
    <w:rsid w:val="14471000"/>
    <w:rsid w:val="144D0020"/>
    <w:rsid w:val="144EF37F"/>
    <w:rsid w:val="1453F08C"/>
    <w:rsid w:val="14544F4B"/>
    <w:rsid w:val="1456B8E2"/>
    <w:rsid w:val="14579907"/>
    <w:rsid w:val="1458732E"/>
    <w:rsid w:val="1459F686"/>
    <w:rsid w:val="145B0062"/>
    <w:rsid w:val="145F868D"/>
    <w:rsid w:val="1460D0F6"/>
    <w:rsid w:val="14639F6C"/>
    <w:rsid w:val="1467EE95"/>
    <w:rsid w:val="146D1443"/>
    <w:rsid w:val="147651C2"/>
    <w:rsid w:val="147CCA37"/>
    <w:rsid w:val="1480484E"/>
    <w:rsid w:val="148471A9"/>
    <w:rsid w:val="149B75C8"/>
    <w:rsid w:val="149BB590"/>
    <w:rsid w:val="14A147F4"/>
    <w:rsid w:val="14A2EC63"/>
    <w:rsid w:val="14A34E8C"/>
    <w:rsid w:val="14A52DC1"/>
    <w:rsid w:val="14AC4BDF"/>
    <w:rsid w:val="14AF7B0A"/>
    <w:rsid w:val="14B1B823"/>
    <w:rsid w:val="14B43698"/>
    <w:rsid w:val="14BA0585"/>
    <w:rsid w:val="14BAF16A"/>
    <w:rsid w:val="14BC552B"/>
    <w:rsid w:val="14C609D0"/>
    <w:rsid w:val="14CF0EE3"/>
    <w:rsid w:val="14D8D285"/>
    <w:rsid w:val="14DA660C"/>
    <w:rsid w:val="14DC49E4"/>
    <w:rsid w:val="14DC568A"/>
    <w:rsid w:val="14E23B03"/>
    <w:rsid w:val="14E269A6"/>
    <w:rsid w:val="14E6252D"/>
    <w:rsid w:val="14F3E3B3"/>
    <w:rsid w:val="14F80061"/>
    <w:rsid w:val="14F81145"/>
    <w:rsid w:val="14FB9BA8"/>
    <w:rsid w:val="1503690E"/>
    <w:rsid w:val="1505D22E"/>
    <w:rsid w:val="1506393C"/>
    <w:rsid w:val="15109C45"/>
    <w:rsid w:val="1514C82B"/>
    <w:rsid w:val="1519CE6A"/>
    <w:rsid w:val="151AB3BF"/>
    <w:rsid w:val="151CE893"/>
    <w:rsid w:val="151D1188"/>
    <w:rsid w:val="15279E90"/>
    <w:rsid w:val="15289820"/>
    <w:rsid w:val="152AF4D5"/>
    <w:rsid w:val="153481C9"/>
    <w:rsid w:val="15390E10"/>
    <w:rsid w:val="153A24C0"/>
    <w:rsid w:val="153E37A7"/>
    <w:rsid w:val="15402D4A"/>
    <w:rsid w:val="15450721"/>
    <w:rsid w:val="1546AF93"/>
    <w:rsid w:val="1554A6A5"/>
    <w:rsid w:val="1559A466"/>
    <w:rsid w:val="155A8A64"/>
    <w:rsid w:val="155C318F"/>
    <w:rsid w:val="156C5C62"/>
    <w:rsid w:val="157110B8"/>
    <w:rsid w:val="1574AADA"/>
    <w:rsid w:val="15769E0E"/>
    <w:rsid w:val="157C7878"/>
    <w:rsid w:val="158D5D20"/>
    <w:rsid w:val="159351CE"/>
    <w:rsid w:val="15942363"/>
    <w:rsid w:val="15992FD4"/>
    <w:rsid w:val="15A620BE"/>
    <w:rsid w:val="15A8E3F9"/>
    <w:rsid w:val="15A988BA"/>
    <w:rsid w:val="15AE14D0"/>
    <w:rsid w:val="15BBFF01"/>
    <w:rsid w:val="15BDA194"/>
    <w:rsid w:val="15CE7D2C"/>
    <w:rsid w:val="15D06452"/>
    <w:rsid w:val="15D1320F"/>
    <w:rsid w:val="15D2C4C3"/>
    <w:rsid w:val="15D9456C"/>
    <w:rsid w:val="15DCFEFC"/>
    <w:rsid w:val="15DD9B42"/>
    <w:rsid w:val="15DE1E5E"/>
    <w:rsid w:val="15E8AEC6"/>
    <w:rsid w:val="15EA6D45"/>
    <w:rsid w:val="15EAEB08"/>
    <w:rsid w:val="160089EE"/>
    <w:rsid w:val="16035628"/>
    <w:rsid w:val="160954C8"/>
    <w:rsid w:val="161223AC"/>
    <w:rsid w:val="1618367B"/>
    <w:rsid w:val="161E7A06"/>
    <w:rsid w:val="16205CC6"/>
    <w:rsid w:val="16264445"/>
    <w:rsid w:val="163CD6B6"/>
    <w:rsid w:val="16487215"/>
    <w:rsid w:val="1650252D"/>
    <w:rsid w:val="1651B5B8"/>
    <w:rsid w:val="16533893"/>
    <w:rsid w:val="165B796D"/>
    <w:rsid w:val="165B8E40"/>
    <w:rsid w:val="1662F296"/>
    <w:rsid w:val="16662036"/>
    <w:rsid w:val="16696F01"/>
    <w:rsid w:val="16708D39"/>
    <w:rsid w:val="167E120C"/>
    <w:rsid w:val="168465B4"/>
    <w:rsid w:val="16906ADD"/>
    <w:rsid w:val="1692B64D"/>
    <w:rsid w:val="1692BA42"/>
    <w:rsid w:val="16955380"/>
    <w:rsid w:val="169D1440"/>
    <w:rsid w:val="169F9097"/>
    <w:rsid w:val="16A21A97"/>
    <w:rsid w:val="16AFD03D"/>
    <w:rsid w:val="16B2FCE8"/>
    <w:rsid w:val="16B9C928"/>
    <w:rsid w:val="16C6F2CF"/>
    <w:rsid w:val="16C9B558"/>
    <w:rsid w:val="16CD1A5A"/>
    <w:rsid w:val="16CF2930"/>
    <w:rsid w:val="16D2D944"/>
    <w:rsid w:val="16DD2CF0"/>
    <w:rsid w:val="16E3200D"/>
    <w:rsid w:val="16E67AC3"/>
    <w:rsid w:val="16F4814C"/>
    <w:rsid w:val="16F710A2"/>
    <w:rsid w:val="16FA421A"/>
    <w:rsid w:val="16FAF1D9"/>
    <w:rsid w:val="16FD4AD8"/>
    <w:rsid w:val="17011F12"/>
    <w:rsid w:val="17096A45"/>
    <w:rsid w:val="170AD4D9"/>
    <w:rsid w:val="170D05A6"/>
    <w:rsid w:val="170F002A"/>
    <w:rsid w:val="1718991D"/>
    <w:rsid w:val="17201293"/>
    <w:rsid w:val="17294894"/>
    <w:rsid w:val="172A2A2C"/>
    <w:rsid w:val="172AF887"/>
    <w:rsid w:val="172C38C5"/>
    <w:rsid w:val="173637BA"/>
    <w:rsid w:val="17387BF5"/>
    <w:rsid w:val="17391898"/>
    <w:rsid w:val="1740A9D8"/>
    <w:rsid w:val="17434EF2"/>
    <w:rsid w:val="17442B08"/>
    <w:rsid w:val="1751C1BE"/>
    <w:rsid w:val="1751C965"/>
    <w:rsid w:val="175A6DD0"/>
    <w:rsid w:val="175E2300"/>
    <w:rsid w:val="17616F49"/>
    <w:rsid w:val="1766F52F"/>
    <w:rsid w:val="176D8EF4"/>
    <w:rsid w:val="176F50A0"/>
    <w:rsid w:val="17726EC9"/>
    <w:rsid w:val="1772D843"/>
    <w:rsid w:val="177822C1"/>
    <w:rsid w:val="177E253D"/>
    <w:rsid w:val="1780621F"/>
    <w:rsid w:val="1782B7F8"/>
    <w:rsid w:val="1788CEC7"/>
    <w:rsid w:val="178C5D88"/>
    <w:rsid w:val="178F243A"/>
    <w:rsid w:val="17925277"/>
    <w:rsid w:val="17973317"/>
    <w:rsid w:val="1798A5C7"/>
    <w:rsid w:val="17B36C53"/>
    <w:rsid w:val="17B49E54"/>
    <w:rsid w:val="17BAFA99"/>
    <w:rsid w:val="17C7583A"/>
    <w:rsid w:val="17C8E892"/>
    <w:rsid w:val="17C9377A"/>
    <w:rsid w:val="17DAF3F6"/>
    <w:rsid w:val="17DF6C21"/>
    <w:rsid w:val="17F23AA6"/>
    <w:rsid w:val="17F3641D"/>
    <w:rsid w:val="1800E5D7"/>
    <w:rsid w:val="180F90D4"/>
    <w:rsid w:val="18182BA5"/>
    <w:rsid w:val="181ED4A0"/>
    <w:rsid w:val="1820FEA3"/>
    <w:rsid w:val="18241D78"/>
    <w:rsid w:val="18267D5C"/>
    <w:rsid w:val="1829D699"/>
    <w:rsid w:val="182B4679"/>
    <w:rsid w:val="182C2F32"/>
    <w:rsid w:val="182EB74B"/>
    <w:rsid w:val="1830778E"/>
    <w:rsid w:val="1834A6F7"/>
    <w:rsid w:val="183E26F7"/>
    <w:rsid w:val="183FF69B"/>
    <w:rsid w:val="18419700"/>
    <w:rsid w:val="184B62A3"/>
    <w:rsid w:val="1850DCB0"/>
    <w:rsid w:val="18537A43"/>
    <w:rsid w:val="18544A5A"/>
    <w:rsid w:val="18548955"/>
    <w:rsid w:val="18578150"/>
    <w:rsid w:val="18684DE8"/>
    <w:rsid w:val="1879C588"/>
    <w:rsid w:val="187B928A"/>
    <w:rsid w:val="18870AAC"/>
    <w:rsid w:val="18879D39"/>
    <w:rsid w:val="188A101A"/>
    <w:rsid w:val="188B99B9"/>
    <w:rsid w:val="1891E70A"/>
    <w:rsid w:val="18948DE3"/>
    <w:rsid w:val="18950BD2"/>
    <w:rsid w:val="189937A7"/>
    <w:rsid w:val="18A13F81"/>
    <w:rsid w:val="18B44153"/>
    <w:rsid w:val="18BA74A7"/>
    <w:rsid w:val="18BBD2CE"/>
    <w:rsid w:val="18CEBF77"/>
    <w:rsid w:val="18D8C787"/>
    <w:rsid w:val="18E3CE2A"/>
    <w:rsid w:val="18E5650D"/>
    <w:rsid w:val="18E619BA"/>
    <w:rsid w:val="18E97B9B"/>
    <w:rsid w:val="18EBDA67"/>
    <w:rsid w:val="18EE86B6"/>
    <w:rsid w:val="18F343F9"/>
    <w:rsid w:val="18F85E0D"/>
    <w:rsid w:val="18FB84A8"/>
    <w:rsid w:val="190326B3"/>
    <w:rsid w:val="190328A3"/>
    <w:rsid w:val="19059F19"/>
    <w:rsid w:val="190C0549"/>
    <w:rsid w:val="191525B5"/>
    <w:rsid w:val="191920A0"/>
    <w:rsid w:val="19207028"/>
    <w:rsid w:val="192F6A9E"/>
    <w:rsid w:val="195166B7"/>
    <w:rsid w:val="1959F7AD"/>
    <w:rsid w:val="195E193B"/>
    <w:rsid w:val="1961CA33"/>
    <w:rsid w:val="1968ABC4"/>
    <w:rsid w:val="196A8A22"/>
    <w:rsid w:val="19758C55"/>
    <w:rsid w:val="197B2EA1"/>
    <w:rsid w:val="197FE54C"/>
    <w:rsid w:val="197FFE05"/>
    <w:rsid w:val="198F51CC"/>
    <w:rsid w:val="19970366"/>
    <w:rsid w:val="19A8D006"/>
    <w:rsid w:val="19B776AB"/>
    <w:rsid w:val="19B9F887"/>
    <w:rsid w:val="19BF7754"/>
    <w:rsid w:val="19C07C73"/>
    <w:rsid w:val="19C0A454"/>
    <w:rsid w:val="19C3B784"/>
    <w:rsid w:val="19CC9438"/>
    <w:rsid w:val="19D5ED72"/>
    <w:rsid w:val="19E197DC"/>
    <w:rsid w:val="19E27518"/>
    <w:rsid w:val="19E40D68"/>
    <w:rsid w:val="19EC107C"/>
    <w:rsid w:val="19ED5DD8"/>
    <w:rsid w:val="19ED85DF"/>
    <w:rsid w:val="19EED08F"/>
    <w:rsid w:val="19EF619B"/>
    <w:rsid w:val="19F0DA64"/>
    <w:rsid w:val="19F583F7"/>
    <w:rsid w:val="19F97B3A"/>
    <w:rsid w:val="19F9E6E4"/>
    <w:rsid w:val="1A0D7B51"/>
    <w:rsid w:val="1A1CBCDA"/>
    <w:rsid w:val="1A298EAA"/>
    <w:rsid w:val="1A30DC57"/>
    <w:rsid w:val="1A32A37B"/>
    <w:rsid w:val="1A4F31F8"/>
    <w:rsid w:val="1A56106A"/>
    <w:rsid w:val="1A5ACF13"/>
    <w:rsid w:val="1A5DE8B5"/>
    <w:rsid w:val="1A625A11"/>
    <w:rsid w:val="1A695ED4"/>
    <w:rsid w:val="1A6F9D93"/>
    <w:rsid w:val="1A730E52"/>
    <w:rsid w:val="1A748C7D"/>
    <w:rsid w:val="1A78A8AA"/>
    <w:rsid w:val="1A80B1F7"/>
    <w:rsid w:val="1A80F9BF"/>
    <w:rsid w:val="1A81DC0D"/>
    <w:rsid w:val="1A8207BE"/>
    <w:rsid w:val="1A822127"/>
    <w:rsid w:val="1A855D32"/>
    <w:rsid w:val="1A9B46CE"/>
    <w:rsid w:val="1A9B7F45"/>
    <w:rsid w:val="1A9D3876"/>
    <w:rsid w:val="1AA26D72"/>
    <w:rsid w:val="1AA964EE"/>
    <w:rsid w:val="1AA97FE8"/>
    <w:rsid w:val="1AADDEC0"/>
    <w:rsid w:val="1AAF36F8"/>
    <w:rsid w:val="1AB20134"/>
    <w:rsid w:val="1AB29EC3"/>
    <w:rsid w:val="1AB5CCF3"/>
    <w:rsid w:val="1AB69DF9"/>
    <w:rsid w:val="1AB6DE2C"/>
    <w:rsid w:val="1ABE3D25"/>
    <w:rsid w:val="1AC2F312"/>
    <w:rsid w:val="1AD145B9"/>
    <w:rsid w:val="1AD230A2"/>
    <w:rsid w:val="1ADB30BF"/>
    <w:rsid w:val="1AE24168"/>
    <w:rsid w:val="1AE75225"/>
    <w:rsid w:val="1AE82CDC"/>
    <w:rsid w:val="1AE940CB"/>
    <w:rsid w:val="1AEF4028"/>
    <w:rsid w:val="1AFA2E29"/>
    <w:rsid w:val="1B00A545"/>
    <w:rsid w:val="1B02D1D3"/>
    <w:rsid w:val="1B0E0429"/>
    <w:rsid w:val="1B0E23B3"/>
    <w:rsid w:val="1B13BFC2"/>
    <w:rsid w:val="1B148613"/>
    <w:rsid w:val="1B148768"/>
    <w:rsid w:val="1B170CE3"/>
    <w:rsid w:val="1B184655"/>
    <w:rsid w:val="1B18704B"/>
    <w:rsid w:val="1B191581"/>
    <w:rsid w:val="1B1BF678"/>
    <w:rsid w:val="1B1FB4D0"/>
    <w:rsid w:val="1B25FCDE"/>
    <w:rsid w:val="1B2D50D0"/>
    <w:rsid w:val="1B2D7968"/>
    <w:rsid w:val="1B314BE7"/>
    <w:rsid w:val="1B320DB1"/>
    <w:rsid w:val="1B32BAF8"/>
    <w:rsid w:val="1B33E225"/>
    <w:rsid w:val="1B34F9AB"/>
    <w:rsid w:val="1B378EF9"/>
    <w:rsid w:val="1B3CB554"/>
    <w:rsid w:val="1B41AE84"/>
    <w:rsid w:val="1B436A80"/>
    <w:rsid w:val="1B451598"/>
    <w:rsid w:val="1B4DFD5D"/>
    <w:rsid w:val="1B4E8E38"/>
    <w:rsid w:val="1B4EC0A4"/>
    <w:rsid w:val="1B50C5C0"/>
    <w:rsid w:val="1B580F8E"/>
    <w:rsid w:val="1B59D1EF"/>
    <w:rsid w:val="1B5E8537"/>
    <w:rsid w:val="1B5EBA0E"/>
    <w:rsid w:val="1B5ED3F1"/>
    <w:rsid w:val="1B643717"/>
    <w:rsid w:val="1B66E451"/>
    <w:rsid w:val="1B6F1E85"/>
    <w:rsid w:val="1B6F2F4A"/>
    <w:rsid w:val="1B72AF78"/>
    <w:rsid w:val="1B7F5648"/>
    <w:rsid w:val="1B83ECF8"/>
    <w:rsid w:val="1B8B7C0F"/>
    <w:rsid w:val="1B8E3BE4"/>
    <w:rsid w:val="1B90189F"/>
    <w:rsid w:val="1B9D4ADD"/>
    <w:rsid w:val="1B9DBE5E"/>
    <w:rsid w:val="1BA2A45C"/>
    <w:rsid w:val="1BA34101"/>
    <w:rsid w:val="1BA4E89A"/>
    <w:rsid w:val="1BA60906"/>
    <w:rsid w:val="1BB7937E"/>
    <w:rsid w:val="1BBB5CF9"/>
    <w:rsid w:val="1BBBE46A"/>
    <w:rsid w:val="1BBC927D"/>
    <w:rsid w:val="1BBED232"/>
    <w:rsid w:val="1BD46C2C"/>
    <w:rsid w:val="1BD47E3F"/>
    <w:rsid w:val="1BDC73B0"/>
    <w:rsid w:val="1BDE2BF1"/>
    <w:rsid w:val="1BE3E4E0"/>
    <w:rsid w:val="1BE92704"/>
    <w:rsid w:val="1BEB6831"/>
    <w:rsid w:val="1BF0EE54"/>
    <w:rsid w:val="1BF17C8B"/>
    <w:rsid w:val="1BF35BAF"/>
    <w:rsid w:val="1BF5C65A"/>
    <w:rsid w:val="1BF8D065"/>
    <w:rsid w:val="1C014EB2"/>
    <w:rsid w:val="1C0285B9"/>
    <w:rsid w:val="1C029613"/>
    <w:rsid w:val="1C063145"/>
    <w:rsid w:val="1C0670F3"/>
    <w:rsid w:val="1C0CCD7F"/>
    <w:rsid w:val="1C0D6E75"/>
    <w:rsid w:val="1C11157F"/>
    <w:rsid w:val="1C1432CC"/>
    <w:rsid w:val="1C1625BF"/>
    <w:rsid w:val="1C176BA4"/>
    <w:rsid w:val="1C1EEBA1"/>
    <w:rsid w:val="1C1F6259"/>
    <w:rsid w:val="1C23C3D2"/>
    <w:rsid w:val="1C256701"/>
    <w:rsid w:val="1C2714C4"/>
    <w:rsid w:val="1C2D861E"/>
    <w:rsid w:val="1C3720F1"/>
    <w:rsid w:val="1C3908E2"/>
    <w:rsid w:val="1C3A942F"/>
    <w:rsid w:val="1C3EBC91"/>
    <w:rsid w:val="1C48F590"/>
    <w:rsid w:val="1C4BFA4A"/>
    <w:rsid w:val="1C4FFC70"/>
    <w:rsid w:val="1C506528"/>
    <w:rsid w:val="1C59446D"/>
    <w:rsid w:val="1C606D71"/>
    <w:rsid w:val="1C658AB5"/>
    <w:rsid w:val="1C671FD5"/>
    <w:rsid w:val="1C6B38B3"/>
    <w:rsid w:val="1C6C23E2"/>
    <w:rsid w:val="1C6EBD5E"/>
    <w:rsid w:val="1C6EC403"/>
    <w:rsid w:val="1C744F36"/>
    <w:rsid w:val="1C763978"/>
    <w:rsid w:val="1C7D05DD"/>
    <w:rsid w:val="1C8321E3"/>
    <w:rsid w:val="1C8879A6"/>
    <w:rsid w:val="1C8A9F2D"/>
    <w:rsid w:val="1C8F1316"/>
    <w:rsid w:val="1C982EC7"/>
    <w:rsid w:val="1CA38169"/>
    <w:rsid w:val="1CAD5244"/>
    <w:rsid w:val="1CADA419"/>
    <w:rsid w:val="1CB67E82"/>
    <w:rsid w:val="1CB8ED07"/>
    <w:rsid w:val="1CBCB4C2"/>
    <w:rsid w:val="1CBDBF0F"/>
    <w:rsid w:val="1CBE7BD3"/>
    <w:rsid w:val="1CBF09D4"/>
    <w:rsid w:val="1CC50A0D"/>
    <w:rsid w:val="1CC6EB7E"/>
    <w:rsid w:val="1CCF5496"/>
    <w:rsid w:val="1CD10850"/>
    <w:rsid w:val="1CDDB09C"/>
    <w:rsid w:val="1CE4A547"/>
    <w:rsid w:val="1CE73F4E"/>
    <w:rsid w:val="1CEB9C22"/>
    <w:rsid w:val="1CF94518"/>
    <w:rsid w:val="1CFA8421"/>
    <w:rsid w:val="1CFF9C08"/>
    <w:rsid w:val="1D08F911"/>
    <w:rsid w:val="1D1087F8"/>
    <w:rsid w:val="1D10C1E2"/>
    <w:rsid w:val="1D19E649"/>
    <w:rsid w:val="1D1B6F76"/>
    <w:rsid w:val="1D1BF2F8"/>
    <w:rsid w:val="1D1F0DC1"/>
    <w:rsid w:val="1D1FF34A"/>
    <w:rsid w:val="1D2CCADC"/>
    <w:rsid w:val="1D331626"/>
    <w:rsid w:val="1D377537"/>
    <w:rsid w:val="1D41AFED"/>
    <w:rsid w:val="1D48C686"/>
    <w:rsid w:val="1D4B7A62"/>
    <w:rsid w:val="1D582FC1"/>
    <w:rsid w:val="1D5C880C"/>
    <w:rsid w:val="1D61D76A"/>
    <w:rsid w:val="1D74130F"/>
    <w:rsid w:val="1D74751A"/>
    <w:rsid w:val="1D766542"/>
    <w:rsid w:val="1D854DE6"/>
    <w:rsid w:val="1D873892"/>
    <w:rsid w:val="1D8D1B42"/>
    <w:rsid w:val="1D98CD78"/>
    <w:rsid w:val="1D9B2901"/>
    <w:rsid w:val="1D9EDDDE"/>
    <w:rsid w:val="1DABEB75"/>
    <w:rsid w:val="1DB5E297"/>
    <w:rsid w:val="1DB826DE"/>
    <w:rsid w:val="1DBC6E05"/>
    <w:rsid w:val="1DC10434"/>
    <w:rsid w:val="1DC8C554"/>
    <w:rsid w:val="1DD486D4"/>
    <w:rsid w:val="1DDD4185"/>
    <w:rsid w:val="1DE27067"/>
    <w:rsid w:val="1DE38131"/>
    <w:rsid w:val="1DE4B642"/>
    <w:rsid w:val="1DE69490"/>
    <w:rsid w:val="1DE6DF27"/>
    <w:rsid w:val="1DE7BC77"/>
    <w:rsid w:val="1DEA6EC1"/>
    <w:rsid w:val="1DEBDAE4"/>
    <w:rsid w:val="1DEDB7D8"/>
    <w:rsid w:val="1DFB6615"/>
    <w:rsid w:val="1E0394BE"/>
    <w:rsid w:val="1E0EEC3D"/>
    <w:rsid w:val="1E1895DE"/>
    <w:rsid w:val="1E2B1C95"/>
    <w:rsid w:val="1E2E45C3"/>
    <w:rsid w:val="1E3AB847"/>
    <w:rsid w:val="1E3E3EAE"/>
    <w:rsid w:val="1E3E7985"/>
    <w:rsid w:val="1E5000A4"/>
    <w:rsid w:val="1E50ED4C"/>
    <w:rsid w:val="1E5296A8"/>
    <w:rsid w:val="1E593044"/>
    <w:rsid w:val="1E5BA6C6"/>
    <w:rsid w:val="1E622131"/>
    <w:rsid w:val="1E68651E"/>
    <w:rsid w:val="1E691CF1"/>
    <w:rsid w:val="1E6F6DA6"/>
    <w:rsid w:val="1E7D3C9B"/>
    <w:rsid w:val="1E7D600B"/>
    <w:rsid w:val="1E7FACE8"/>
    <w:rsid w:val="1E83685A"/>
    <w:rsid w:val="1E8818FE"/>
    <w:rsid w:val="1E8AD791"/>
    <w:rsid w:val="1E939331"/>
    <w:rsid w:val="1E93C072"/>
    <w:rsid w:val="1E97D559"/>
    <w:rsid w:val="1E9EDD10"/>
    <w:rsid w:val="1EAB84B0"/>
    <w:rsid w:val="1EAD5BA2"/>
    <w:rsid w:val="1EB055E9"/>
    <w:rsid w:val="1EB73F90"/>
    <w:rsid w:val="1EBBCF6A"/>
    <w:rsid w:val="1EBDEDC0"/>
    <w:rsid w:val="1EC12DC6"/>
    <w:rsid w:val="1EC24445"/>
    <w:rsid w:val="1EC83F46"/>
    <w:rsid w:val="1ECBBC79"/>
    <w:rsid w:val="1EDD4459"/>
    <w:rsid w:val="1EDD90C4"/>
    <w:rsid w:val="1EDF8EE3"/>
    <w:rsid w:val="1EE14012"/>
    <w:rsid w:val="1EEA376C"/>
    <w:rsid w:val="1EF23E40"/>
    <w:rsid w:val="1EF57ACE"/>
    <w:rsid w:val="1EF72A5C"/>
    <w:rsid w:val="1EFA4D92"/>
    <w:rsid w:val="1EFA71EC"/>
    <w:rsid w:val="1EFF37BF"/>
    <w:rsid w:val="1F049439"/>
    <w:rsid w:val="1F076838"/>
    <w:rsid w:val="1F0A215D"/>
    <w:rsid w:val="1F0DEBCC"/>
    <w:rsid w:val="1F0E6F01"/>
    <w:rsid w:val="1F13CC3A"/>
    <w:rsid w:val="1F1D2472"/>
    <w:rsid w:val="1F2308F3"/>
    <w:rsid w:val="1F2ACA89"/>
    <w:rsid w:val="1F2E7E7C"/>
    <w:rsid w:val="1F38A870"/>
    <w:rsid w:val="1F3A6F76"/>
    <w:rsid w:val="1F4AB5AB"/>
    <w:rsid w:val="1F51F14D"/>
    <w:rsid w:val="1F584E75"/>
    <w:rsid w:val="1F5B2CB4"/>
    <w:rsid w:val="1F63B7DF"/>
    <w:rsid w:val="1F74F2B6"/>
    <w:rsid w:val="1F7A9565"/>
    <w:rsid w:val="1F7BC358"/>
    <w:rsid w:val="1F832F6B"/>
    <w:rsid w:val="1F8513B2"/>
    <w:rsid w:val="1F8B50A9"/>
    <w:rsid w:val="1F8C6442"/>
    <w:rsid w:val="1F8C9AED"/>
    <w:rsid w:val="1F936980"/>
    <w:rsid w:val="1F9D3112"/>
    <w:rsid w:val="1FA3E9B5"/>
    <w:rsid w:val="1FA3F08E"/>
    <w:rsid w:val="1FA8A51D"/>
    <w:rsid w:val="1FAAC3F7"/>
    <w:rsid w:val="1FB5ACCA"/>
    <w:rsid w:val="1FB6EECD"/>
    <w:rsid w:val="1FB72ED9"/>
    <w:rsid w:val="1FB80196"/>
    <w:rsid w:val="1FBB36DC"/>
    <w:rsid w:val="1FC0A1C0"/>
    <w:rsid w:val="1FCEB262"/>
    <w:rsid w:val="1FD17050"/>
    <w:rsid w:val="1FD68581"/>
    <w:rsid w:val="1FD6E214"/>
    <w:rsid w:val="1FE2483F"/>
    <w:rsid w:val="1FE3AC34"/>
    <w:rsid w:val="1FE3D261"/>
    <w:rsid w:val="1FF55711"/>
    <w:rsid w:val="1FFF4726"/>
    <w:rsid w:val="1FFF65FE"/>
    <w:rsid w:val="20042462"/>
    <w:rsid w:val="2006E415"/>
    <w:rsid w:val="200C4DE9"/>
    <w:rsid w:val="201324D2"/>
    <w:rsid w:val="2013E8FC"/>
    <w:rsid w:val="201FB8FD"/>
    <w:rsid w:val="20228C6D"/>
    <w:rsid w:val="202B99E8"/>
    <w:rsid w:val="203974FA"/>
    <w:rsid w:val="203EEA90"/>
    <w:rsid w:val="2040A0F6"/>
    <w:rsid w:val="2040C5F7"/>
    <w:rsid w:val="2046C4F4"/>
    <w:rsid w:val="20496F1A"/>
    <w:rsid w:val="204AC36D"/>
    <w:rsid w:val="204B8DFF"/>
    <w:rsid w:val="204CF36B"/>
    <w:rsid w:val="204E1E29"/>
    <w:rsid w:val="2059BF85"/>
    <w:rsid w:val="2068FE1E"/>
    <w:rsid w:val="2078BCE3"/>
    <w:rsid w:val="2085A759"/>
    <w:rsid w:val="208757EE"/>
    <w:rsid w:val="208D0723"/>
    <w:rsid w:val="208E5A68"/>
    <w:rsid w:val="2090D89D"/>
    <w:rsid w:val="20A1DDA3"/>
    <w:rsid w:val="20A734F0"/>
    <w:rsid w:val="20A902F0"/>
    <w:rsid w:val="20B0C5DF"/>
    <w:rsid w:val="20BD3C2E"/>
    <w:rsid w:val="20C06FF2"/>
    <w:rsid w:val="20C95726"/>
    <w:rsid w:val="20CB6984"/>
    <w:rsid w:val="20D65373"/>
    <w:rsid w:val="20DFBF5B"/>
    <w:rsid w:val="20E2B1B4"/>
    <w:rsid w:val="20EDBA1D"/>
    <w:rsid w:val="20F247D5"/>
    <w:rsid w:val="20FE10FD"/>
    <w:rsid w:val="21170B2F"/>
    <w:rsid w:val="2121CD65"/>
    <w:rsid w:val="21274F43"/>
    <w:rsid w:val="2128A319"/>
    <w:rsid w:val="212EE44F"/>
    <w:rsid w:val="2135DF50"/>
    <w:rsid w:val="213A9CDF"/>
    <w:rsid w:val="213FA4F2"/>
    <w:rsid w:val="214CD17E"/>
    <w:rsid w:val="214CEB54"/>
    <w:rsid w:val="214D3FAC"/>
    <w:rsid w:val="21556E6A"/>
    <w:rsid w:val="2162E437"/>
    <w:rsid w:val="2166513A"/>
    <w:rsid w:val="216882C3"/>
    <w:rsid w:val="2171C76B"/>
    <w:rsid w:val="21747626"/>
    <w:rsid w:val="21789337"/>
    <w:rsid w:val="217A08F5"/>
    <w:rsid w:val="217AD185"/>
    <w:rsid w:val="217E09F6"/>
    <w:rsid w:val="217FE83E"/>
    <w:rsid w:val="2180EE58"/>
    <w:rsid w:val="2181D63C"/>
    <w:rsid w:val="218D52E7"/>
    <w:rsid w:val="218D9D45"/>
    <w:rsid w:val="21992446"/>
    <w:rsid w:val="219EB0C3"/>
    <w:rsid w:val="21A9DC6A"/>
    <w:rsid w:val="21AC665B"/>
    <w:rsid w:val="21B4CA7A"/>
    <w:rsid w:val="21B72812"/>
    <w:rsid w:val="21B78188"/>
    <w:rsid w:val="21CA9790"/>
    <w:rsid w:val="21CDD860"/>
    <w:rsid w:val="21DCA65E"/>
    <w:rsid w:val="21E16694"/>
    <w:rsid w:val="21E44844"/>
    <w:rsid w:val="21EC5665"/>
    <w:rsid w:val="21EF7B0A"/>
    <w:rsid w:val="21F3DCB3"/>
    <w:rsid w:val="21F65804"/>
    <w:rsid w:val="21F6DB25"/>
    <w:rsid w:val="21F713C9"/>
    <w:rsid w:val="21FE4D66"/>
    <w:rsid w:val="2203E1A4"/>
    <w:rsid w:val="220A04A3"/>
    <w:rsid w:val="220DCFAD"/>
    <w:rsid w:val="22120DC0"/>
    <w:rsid w:val="221A22A3"/>
    <w:rsid w:val="2223BBAA"/>
    <w:rsid w:val="222687FF"/>
    <w:rsid w:val="2226A1B5"/>
    <w:rsid w:val="2227F36C"/>
    <w:rsid w:val="22288BF9"/>
    <w:rsid w:val="2232E74C"/>
    <w:rsid w:val="2234048A"/>
    <w:rsid w:val="223F9333"/>
    <w:rsid w:val="223F96AC"/>
    <w:rsid w:val="223FC28B"/>
    <w:rsid w:val="22422C25"/>
    <w:rsid w:val="2242D0F7"/>
    <w:rsid w:val="22437E81"/>
    <w:rsid w:val="2254834C"/>
    <w:rsid w:val="2258BF09"/>
    <w:rsid w:val="2259DD43"/>
    <w:rsid w:val="225A89E8"/>
    <w:rsid w:val="225AA9B5"/>
    <w:rsid w:val="226223ED"/>
    <w:rsid w:val="226EA885"/>
    <w:rsid w:val="2275847C"/>
    <w:rsid w:val="227F8BCB"/>
    <w:rsid w:val="22840C22"/>
    <w:rsid w:val="2286BE12"/>
    <w:rsid w:val="229B4D7C"/>
    <w:rsid w:val="229F2D0F"/>
    <w:rsid w:val="22A9F182"/>
    <w:rsid w:val="22ABEE43"/>
    <w:rsid w:val="22B283C9"/>
    <w:rsid w:val="22B8E9AD"/>
    <w:rsid w:val="22C225D5"/>
    <w:rsid w:val="22D1EC70"/>
    <w:rsid w:val="22D439BE"/>
    <w:rsid w:val="22D74320"/>
    <w:rsid w:val="22E0C01F"/>
    <w:rsid w:val="22E76C54"/>
    <w:rsid w:val="22EC02A4"/>
    <w:rsid w:val="22F1B111"/>
    <w:rsid w:val="22F450C4"/>
    <w:rsid w:val="22FBFB9F"/>
    <w:rsid w:val="22FF9795"/>
    <w:rsid w:val="230233BA"/>
    <w:rsid w:val="23050A6B"/>
    <w:rsid w:val="23079A79"/>
    <w:rsid w:val="23142FFF"/>
    <w:rsid w:val="231F704C"/>
    <w:rsid w:val="2320993E"/>
    <w:rsid w:val="2323D9A5"/>
    <w:rsid w:val="232A39B1"/>
    <w:rsid w:val="232A7F95"/>
    <w:rsid w:val="233240FA"/>
    <w:rsid w:val="2333599F"/>
    <w:rsid w:val="23345D73"/>
    <w:rsid w:val="233CE191"/>
    <w:rsid w:val="23405571"/>
    <w:rsid w:val="234310FC"/>
    <w:rsid w:val="2349D7BB"/>
    <w:rsid w:val="234CCA4A"/>
    <w:rsid w:val="235A7A03"/>
    <w:rsid w:val="235F767C"/>
    <w:rsid w:val="2364E539"/>
    <w:rsid w:val="236A84B0"/>
    <w:rsid w:val="237BF99F"/>
    <w:rsid w:val="238805E9"/>
    <w:rsid w:val="238F1B94"/>
    <w:rsid w:val="239046BB"/>
    <w:rsid w:val="2398F0B7"/>
    <w:rsid w:val="239B9A6A"/>
    <w:rsid w:val="239C0BE6"/>
    <w:rsid w:val="23A063D8"/>
    <w:rsid w:val="23A18908"/>
    <w:rsid w:val="23A5913E"/>
    <w:rsid w:val="23B8E9FB"/>
    <w:rsid w:val="23B9EC37"/>
    <w:rsid w:val="23BB721F"/>
    <w:rsid w:val="23BE03F3"/>
    <w:rsid w:val="23C022FA"/>
    <w:rsid w:val="23C58CE2"/>
    <w:rsid w:val="23CC4DAD"/>
    <w:rsid w:val="23CE3611"/>
    <w:rsid w:val="23CEB7AD"/>
    <w:rsid w:val="23CF007C"/>
    <w:rsid w:val="23E81127"/>
    <w:rsid w:val="23EE00DE"/>
    <w:rsid w:val="23F34E83"/>
    <w:rsid w:val="23F73982"/>
    <w:rsid w:val="23F82919"/>
    <w:rsid w:val="23FF0C4D"/>
    <w:rsid w:val="24062805"/>
    <w:rsid w:val="240D70B8"/>
    <w:rsid w:val="24272D67"/>
    <w:rsid w:val="242733C7"/>
    <w:rsid w:val="242BF7C8"/>
    <w:rsid w:val="243509C6"/>
    <w:rsid w:val="24382D4B"/>
    <w:rsid w:val="24410314"/>
    <w:rsid w:val="244236A5"/>
    <w:rsid w:val="2446AB15"/>
    <w:rsid w:val="2447E67F"/>
    <w:rsid w:val="244C8136"/>
    <w:rsid w:val="244E5D3E"/>
    <w:rsid w:val="245C9C1D"/>
    <w:rsid w:val="245D37C0"/>
    <w:rsid w:val="24650DCA"/>
    <w:rsid w:val="24674A98"/>
    <w:rsid w:val="2467FBB8"/>
    <w:rsid w:val="2468BA27"/>
    <w:rsid w:val="246B2598"/>
    <w:rsid w:val="2475AA57"/>
    <w:rsid w:val="247B1776"/>
    <w:rsid w:val="247ED1F0"/>
    <w:rsid w:val="2489D39A"/>
    <w:rsid w:val="248F0F22"/>
    <w:rsid w:val="24920586"/>
    <w:rsid w:val="24921C6C"/>
    <w:rsid w:val="2492CF5B"/>
    <w:rsid w:val="24998112"/>
    <w:rsid w:val="24A2F9AD"/>
    <w:rsid w:val="24A4459B"/>
    <w:rsid w:val="24A9B061"/>
    <w:rsid w:val="24AB8601"/>
    <w:rsid w:val="24B12F2F"/>
    <w:rsid w:val="24B95057"/>
    <w:rsid w:val="24BA2A71"/>
    <w:rsid w:val="24C3CD64"/>
    <w:rsid w:val="24CB4312"/>
    <w:rsid w:val="24CC7D8A"/>
    <w:rsid w:val="24CF2794"/>
    <w:rsid w:val="24D7F50C"/>
    <w:rsid w:val="24DCE497"/>
    <w:rsid w:val="24DF42AF"/>
    <w:rsid w:val="24EC44ED"/>
    <w:rsid w:val="24F7743C"/>
    <w:rsid w:val="24FC9D33"/>
    <w:rsid w:val="25086393"/>
    <w:rsid w:val="250C0271"/>
    <w:rsid w:val="250C0988"/>
    <w:rsid w:val="25120796"/>
    <w:rsid w:val="2512D888"/>
    <w:rsid w:val="2513E76D"/>
    <w:rsid w:val="25141F03"/>
    <w:rsid w:val="2514371A"/>
    <w:rsid w:val="2518829B"/>
    <w:rsid w:val="251AF1BF"/>
    <w:rsid w:val="251D4360"/>
    <w:rsid w:val="2520B8B7"/>
    <w:rsid w:val="25285E32"/>
    <w:rsid w:val="2528E9F8"/>
    <w:rsid w:val="252951E3"/>
    <w:rsid w:val="252A7D23"/>
    <w:rsid w:val="252C2485"/>
    <w:rsid w:val="252FE4D0"/>
    <w:rsid w:val="2532EA6F"/>
    <w:rsid w:val="2535DA69"/>
    <w:rsid w:val="2536B14C"/>
    <w:rsid w:val="2538BCD9"/>
    <w:rsid w:val="25399B10"/>
    <w:rsid w:val="2541ED60"/>
    <w:rsid w:val="25457B26"/>
    <w:rsid w:val="254933BE"/>
    <w:rsid w:val="254F41CC"/>
    <w:rsid w:val="254FE9B9"/>
    <w:rsid w:val="2551AF07"/>
    <w:rsid w:val="25522CEA"/>
    <w:rsid w:val="255291B8"/>
    <w:rsid w:val="255436C6"/>
    <w:rsid w:val="2557FC16"/>
    <w:rsid w:val="25587E35"/>
    <w:rsid w:val="255D0BA7"/>
    <w:rsid w:val="2560E1A7"/>
    <w:rsid w:val="25624D5D"/>
    <w:rsid w:val="25650309"/>
    <w:rsid w:val="256674AF"/>
    <w:rsid w:val="256B28F7"/>
    <w:rsid w:val="256B59E2"/>
    <w:rsid w:val="256F06B9"/>
    <w:rsid w:val="257295B8"/>
    <w:rsid w:val="258AC21D"/>
    <w:rsid w:val="258D75AD"/>
    <w:rsid w:val="258FCC9A"/>
    <w:rsid w:val="259309DD"/>
    <w:rsid w:val="2593F48D"/>
    <w:rsid w:val="25941708"/>
    <w:rsid w:val="2598D869"/>
    <w:rsid w:val="259A407C"/>
    <w:rsid w:val="25A4A9A6"/>
    <w:rsid w:val="25A61BEA"/>
    <w:rsid w:val="25AC9653"/>
    <w:rsid w:val="25AED488"/>
    <w:rsid w:val="25AF8E7E"/>
    <w:rsid w:val="25B5617F"/>
    <w:rsid w:val="25BE99B1"/>
    <w:rsid w:val="25C0ADAA"/>
    <w:rsid w:val="25C1A6F0"/>
    <w:rsid w:val="25CDFD02"/>
    <w:rsid w:val="25D80388"/>
    <w:rsid w:val="25DA696C"/>
    <w:rsid w:val="25DD5241"/>
    <w:rsid w:val="25E2D0EB"/>
    <w:rsid w:val="25E8D4B7"/>
    <w:rsid w:val="25EA73E7"/>
    <w:rsid w:val="25F1AB7A"/>
    <w:rsid w:val="26027695"/>
    <w:rsid w:val="26045B3B"/>
    <w:rsid w:val="260724BA"/>
    <w:rsid w:val="260DC95A"/>
    <w:rsid w:val="26148FD8"/>
    <w:rsid w:val="261D4DE9"/>
    <w:rsid w:val="26253166"/>
    <w:rsid w:val="262DEF4C"/>
    <w:rsid w:val="2630ABB3"/>
    <w:rsid w:val="26392E9C"/>
    <w:rsid w:val="263CD80B"/>
    <w:rsid w:val="263F1378"/>
    <w:rsid w:val="26490AF2"/>
    <w:rsid w:val="26497AE0"/>
    <w:rsid w:val="264B1125"/>
    <w:rsid w:val="264C50FF"/>
    <w:rsid w:val="2650F47C"/>
    <w:rsid w:val="26585F5E"/>
    <w:rsid w:val="2659BF8A"/>
    <w:rsid w:val="265C52C4"/>
    <w:rsid w:val="26654E14"/>
    <w:rsid w:val="267B3ADD"/>
    <w:rsid w:val="267E52B2"/>
    <w:rsid w:val="26801B63"/>
    <w:rsid w:val="26874BC1"/>
    <w:rsid w:val="268B5A4E"/>
    <w:rsid w:val="268C80E7"/>
    <w:rsid w:val="268D8624"/>
    <w:rsid w:val="269BF69A"/>
    <w:rsid w:val="26AC04E1"/>
    <w:rsid w:val="26AC6097"/>
    <w:rsid w:val="26ACE2EE"/>
    <w:rsid w:val="26B1E7A2"/>
    <w:rsid w:val="26B5B461"/>
    <w:rsid w:val="26B6DD08"/>
    <w:rsid w:val="26C12D35"/>
    <w:rsid w:val="26C18043"/>
    <w:rsid w:val="26C1FD9E"/>
    <w:rsid w:val="26C396FA"/>
    <w:rsid w:val="26D08CA9"/>
    <w:rsid w:val="26D1A429"/>
    <w:rsid w:val="26D2ECF1"/>
    <w:rsid w:val="26D917B4"/>
    <w:rsid w:val="26DFF786"/>
    <w:rsid w:val="26E2CAA5"/>
    <w:rsid w:val="26ED93C6"/>
    <w:rsid w:val="2700367F"/>
    <w:rsid w:val="27069181"/>
    <w:rsid w:val="270AC135"/>
    <w:rsid w:val="270E2BE3"/>
    <w:rsid w:val="27125AB3"/>
    <w:rsid w:val="27164E36"/>
    <w:rsid w:val="2717F07C"/>
    <w:rsid w:val="27191FB7"/>
    <w:rsid w:val="2723E992"/>
    <w:rsid w:val="2725FAA0"/>
    <w:rsid w:val="272A89C4"/>
    <w:rsid w:val="272ACCD3"/>
    <w:rsid w:val="27321029"/>
    <w:rsid w:val="27334C8E"/>
    <w:rsid w:val="2734B10A"/>
    <w:rsid w:val="27374B8A"/>
    <w:rsid w:val="27377B5C"/>
    <w:rsid w:val="273BAB02"/>
    <w:rsid w:val="273E8358"/>
    <w:rsid w:val="2741AA5F"/>
    <w:rsid w:val="2742B5C6"/>
    <w:rsid w:val="2743020A"/>
    <w:rsid w:val="27453860"/>
    <w:rsid w:val="2749F35E"/>
    <w:rsid w:val="274ED752"/>
    <w:rsid w:val="2752B4ED"/>
    <w:rsid w:val="2756B119"/>
    <w:rsid w:val="27573E46"/>
    <w:rsid w:val="2758A0CE"/>
    <w:rsid w:val="275AEF43"/>
    <w:rsid w:val="275EBD54"/>
    <w:rsid w:val="276CEE5D"/>
    <w:rsid w:val="276E370A"/>
    <w:rsid w:val="276F0A1F"/>
    <w:rsid w:val="2786F33D"/>
    <w:rsid w:val="278B0B34"/>
    <w:rsid w:val="278D32CC"/>
    <w:rsid w:val="278D638C"/>
    <w:rsid w:val="2798172B"/>
    <w:rsid w:val="27A48302"/>
    <w:rsid w:val="27A866AE"/>
    <w:rsid w:val="27ADE1B3"/>
    <w:rsid w:val="27AE0612"/>
    <w:rsid w:val="27AE3F76"/>
    <w:rsid w:val="27AFDA58"/>
    <w:rsid w:val="27BB00F3"/>
    <w:rsid w:val="27BE30C0"/>
    <w:rsid w:val="27C13E4A"/>
    <w:rsid w:val="27C1693A"/>
    <w:rsid w:val="27C3479D"/>
    <w:rsid w:val="27C56128"/>
    <w:rsid w:val="27CAD392"/>
    <w:rsid w:val="27D0DCE8"/>
    <w:rsid w:val="27D188B5"/>
    <w:rsid w:val="27D9CFC8"/>
    <w:rsid w:val="27EBB3FB"/>
    <w:rsid w:val="27F24F7A"/>
    <w:rsid w:val="27F2871A"/>
    <w:rsid w:val="27F6BD2E"/>
    <w:rsid w:val="280133B2"/>
    <w:rsid w:val="28014E92"/>
    <w:rsid w:val="28051975"/>
    <w:rsid w:val="280BD5F4"/>
    <w:rsid w:val="28130AD2"/>
    <w:rsid w:val="2815C2EF"/>
    <w:rsid w:val="2817BBFF"/>
    <w:rsid w:val="281831C3"/>
    <w:rsid w:val="281A12CC"/>
    <w:rsid w:val="281B643E"/>
    <w:rsid w:val="28220005"/>
    <w:rsid w:val="2827CC5A"/>
    <w:rsid w:val="2829B178"/>
    <w:rsid w:val="282CC9F6"/>
    <w:rsid w:val="2832823B"/>
    <w:rsid w:val="283D45B5"/>
    <w:rsid w:val="283E6B78"/>
    <w:rsid w:val="28413D66"/>
    <w:rsid w:val="2845E640"/>
    <w:rsid w:val="28482C3A"/>
    <w:rsid w:val="284D1B55"/>
    <w:rsid w:val="285152DD"/>
    <w:rsid w:val="28517A5F"/>
    <w:rsid w:val="28552FB3"/>
    <w:rsid w:val="285ECA8A"/>
    <w:rsid w:val="28620A0C"/>
    <w:rsid w:val="28690BB1"/>
    <w:rsid w:val="286F60B1"/>
    <w:rsid w:val="2870BFF1"/>
    <w:rsid w:val="287354CC"/>
    <w:rsid w:val="2873DA09"/>
    <w:rsid w:val="287B092B"/>
    <w:rsid w:val="287BFF02"/>
    <w:rsid w:val="287C5DBB"/>
    <w:rsid w:val="287D19F7"/>
    <w:rsid w:val="287EBC64"/>
    <w:rsid w:val="2880D480"/>
    <w:rsid w:val="2886BE64"/>
    <w:rsid w:val="28976798"/>
    <w:rsid w:val="289B609D"/>
    <w:rsid w:val="28A2718A"/>
    <w:rsid w:val="28A82A5E"/>
    <w:rsid w:val="28A9E53A"/>
    <w:rsid w:val="28AF4B78"/>
    <w:rsid w:val="28BFA115"/>
    <w:rsid w:val="28C994AD"/>
    <w:rsid w:val="28CB3E54"/>
    <w:rsid w:val="28CFA99E"/>
    <w:rsid w:val="28DC6A92"/>
    <w:rsid w:val="28E07438"/>
    <w:rsid w:val="28E963F6"/>
    <w:rsid w:val="28EAB3B7"/>
    <w:rsid w:val="28ED1F55"/>
    <w:rsid w:val="28EF8921"/>
    <w:rsid w:val="28F025F8"/>
    <w:rsid w:val="28F38FD0"/>
    <w:rsid w:val="28F3DC84"/>
    <w:rsid w:val="28F84795"/>
    <w:rsid w:val="2903799E"/>
    <w:rsid w:val="290DD7D4"/>
    <w:rsid w:val="290E69C0"/>
    <w:rsid w:val="291061DF"/>
    <w:rsid w:val="29132F5D"/>
    <w:rsid w:val="292A4AAC"/>
    <w:rsid w:val="292AEC96"/>
    <w:rsid w:val="293391F7"/>
    <w:rsid w:val="293AF17B"/>
    <w:rsid w:val="2941D5A7"/>
    <w:rsid w:val="29436AA6"/>
    <w:rsid w:val="29448A15"/>
    <w:rsid w:val="294C3FC8"/>
    <w:rsid w:val="294E4A21"/>
    <w:rsid w:val="295723C1"/>
    <w:rsid w:val="295A3242"/>
    <w:rsid w:val="296972F2"/>
    <w:rsid w:val="296B8291"/>
    <w:rsid w:val="29724F32"/>
    <w:rsid w:val="29746810"/>
    <w:rsid w:val="297470E2"/>
    <w:rsid w:val="29794E93"/>
    <w:rsid w:val="297FF5A5"/>
    <w:rsid w:val="29815EE7"/>
    <w:rsid w:val="29856DB0"/>
    <w:rsid w:val="298AFAFE"/>
    <w:rsid w:val="298C3B64"/>
    <w:rsid w:val="298E892F"/>
    <w:rsid w:val="29948453"/>
    <w:rsid w:val="2996EDAE"/>
    <w:rsid w:val="29A3F9BD"/>
    <w:rsid w:val="29A49897"/>
    <w:rsid w:val="29A9EBF5"/>
    <w:rsid w:val="29AB9883"/>
    <w:rsid w:val="29B25D0E"/>
    <w:rsid w:val="29BA65E3"/>
    <w:rsid w:val="29D344AC"/>
    <w:rsid w:val="29D8415B"/>
    <w:rsid w:val="29D974ED"/>
    <w:rsid w:val="29E147CF"/>
    <w:rsid w:val="29E51B13"/>
    <w:rsid w:val="29E81D92"/>
    <w:rsid w:val="29F3B867"/>
    <w:rsid w:val="29F7EFBC"/>
    <w:rsid w:val="2A00BF15"/>
    <w:rsid w:val="2A0F1EB5"/>
    <w:rsid w:val="2A124A29"/>
    <w:rsid w:val="2A139BDF"/>
    <w:rsid w:val="2A2352AE"/>
    <w:rsid w:val="2A25C112"/>
    <w:rsid w:val="2A26543D"/>
    <w:rsid w:val="2A29578E"/>
    <w:rsid w:val="2A29A2DC"/>
    <w:rsid w:val="2A2C99B2"/>
    <w:rsid w:val="2A39E7A2"/>
    <w:rsid w:val="2A3B77DC"/>
    <w:rsid w:val="2A41F0C2"/>
    <w:rsid w:val="2A468A35"/>
    <w:rsid w:val="2A47B802"/>
    <w:rsid w:val="2A4AA891"/>
    <w:rsid w:val="2A5191E9"/>
    <w:rsid w:val="2A579A37"/>
    <w:rsid w:val="2A5A7DAC"/>
    <w:rsid w:val="2A5DC48D"/>
    <w:rsid w:val="2A5DE147"/>
    <w:rsid w:val="2A70E477"/>
    <w:rsid w:val="2A725C42"/>
    <w:rsid w:val="2A729C09"/>
    <w:rsid w:val="2A75281C"/>
    <w:rsid w:val="2A7B8BB9"/>
    <w:rsid w:val="2A839F98"/>
    <w:rsid w:val="2A8D71DD"/>
    <w:rsid w:val="2A99B488"/>
    <w:rsid w:val="2AA36FAE"/>
    <w:rsid w:val="2AAAEC3C"/>
    <w:rsid w:val="2AB56DD4"/>
    <w:rsid w:val="2AB63DF6"/>
    <w:rsid w:val="2AB813A4"/>
    <w:rsid w:val="2ABEEB16"/>
    <w:rsid w:val="2AC09430"/>
    <w:rsid w:val="2AC2A063"/>
    <w:rsid w:val="2AC61BEE"/>
    <w:rsid w:val="2ACAECB3"/>
    <w:rsid w:val="2ACBC37E"/>
    <w:rsid w:val="2AD06D30"/>
    <w:rsid w:val="2AD0F883"/>
    <w:rsid w:val="2AD1800C"/>
    <w:rsid w:val="2ADD7406"/>
    <w:rsid w:val="2AEB158C"/>
    <w:rsid w:val="2AEF51F1"/>
    <w:rsid w:val="2AF834BD"/>
    <w:rsid w:val="2AF86107"/>
    <w:rsid w:val="2B002F21"/>
    <w:rsid w:val="2B012164"/>
    <w:rsid w:val="2B07B70E"/>
    <w:rsid w:val="2B098BD4"/>
    <w:rsid w:val="2B0AC38E"/>
    <w:rsid w:val="2B0C5F39"/>
    <w:rsid w:val="2B0C7A7A"/>
    <w:rsid w:val="2B11159A"/>
    <w:rsid w:val="2B15281E"/>
    <w:rsid w:val="2B18EA71"/>
    <w:rsid w:val="2B2149A8"/>
    <w:rsid w:val="2B259F61"/>
    <w:rsid w:val="2B25CC45"/>
    <w:rsid w:val="2B2DD203"/>
    <w:rsid w:val="2B3079F7"/>
    <w:rsid w:val="2B500B6E"/>
    <w:rsid w:val="2B5A287F"/>
    <w:rsid w:val="2B65EF8B"/>
    <w:rsid w:val="2B70CFCE"/>
    <w:rsid w:val="2B71DEB1"/>
    <w:rsid w:val="2B794D9A"/>
    <w:rsid w:val="2B7A59FC"/>
    <w:rsid w:val="2B7C0A39"/>
    <w:rsid w:val="2B8797F2"/>
    <w:rsid w:val="2B892584"/>
    <w:rsid w:val="2B928665"/>
    <w:rsid w:val="2B9D9855"/>
    <w:rsid w:val="2B9EEC5B"/>
    <w:rsid w:val="2BB20684"/>
    <w:rsid w:val="2BB77C5F"/>
    <w:rsid w:val="2BB868D7"/>
    <w:rsid w:val="2BBAE45E"/>
    <w:rsid w:val="2BBBE471"/>
    <w:rsid w:val="2BC5222E"/>
    <w:rsid w:val="2BCEFCB2"/>
    <w:rsid w:val="2BDE5D8E"/>
    <w:rsid w:val="2BE9E9A5"/>
    <w:rsid w:val="2BED4908"/>
    <w:rsid w:val="2BEE6678"/>
    <w:rsid w:val="2BFAB9F2"/>
    <w:rsid w:val="2C0531DA"/>
    <w:rsid w:val="2C097981"/>
    <w:rsid w:val="2C0E6F31"/>
    <w:rsid w:val="2C11AD2D"/>
    <w:rsid w:val="2C167A1A"/>
    <w:rsid w:val="2C1A4B35"/>
    <w:rsid w:val="2C245FA8"/>
    <w:rsid w:val="2C2594CD"/>
    <w:rsid w:val="2C2F53C4"/>
    <w:rsid w:val="2C304BEF"/>
    <w:rsid w:val="2C3C0B20"/>
    <w:rsid w:val="2C429C50"/>
    <w:rsid w:val="2C48DB42"/>
    <w:rsid w:val="2C4B2297"/>
    <w:rsid w:val="2C4DDE5F"/>
    <w:rsid w:val="2C5453A9"/>
    <w:rsid w:val="2C54A097"/>
    <w:rsid w:val="2C57D053"/>
    <w:rsid w:val="2C58C5AD"/>
    <w:rsid w:val="2C5C6F33"/>
    <w:rsid w:val="2C670097"/>
    <w:rsid w:val="2C675A69"/>
    <w:rsid w:val="2C6C345C"/>
    <w:rsid w:val="2C740544"/>
    <w:rsid w:val="2C819F6D"/>
    <w:rsid w:val="2C849AAD"/>
    <w:rsid w:val="2C859E17"/>
    <w:rsid w:val="2C8647EF"/>
    <w:rsid w:val="2C87A2E2"/>
    <w:rsid w:val="2C885B27"/>
    <w:rsid w:val="2C8ECFB5"/>
    <w:rsid w:val="2C99CD57"/>
    <w:rsid w:val="2C9D8418"/>
    <w:rsid w:val="2CAF3509"/>
    <w:rsid w:val="2CC68EF4"/>
    <w:rsid w:val="2CCA1C9B"/>
    <w:rsid w:val="2CD45A9C"/>
    <w:rsid w:val="2CDE4573"/>
    <w:rsid w:val="2CE5E5C9"/>
    <w:rsid w:val="2CEE0A77"/>
    <w:rsid w:val="2CF15CDD"/>
    <w:rsid w:val="2CF38C76"/>
    <w:rsid w:val="2CFB81A4"/>
    <w:rsid w:val="2D00E167"/>
    <w:rsid w:val="2D02A2D8"/>
    <w:rsid w:val="2D0468C1"/>
    <w:rsid w:val="2D094E99"/>
    <w:rsid w:val="2D0EF26B"/>
    <w:rsid w:val="2D106287"/>
    <w:rsid w:val="2D15BFD2"/>
    <w:rsid w:val="2D180588"/>
    <w:rsid w:val="2D1963D3"/>
    <w:rsid w:val="2D1CD57D"/>
    <w:rsid w:val="2D1CF30A"/>
    <w:rsid w:val="2D1E4B51"/>
    <w:rsid w:val="2D1E8B4D"/>
    <w:rsid w:val="2D1FD7C5"/>
    <w:rsid w:val="2D20C59D"/>
    <w:rsid w:val="2D22F931"/>
    <w:rsid w:val="2D275712"/>
    <w:rsid w:val="2D433623"/>
    <w:rsid w:val="2D4606F6"/>
    <w:rsid w:val="2D46D13A"/>
    <w:rsid w:val="2D4EC4DD"/>
    <w:rsid w:val="2D4F2CCF"/>
    <w:rsid w:val="2D521785"/>
    <w:rsid w:val="2D5A69B1"/>
    <w:rsid w:val="2D62B502"/>
    <w:rsid w:val="2D7577EE"/>
    <w:rsid w:val="2D77A384"/>
    <w:rsid w:val="2D7B581B"/>
    <w:rsid w:val="2D7ED071"/>
    <w:rsid w:val="2D7EEF28"/>
    <w:rsid w:val="2D7F4AF8"/>
    <w:rsid w:val="2D818482"/>
    <w:rsid w:val="2D83202D"/>
    <w:rsid w:val="2D891F29"/>
    <w:rsid w:val="2D8F391F"/>
    <w:rsid w:val="2DA2C5D0"/>
    <w:rsid w:val="2DA4F199"/>
    <w:rsid w:val="2DA5EC68"/>
    <w:rsid w:val="2DB2E58E"/>
    <w:rsid w:val="2DB6D45A"/>
    <w:rsid w:val="2DC276C3"/>
    <w:rsid w:val="2DC52F02"/>
    <w:rsid w:val="2DD163F8"/>
    <w:rsid w:val="2DD2A0C9"/>
    <w:rsid w:val="2DDF62AD"/>
    <w:rsid w:val="2DDF71E7"/>
    <w:rsid w:val="2DE1D1D1"/>
    <w:rsid w:val="2DE4B1F5"/>
    <w:rsid w:val="2DF595E3"/>
    <w:rsid w:val="2DF83BF1"/>
    <w:rsid w:val="2E051044"/>
    <w:rsid w:val="2E070628"/>
    <w:rsid w:val="2E0B5091"/>
    <w:rsid w:val="2E163FDB"/>
    <w:rsid w:val="2E1A10F8"/>
    <w:rsid w:val="2E1BF388"/>
    <w:rsid w:val="2E1E99BE"/>
    <w:rsid w:val="2E248307"/>
    <w:rsid w:val="2E2ED1E4"/>
    <w:rsid w:val="2E4449AC"/>
    <w:rsid w:val="2E464052"/>
    <w:rsid w:val="2E4F47F9"/>
    <w:rsid w:val="2E53FB0B"/>
    <w:rsid w:val="2E586716"/>
    <w:rsid w:val="2E598125"/>
    <w:rsid w:val="2E613EAD"/>
    <w:rsid w:val="2E66A940"/>
    <w:rsid w:val="2E674818"/>
    <w:rsid w:val="2E6F8527"/>
    <w:rsid w:val="2E746EA0"/>
    <w:rsid w:val="2E7A7A07"/>
    <w:rsid w:val="2E865724"/>
    <w:rsid w:val="2EA0B203"/>
    <w:rsid w:val="2EA7DE55"/>
    <w:rsid w:val="2EB332F4"/>
    <w:rsid w:val="2EB5821D"/>
    <w:rsid w:val="2EBDFE9F"/>
    <w:rsid w:val="2EBFFCBE"/>
    <w:rsid w:val="2EC0C646"/>
    <w:rsid w:val="2EC4B4E5"/>
    <w:rsid w:val="2ED2078E"/>
    <w:rsid w:val="2ED2D872"/>
    <w:rsid w:val="2ED56F71"/>
    <w:rsid w:val="2ED8553A"/>
    <w:rsid w:val="2EE66248"/>
    <w:rsid w:val="2EE77853"/>
    <w:rsid w:val="2EF23193"/>
    <w:rsid w:val="2EF38533"/>
    <w:rsid w:val="2EF5A0BD"/>
    <w:rsid w:val="2F008D9B"/>
    <w:rsid w:val="2F02B6B4"/>
    <w:rsid w:val="2F0353B1"/>
    <w:rsid w:val="2F04B4E9"/>
    <w:rsid w:val="2F08D063"/>
    <w:rsid w:val="2F0D102F"/>
    <w:rsid w:val="2F122C4E"/>
    <w:rsid w:val="2F17521B"/>
    <w:rsid w:val="2F175DC6"/>
    <w:rsid w:val="2F18155C"/>
    <w:rsid w:val="2F18A736"/>
    <w:rsid w:val="2F20966C"/>
    <w:rsid w:val="2F2D01BB"/>
    <w:rsid w:val="2F365821"/>
    <w:rsid w:val="2F36C9A8"/>
    <w:rsid w:val="2F373C1F"/>
    <w:rsid w:val="2F426C20"/>
    <w:rsid w:val="2F46D244"/>
    <w:rsid w:val="2F484828"/>
    <w:rsid w:val="2F4A17CF"/>
    <w:rsid w:val="2F57A864"/>
    <w:rsid w:val="2F5CF231"/>
    <w:rsid w:val="2F5EB17E"/>
    <w:rsid w:val="2F626AB8"/>
    <w:rsid w:val="2F69791A"/>
    <w:rsid w:val="2F7AC024"/>
    <w:rsid w:val="2F82E487"/>
    <w:rsid w:val="2F834A52"/>
    <w:rsid w:val="2F844A14"/>
    <w:rsid w:val="2F84FB3D"/>
    <w:rsid w:val="2F930406"/>
    <w:rsid w:val="2F97CD80"/>
    <w:rsid w:val="2F9FAB56"/>
    <w:rsid w:val="2FA51080"/>
    <w:rsid w:val="2FA6E48E"/>
    <w:rsid w:val="2FABDACF"/>
    <w:rsid w:val="2FAC4A8C"/>
    <w:rsid w:val="2FAFF193"/>
    <w:rsid w:val="2FB3C8F7"/>
    <w:rsid w:val="2FB579E0"/>
    <w:rsid w:val="2FBE672C"/>
    <w:rsid w:val="2FBEFC0E"/>
    <w:rsid w:val="2FBFF953"/>
    <w:rsid w:val="2FC09C8E"/>
    <w:rsid w:val="2FCBA4C3"/>
    <w:rsid w:val="2FCF81F7"/>
    <w:rsid w:val="2FCF99F7"/>
    <w:rsid w:val="2FD4E547"/>
    <w:rsid w:val="2FD8E022"/>
    <w:rsid w:val="2FDAE31D"/>
    <w:rsid w:val="2FDB6FA6"/>
    <w:rsid w:val="2FDDCFE2"/>
    <w:rsid w:val="2FE178F2"/>
    <w:rsid w:val="2FEACA4A"/>
    <w:rsid w:val="2FEC6308"/>
    <w:rsid w:val="2FEEBB6A"/>
    <w:rsid w:val="2FF06021"/>
    <w:rsid w:val="3000EB66"/>
    <w:rsid w:val="300C9404"/>
    <w:rsid w:val="302AE4DB"/>
    <w:rsid w:val="302BBB69"/>
    <w:rsid w:val="30365EDC"/>
    <w:rsid w:val="303DE1C0"/>
    <w:rsid w:val="304738D3"/>
    <w:rsid w:val="30481008"/>
    <w:rsid w:val="3048BDBC"/>
    <w:rsid w:val="304FA64A"/>
    <w:rsid w:val="3053D891"/>
    <w:rsid w:val="305506CF"/>
    <w:rsid w:val="305C4E07"/>
    <w:rsid w:val="307AC08E"/>
    <w:rsid w:val="307C6A75"/>
    <w:rsid w:val="307DFBE2"/>
    <w:rsid w:val="307F7C7F"/>
    <w:rsid w:val="3080227F"/>
    <w:rsid w:val="30818963"/>
    <w:rsid w:val="308B55D5"/>
    <w:rsid w:val="308B6DCB"/>
    <w:rsid w:val="30A8F123"/>
    <w:rsid w:val="30AE8643"/>
    <w:rsid w:val="30B2A1FF"/>
    <w:rsid w:val="30B4C1CC"/>
    <w:rsid w:val="30BC63F2"/>
    <w:rsid w:val="30C4AFEE"/>
    <w:rsid w:val="30CD849F"/>
    <w:rsid w:val="30D2C205"/>
    <w:rsid w:val="30D31BBB"/>
    <w:rsid w:val="30D3B380"/>
    <w:rsid w:val="30DC1AFB"/>
    <w:rsid w:val="30DD0218"/>
    <w:rsid w:val="30DF4DFD"/>
    <w:rsid w:val="30E4635E"/>
    <w:rsid w:val="30EB291B"/>
    <w:rsid w:val="30ED9B55"/>
    <w:rsid w:val="30EE4F4F"/>
    <w:rsid w:val="30EED618"/>
    <w:rsid w:val="30F1F00F"/>
    <w:rsid w:val="30F430C6"/>
    <w:rsid w:val="30F5E927"/>
    <w:rsid w:val="30FCF6D6"/>
    <w:rsid w:val="30FE7F66"/>
    <w:rsid w:val="310BE37A"/>
    <w:rsid w:val="310D0B96"/>
    <w:rsid w:val="3116D6DA"/>
    <w:rsid w:val="3119F404"/>
    <w:rsid w:val="311C6AFC"/>
    <w:rsid w:val="31227E8C"/>
    <w:rsid w:val="31233815"/>
    <w:rsid w:val="3127B51E"/>
    <w:rsid w:val="3130EF92"/>
    <w:rsid w:val="313A29A6"/>
    <w:rsid w:val="313BBAC8"/>
    <w:rsid w:val="313DA472"/>
    <w:rsid w:val="313EBE36"/>
    <w:rsid w:val="314C53FF"/>
    <w:rsid w:val="3150A254"/>
    <w:rsid w:val="315C8D1C"/>
    <w:rsid w:val="31696EDD"/>
    <w:rsid w:val="316E4E16"/>
    <w:rsid w:val="3176D26F"/>
    <w:rsid w:val="317FBB0D"/>
    <w:rsid w:val="31835240"/>
    <w:rsid w:val="319015E1"/>
    <w:rsid w:val="31918EB8"/>
    <w:rsid w:val="3199E0A1"/>
    <w:rsid w:val="319F5CEC"/>
    <w:rsid w:val="319F75BF"/>
    <w:rsid w:val="31A5268B"/>
    <w:rsid w:val="31A61B82"/>
    <w:rsid w:val="31AC4BDC"/>
    <w:rsid w:val="31AF89F2"/>
    <w:rsid w:val="31B1B696"/>
    <w:rsid w:val="31B3A5FB"/>
    <w:rsid w:val="31B68D0B"/>
    <w:rsid w:val="31D33B2A"/>
    <w:rsid w:val="31D41B9E"/>
    <w:rsid w:val="31DE6578"/>
    <w:rsid w:val="31E24101"/>
    <w:rsid w:val="31E359B4"/>
    <w:rsid w:val="31E68756"/>
    <w:rsid w:val="31EB7F4D"/>
    <w:rsid w:val="31ED4BC8"/>
    <w:rsid w:val="31EE350B"/>
    <w:rsid w:val="31F0281D"/>
    <w:rsid w:val="31F0B588"/>
    <w:rsid w:val="32068C20"/>
    <w:rsid w:val="32139380"/>
    <w:rsid w:val="3216555E"/>
    <w:rsid w:val="32180F16"/>
    <w:rsid w:val="32199B40"/>
    <w:rsid w:val="321CB2D3"/>
    <w:rsid w:val="3222B5FC"/>
    <w:rsid w:val="3225F3F9"/>
    <w:rsid w:val="32272636"/>
    <w:rsid w:val="322B479A"/>
    <w:rsid w:val="32498C69"/>
    <w:rsid w:val="324B0CF9"/>
    <w:rsid w:val="3250D1E4"/>
    <w:rsid w:val="325344A3"/>
    <w:rsid w:val="325F60A7"/>
    <w:rsid w:val="32649CA4"/>
    <w:rsid w:val="326B12C6"/>
    <w:rsid w:val="326E2827"/>
    <w:rsid w:val="326EAD9E"/>
    <w:rsid w:val="32723D7C"/>
    <w:rsid w:val="3277276E"/>
    <w:rsid w:val="3285F8FF"/>
    <w:rsid w:val="328B93B5"/>
    <w:rsid w:val="32992BE9"/>
    <w:rsid w:val="329CB8C9"/>
    <w:rsid w:val="32A48979"/>
    <w:rsid w:val="32A8CA92"/>
    <w:rsid w:val="32AC6C39"/>
    <w:rsid w:val="32AFCBA5"/>
    <w:rsid w:val="32BA9B47"/>
    <w:rsid w:val="32C1E1B2"/>
    <w:rsid w:val="32D03661"/>
    <w:rsid w:val="32D1DD51"/>
    <w:rsid w:val="32D2F02D"/>
    <w:rsid w:val="32DA3B45"/>
    <w:rsid w:val="32DB3ACE"/>
    <w:rsid w:val="32E8103A"/>
    <w:rsid w:val="32EACC27"/>
    <w:rsid w:val="32ED1AC7"/>
    <w:rsid w:val="32EE2F45"/>
    <w:rsid w:val="32EEE6A1"/>
    <w:rsid w:val="32FB3509"/>
    <w:rsid w:val="32FDC887"/>
    <w:rsid w:val="32FDCF58"/>
    <w:rsid w:val="33079BB1"/>
    <w:rsid w:val="33079C5A"/>
    <w:rsid w:val="330C5B51"/>
    <w:rsid w:val="33104F16"/>
    <w:rsid w:val="3311DB70"/>
    <w:rsid w:val="331D9A41"/>
    <w:rsid w:val="333291FE"/>
    <w:rsid w:val="33358F71"/>
    <w:rsid w:val="33358FB5"/>
    <w:rsid w:val="3337A178"/>
    <w:rsid w:val="3337CECE"/>
    <w:rsid w:val="3337D449"/>
    <w:rsid w:val="33392A14"/>
    <w:rsid w:val="3339D975"/>
    <w:rsid w:val="333A88DD"/>
    <w:rsid w:val="3342A088"/>
    <w:rsid w:val="33431494"/>
    <w:rsid w:val="335080E4"/>
    <w:rsid w:val="3359C55B"/>
    <w:rsid w:val="335C481D"/>
    <w:rsid w:val="335F8520"/>
    <w:rsid w:val="3369535C"/>
    <w:rsid w:val="336CCD29"/>
    <w:rsid w:val="337F75AF"/>
    <w:rsid w:val="3380F721"/>
    <w:rsid w:val="33817C40"/>
    <w:rsid w:val="338537A2"/>
    <w:rsid w:val="338E0D80"/>
    <w:rsid w:val="3390C1BF"/>
    <w:rsid w:val="33A51135"/>
    <w:rsid w:val="33AB23FB"/>
    <w:rsid w:val="33B7E6B7"/>
    <w:rsid w:val="33BBD2E2"/>
    <w:rsid w:val="33C6F656"/>
    <w:rsid w:val="33C708BB"/>
    <w:rsid w:val="33CA0A62"/>
    <w:rsid w:val="33D625D7"/>
    <w:rsid w:val="33E150FE"/>
    <w:rsid w:val="33E1A6C9"/>
    <w:rsid w:val="33ED1B94"/>
    <w:rsid w:val="33EE26C9"/>
    <w:rsid w:val="33EF8B5B"/>
    <w:rsid w:val="33F834D7"/>
    <w:rsid w:val="33F9679A"/>
    <w:rsid w:val="33FA1F40"/>
    <w:rsid w:val="33FD257E"/>
    <w:rsid w:val="33FD2DBF"/>
    <w:rsid w:val="340188DB"/>
    <w:rsid w:val="3406224D"/>
    <w:rsid w:val="3407D407"/>
    <w:rsid w:val="3407F535"/>
    <w:rsid w:val="3409C131"/>
    <w:rsid w:val="340CC57C"/>
    <w:rsid w:val="3412F7CF"/>
    <w:rsid w:val="3415171D"/>
    <w:rsid w:val="341859AC"/>
    <w:rsid w:val="3418F7EE"/>
    <w:rsid w:val="341D8830"/>
    <w:rsid w:val="341F6C7E"/>
    <w:rsid w:val="341F8F59"/>
    <w:rsid w:val="342B16E5"/>
    <w:rsid w:val="34383E49"/>
    <w:rsid w:val="343C2479"/>
    <w:rsid w:val="34428166"/>
    <w:rsid w:val="34496DCD"/>
    <w:rsid w:val="345163C8"/>
    <w:rsid w:val="3451C95A"/>
    <w:rsid w:val="3454F63C"/>
    <w:rsid w:val="345B3956"/>
    <w:rsid w:val="345DCD1F"/>
    <w:rsid w:val="345EF84A"/>
    <w:rsid w:val="345F5F86"/>
    <w:rsid w:val="34637EE3"/>
    <w:rsid w:val="346575BF"/>
    <w:rsid w:val="346AAC8F"/>
    <w:rsid w:val="346B9F0B"/>
    <w:rsid w:val="34756D82"/>
    <w:rsid w:val="34782DCA"/>
    <w:rsid w:val="347D2093"/>
    <w:rsid w:val="3489A17E"/>
    <w:rsid w:val="348C865C"/>
    <w:rsid w:val="348D72DE"/>
    <w:rsid w:val="3492227D"/>
    <w:rsid w:val="34A5C8E3"/>
    <w:rsid w:val="34A61441"/>
    <w:rsid w:val="34A95A81"/>
    <w:rsid w:val="34AB6FC5"/>
    <w:rsid w:val="34ACED18"/>
    <w:rsid w:val="34B9AFD5"/>
    <w:rsid w:val="34BA4FCD"/>
    <w:rsid w:val="34BC8D4C"/>
    <w:rsid w:val="34BE64A5"/>
    <w:rsid w:val="34C47832"/>
    <w:rsid w:val="34CCDE7A"/>
    <w:rsid w:val="34CEA2BC"/>
    <w:rsid w:val="34DAF9BD"/>
    <w:rsid w:val="34DF5E23"/>
    <w:rsid w:val="34E3AFB3"/>
    <w:rsid w:val="34EC4B05"/>
    <w:rsid w:val="34EE9624"/>
    <w:rsid w:val="34F0F5A7"/>
    <w:rsid w:val="34F4B590"/>
    <w:rsid w:val="34FE498F"/>
    <w:rsid w:val="34FE89CA"/>
    <w:rsid w:val="35033A9D"/>
    <w:rsid w:val="3509EF10"/>
    <w:rsid w:val="350B054D"/>
    <w:rsid w:val="350FDB23"/>
    <w:rsid w:val="351065BD"/>
    <w:rsid w:val="3510A02C"/>
    <w:rsid w:val="351B29E7"/>
    <w:rsid w:val="351FDEB3"/>
    <w:rsid w:val="351FE698"/>
    <w:rsid w:val="35204FB3"/>
    <w:rsid w:val="35255131"/>
    <w:rsid w:val="352CC2EA"/>
    <w:rsid w:val="352F4BB4"/>
    <w:rsid w:val="353BA700"/>
    <w:rsid w:val="353CA683"/>
    <w:rsid w:val="353F1F4E"/>
    <w:rsid w:val="3540E196"/>
    <w:rsid w:val="354ACA12"/>
    <w:rsid w:val="3551CD3C"/>
    <w:rsid w:val="3553CBE4"/>
    <w:rsid w:val="35552DE0"/>
    <w:rsid w:val="356294F2"/>
    <w:rsid w:val="35638C76"/>
    <w:rsid w:val="356712AA"/>
    <w:rsid w:val="356F8108"/>
    <w:rsid w:val="356FD4B5"/>
    <w:rsid w:val="3570D0E4"/>
    <w:rsid w:val="357F5A93"/>
    <w:rsid w:val="35805B6E"/>
    <w:rsid w:val="35816FDA"/>
    <w:rsid w:val="35864381"/>
    <w:rsid w:val="35883D61"/>
    <w:rsid w:val="3589FDA6"/>
    <w:rsid w:val="35959FD3"/>
    <w:rsid w:val="3598936C"/>
    <w:rsid w:val="359CEB02"/>
    <w:rsid w:val="359F1BAE"/>
    <w:rsid w:val="35B28019"/>
    <w:rsid w:val="35B660B1"/>
    <w:rsid w:val="35B74774"/>
    <w:rsid w:val="35BADEBB"/>
    <w:rsid w:val="35BD3B8F"/>
    <w:rsid w:val="35C03A70"/>
    <w:rsid w:val="35C55D1D"/>
    <w:rsid w:val="35C7D24D"/>
    <w:rsid w:val="35C880A1"/>
    <w:rsid w:val="35CAC7A5"/>
    <w:rsid w:val="35D32116"/>
    <w:rsid w:val="35D6B905"/>
    <w:rsid w:val="35D81944"/>
    <w:rsid w:val="35EA25B8"/>
    <w:rsid w:val="35FAE3A3"/>
    <w:rsid w:val="35FD5AE1"/>
    <w:rsid w:val="36021748"/>
    <w:rsid w:val="360D2B8A"/>
    <w:rsid w:val="36126DAE"/>
    <w:rsid w:val="361435E6"/>
    <w:rsid w:val="3615D359"/>
    <w:rsid w:val="361D2929"/>
    <w:rsid w:val="3620545C"/>
    <w:rsid w:val="3624CC23"/>
    <w:rsid w:val="362890B6"/>
    <w:rsid w:val="362E0DBC"/>
    <w:rsid w:val="36394DC1"/>
    <w:rsid w:val="363A9201"/>
    <w:rsid w:val="363F272C"/>
    <w:rsid w:val="3644002C"/>
    <w:rsid w:val="3648F6D2"/>
    <w:rsid w:val="365C947F"/>
    <w:rsid w:val="365D8423"/>
    <w:rsid w:val="36625BF9"/>
    <w:rsid w:val="3662BB25"/>
    <w:rsid w:val="366E6AEC"/>
    <w:rsid w:val="36722EA3"/>
    <w:rsid w:val="36749A07"/>
    <w:rsid w:val="36773C5E"/>
    <w:rsid w:val="367C2CCD"/>
    <w:rsid w:val="36838788"/>
    <w:rsid w:val="3683B287"/>
    <w:rsid w:val="3686A7DF"/>
    <w:rsid w:val="368A051A"/>
    <w:rsid w:val="369C3134"/>
    <w:rsid w:val="36A75A11"/>
    <w:rsid w:val="36AAE53A"/>
    <w:rsid w:val="36AC41AA"/>
    <w:rsid w:val="36AF06C9"/>
    <w:rsid w:val="36B0E38F"/>
    <w:rsid w:val="36B729B5"/>
    <w:rsid w:val="36B8BA40"/>
    <w:rsid w:val="36C5CB05"/>
    <w:rsid w:val="36C6A319"/>
    <w:rsid w:val="36CA1428"/>
    <w:rsid w:val="36D0642B"/>
    <w:rsid w:val="36D7AE22"/>
    <w:rsid w:val="36ED7511"/>
    <w:rsid w:val="36F06BB1"/>
    <w:rsid w:val="36F28C55"/>
    <w:rsid w:val="36F2C3B4"/>
    <w:rsid w:val="36F97D84"/>
    <w:rsid w:val="36FA1B61"/>
    <w:rsid w:val="36FA611E"/>
    <w:rsid w:val="36FDCC39"/>
    <w:rsid w:val="3702270A"/>
    <w:rsid w:val="37023918"/>
    <w:rsid w:val="370399CB"/>
    <w:rsid w:val="370630D5"/>
    <w:rsid w:val="370F39AE"/>
    <w:rsid w:val="371BBCFD"/>
    <w:rsid w:val="37277436"/>
    <w:rsid w:val="37370F01"/>
    <w:rsid w:val="3739766D"/>
    <w:rsid w:val="373AA486"/>
    <w:rsid w:val="374259C6"/>
    <w:rsid w:val="37492BAC"/>
    <w:rsid w:val="374B14D1"/>
    <w:rsid w:val="374DF283"/>
    <w:rsid w:val="3750CD84"/>
    <w:rsid w:val="375A1F38"/>
    <w:rsid w:val="3763A647"/>
    <w:rsid w:val="376828CE"/>
    <w:rsid w:val="3768BFEE"/>
    <w:rsid w:val="376A27B2"/>
    <w:rsid w:val="376A7F6F"/>
    <w:rsid w:val="376FDC72"/>
    <w:rsid w:val="3779899F"/>
    <w:rsid w:val="377CA5DC"/>
    <w:rsid w:val="378A3A16"/>
    <w:rsid w:val="378D4F6A"/>
    <w:rsid w:val="37989F68"/>
    <w:rsid w:val="37A34157"/>
    <w:rsid w:val="37A594D9"/>
    <w:rsid w:val="37A8D399"/>
    <w:rsid w:val="37AB737F"/>
    <w:rsid w:val="37AE0BBD"/>
    <w:rsid w:val="37B0166C"/>
    <w:rsid w:val="37B5D5B3"/>
    <w:rsid w:val="37B5F260"/>
    <w:rsid w:val="37B6919B"/>
    <w:rsid w:val="37C364BE"/>
    <w:rsid w:val="37CAEE23"/>
    <w:rsid w:val="37CB16CF"/>
    <w:rsid w:val="37CD79D6"/>
    <w:rsid w:val="37D70EB5"/>
    <w:rsid w:val="37D8ADA2"/>
    <w:rsid w:val="37DA7E9A"/>
    <w:rsid w:val="37FBDB68"/>
    <w:rsid w:val="3800D8F4"/>
    <w:rsid w:val="38022889"/>
    <w:rsid w:val="3808572B"/>
    <w:rsid w:val="380A4781"/>
    <w:rsid w:val="380DEE35"/>
    <w:rsid w:val="380F60D6"/>
    <w:rsid w:val="3812AC1B"/>
    <w:rsid w:val="3813498D"/>
    <w:rsid w:val="381999EB"/>
    <w:rsid w:val="381A637C"/>
    <w:rsid w:val="381AC088"/>
    <w:rsid w:val="381D4569"/>
    <w:rsid w:val="38222C8F"/>
    <w:rsid w:val="38249BD3"/>
    <w:rsid w:val="38275547"/>
    <w:rsid w:val="382CFAEB"/>
    <w:rsid w:val="382EF207"/>
    <w:rsid w:val="38323C6D"/>
    <w:rsid w:val="3833EEA2"/>
    <w:rsid w:val="38398BB6"/>
    <w:rsid w:val="383BE5CD"/>
    <w:rsid w:val="38578478"/>
    <w:rsid w:val="38594594"/>
    <w:rsid w:val="3869E788"/>
    <w:rsid w:val="3869F743"/>
    <w:rsid w:val="38712CBA"/>
    <w:rsid w:val="3876C010"/>
    <w:rsid w:val="3882DBF9"/>
    <w:rsid w:val="388418E7"/>
    <w:rsid w:val="38896DFE"/>
    <w:rsid w:val="388A45C9"/>
    <w:rsid w:val="389D6D8C"/>
    <w:rsid w:val="389F3688"/>
    <w:rsid w:val="38AB58FC"/>
    <w:rsid w:val="38AB7CB7"/>
    <w:rsid w:val="38AC0273"/>
    <w:rsid w:val="38CA42ED"/>
    <w:rsid w:val="38D65BA8"/>
    <w:rsid w:val="38D74F6A"/>
    <w:rsid w:val="38D8460D"/>
    <w:rsid w:val="38D88B0F"/>
    <w:rsid w:val="38DA0FE1"/>
    <w:rsid w:val="38DD94CA"/>
    <w:rsid w:val="38E1E854"/>
    <w:rsid w:val="38E2369A"/>
    <w:rsid w:val="38E452D8"/>
    <w:rsid w:val="38E74478"/>
    <w:rsid w:val="38E95A44"/>
    <w:rsid w:val="38F561F3"/>
    <w:rsid w:val="38FA47F5"/>
    <w:rsid w:val="38FC9B75"/>
    <w:rsid w:val="39086099"/>
    <w:rsid w:val="3908B6FC"/>
    <w:rsid w:val="3909B52A"/>
    <w:rsid w:val="390E9DD5"/>
    <w:rsid w:val="3915C549"/>
    <w:rsid w:val="391C1953"/>
    <w:rsid w:val="39255D6D"/>
    <w:rsid w:val="39269D63"/>
    <w:rsid w:val="3928FB12"/>
    <w:rsid w:val="392C1405"/>
    <w:rsid w:val="39300EA0"/>
    <w:rsid w:val="39303495"/>
    <w:rsid w:val="39358FAC"/>
    <w:rsid w:val="393C11C8"/>
    <w:rsid w:val="394457B9"/>
    <w:rsid w:val="3944EDEA"/>
    <w:rsid w:val="3946B029"/>
    <w:rsid w:val="3947DCF3"/>
    <w:rsid w:val="395069F5"/>
    <w:rsid w:val="3955DD01"/>
    <w:rsid w:val="39562BBB"/>
    <w:rsid w:val="395F6007"/>
    <w:rsid w:val="39617EB7"/>
    <w:rsid w:val="396F097D"/>
    <w:rsid w:val="39724D40"/>
    <w:rsid w:val="3973321B"/>
    <w:rsid w:val="3973FA76"/>
    <w:rsid w:val="397649B1"/>
    <w:rsid w:val="39782FDB"/>
    <w:rsid w:val="3979E9CD"/>
    <w:rsid w:val="397AB614"/>
    <w:rsid w:val="397D8624"/>
    <w:rsid w:val="398A5DBE"/>
    <w:rsid w:val="399530C5"/>
    <w:rsid w:val="399E4F4C"/>
    <w:rsid w:val="399F337E"/>
    <w:rsid w:val="399F3510"/>
    <w:rsid w:val="39A2E8BC"/>
    <w:rsid w:val="39ACDDC4"/>
    <w:rsid w:val="39AEB5D4"/>
    <w:rsid w:val="39B1D41E"/>
    <w:rsid w:val="39B24B39"/>
    <w:rsid w:val="39B36F82"/>
    <w:rsid w:val="39B82C07"/>
    <w:rsid w:val="39B92C24"/>
    <w:rsid w:val="39BAC00A"/>
    <w:rsid w:val="39BB5D65"/>
    <w:rsid w:val="39BC728F"/>
    <w:rsid w:val="39BDEB3E"/>
    <w:rsid w:val="39CABA0F"/>
    <w:rsid w:val="39D2B4B6"/>
    <w:rsid w:val="39D3D04C"/>
    <w:rsid w:val="39FB8F73"/>
    <w:rsid w:val="3A04C3F6"/>
    <w:rsid w:val="3A057628"/>
    <w:rsid w:val="3A064CE3"/>
    <w:rsid w:val="3A102E49"/>
    <w:rsid w:val="3A270F1B"/>
    <w:rsid w:val="3A326FA8"/>
    <w:rsid w:val="3A3498BC"/>
    <w:rsid w:val="3A3A5F44"/>
    <w:rsid w:val="3A3B48BE"/>
    <w:rsid w:val="3A3D4C7D"/>
    <w:rsid w:val="3A3DCDAE"/>
    <w:rsid w:val="3A4ADF2B"/>
    <w:rsid w:val="3A5167A0"/>
    <w:rsid w:val="3A524683"/>
    <w:rsid w:val="3A5271A7"/>
    <w:rsid w:val="3A54C6C5"/>
    <w:rsid w:val="3A561913"/>
    <w:rsid w:val="3A564C19"/>
    <w:rsid w:val="3A5AD7D7"/>
    <w:rsid w:val="3A5E7A51"/>
    <w:rsid w:val="3A614456"/>
    <w:rsid w:val="3A62FC25"/>
    <w:rsid w:val="3A668E3D"/>
    <w:rsid w:val="3A690A86"/>
    <w:rsid w:val="3A735A80"/>
    <w:rsid w:val="3A745DA7"/>
    <w:rsid w:val="3A7DC2FC"/>
    <w:rsid w:val="3A81ACA3"/>
    <w:rsid w:val="3A8A43F6"/>
    <w:rsid w:val="3A8A822A"/>
    <w:rsid w:val="3A8E3EEB"/>
    <w:rsid w:val="3A8E5711"/>
    <w:rsid w:val="3A92A84A"/>
    <w:rsid w:val="3A96BEA3"/>
    <w:rsid w:val="3A985D2C"/>
    <w:rsid w:val="3A9C4DC0"/>
    <w:rsid w:val="3A9D1356"/>
    <w:rsid w:val="3AA6F9AB"/>
    <w:rsid w:val="3AAEB545"/>
    <w:rsid w:val="3AB167B9"/>
    <w:rsid w:val="3AB1E6A7"/>
    <w:rsid w:val="3AB22785"/>
    <w:rsid w:val="3AB24209"/>
    <w:rsid w:val="3AC0AD80"/>
    <w:rsid w:val="3AC28657"/>
    <w:rsid w:val="3ACB865C"/>
    <w:rsid w:val="3ACD8C4F"/>
    <w:rsid w:val="3ACFD373"/>
    <w:rsid w:val="3ADD8AE4"/>
    <w:rsid w:val="3ADED596"/>
    <w:rsid w:val="3ADF6F79"/>
    <w:rsid w:val="3AE27AFC"/>
    <w:rsid w:val="3AE30D37"/>
    <w:rsid w:val="3AED1B2C"/>
    <w:rsid w:val="3AF5A850"/>
    <w:rsid w:val="3AF5ED7E"/>
    <w:rsid w:val="3AF688D1"/>
    <w:rsid w:val="3AF8C08F"/>
    <w:rsid w:val="3AFC3CE9"/>
    <w:rsid w:val="3AFDD469"/>
    <w:rsid w:val="3AFE48F2"/>
    <w:rsid w:val="3B05CE8C"/>
    <w:rsid w:val="3B0600B0"/>
    <w:rsid w:val="3B0ADEB8"/>
    <w:rsid w:val="3B113E73"/>
    <w:rsid w:val="3B12FAFF"/>
    <w:rsid w:val="3B147470"/>
    <w:rsid w:val="3B1591DD"/>
    <w:rsid w:val="3B17B1C9"/>
    <w:rsid w:val="3B18A605"/>
    <w:rsid w:val="3B1B118C"/>
    <w:rsid w:val="3B1D2DEF"/>
    <w:rsid w:val="3B1DABD5"/>
    <w:rsid w:val="3B25C3C6"/>
    <w:rsid w:val="3B29FACD"/>
    <w:rsid w:val="3B2E5692"/>
    <w:rsid w:val="3B32AD5E"/>
    <w:rsid w:val="3B33EA8A"/>
    <w:rsid w:val="3B36A680"/>
    <w:rsid w:val="3B384C25"/>
    <w:rsid w:val="3B3C5DE8"/>
    <w:rsid w:val="3B435477"/>
    <w:rsid w:val="3B5F9F8D"/>
    <w:rsid w:val="3B65A4E2"/>
    <w:rsid w:val="3B67BF07"/>
    <w:rsid w:val="3B6D032D"/>
    <w:rsid w:val="3B77C0D3"/>
    <w:rsid w:val="3B86FD4A"/>
    <w:rsid w:val="3B88699B"/>
    <w:rsid w:val="3B92E1BB"/>
    <w:rsid w:val="3B9754D3"/>
    <w:rsid w:val="3B9819A4"/>
    <w:rsid w:val="3B98B37D"/>
    <w:rsid w:val="3BA4C4DA"/>
    <w:rsid w:val="3BB2A806"/>
    <w:rsid w:val="3BB4D711"/>
    <w:rsid w:val="3BB70567"/>
    <w:rsid w:val="3BCCA956"/>
    <w:rsid w:val="3BD00363"/>
    <w:rsid w:val="3BD462FC"/>
    <w:rsid w:val="3BD46FD1"/>
    <w:rsid w:val="3BD4EB3A"/>
    <w:rsid w:val="3BDB8801"/>
    <w:rsid w:val="3BE4460E"/>
    <w:rsid w:val="3BE9253E"/>
    <w:rsid w:val="3BF12643"/>
    <w:rsid w:val="3BF90E18"/>
    <w:rsid w:val="3BFA6805"/>
    <w:rsid w:val="3BFB07DE"/>
    <w:rsid w:val="3BFEBA36"/>
    <w:rsid w:val="3BFF4F9B"/>
    <w:rsid w:val="3C08DA0F"/>
    <w:rsid w:val="3C15D03A"/>
    <w:rsid w:val="3C168410"/>
    <w:rsid w:val="3C17DAF3"/>
    <w:rsid w:val="3C28D5F7"/>
    <w:rsid w:val="3C299908"/>
    <w:rsid w:val="3C2D985F"/>
    <w:rsid w:val="3C2DCA14"/>
    <w:rsid w:val="3C309EA9"/>
    <w:rsid w:val="3C399C11"/>
    <w:rsid w:val="3C3FAAEA"/>
    <w:rsid w:val="3C467F34"/>
    <w:rsid w:val="3C4C5BCF"/>
    <w:rsid w:val="3C4D7FB4"/>
    <w:rsid w:val="3C4F157D"/>
    <w:rsid w:val="3C510BE8"/>
    <w:rsid w:val="3C5332F1"/>
    <w:rsid w:val="3C5A1417"/>
    <w:rsid w:val="3C5A880F"/>
    <w:rsid w:val="3C5D5A05"/>
    <w:rsid w:val="3C63700D"/>
    <w:rsid w:val="3C682E97"/>
    <w:rsid w:val="3C779780"/>
    <w:rsid w:val="3C7E6D6F"/>
    <w:rsid w:val="3C7E8F78"/>
    <w:rsid w:val="3C809783"/>
    <w:rsid w:val="3C830CCB"/>
    <w:rsid w:val="3C84E0FB"/>
    <w:rsid w:val="3C8EF280"/>
    <w:rsid w:val="3C9DFA35"/>
    <w:rsid w:val="3C9E41B3"/>
    <w:rsid w:val="3C9E8248"/>
    <w:rsid w:val="3C9F318C"/>
    <w:rsid w:val="3CA9609D"/>
    <w:rsid w:val="3CAB917F"/>
    <w:rsid w:val="3CABC79D"/>
    <w:rsid w:val="3CACA2D1"/>
    <w:rsid w:val="3CAE87DF"/>
    <w:rsid w:val="3CB41178"/>
    <w:rsid w:val="3CB4450C"/>
    <w:rsid w:val="3CB6E311"/>
    <w:rsid w:val="3CBBFA85"/>
    <w:rsid w:val="3CD15B52"/>
    <w:rsid w:val="3CDC2D44"/>
    <w:rsid w:val="3CDE2211"/>
    <w:rsid w:val="3CE0836C"/>
    <w:rsid w:val="3CE3C2C2"/>
    <w:rsid w:val="3CE7C57B"/>
    <w:rsid w:val="3CF29D2C"/>
    <w:rsid w:val="3CF82D0C"/>
    <w:rsid w:val="3CF8ACE7"/>
    <w:rsid w:val="3D03D2DA"/>
    <w:rsid w:val="3D0CA888"/>
    <w:rsid w:val="3D0D6AB3"/>
    <w:rsid w:val="3D140572"/>
    <w:rsid w:val="3D151870"/>
    <w:rsid w:val="3D20F35F"/>
    <w:rsid w:val="3D2512A7"/>
    <w:rsid w:val="3D2E55D9"/>
    <w:rsid w:val="3D2F7CEB"/>
    <w:rsid w:val="3D2FA367"/>
    <w:rsid w:val="3D308231"/>
    <w:rsid w:val="3D336EE1"/>
    <w:rsid w:val="3D38E6EF"/>
    <w:rsid w:val="3D3A740B"/>
    <w:rsid w:val="3D3C5C63"/>
    <w:rsid w:val="3D3D32A0"/>
    <w:rsid w:val="3D3F17CE"/>
    <w:rsid w:val="3D430E99"/>
    <w:rsid w:val="3D508677"/>
    <w:rsid w:val="3D5ED0C7"/>
    <w:rsid w:val="3D5F4EA5"/>
    <w:rsid w:val="3D60597D"/>
    <w:rsid w:val="3D60B1E0"/>
    <w:rsid w:val="3D638FDB"/>
    <w:rsid w:val="3D682908"/>
    <w:rsid w:val="3D782F4F"/>
    <w:rsid w:val="3D82B573"/>
    <w:rsid w:val="3D89175F"/>
    <w:rsid w:val="3D8E688B"/>
    <w:rsid w:val="3D8E6E34"/>
    <w:rsid w:val="3D936FFE"/>
    <w:rsid w:val="3D98B668"/>
    <w:rsid w:val="3D99AAA9"/>
    <w:rsid w:val="3D9BCD27"/>
    <w:rsid w:val="3DA8CEA7"/>
    <w:rsid w:val="3DA9161D"/>
    <w:rsid w:val="3DBEE176"/>
    <w:rsid w:val="3DC87F9A"/>
    <w:rsid w:val="3DCB56C3"/>
    <w:rsid w:val="3DCB6A42"/>
    <w:rsid w:val="3DD71E0E"/>
    <w:rsid w:val="3DD74650"/>
    <w:rsid w:val="3DD77465"/>
    <w:rsid w:val="3DF18FD7"/>
    <w:rsid w:val="3DFFB87F"/>
    <w:rsid w:val="3E010556"/>
    <w:rsid w:val="3E049879"/>
    <w:rsid w:val="3E16ABC9"/>
    <w:rsid w:val="3E179C2C"/>
    <w:rsid w:val="3E21ECB2"/>
    <w:rsid w:val="3E26BC3A"/>
    <w:rsid w:val="3E278E7E"/>
    <w:rsid w:val="3E2EAE0A"/>
    <w:rsid w:val="3E2F4C58"/>
    <w:rsid w:val="3E305637"/>
    <w:rsid w:val="3E370D1F"/>
    <w:rsid w:val="3E37F906"/>
    <w:rsid w:val="3E389F45"/>
    <w:rsid w:val="3E46EE9D"/>
    <w:rsid w:val="3E51CB93"/>
    <w:rsid w:val="3E58A3A2"/>
    <w:rsid w:val="3E5BE1D8"/>
    <w:rsid w:val="3E5E2DB4"/>
    <w:rsid w:val="3E6004AD"/>
    <w:rsid w:val="3E60B2E1"/>
    <w:rsid w:val="3E7664D5"/>
    <w:rsid w:val="3E7BF385"/>
    <w:rsid w:val="3E7F06E1"/>
    <w:rsid w:val="3E8412F4"/>
    <w:rsid w:val="3E845EED"/>
    <w:rsid w:val="3E86828E"/>
    <w:rsid w:val="3E871239"/>
    <w:rsid w:val="3E997906"/>
    <w:rsid w:val="3E9A03DC"/>
    <w:rsid w:val="3E9B1E97"/>
    <w:rsid w:val="3E9F1CF3"/>
    <w:rsid w:val="3E9FF6EC"/>
    <w:rsid w:val="3EA02A1A"/>
    <w:rsid w:val="3EA44462"/>
    <w:rsid w:val="3EA82625"/>
    <w:rsid w:val="3EA93B14"/>
    <w:rsid w:val="3EB47B9E"/>
    <w:rsid w:val="3EBDCBB1"/>
    <w:rsid w:val="3ED2682C"/>
    <w:rsid w:val="3ED764E2"/>
    <w:rsid w:val="3EE39D8F"/>
    <w:rsid w:val="3EE5388F"/>
    <w:rsid w:val="3EED91E8"/>
    <w:rsid w:val="3EEF0195"/>
    <w:rsid w:val="3EF2577E"/>
    <w:rsid w:val="3EF34F39"/>
    <w:rsid w:val="3EF4E16D"/>
    <w:rsid w:val="3EF5D832"/>
    <w:rsid w:val="3EF7771B"/>
    <w:rsid w:val="3EF8B575"/>
    <w:rsid w:val="3F03CEED"/>
    <w:rsid w:val="3F05377D"/>
    <w:rsid w:val="3F0543DA"/>
    <w:rsid w:val="3F0D96C4"/>
    <w:rsid w:val="3F1D600C"/>
    <w:rsid w:val="3F27EF97"/>
    <w:rsid w:val="3F2AE632"/>
    <w:rsid w:val="3F2F1F08"/>
    <w:rsid w:val="3F3B9158"/>
    <w:rsid w:val="3F462DA0"/>
    <w:rsid w:val="3F4980B7"/>
    <w:rsid w:val="3F4DF152"/>
    <w:rsid w:val="3F4ECD8D"/>
    <w:rsid w:val="3F50CA9B"/>
    <w:rsid w:val="3F5AA6DA"/>
    <w:rsid w:val="3F69599D"/>
    <w:rsid w:val="3F711636"/>
    <w:rsid w:val="3F863CC3"/>
    <w:rsid w:val="3F8C633C"/>
    <w:rsid w:val="3F91FAA0"/>
    <w:rsid w:val="3F9B0304"/>
    <w:rsid w:val="3F9D7179"/>
    <w:rsid w:val="3FA1FFB7"/>
    <w:rsid w:val="3FA41AFA"/>
    <w:rsid w:val="3FA4DEEB"/>
    <w:rsid w:val="3FB9722C"/>
    <w:rsid w:val="3FBAE709"/>
    <w:rsid w:val="3FBBDD8B"/>
    <w:rsid w:val="3FBC1A92"/>
    <w:rsid w:val="3FBCFC79"/>
    <w:rsid w:val="3FC53A5F"/>
    <w:rsid w:val="3FCAE2E5"/>
    <w:rsid w:val="3FD6CE4A"/>
    <w:rsid w:val="3FD79218"/>
    <w:rsid w:val="3FD796D1"/>
    <w:rsid w:val="3FD85712"/>
    <w:rsid w:val="3FE4F4DD"/>
    <w:rsid w:val="3FEA6945"/>
    <w:rsid w:val="3FEB5847"/>
    <w:rsid w:val="3FED277E"/>
    <w:rsid w:val="3FF1A417"/>
    <w:rsid w:val="3FF5DB07"/>
    <w:rsid w:val="3FF9206A"/>
    <w:rsid w:val="3FFFF091"/>
    <w:rsid w:val="4003965C"/>
    <w:rsid w:val="4003AD84"/>
    <w:rsid w:val="4003BE69"/>
    <w:rsid w:val="40058AC3"/>
    <w:rsid w:val="4007569B"/>
    <w:rsid w:val="400D99DE"/>
    <w:rsid w:val="401F0E3E"/>
    <w:rsid w:val="402118E3"/>
    <w:rsid w:val="40299491"/>
    <w:rsid w:val="402B7287"/>
    <w:rsid w:val="4039CC2F"/>
    <w:rsid w:val="403C3B33"/>
    <w:rsid w:val="40524987"/>
    <w:rsid w:val="405DB391"/>
    <w:rsid w:val="405F4787"/>
    <w:rsid w:val="40603C54"/>
    <w:rsid w:val="4067BBA9"/>
    <w:rsid w:val="4071112F"/>
    <w:rsid w:val="4072878F"/>
    <w:rsid w:val="40828D22"/>
    <w:rsid w:val="4088F178"/>
    <w:rsid w:val="408919DB"/>
    <w:rsid w:val="4094937E"/>
    <w:rsid w:val="40970987"/>
    <w:rsid w:val="409BB6CF"/>
    <w:rsid w:val="409CAF5D"/>
    <w:rsid w:val="409D8311"/>
    <w:rsid w:val="409DDE4E"/>
    <w:rsid w:val="40A15BAE"/>
    <w:rsid w:val="40A437EE"/>
    <w:rsid w:val="40A764E6"/>
    <w:rsid w:val="40AEBCF8"/>
    <w:rsid w:val="40B315FA"/>
    <w:rsid w:val="40B60940"/>
    <w:rsid w:val="40B7C586"/>
    <w:rsid w:val="40B920AD"/>
    <w:rsid w:val="40C6AE2A"/>
    <w:rsid w:val="40C780E1"/>
    <w:rsid w:val="40C89AF1"/>
    <w:rsid w:val="40D0F5C4"/>
    <w:rsid w:val="40D2C844"/>
    <w:rsid w:val="40DC2DF0"/>
    <w:rsid w:val="40E789FE"/>
    <w:rsid w:val="40E836F6"/>
    <w:rsid w:val="40ECA852"/>
    <w:rsid w:val="40EFC3B9"/>
    <w:rsid w:val="40F68C25"/>
    <w:rsid w:val="40F94DB6"/>
    <w:rsid w:val="41028C68"/>
    <w:rsid w:val="41029B07"/>
    <w:rsid w:val="41056BA5"/>
    <w:rsid w:val="4106293D"/>
    <w:rsid w:val="4124BA92"/>
    <w:rsid w:val="41275F0C"/>
    <w:rsid w:val="412A9C65"/>
    <w:rsid w:val="412E7FC4"/>
    <w:rsid w:val="41331F91"/>
    <w:rsid w:val="414040B0"/>
    <w:rsid w:val="41406C89"/>
    <w:rsid w:val="4141CB5D"/>
    <w:rsid w:val="4144D6DD"/>
    <w:rsid w:val="41497263"/>
    <w:rsid w:val="4149BCB5"/>
    <w:rsid w:val="414A9054"/>
    <w:rsid w:val="414CC24A"/>
    <w:rsid w:val="415128CC"/>
    <w:rsid w:val="415408A6"/>
    <w:rsid w:val="41587B1F"/>
    <w:rsid w:val="415F71B8"/>
    <w:rsid w:val="4163028A"/>
    <w:rsid w:val="4166F37A"/>
    <w:rsid w:val="41692443"/>
    <w:rsid w:val="41698657"/>
    <w:rsid w:val="4169DA6B"/>
    <w:rsid w:val="416CB392"/>
    <w:rsid w:val="416EEEC1"/>
    <w:rsid w:val="41721EB5"/>
    <w:rsid w:val="417525A4"/>
    <w:rsid w:val="4176CE83"/>
    <w:rsid w:val="4177D3D5"/>
    <w:rsid w:val="41787973"/>
    <w:rsid w:val="417BB18C"/>
    <w:rsid w:val="417C1530"/>
    <w:rsid w:val="417F307F"/>
    <w:rsid w:val="41854811"/>
    <w:rsid w:val="4186993E"/>
    <w:rsid w:val="4189814E"/>
    <w:rsid w:val="418A1BDD"/>
    <w:rsid w:val="418B3048"/>
    <w:rsid w:val="41916EAD"/>
    <w:rsid w:val="419286F2"/>
    <w:rsid w:val="419B1B9B"/>
    <w:rsid w:val="419D53BF"/>
    <w:rsid w:val="419FFAF8"/>
    <w:rsid w:val="41A84120"/>
    <w:rsid w:val="41A84D25"/>
    <w:rsid w:val="41AC391B"/>
    <w:rsid w:val="41B2F4B0"/>
    <w:rsid w:val="41B7E92E"/>
    <w:rsid w:val="41BD25FB"/>
    <w:rsid w:val="41C95E47"/>
    <w:rsid w:val="41CB64B1"/>
    <w:rsid w:val="41CB9E2F"/>
    <w:rsid w:val="41CEACAF"/>
    <w:rsid w:val="41D0A2AC"/>
    <w:rsid w:val="41D6E69E"/>
    <w:rsid w:val="41DD627C"/>
    <w:rsid w:val="41DDD848"/>
    <w:rsid w:val="41E82004"/>
    <w:rsid w:val="41E8714C"/>
    <w:rsid w:val="41ECBE8B"/>
    <w:rsid w:val="41ED866E"/>
    <w:rsid w:val="41EEF451"/>
    <w:rsid w:val="41EFC3FF"/>
    <w:rsid w:val="41F72CE9"/>
    <w:rsid w:val="41FA0F21"/>
    <w:rsid w:val="41FA755D"/>
    <w:rsid w:val="41FE5BC9"/>
    <w:rsid w:val="42087886"/>
    <w:rsid w:val="420F05A4"/>
    <w:rsid w:val="42179F90"/>
    <w:rsid w:val="4218CCB7"/>
    <w:rsid w:val="42199BBB"/>
    <w:rsid w:val="4219A233"/>
    <w:rsid w:val="422814F5"/>
    <w:rsid w:val="422F6251"/>
    <w:rsid w:val="423330DC"/>
    <w:rsid w:val="423672FC"/>
    <w:rsid w:val="423869CF"/>
    <w:rsid w:val="423A2007"/>
    <w:rsid w:val="423B9343"/>
    <w:rsid w:val="42495E1E"/>
    <w:rsid w:val="42517D22"/>
    <w:rsid w:val="425939CD"/>
    <w:rsid w:val="425B4CD0"/>
    <w:rsid w:val="425CCDB0"/>
    <w:rsid w:val="425E508A"/>
    <w:rsid w:val="42606867"/>
    <w:rsid w:val="426099BF"/>
    <w:rsid w:val="4260C1D0"/>
    <w:rsid w:val="4261F746"/>
    <w:rsid w:val="4262BF0F"/>
    <w:rsid w:val="426B9E22"/>
    <w:rsid w:val="426FC99C"/>
    <w:rsid w:val="42706904"/>
    <w:rsid w:val="42777A09"/>
    <w:rsid w:val="42782F16"/>
    <w:rsid w:val="427AC2CF"/>
    <w:rsid w:val="427C8301"/>
    <w:rsid w:val="4287903A"/>
    <w:rsid w:val="428B3136"/>
    <w:rsid w:val="428B6012"/>
    <w:rsid w:val="428E0268"/>
    <w:rsid w:val="42982A62"/>
    <w:rsid w:val="429BA6ED"/>
    <w:rsid w:val="429C75E2"/>
    <w:rsid w:val="42A42D49"/>
    <w:rsid w:val="42A83C62"/>
    <w:rsid w:val="42A89399"/>
    <w:rsid w:val="42B41903"/>
    <w:rsid w:val="42BD883C"/>
    <w:rsid w:val="42C13217"/>
    <w:rsid w:val="42C54E11"/>
    <w:rsid w:val="42CBFE3C"/>
    <w:rsid w:val="42D52C24"/>
    <w:rsid w:val="42DA3268"/>
    <w:rsid w:val="42DFD817"/>
    <w:rsid w:val="42E0CCAF"/>
    <w:rsid w:val="42E3ECE1"/>
    <w:rsid w:val="42F59EAC"/>
    <w:rsid w:val="42FC9761"/>
    <w:rsid w:val="42FDF4B6"/>
    <w:rsid w:val="42FED81B"/>
    <w:rsid w:val="43001489"/>
    <w:rsid w:val="43025ADA"/>
    <w:rsid w:val="430BA591"/>
    <w:rsid w:val="430CC19F"/>
    <w:rsid w:val="430D3914"/>
    <w:rsid w:val="430EAB39"/>
    <w:rsid w:val="43204CEE"/>
    <w:rsid w:val="432104CD"/>
    <w:rsid w:val="432389C3"/>
    <w:rsid w:val="4323C165"/>
    <w:rsid w:val="4323E066"/>
    <w:rsid w:val="4326629D"/>
    <w:rsid w:val="43267EF1"/>
    <w:rsid w:val="432C6AD7"/>
    <w:rsid w:val="432DE4EB"/>
    <w:rsid w:val="433196A5"/>
    <w:rsid w:val="43353DFF"/>
    <w:rsid w:val="433A1C3D"/>
    <w:rsid w:val="433D271C"/>
    <w:rsid w:val="4343DC0F"/>
    <w:rsid w:val="4344E119"/>
    <w:rsid w:val="4349EAF4"/>
    <w:rsid w:val="434CB08C"/>
    <w:rsid w:val="434DDCC3"/>
    <w:rsid w:val="436575B3"/>
    <w:rsid w:val="4367DE12"/>
    <w:rsid w:val="436BFC3B"/>
    <w:rsid w:val="43724264"/>
    <w:rsid w:val="437285EE"/>
    <w:rsid w:val="437E2E3A"/>
    <w:rsid w:val="43844279"/>
    <w:rsid w:val="43857162"/>
    <w:rsid w:val="4390021F"/>
    <w:rsid w:val="439003A4"/>
    <w:rsid w:val="43906FF4"/>
    <w:rsid w:val="439216AF"/>
    <w:rsid w:val="43939250"/>
    <w:rsid w:val="439585E5"/>
    <w:rsid w:val="43AB525D"/>
    <w:rsid w:val="43AC484F"/>
    <w:rsid w:val="43ACBF15"/>
    <w:rsid w:val="43B06698"/>
    <w:rsid w:val="43B29425"/>
    <w:rsid w:val="43B98250"/>
    <w:rsid w:val="43BE36CD"/>
    <w:rsid w:val="43C68BD0"/>
    <w:rsid w:val="43C82D57"/>
    <w:rsid w:val="43CB8839"/>
    <w:rsid w:val="43CECD2B"/>
    <w:rsid w:val="43D8FDBB"/>
    <w:rsid w:val="43DD1A20"/>
    <w:rsid w:val="43E132D5"/>
    <w:rsid w:val="43E49F61"/>
    <w:rsid w:val="43E51A0B"/>
    <w:rsid w:val="43F0CA27"/>
    <w:rsid w:val="43F8264E"/>
    <w:rsid w:val="43FC5235"/>
    <w:rsid w:val="44010500"/>
    <w:rsid w:val="44047331"/>
    <w:rsid w:val="4406AF5B"/>
    <w:rsid w:val="4407916B"/>
    <w:rsid w:val="440DD754"/>
    <w:rsid w:val="441741A7"/>
    <w:rsid w:val="44274B4D"/>
    <w:rsid w:val="4429C1EE"/>
    <w:rsid w:val="4429F5CD"/>
    <w:rsid w:val="4430EE78"/>
    <w:rsid w:val="4431F7B7"/>
    <w:rsid w:val="443F632F"/>
    <w:rsid w:val="444D39E1"/>
    <w:rsid w:val="4453A285"/>
    <w:rsid w:val="44571B07"/>
    <w:rsid w:val="4459589D"/>
    <w:rsid w:val="445F32AA"/>
    <w:rsid w:val="44616B23"/>
    <w:rsid w:val="44681113"/>
    <w:rsid w:val="44761F4F"/>
    <w:rsid w:val="447F9A58"/>
    <w:rsid w:val="4480794E"/>
    <w:rsid w:val="44815C91"/>
    <w:rsid w:val="44843AA6"/>
    <w:rsid w:val="448D75F5"/>
    <w:rsid w:val="449DA3C1"/>
    <w:rsid w:val="44A9C782"/>
    <w:rsid w:val="44AE30C9"/>
    <w:rsid w:val="44B75081"/>
    <w:rsid w:val="44C04383"/>
    <w:rsid w:val="44C1633C"/>
    <w:rsid w:val="44C39E9C"/>
    <w:rsid w:val="44C9E531"/>
    <w:rsid w:val="44D1E708"/>
    <w:rsid w:val="44D4F71F"/>
    <w:rsid w:val="44D53929"/>
    <w:rsid w:val="44E2F2E3"/>
    <w:rsid w:val="44E47483"/>
    <w:rsid w:val="44EF0A77"/>
    <w:rsid w:val="44F8B5B7"/>
    <w:rsid w:val="44FA1E8F"/>
    <w:rsid w:val="44FAB3E2"/>
    <w:rsid w:val="44FBFFA5"/>
    <w:rsid w:val="44FC7D41"/>
    <w:rsid w:val="4500773F"/>
    <w:rsid w:val="4502188E"/>
    <w:rsid w:val="450A8E57"/>
    <w:rsid w:val="450B1901"/>
    <w:rsid w:val="450B7896"/>
    <w:rsid w:val="450CB52B"/>
    <w:rsid w:val="45106545"/>
    <w:rsid w:val="4510884F"/>
    <w:rsid w:val="4510CAC0"/>
    <w:rsid w:val="45141C98"/>
    <w:rsid w:val="4515E88C"/>
    <w:rsid w:val="451EF7C1"/>
    <w:rsid w:val="451F80EC"/>
    <w:rsid w:val="452012DA"/>
    <w:rsid w:val="4521CE86"/>
    <w:rsid w:val="45281903"/>
    <w:rsid w:val="452AC970"/>
    <w:rsid w:val="45318B2D"/>
    <w:rsid w:val="4531B536"/>
    <w:rsid w:val="4534A392"/>
    <w:rsid w:val="4536A9E3"/>
    <w:rsid w:val="454692F2"/>
    <w:rsid w:val="454CEA9A"/>
    <w:rsid w:val="4551A332"/>
    <w:rsid w:val="4551ABC6"/>
    <w:rsid w:val="4551BE2B"/>
    <w:rsid w:val="4551D084"/>
    <w:rsid w:val="455582C3"/>
    <w:rsid w:val="455A0C4C"/>
    <w:rsid w:val="455B048B"/>
    <w:rsid w:val="455DC1E8"/>
    <w:rsid w:val="455FC745"/>
    <w:rsid w:val="456CD022"/>
    <w:rsid w:val="456D4F0F"/>
    <w:rsid w:val="4570DD38"/>
    <w:rsid w:val="45970943"/>
    <w:rsid w:val="459ACDD0"/>
    <w:rsid w:val="459C9544"/>
    <w:rsid w:val="45A9D07F"/>
    <w:rsid w:val="45AAD973"/>
    <w:rsid w:val="45B0928B"/>
    <w:rsid w:val="45B1C1E4"/>
    <w:rsid w:val="45BA2680"/>
    <w:rsid w:val="45BFC287"/>
    <w:rsid w:val="45C7A942"/>
    <w:rsid w:val="45C93612"/>
    <w:rsid w:val="45C9DF3C"/>
    <w:rsid w:val="45D18F55"/>
    <w:rsid w:val="45D2C0FC"/>
    <w:rsid w:val="45D42E83"/>
    <w:rsid w:val="45DF3900"/>
    <w:rsid w:val="45E7C5FA"/>
    <w:rsid w:val="45EA0801"/>
    <w:rsid w:val="45EBB006"/>
    <w:rsid w:val="45F27F0D"/>
    <w:rsid w:val="45F2EEDE"/>
    <w:rsid w:val="45F528FE"/>
    <w:rsid w:val="45F560D7"/>
    <w:rsid w:val="460376CC"/>
    <w:rsid w:val="46049CCE"/>
    <w:rsid w:val="4604A387"/>
    <w:rsid w:val="46057DB7"/>
    <w:rsid w:val="4607A992"/>
    <w:rsid w:val="4607E9AD"/>
    <w:rsid w:val="460828C4"/>
    <w:rsid w:val="460A5043"/>
    <w:rsid w:val="460ED7ED"/>
    <w:rsid w:val="4611AC4E"/>
    <w:rsid w:val="4613A0C3"/>
    <w:rsid w:val="461E4FC8"/>
    <w:rsid w:val="462397F7"/>
    <w:rsid w:val="46310A96"/>
    <w:rsid w:val="46335DF3"/>
    <w:rsid w:val="46348FDE"/>
    <w:rsid w:val="4636F820"/>
    <w:rsid w:val="46384EF7"/>
    <w:rsid w:val="4639EE87"/>
    <w:rsid w:val="463A59AB"/>
    <w:rsid w:val="463AADFE"/>
    <w:rsid w:val="463FA92C"/>
    <w:rsid w:val="46463EFB"/>
    <w:rsid w:val="464C68CC"/>
    <w:rsid w:val="465B0CAD"/>
    <w:rsid w:val="467573CB"/>
    <w:rsid w:val="467605C2"/>
    <w:rsid w:val="46778F2B"/>
    <w:rsid w:val="467AE8C0"/>
    <w:rsid w:val="467DA9D3"/>
    <w:rsid w:val="468BBC39"/>
    <w:rsid w:val="468C9478"/>
    <w:rsid w:val="46902A54"/>
    <w:rsid w:val="4694077A"/>
    <w:rsid w:val="469462C8"/>
    <w:rsid w:val="4694984E"/>
    <w:rsid w:val="46967BFD"/>
    <w:rsid w:val="46974D16"/>
    <w:rsid w:val="46994AA0"/>
    <w:rsid w:val="46A11E17"/>
    <w:rsid w:val="46A4026E"/>
    <w:rsid w:val="46A5B98C"/>
    <w:rsid w:val="46A9FC29"/>
    <w:rsid w:val="46AC64A1"/>
    <w:rsid w:val="46B1EBDB"/>
    <w:rsid w:val="46B35B1B"/>
    <w:rsid w:val="46B603DE"/>
    <w:rsid w:val="46C061A3"/>
    <w:rsid w:val="46C88ACD"/>
    <w:rsid w:val="46CEF664"/>
    <w:rsid w:val="46D4E993"/>
    <w:rsid w:val="46D720E9"/>
    <w:rsid w:val="46D95C1B"/>
    <w:rsid w:val="46E11336"/>
    <w:rsid w:val="46E50C76"/>
    <w:rsid w:val="46E99BCD"/>
    <w:rsid w:val="4703DFE9"/>
    <w:rsid w:val="470C7FB1"/>
    <w:rsid w:val="470E0974"/>
    <w:rsid w:val="472997B9"/>
    <w:rsid w:val="472B58AF"/>
    <w:rsid w:val="472FF73D"/>
    <w:rsid w:val="47327773"/>
    <w:rsid w:val="47337650"/>
    <w:rsid w:val="4733C3BF"/>
    <w:rsid w:val="4735A6D4"/>
    <w:rsid w:val="47428BA5"/>
    <w:rsid w:val="47435A86"/>
    <w:rsid w:val="4744F1B9"/>
    <w:rsid w:val="47513972"/>
    <w:rsid w:val="475501FA"/>
    <w:rsid w:val="475A035A"/>
    <w:rsid w:val="475B627B"/>
    <w:rsid w:val="475B86B0"/>
    <w:rsid w:val="475D8619"/>
    <w:rsid w:val="475FB1C8"/>
    <w:rsid w:val="4761EE40"/>
    <w:rsid w:val="4765B508"/>
    <w:rsid w:val="4767C526"/>
    <w:rsid w:val="476D9FC6"/>
    <w:rsid w:val="4772C426"/>
    <w:rsid w:val="47759026"/>
    <w:rsid w:val="4777D26D"/>
    <w:rsid w:val="477D7732"/>
    <w:rsid w:val="47890759"/>
    <w:rsid w:val="478B1E30"/>
    <w:rsid w:val="479C1977"/>
    <w:rsid w:val="47A80FEC"/>
    <w:rsid w:val="47ABB9CF"/>
    <w:rsid w:val="47B6B059"/>
    <w:rsid w:val="47BD6683"/>
    <w:rsid w:val="47C1C6DE"/>
    <w:rsid w:val="47C35A4F"/>
    <w:rsid w:val="47CC68CF"/>
    <w:rsid w:val="47CD9E80"/>
    <w:rsid w:val="47CDBD02"/>
    <w:rsid w:val="47D03B23"/>
    <w:rsid w:val="47D4319B"/>
    <w:rsid w:val="47D52A81"/>
    <w:rsid w:val="47DAFB56"/>
    <w:rsid w:val="47DD5C9A"/>
    <w:rsid w:val="47DFD2B8"/>
    <w:rsid w:val="47E3D8E0"/>
    <w:rsid w:val="47E5C835"/>
    <w:rsid w:val="4801739F"/>
    <w:rsid w:val="48064F16"/>
    <w:rsid w:val="480750C9"/>
    <w:rsid w:val="480862C6"/>
    <w:rsid w:val="480C1FD5"/>
    <w:rsid w:val="4814CC22"/>
    <w:rsid w:val="48272102"/>
    <w:rsid w:val="482922F0"/>
    <w:rsid w:val="48320130"/>
    <w:rsid w:val="483B38CF"/>
    <w:rsid w:val="483C1198"/>
    <w:rsid w:val="483C6529"/>
    <w:rsid w:val="483DFFB6"/>
    <w:rsid w:val="48418B8C"/>
    <w:rsid w:val="4846E1DF"/>
    <w:rsid w:val="48486E6C"/>
    <w:rsid w:val="484AD7BC"/>
    <w:rsid w:val="4866A0EA"/>
    <w:rsid w:val="486DD6A6"/>
    <w:rsid w:val="48749042"/>
    <w:rsid w:val="487BAE43"/>
    <w:rsid w:val="487DD1C0"/>
    <w:rsid w:val="487EB60F"/>
    <w:rsid w:val="4885ECA0"/>
    <w:rsid w:val="4885F83C"/>
    <w:rsid w:val="48882B41"/>
    <w:rsid w:val="48921256"/>
    <w:rsid w:val="48A42B32"/>
    <w:rsid w:val="48AE8ECC"/>
    <w:rsid w:val="48B142C3"/>
    <w:rsid w:val="48B78412"/>
    <w:rsid w:val="48BA070E"/>
    <w:rsid w:val="48BD0086"/>
    <w:rsid w:val="48BE7187"/>
    <w:rsid w:val="48C65A4E"/>
    <w:rsid w:val="48E03F0A"/>
    <w:rsid w:val="48E6D25B"/>
    <w:rsid w:val="48E7506F"/>
    <w:rsid w:val="48F2EC09"/>
    <w:rsid w:val="48FC7498"/>
    <w:rsid w:val="48FD5F38"/>
    <w:rsid w:val="48FEFCAC"/>
    <w:rsid w:val="4902C46E"/>
    <w:rsid w:val="490627CB"/>
    <w:rsid w:val="49071792"/>
    <w:rsid w:val="49146729"/>
    <w:rsid w:val="4917CB97"/>
    <w:rsid w:val="491B7F98"/>
    <w:rsid w:val="491F78DC"/>
    <w:rsid w:val="49225876"/>
    <w:rsid w:val="4924AF6B"/>
    <w:rsid w:val="4925E59C"/>
    <w:rsid w:val="4925F2A3"/>
    <w:rsid w:val="492671EE"/>
    <w:rsid w:val="4926EE6B"/>
    <w:rsid w:val="492A475F"/>
    <w:rsid w:val="492D7B2C"/>
    <w:rsid w:val="49301C97"/>
    <w:rsid w:val="4934753D"/>
    <w:rsid w:val="493D8A4E"/>
    <w:rsid w:val="4941E852"/>
    <w:rsid w:val="49511E5F"/>
    <w:rsid w:val="49605472"/>
    <w:rsid w:val="4966D8B0"/>
    <w:rsid w:val="4975D3C0"/>
    <w:rsid w:val="497D07B9"/>
    <w:rsid w:val="4981EF48"/>
    <w:rsid w:val="498B0EE5"/>
    <w:rsid w:val="49927529"/>
    <w:rsid w:val="49940A18"/>
    <w:rsid w:val="49982E41"/>
    <w:rsid w:val="499E3FF7"/>
    <w:rsid w:val="49A3EA42"/>
    <w:rsid w:val="49A8DFF6"/>
    <w:rsid w:val="49AC6E4D"/>
    <w:rsid w:val="49AD73C0"/>
    <w:rsid w:val="49AF2C53"/>
    <w:rsid w:val="49B4514C"/>
    <w:rsid w:val="49B883ED"/>
    <w:rsid w:val="49C1DEB5"/>
    <w:rsid w:val="49C7B5D8"/>
    <w:rsid w:val="49D15F55"/>
    <w:rsid w:val="49D5D3F7"/>
    <w:rsid w:val="49D72752"/>
    <w:rsid w:val="49D992BE"/>
    <w:rsid w:val="49F068CF"/>
    <w:rsid w:val="49F5ED11"/>
    <w:rsid w:val="49F69030"/>
    <w:rsid w:val="49FADB53"/>
    <w:rsid w:val="49FC026D"/>
    <w:rsid w:val="49FD92FD"/>
    <w:rsid w:val="49FF0440"/>
    <w:rsid w:val="49FF986C"/>
    <w:rsid w:val="4A064849"/>
    <w:rsid w:val="4A06C67F"/>
    <w:rsid w:val="4A0D24DD"/>
    <w:rsid w:val="4A0FDA2C"/>
    <w:rsid w:val="4A146F30"/>
    <w:rsid w:val="4A16ED96"/>
    <w:rsid w:val="4A18DA33"/>
    <w:rsid w:val="4A1A1258"/>
    <w:rsid w:val="4A1BD92C"/>
    <w:rsid w:val="4A1C3BB2"/>
    <w:rsid w:val="4A1FBC4E"/>
    <w:rsid w:val="4A20A2BA"/>
    <w:rsid w:val="4A28F0BF"/>
    <w:rsid w:val="4A301FE6"/>
    <w:rsid w:val="4A32BBF1"/>
    <w:rsid w:val="4A336DCA"/>
    <w:rsid w:val="4A40A791"/>
    <w:rsid w:val="4A45600E"/>
    <w:rsid w:val="4A476172"/>
    <w:rsid w:val="4A600D0B"/>
    <w:rsid w:val="4A622AAF"/>
    <w:rsid w:val="4A624BD6"/>
    <w:rsid w:val="4A6BBD84"/>
    <w:rsid w:val="4A77769B"/>
    <w:rsid w:val="4A7F3835"/>
    <w:rsid w:val="4A800803"/>
    <w:rsid w:val="4A87079F"/>
    <w:rsid w:val="4A87C1AE"/>
    <w:rsid w:val="4A93CA4B"/>
    <w:rsid w:val="4A9B82A9"/>
    <w:rsid w:val="4A9BAF4D"/>
    <w:rsid w:val="4AA02FFC"/>
    <w:rsid w:val="4AA165E4"/>
    <w:rsid w:val="4AAB709E"/>
    <w:rsid w:val="4AB078F1"/>
    <w:rsid w:val="4AB0F03A"/>
    <w:rsid w:val="4AB5B5D1"/>
    <w:rsid w:val="4AB5D1DB"/>
    <w:rsid w:val="4ABBB59B"/>
    <w:rsid w:val="4AC1591C"/>
    <w:rsid w:val="4AC3109B"/>
    <w:rsid w:val="4AC31C07"/>
    <w:rsid w:val="4ACBBCF9"/>
    <w:rsid w:val="4ACFF621"/>
    <w:rsid w:val="4ADB1503"/>
    <w:rsid w:val="4ADC0674"/>
    <w:rsid w:val="4AE095EC"/>
    <w:rsid w:val="4AE21285"/>
    <w:rsid w:val="4AE85581"/>
    <w:rsid w:val="4AECE88D"/>
    <w:rsid w:val="4AEE93EB"/>
    <w:rsid w:val="4AF18AEF"/>
    <w:rsid w:val="4AFAA56E"/>
    <w:rsid w:val="4B078507"/>
    <w:rsid w:val="4B0B0E20"/>
    <w:rsid w:val="4B0E0B47"/>
    <w:rsid w:val="4B203A1B"/>
    <w:rsid w:val="4B242076"/>
    <w:rsid w:val="4B25C97D"/>
    <w:rsid w:val="4B2AAE88"/>
    <w:rsid w:val="4B3699EA"/>
    <w:rsid w:val="4B397719"/>
    <w:rsid w:val="4B3A0188"/>
    <w:rsid w:val="4B42BDA4"/>
    <w:rsid w:val="4B4DF203"/>
    <w:rsid w:val="4B5CC9BE"/>
    <w:rsid w:val="4B5FC002"/>
    <w:rsid w:val="4B65979B"/>
    <w:rsid w:val="4B6AEB40"/>
    <w:rsid w:val="4B74AD69"/>
    <w:rsid w:val="4B7C0404"/>
    <w:rsid w:val="4B80A798"/>
    <w:rsid w:val="4B8CFE4A"/>
    <w:rsid w:val="4B91BD72"/>
    <w:rsid w:val="4B91C1C5"/>
    <w:rsid w:val="4B9385BA"/>
    <w:rsid w:val="4B94A887"/>
    <w:rsid w:val="4B94D2E9"/>
    <w:rsid w:val="4B9C7161"/>
    <w:rsid w:val="4BA661F3"/>
    <w:rsid w:val="4BAC3C0F"/>
    <w:rsid w:val="4BB396A2"/>
    <w:rsid w:val="4BC07CC8"/>
    <w:rsid w:val="4BC26C40"/>
    <w:rsid w:val="4BC4CDE9"/>
    <w:rsid w:val="4BD16AC9"/>
    <w:rsid w:val="4BD58571"/>
    <w:rsid w:val="4BD6BF69"/>
    <w:rsid w:val="4BDC76BF"/>
    <w:rsid w:val="4BDFC2C7"/>
    <w:rsid w:val="4BE0E079"/>
    <w:rsid w:val="4BE8A305"/>
    <w:rsid w:val="4BE99663"/>
    <w:rsid w:val="4BEB446C"/>
    <w:rsid w:val="4BF43E39"/>
    <w:rsid w:val="4BFB8362"/>
    <w:rsid w:val="4BFC943E"/>
    <w:rsid w:val="4C010F83"/>
    <w:rsid w:val="4C0266B3"/>
    <w:rsid w:val="4C0CEEB7"/>
    <w:rsid w:val="4C1132FE"/>
    <w:rsid w:val="4C22D8F6"/>
    <w:rsid w:val="4C2577BA"/>
    <w:rsid w:val="4C2770DB"/>
    <w:rsid w:val="4C28BF84"/>
    <w:rsid w:val="4C30F73C"/>
    <w:rsid w:val="4C31BD63"/>
    <w:rsid w:val="4C40E48A"/>
    <w:rsid w:val="4C4670CD"/>
    <w:rsid w:val="4C4E9FA0"/>
    <w:rsid w:val="4C548FC0"/>
    <w:rsid w:val="4C646A82"/>
    <w:rsid w:val="4C649F3A"/>
    <w:rsid w:val="4C72B322"/>
    <w:rsid w:val="4C74BD58"/>
    <w:rsid w:val="4C79F857"/>
    <w:rsid w:val="4C7D049B"/>
    <w:rsid w:val="4C7E2AED"/>
    <w:rsid w:val="4C80211A"/>
    <w:rsid w:val="4C825B4A"/>
    <w:rsid w:val="4C83B5FF"/>
    <w:rsid w:val="4C8981D7"/>
    <w:rsid w:val="4C902F48"/>
    <w:rsid w:val="4C9446BF"/>
    <w:rsid w:val="4C9C0F80"/>
    <w:rsid w:val="4C9F1F32"/>
    <w:rsid w:val="4CA0B8CC"/>
    <w:rsid w:val="4CA6A303"/>
    <w:rsid w:val="4CA6E0CD"/>
    <w:rsid w:val="4CAB46F0"/>
    <w:rsid w:val="4CB0BDE3"/>
    <w:rsid w:val="4CB14E1E"/>
    <w:rsid w:val="4CB69819"/>
    <w:rsid w:val="4CBBA49A"/>
    <w:rsid w:val="4CBF19D8"/>
    <w:rsid w:val="4CC1380E"/>
    <w:rsid w:val="4CC53BF0"/>
    <w:rsid w:val="4CC5B078"/>
    <w:rsid w:val="4CC6A3E7"/>
    <w:rsid w:val="4CC7F2CE"/>
    <w:rsid w:val="4CC8CEC0"/>
    <w:rsid w:val="4CCE5621"/>
    <w:rsid w:val="4CD083D5"/>
    <w:rsid w:val="4CD098E6"/>
    <w:rsid w:val="4CD3EA40"/>
    <w:rsid w:val="4CD5C9A1"/>
    <w:rsid w:val="4CD70261"/>
    <w:rsid w:val="4CD84869"/>
    <w:rsid w:val="4CDA42E7"/>
    <w:rsid w:val="4CDB095D"/>
    <w:rsid w:val="4CDF9FA4"/>
    <w:rsid w:val="4CE5AC59"/>
    <w:rsid w:val="4CE8292F"/>
    <w:rsid w:val="4CE9C28E"/>
    <w:rsid w:val="4CEAF70B"/>
    <w:rsid w:val="4CF6E544"/>
    <w:rsid w:val="4CFD5193"/>
    <w:rsid w:val="4D01E110"/>
    <w:rsid w:val="4D066F5F"/>
    <w:rsid w:val="4D07D6A9"/>
    <w:rsid w:val="4D0A113F"/>
    <w:rsid w:val="4D0E8146"/>
    <w:rsid w:val="4D17B5D2"/>
    <w:rsid w:val="4D1891A0"/>
    <w:rsid w:val="4D1A3FF2"/>
    <w:rsid w:val="4D1DC229"/>
    <w:rsid w:val="4D212D5F"/>
    <w:rsid w:val="4D261E9F"/>
    <w:rsid w:val="4D2B24BF"/>
    <w:rsid w:val="4D2BF325"/>
    <w:rsid w:val="4D2CAA77"/>
    <w:rsid w:val="4D45452F"/>
    <w:rsid w:val="4D456C3C"/>
    <w:rsid w:val="4D51D95D"/>
    <w:rsid w:val="4D5B8196"/>
    <w:rsid w:val="4D664901"/>
    <w:rsid w:val="4D678AC5"/>
    <w:rsid w:val="4D67B6B4"/>
    <w:rsid w:val="4D68C6E0"/>
    <w:rsid w:val="4D6FACEE"/>
    <w:rsid w:val="4D7B9BF2"/>
    <w:rsid w:val="4D7BA3BE"/>
    <w:rsid w:val="4D7C8674"/>
    <w:rsid w:val="4D7CA28C"/>
    <w:rsid w:val="4D84F9D9"/>
    <w:rsid w:val="4D85B9BA"/>
    <w:rsid w:val="4D895989"/>
    <w:rsid w:val="4D8B71A4"/>
    <w:rsid w:val="4D8E51B5"/>
    <w:rsid w:val="4D9223DB"/>
    <w:rsid w:val="4D92D4BF"/>
    <w:rsid w:val="4D940169"/>
    <w:rsid w:val="4D9AF13F"/>
    <w:rsid w:val="4D9D7088"/>
    <w:rsid w:val="4DA5ECAA"/>
    <w:rsid w:val="4DA762D2"/>
    <w:rsid w:val="4DA8F0B7"/>
    <w:rsid w:val="4DAAD3D6"/>
    <w:rsid w:val="4DAC06A5"/>
    <w:rsid w:val="4DB66841"/>
    <w:rsid w:val="4DBAB9C0"/>
    <w:rsid w:val="4DC051C1"/>
    <w:rsid w:val="4DC928C5"/>
    <w:rsid w:val="4DD59AA5"/>
    <w:rsid w:val="4DD6F44F"/>
    <w:rsid w:val="4DDAF623"/>
    <w:rsid w:val="4DDCE35A"/>
    <w:rsid w:val="4DEDD320"/>
    <w:rsid w:val="4DF073F7"/>
    <w:rsid w:val="4DF19B04"/>
    <w:rsid w:val="4DF1AE01"/>
    <w:rsid w:val="4DF49791"/>
    <w:rsid w:val="4DF723E4"/>
    <w:rsid w:val="4DF8DB09"/>
    <w:rsid w:val="4E02FF6E"/>
    <w:rsid w:val="4E03B9AF"/>
    <w:rsid w:val="4E17230F"/>
    <w:rsid w:val="4E190666"/>
    <w:rsid w:val="4E1C40CD"/>
    <w:rsid w:val="4E225E87"/>
    <w:rsid w:val="4E2BFDB8"/>
    <w:rsid w:val="4E3367AF"/>
    <w:rsid w:val="4E3BE802"/>
    <w:rsid w:val="4E4CB75B"/>
    <w:rsid w:val="4E4EF253"/>
    <w:rsid w:val="4E4FDE0F"/>
    <w:rsid w:val="4E589F44"/>
    <w:rsid w:val="4E590807"/>
    <w:rsid w:val="4E591A03"/>
    <w:rsid w:val="4E5B590B"/>
    <w:rsid w:val="4E5BCDB6"/>
    <w:rsid w:val="4E5C40FF"/>
    <w:rsid w:val="4E5CF97A"/>
    <w:rsid w:val="4E62EEC2"/>
    <w:rsid w:val="4E68459C"/>
    <w:rsid w:val="4E69A081"/>
    <w:rsid w:val="4E6DE178"/>
    <w:rsid w:val="4E77BF59"/>
    <w:rsid w:val="4E7B8CA1"/>
    <w:rsid w:val="4E838B4D"/>
    <w:rsid w:val="4E84EF00"/>
    <w:rsid w:val="4E85248D"/>
    <w:rsid w:val="4E8939E8"/>
    <w:rsid w:val="4E918927"/>
    <w:rsid w:val="4E938D9C"/>
    <w:rsid w:val="4E9C32FD"/>
    <w:rsid w:val="4EADFBB7"/>
    <w:rsid w:val="4EB0DC56"/>
    <w:rsid w:val="4EB2B9E9"/>
    <w:rsid w:val="4EB75F3A"/>
    <w:rsid w:val="4EBBDAB2"/>
    <w:rsid w:val="4EC2138A"/>
    <w:rsid w:val="4EC402D7"/>
    <w:rsid w:val="4EC46F34"/>
    <w:rsid w:val="4ECC267E"/>
    <w:rsid w:val="4ED74388"/>
    <w:rsid w:val="4EDEDE71"/>
    <w:rsid w:val="4EE91D28"/>
    <w:rsid w:val="4EEA1C8E"/>
    <w:rsid w:val="4EEC94B0"/>
    <w:rsid w:val="4EF4C495"/>
    <w:rsid w:val="4EF8EABC"/>
    <w:rsid w:val="4EFE89E7"/>
    <w:rsid w:val="4F0E916A"/>
    <w:rsid w:val="4F1233F0"/>
    <w:rsid w:val="4F2904B9"/>
    <w:rsid w:val="4F2C93F1"/>
    <w:rsid w:val="4F327067"/>
    <w:rsid w:val="4F39E718"/>
    <w:rsid w:val="4F400627"/>
    <w:rsid w:val="4F402418"/>
    <w:rsid w:val="4F468FA9"/>
    <w:rsid w:val="4F4D68E2"/>
    <w:rsid w:val="4F5136DF"/>
    <w:rsid w:val="4F5CAAA6"/>
    <w:rsid w:val="4F6A614D"/>
    <w:rsid w:val="4F6E5AA6"/>
    <w:rsid w:val="4F704FC1"/>
    <w:rsid w:val="4F7054FA"/>
    <w:rsid w:val="4F780249"/>
    <w:rsid w:val="4F78BDFA"/>
    <w:rsid w:val="4F794515"/>
    <w:rsid w:val="4F7C444F"/>
    <w:rsid w:val="4F847AE5"/>
    <w:rsid w:val="4F8774E6"/>
    <w:rsid w:val="4F8A35A4"/>
    <w:rsid w:val="4F8AB3D3"/>
    <w:rsid w:val="4F8AC73D"/>
    <w:rsid w:val="4F8C007A"/>
    <w:rsid w:val="4F8ECFCB"/>
    <w:rsid w:val="4F960AC6"/>
    <w:rsid w:val="4F97E1DB"/>
    <w:rsid w:val="4FA380FE"/>
    <w:rsid w:val="4FA532C2"/>
    <w:rsid w:val="4FA615FD"/>
    <w:rsid w:val="4FA9BB5E"/>
    <w:rsid w:val="4FB10DF1"/>
    <w:rsid w:val="4FB6931D"/>
    <w:rsid w:val="4FB83728"/>
    <w:rsid w:val="4FB8ECB8"/>
    <w:rsid w:val="4FBAEB51"/>
    <w:rsid w:val="4FC7758E"/>
    <w:rsid w:val="4FC95909"/>
    <w:rsid w:val="4FCD0BAE"/>
    <w:rsid w:val="4FD6BFF4"/>
    <w:rsid w:val="4FD7E45D"/>
    <w:rsid w:val="4FDD26DC"/>
    <w:rsid w:val="4FDE118B"/>
    <w:rsid w:val="4FE3A011"/>
    <w:rsid w:val="4FF4D91F"/>
    <w:rsid w:val="4FF5BD90"/>
    <w:rsid w:val="4FF5C9DA"/>
    <w:rsid w:val="4FFE234F"/>
    <w:rsid w:val="50026270"/>
    <w:rsid w:val="5005AA7F"/>
    <w:rsid w:val="5006C1D2"/>
    <w:rsid w:val="5017766D"/>
    <w:rsid w:val="501D38E3"/>
    <w:rsid w:val="5022E983"/>
    <w:rsid w:val="502553EE"/>
    <w:rsid w:val="50255736"/>
    <w:rsid w:val="50268A11"/>
    <w:rsid w:val="5031265D"/>
    <w:rsid w:val="50360F77"/>
    <w:rsid w:val="50425153"/>
    <w:rsid w:val="50459B95"/>
    <w:rsid w:val="50465075"/>
    <w:rsid w:val="50499597"/>
    <w:rsid w:val="5051ACF0"/>
    <w:rsid w:val="5058FBB4"/>
    <w:rsid w:val="505C2D25"/>
    <w:rsid w:val="5068F062"/>
    <w:rsid w:val="5074FA1A"/>
    <w:rsid w:val="507542B0"/>
    <w:rsid w:val="507938D3"/>
    <w:rsid w:val="5085619E"/>
    <w:rsid w:val="5088F8CD"/>
    <w:rsid w:val="509B3358"/>
    <w:rsid w:val="509E1256"/>
    <w:rsid w:val="509F8F6E"/>
    <w:rsid w:val="50A0D522"/>
    <w:rsid w:val="50A37A33"/>
    <w:rsid w:val="50AE5018"/>
    <w:rsid w:val="50AF1F15"/>
    <w:rsid w:val="50B33AA0"/>
    <w:rsid w:val="50B51103"/>
    <w:rsid w:val="50B81205"/>
    <w:rsid w:val="50C04D5C"/>
    <w:rsid w:val="50C443A6"/>
    <w:rsid w:val="50CC7D89"/>
    <w:rsid w:val="50D39B53"/>
    <w:rsid w:val="50D592F0"/>
    <w:rsid w:val="50D7466A"/>
    <w:rsid w:val="50D88CEA"/>
    <w:rsid w:val="50DDED2D"/>
    <w:rsid w:val="50E20CA0"/>
    <w:rsid w:val="50E60436"/>
    <w:rsid w:val="50EA311A"/>
    <w:rsid w:val="50EAF2BA"/>
    <w:rsid w:val="50F078C3"/>
    <w:rsid w:val="50FC248A"/>
    <w:rsid w:val="51024C01"/>
    <w:rsid w:val="5106E692"/>
    <w:rsid w:val="5126FF57"/>
    <w:rsid w:val="512C1A3B"/>
    <w:rsid w:val="51328B49"/>
    <w:rsid w:val="51406EBA"/>
    <w:rsid w:val="51430943"/>
    <w:rsid w:val="514913DA"/>
    <w:rsid w:val="514C9114"/>
    <w:rsid w:val="515BA39A"/>
    <w:rsid w:val="5162BD02"/>
    <w:rsid w:val="516457DB"/>
    <w:rsid w:val="51682FE1"/>
    <w:rsid w:val="517302FD"/>
    <w:rsid w:val="517726AC"/>
    <w:rsid w:val="51798875"/>
    <w:rsid w:val="517D0818"/>
    <w:rsid w:val="517D5476"/>
    <w:rsid w:val="5188EEEA"/>
    <w:rsid w:val="518FEFBD"/>
    <w:rsid w:val="5195FD0F"/>
    <w:rsid w:val="519A0205"/>
    <w:rsid w:val="519AA81B"/>
    <w:rsid w:val="51A2E043"/>
    <w:rsid w:val="51A3B11D"/>
    <w:rsid w:val="51AC3FD5"/>
    <w:rsid w:val="51AF270B"/>
    <w:rsid w:val="51AF9168"/>
    <w:rsid w:val="51B18870"/>
    <w:rsid w:val="51B3021B"/>
    <w:rsid w:val="51B6F892"/>
    <w:rsid w:val="51C2773B"/>
    <w:rsid w:val="51CC4351"/>
    <w:rsid w:val="51CED009"/>
    <w:rsid w:val="51DDA665"/>
    <w:rsid w:val="51E15CA4"/>
    <w:rsid w:val="51E64871"/>
    <w:rsid w:val="51E678B8"/>
    <w:rsid w:val="51E6ECA8"/>
    <w:rsid w:val="51E754A9"/>
    <w:rsid w:val="51E8169A"/>
    <w:rsid w:val="51EEC684"/>
    <w:rsid w:val="51FCBAB7"/>
    <w:rsid w:val="51FF7667"/>
    <w:rsid w:val="52000658"/>
    <w:rsid w:val="5202DF23"/>
    <w:rsid w:val="52035735"/>
    <w:rsid w:val="52079832"/>
    <w:rsid w:val="52103C39"/>
    <w:rsid w:val="52139F49"/>
    <w:rsid w:val="521D258E"/>
    <w:rsid w:val="521EAF18"/>
    <w:rsid w:val="5221BA59"/>
    <w:rsid w:val="5223503F"/>
    <w:rsid w:val="5225CA5C"/>
    <w:rsid w:val="5225D416"/>
    <w:rsid w:val="5225E88F"/>
    <w:rsid w:val="5239019D"/>
    <w:rsid w:val="5239426B"/>
    <w:rsid w:val="523C506E"/>
    <w:rsid w:val="523DF242"/>
    <w:rsid w:val="5243C722"/>
    <w:rsid w:val="5245CBDC"/>
    <w:rsid w:val="524BEA59"/>
    <w:rsid w:val="524C35B8"/>
    <w:rsid w:val="524CE711"/>
    <w:rsid w:val="52520090"/>
    <w:rsid w:val="525596EC"/>
    <w:rsid w:val="525EB8F7"/>
    <w:rsid w:val="52639412"/>
    <w:rsid w:val="526D6325"/>
    <w:rsid w:val="527591C1"/>
    <w:rsid w:val="52790BCE"/>
    <w:rsid w:val="5281BFEC"/>
    <w:rsid w:val="528ADEAE"/>
    <w:rsid w:val="528B1119"/>
    <w:rsid w:val="528F3262"/>
    <w:rsid w:val="52967C26"/>
    <w:rsid w:val="5299BF25"/>
    <w:rsid w:val="529AE053"/>
    <w:rsid w:val="52A15D13"/>
    <w:rsid w:val="52A23345"/>
    <w:rsid w:val="52A8BAAB"/>
    <w:rsid w:val="52A97587"/>
    <w:rsid w:val="52AE893A"/>
    <w:rsid w:val="52B65E54"/>
    <w:rsid w:val="52B6C7B0"/>
    <w:rsid w:val="52B96877"/>
    <w:rsid w:val="52BEC3C6"/>
    <w:rsid w:val="52C1816A"/>
    <w:rsid w:val="52C1ABF4"/>
    <w:rsid w:val="52C9697E"/>
    <w:rsid w:val="52CD1957"/>
    <w:rsid w:val="52E17FC7"/>
    <w:rsid w:val="52E247C7"/>
    <w:rsid w:val="52E3F935"/>
    <w:rsid w:val="52E8F1AE"/>
    <w:rsid w:val="52EAA205"/>
    <w:rsid w:val="52EBBE32"/>
    <w:rsid w:val="52ED5AF5"/>
    <w:rsid w:val="530CB77A"/>
    <w:rsid w:val="53133E81"/>
    <w:rsid w:val="53138717"/>
    <w:rsid w:val="5316B59D"/>
    <w:rsid w:val="5322105B"/>
    <w:rsid w:val="5328A6F2"/>
    <w:rsid w:val="532C3A47"/>
    <w:rsid w:val="5332926A"/>
    <w:rsid w:val="533387BA"/>
    <w:rsid w:val="53370C98"/>
    <w:rsid w:val="5339CE97"/>
    <w:rsid w:val="533A73A6"/>
    <w:rsid w:val="533D97A5"/>
    <w:rsid w:val="5344E908"/>
    <w:rsid w:val="534538FF"/>
    <w:rsid w:val="53480983"/>
    <w:rsid w:val="535EF2F4"/>
    <w:rsid w:val="53648A26"/>
    <w:rsid w:val="536D23D0"/>
    <w:rsid w:val="537024CD"/>
    <w:rsid w:val="5375FC74"/>
    <w:rsid w:val="5378D575"/>
    <w:rsid w:val="53812908"/>
    <w:rsid w:val="53814992"/>
    <w:rsid w:val="53839280"/>
    <w:rsid w:val="5385042C"/>
    <w:rsid w:val="538B026C"/>
    <w:rsid w:val="538BECC5"/>
    <w:rsid w:val="53940594"/>
    <w:rsid w:val="53B2D407"/>
    <w:rsid w:val="53B34EEB"/>
    <w:rsid w:val="53B87BD8"/>
    <w:rsid w:val="53C04C1B"/>
    <w:rsid w:val="53C32917"/>
    <w:rsid w:val="53CA83F0"/>
    <w:rsid w:val="53D0798E"/>
    <w:rsid w:val="53D12C4B"/>
    <w:rsid w:val="53D3E225"/>
    <w:rsid w:val="53D4583B"/>
    <w:rsid w:val="53D8B221"/>
    <w:rsid w:val="53DDFB87"/>
    <w:rsid w:val="53DE707C"/>
    <w:rsid w:val="53DF5010"/>
    <w:rsid w:val="53E35E08"/>
    <w:rsid w:val="53E5747F"/>
    <w:rsid w:val="53E5A513"/>
    <w:rsid w:val="53E9434C"/>
    <w:rsid w:val="53ED1F33"/>
    <w:rsid w:val="53EEBD64"/>
    <w:rsid w:val="53F60EE4"/>
    <w:rsid w:val="5402D89C"/>
    <w:rsid w:val="540F7C81"/>
    <w:rsid w:val="54190D67"/>
    <w:rsid w:val="541A9E1A"/>
    <w:rsid w:val="541CD325"/>
    <w:rsid w:val="54218434"/>
    <w:rsid w:val="542BCEF3"/>
    <w:rsid w:val="5433C033"/>
    <w:rsid w:val="54366570"/>
    <w:rsid w:val="5441A4A0"/>
    <w:rsid w:val="544ACEB9"/>
    <w:rsid w:val="5450C9DB"/>
    <w:rsid w:val="545253B7"/>
    <w:rsid w:val="54599180"/>
    <w:rsid w:val="545FA256"/>
    <w:rsid w:val="5462CF95"/>
    <w:rsid w:val="546567B5"/>
    <w:rsid w:val="546B2A4F"/>
    <w:rsid w:val="546C93A6"/>
    <w:rsid w:val="5470EADD"/>
    <w:rsid w:val="547F83BC"/>
    <w:rsid w:val="547FD120"/>
    <w:rsid w:val="54858518"/>
    <w:rsid w:val="5486BED7"/>
    <w:rsid w:val="5492F7AD"/>
    <w:rsid w:val="54992135"/>
    <w:rsid w:val="549A937E"/>
    <w:rsid w:val="549F50F9"/>
    <w:rsid w:val="54A4EBEE"/>
    <w:rsid w:val="54B612E4"/>
    <w:rsid w:val="54BDE0F5"/>
    <w:rsid w:val="54C851DC"/>
    <w:rsid w:val="54CF61AB"/>
    <w:rsid w:val="54DA822A"/>
    <w:rsid w:val="54E24C19"/>
    <w:rsid w:val="54E8B2DA"/>
    <w:rsid w:val="54E9AB45"/>
    <w:rsid w:val="54EA08AB"/>
    <w:rsid w:val="54EBE0C6"/>
    <w:rsid w:val="54EEEC51"/>
    <w:rsid w:val="54F79F6A"/>
    <w:rsid w:val="54F8C41F"/>
    <w:rsid w:val="54FB1EA4"/>
    <w:rsid w:val="550080A4"/>
    <w:rsid w:val="550249A7"/>
    <w:rsid w:val="550B4D01"/>
    <w:rsid w:val="550EB631"/>
    <w:rsid w:val="5519BF52"/>
    <w:rsid w:val="5519C912"/>
    <w:rsid w:val="55284342"/>
    <w:rsid w:val="552B6CA9"/>
    <w:rsid w:val="5530C4A0"/>
    <w:rsid w:val="5532E7AF"/>
    <w:rsid w:val="55338236"/>
    <w:rsid w:val="5534C020"/>
    <w:rsid w:val="5539CE79"/>
    <w:rsid w:val="553AE34E"/>
    <w:rsid w:val="55565079"/>
    <w:rsid w:val="5565B121"/>
    <w:rsid w:val="556899D9"/>
    <w:rsid w:val="556C101B"/>
    <w:rsid w:val="556D2051"/>
    <w:rsid w:val="556DD90D"/>
    <w:rsid w:val="55711B29"/>
    <w:rsid w:val="55784864"/>
    <w:rsid w:val="557BFF5E"/>
    <w:rsid w:val="5589CE4B"/>
    <w:rsid w:val="558AF9F6"/>
    <w:rsid w:val="5590DC73"/>
    <w:rsid w:val="5591311B"/>
    <w:rsid w:val="55927C9E"/>
    <w:rsid w:val="559A90D8"/>
    <w:rsid w:val="55A0215B"/>
    <w:rsid w:val="55A5C405"/>
    <w:rsid w:val="55A81169"/>
    <w:rsid w:val="55A87CD7"/>
    <w:rsid w:val="55AD260D"/>
    <w:rsid w:val="55B8FD6A"/>
    <w:rsid w:val="55B918D3"/>
    <w:rsid w:val="55BD15AB"/>
    <w:rsid w:val="55C0B18C"/>
    <w:rsid w:val="55C530B6"/>
    <w:rsid w:val="55C55431"/>
    <w:rsid w:val="55C57385"/>
    <w:rsid w:val="55C5B5BE"/>
    <w:rsid w:val="55D9C492"/>
    <w:rsid w:val="56018246"/>
    <w:rsid w:val="56096764"/>
    <w:rsid w:val="560BD35A"/>
    <w:rsid w:val="560C8E92"/>
    <w:rsid w:val="5610D13A"/>
    <w:rsid w:val="56152053"/>
    <w:rsid w:val="5616682C"/>
    <w:rsid w:val="561C290F"/>
    <w:rsid w:val="561DD074"/>
    <w:rsid w:val="561EAD11"/>
    <w:rsid w:val="56202D2C"/>
    <w:rsid w:val="562181E8"/>
    <w:rsid w:val="562ADA11"/>
    <w:rsid w:val="562E50A3"/>
    <w:rsid w:val="563ABDB9"/>
    <w:rsid w:val="563ED77A"/>
    <w:rsid w:val="564AEAFE"/>
    <w:rsid w:val="564C6206"/>
    <w:rsid w:val="5653E74B"/>
    <w:rsid w:val="565A6927"/>
    <w:rsid w:val="565CF08C"/>
    <w:rsid w:val="56633F78"/>
    <w:rsid w:val="5664C8E4"/>
    <w:rsid w:val="56697035"/>
    <w:rsid w:val="566DC7D7"/>
    <w:rsid w:val="5679AF44"/>
    <w:rsid w:val="567AC06D"/>
    <w:rsid w:val="567C8436"/>
    <w:rsid w:val="568485E3"/>
    <w:rsid w:val="56857BA6"/>
    <w:rsid w:val="56859B71"/>
    <w:rsid w:val="568B5FD9"/>
    <w:rsid w:val="568D0000"/>
    <w:rsid w:val="568DE3C2"/>
    <w:rsid w:val="569665DA"/>
    <w:rsid w:val="56A11B8D"/>
    <w:rsid w:val="56A84C6E"/>
    <w:rsid w:val="56AB52EC"/>
    <w:rsid w:val="56ACAAA4"/>
    <w:rsid w:val="56AE9538"/>
    <w:rsid w:val="56B537F6"/>
    <w:rsid w:val="56B6379C"/>
    <w:rsid w:val="56C55147"/>
    <w:rsid w:val="56D9543D"/>
    <w:rsid w:val="56DC226C"/>
    <w:rsid w:val="56E034CC"/>
    <w:rsid w:val="56E3FC75"/>
    <w:rsid w:val="56F39972"/>
    <w:rsid w:val="56F8DED1"/>
    <w:rsid w:val="56FE3917"/>
    <w:rsid w:val="5700BA47"/>
    <w:rsid w:val="570A9F21"/>
    <w:rsid w:val="570AB8E2"/>
    <w:rsid w:val="570B4E42"/>
    <w:rsid w:val="57197210"/>
    <w:rsid w:val="5721E4FE"/>
    <w:rsid w:val="57285083"/>
    <w:rsid w:val="572A8E5E"/>
    <w:rsid w:val="572D52A0"/>
    <w:rsid w:val="572DC922"/>
    <w:rsid w:val="5733119B"/>
    <w:rsid w:val="57333635"/>
    <w:rsid w:val="5737E130"/>
    <w:rsid w:val="573836D0"/>
    <w:rsid w:val="573B8E0F"/>
    <w:rsid w:val="573C9743"/>
    <w:rsid w:val="573CEE76"/>
    <w:rsid w:val="57422492"/>
    <w:rsid w:val="574458C4"/>
    <w:rsid w:val="57454561"/>
    <w:rsid w:val="574D34CB"/>
    <w:rsid w:val="574F5EE2"/>
    <w:rsid w:val="57504AEB"/>
    <w:rsid w:val="57569122"/>
    <w:rsid w:val="575BF4C3"/>
    <w:rsid w:val="575D6BD4"/>
    <w:rsid w:val="575F0E99"/>
    <w:rsid w:val="57605821"/>
    <w:rsid w:val="57607FA0"/>
    <w:rsid w:val="57610DD4"/>
    <w:rsid w:val="576A79DA"/>
    <w:rsid w:val="577AE156"/>
    <w:rsid w:val="577CAE4D"/>
    <w:rsid w:val="57845A03"/>
    <w:rsid w:val="578550EC"/>
    <w:rsid w:val="578721D2"/>
    <w:rsid w:val="578DDC13"/>
    <w:rsid w:val="5798D712"/>
    <w:rsid w:val="57A3EB2A"/>
    <w:rsid w:val="57A5A815"/>
    <w:rsid w:val="57A5C6D8"/>
    <w:rsid w:val="57A78671"/>
    <w:rsid w:val="57AEF2C8"/>
    <w:rsid w:val="57B67A18"/>
    <w:rsid w:val="57B9CCE2"/>
    <w:rsid w:val="57BB52A6"/>
    <w:rsid w:val="57BDDE76"/>
    <w:rsid w:val="57C17F7E"/>
    <w:rsid w:val="57C348F7"/>
    <w:rsid w:val="57C3EADD"/>
    <w:rsid w:val="57C991BE"/>
    <w:rsid w:val="57CA619C"/>
    <w:rsid w:val="57CED37F"/>
    <w:rsid w:val="57D14ACA"/>
    <w:rsid w:val="57DB4E6B"/>
    <w:rsid w:val="57DEB820"/>
    <w:rsid w:val="57E2DAD9"/>
    <w:rsid w:val="57E5C752"/>
    <w:rsid w:val="57E6FC79"/>
    <w:rsid w:val="57EA0423"/>
    <w:rsid w:val="57EBB250"/>
    <w:rsid w:val="57EC9032"/>
    <w:rsid w:val="57F50830"/>
    <w:rsid w:val="57FBC298"/>
    <w:rsid w:val="5802443C"/>
    <w:rsid w:val="58062049"/>
    <w:rsid w:val="5808E426"/>
    <w:rsid w:val="581108C8"/>
    <w:rsid w:val="58147556"/>
    <w:rsid w:val="582012BB"/>
    <w:rsid w:val="582A0C9C"/>
    <w:rsid w:val="582BE484"/>
    <w:rsid w:val="582CCC05"/>
    <w:rsid w:val="583418E6"/>
    <w:rsid w:val="58384FEA"/>
    <w:rsid w:val="5844A3BE"/>
    <w:rsid w:val="5855822B"/>
    <w:rsid w:val="5858F103"/>
    <w:rsid w:val="5862C49F"/>
    <w:rsid w:val="586C7D9B"/>
    <w:rsid w:val="586D1766"/>
    <w:rsid w:val="58700C03"/>
    <w:rsid w:val="5873A826"/>
    <w:rsid w:val="587FC543"/>
    <w:rsid w:val="5880F416"/>
    <w:rsid w:val="58A7DBAF"/>
    <w:rsid w:val="58AB3FFE"/>
    <w:rsid w:val="58B1E611"/>
    <w:rsid w:val="58B5D83F"/>
    <w:rsid w:val="58C3F429"/>
    <w:rsid w:val="58CB37E3"/>
    <w:rsid w:val="58CB4341"/>
    <w:rsid w:val="58D1CE23"/>
    <w:rsid w:val="58D61B48"/>
    <w:rsid w:val="58D9B469"/>
    <w:rsid w:val="58DD9647"/>
    <w:rsid w:val="58E3364C"/>
    <w:rsid w:val="58E6DFA4"/>
    <w:rsid w:val="58F126E8"/>
    <w:rsid w:val="58F5F551"/>
    <w:rsid w:val="5900F163"/>
    <w:rsid w:val="59019DE0"/>
    <w:rsid w:val="5907A672"/>
    <w:rsid w:val="59089A55"/>
    <w:rsid w:val="5908A9E6"/>
    <w:rsid w:val="590D0ADF"/>
    <w:rsid w:val="592464F3"/>
    <w:rsid w:val="59341BCF"/>
    <w:rsid w:val="59470C54"/>
    <w:rsid w:val="5948E517"/>
    <w:rsid w:val="5957A78C"/>
    <w:rsid w:val="5964C1F4"/>
    <w:rsid w:val="5968384F"/>
    <w:rsid w:val="597169FC"/>
    <w:rsid w:val="5977C031"/>
    <w:rsid w:val="5989D219"/>
    <w:rsid w:val="598F94E3"/>
    <w:rsid w:val="5990D19F"/>
    <w:rsid w:val="5993BB6E"/>
    <w:rsid w:val="59942E69"/>
    <w:rsid w:val="59960E62"/>
    <w:rsid w:val="599752CB"/>
    <w:rsid w:val="5997A8C2"/>
    <w:rsid w:val="59988A91"/>
    <w:rsid w:val="599EC09B"/>
    <w:rsid w:val="59A02A0B"/>
    <w:rsid w:val="59A9498E"/>
    <w:rsid w:val="59AD749B"/>
    <w:rsid w:val="59AF2D20"/>
    <w:rsid w:val="59B25CB3"/>
    <w:rsid w:val="59BD10DB"/>
    <w:rsid w:val="59BD663A"/>
    <w:rsid w:val="59C0E9CC"/>
    <w:rsid w:val="59C91E2D"/>
    <w:rsid w:val="59CFB651"/>
    <w:rsid w:val="59CFB91F"/>
    <w:rsid w:val="59D3CBAA"/>
    <w:rsid w:val="59D5B11C"/>
    <w:rsid w:val="59DB5FBB"/>
    <w:rsid w:val="59DDB5A4"/>
    <w:rsid w:val="59DDC1FC"/>
    <w:rsid w:val="59E53664"/>
    <w:rsid w:val="59E576B6"/>
    <w:rsid w:val="59E7AD66"/>
    <w:rsid w:val="59E8C2BD"/>
    <w:rsid w:val="59EC3E28"/>
    <w:rsid w:val="59F72266"/>
    <w:rsid w:val="59FF6091"/>
    <w:rsid w:val="59FF977F"/>
    <w:rsid w:val="5A0A05F3"/>
    <w:rsid w:val="5A13496F"/>
    <w:rsid w:val="5A14D823"/>
    <w:rsid w:val="5A15E071"/>
    <w:rsid w:val="5A1814F0"/>
    <w:rsid w:val="5A2018D1"/>
    <w:rsid w:val="5A24C12B"/>
    <w:rsid w:val="5A2F8D9F"/>
    <w:rsid w:val="5A33A449"/>
    <w:rsid w:val="5A36508B"/>
    <w:rsid w:val="5A3710DF"/>
    <w:rsid w:val="5A46541E"/>
    <w:rsid w:val="5A486EEC"/>
    <w:rsid w:val="5A6495A4"/>
    <w:rsid w:val="5A64B62E"/>
    <w:rsid w:val="5A666D9E"/>
    <w:rsid w:val="5A6F70C6"/>
    <w:rsid w:val="5A6F871E"/>
    <w:rsid w:val="5A712A23"/>
    <w:rsid w:val="5A74491E"/>
    <w:rsid w:val="5A89BC80"/>
    <w:rsid w:val="5A8B2057"/>
    <w:rsid w:val="5A8D7A37"/>
    <w:rsid w:val="5A92724D"/>
    <w:rsid w:val="5A97F3BC"/>
    <w:rsid w:val="5A97F49A"/>
    <w:rsid w:val="5A9C76CF"/>
    <w:rsid w:val="5A9CAE54"/>
    <w:rsid w:val="5A9D2B69"/>
    <w:rsid w:val="5A9F3285"/>
    <w:rsid w:val="5AA291F1"/>
    <w:rsid w:val="5AA3E6AD"/>
    <w:rsid w:val="5AAD6A91"/>
    <w:rsid w:val="5AB4425B"/>
    <w:rsid w:val="5AB653C6"/>
    <w:rsid w:val="5AC98E91"/>
    <w:rsid w:val="5AD296DC"/>
    <w:rsid w:val="5AD2F0E2"/>
    <w:rsid w:val="5ADA4AFD"/>
    <w:rsid w:val="5ADE671A"/>
    <w:rsid w:val="5AE8C083"/>
    <w:rsid w:val="5AF42F85"/>
    <w:rsid w:val="5AF55784"/>
    <w:rsid w:val="5AFA9692"/>
    <w:rsid w:val="5B029C18"/>
    <w:rsid w:val="5B176F86"/>
    <w:rsid w:val="5B1C1134"/>
    <w:rsid w:val="5B254795"/>
    <w:rsid w:val="5B2D6FAE"/>
    <w:rsid w:val="5B2F3739"/>
    <w:rsid w:val="5B3D50C8"/>
    <w:rsid w:val="5B4107CB"/>
    <w:rsid w:val="5B422030"/>
    <w:rsid w:val="5B4AFDA3"/>
    <w:rsid w:val="5B4D9B16"/>
    <w:rsid w:val="5B4F40DB"/>
    <w:rsid w:val="5B516FB7"/>
    <w:rsid w:val="5B577367"/>
    <w:rsid w:val="5B58600B"/>
    <w:rsid w:val="5B5AB0AD"/>
    <w:rsid w:val="5B5B5BEC"/>
    <w:rsid w:val="5B5C3A87"/>
    <w:rsid w:val="5B5CF340"/>
    <w:rsid w:val="5B653925"/>
    <w:rsid w:val="5B659FDB"/>
    <w:rsid w:val="5B75EAF8"/>
    <w:rsid w:val="5B7CC2A9"/>
    <w:rsid w:val="5B7E4BD2"/>
    <w:rsid w:val="5B8448F8"/>
    <w:rsid w:val="5B8DA41D"/>
    <w:rsid w:val="5B917CD7"/>
    <w:rsid w:val="5B930609"/>
    <w:rsid w:val="5B96F909"/>
    <w:rsid w:val="5B986719"/>
    <w:rsid w:val="5B9DF652"/>
    <w:rsid w:val="5BA3AB82"/>
    <w:rsid w:val="5BAC76B1"/>
    <w:rsid w:val="5BB03B54"/>
    <w:rsid w:val="5BB2D7FB"/>
    <w:rsid w:val="5BB8F856"/>
    <w:rsid w:val="5BBE89D5"/>
    <w:rsid w:val="5BC2F320"/>
    <w:rsid w:val="5BCA0D05"/>
    <w:rsid w:val="5BCE7889"/>
    <w:rsid w:val="5BD1EA30"/>
    <w:rsid w:val="5BE3B52E"/>
    <w:rsid w:val="5BEAB027"/>
    <w:rsid w:val="5BF1C592"/>
    <w:rsid w:val="5C011153"/>
    <w:rsid w:val="5C02E403"/>
    <w:rsid w:val="5C0472C7"/>
    <w:rsid w:val="5C05BDAF"/>
    <w:rsid w:val="5C0E30A0"/>
    <w:rsid w:val="5C14433D"/>
    <w:rsid w:val="5C14F919"/>
    <w:rsid w:val="5C161DB4"/>
    <w:rsid w:val="5C1C0C60"/>
    <w:rsid w:val="5C27DE8F"/>
    <w:rsid w:val="5C30E2F9"/>
    <w:rsid w:val="5C39804F"/>
    <w:rsid w:val="5C420EA9"/>
    <w:rsid w:val="5C4A1A57"/>
    <w:rsid w:val="5C4BC7E6"/>
    <w:rsid w:val="5C4E5E94"/>
    <w:rsid w:val="5C51EB2C"/>
    <w:rsid w:val="5C52DE80"/>
    <w:rsid w:val="5C6022E3"/>
    <w:rsid w:val="5C60DE38"/>
    <w:rsid w:val="5C64873B"/>
    <w:rsid w:val="5C6878F8"/>
    <w:rsid w:val="5C693F68"/>
    <w:rsid w:val="5C6B04F5"/>
    <w:rsid w:val="5C735C2C"/>
    <w:rsid w:val="5C7A8480"/>
    <w:rsid w:val="5C7B14DE"/>
    <w:rsid w:val="5C7BB6B7"/>
    <w:rsid w:val="5C7ED6AB"/>
    <w:rsid w:val="5C80A897"/>
    <w:rsid w:val="5C8E6A5A"/>
    <w:rsid w:val="5CA4DC1C"/>
    <w:rsid w:val="5CA6D91B"/>
    <w:rsid w:val="5CB04D10"/>
    <w:rsid w:val="5CB9E452"/>
    <w:rsid w:val="5CBE898D"/>
    <w:rsid w:val="5CC02549"/>
    <w:rsid w:val="5CC21CC1"/>
    <w:rsid w:val="5CCB5F48"/>
    <w:rsid w:val="5CCD5AD2"/>
    <w:rsid w:val="5CD35579"/>
    <w:rsid w:val="5CD485DD"/>
    <w:rsid w:val="5CDCBA82"/>
    <w:rsid w:val="5CDE3BE4"/>
    <w:rsid w:val="5CE2411A"/>
    <w:rsid w:val="5CE5F863"/>
    <w:rsid w:val="5CE6B96F"/>
    <w:rsid w:val="5CE95267"/>
    <w:rsid w:val="5CF1ED83"/>
    <w:rsid w:val="5CF2B433"/>
    <w:rsid w:val="5CF96437"/>
    <w:rsid w:val="5CFA0DD8"/>
    <w:rsid w:val="5CFABF42"/>
    <w:rsid w:val="5CFBFA3A"/>
    <w:rsid w:val="5D00B96B"/>
    <w:rsid w:val="5D0231AB"/>
    <w:rsid w:val="5D0769E6"/>
    <w:rsid w:val="5D09EBD9"/>
    <w:rsid w:val="5D1A5B17"/>
    <w:rsid w:val="5D1B72D5"/>
    <w:rsid w:val="5D1ED02A"/>
    <w:rsid w:val="5D1FCBC4"/>
    <w:rsid w:val="5D22D5CC"/>
    <w:rsid w:val="5D26B243"/>
    <w:rsid w:val="5D276625"/>
    <w:rsid w:val="5D2DC41C"/>
    <w:rsid w:val="5D2E7550"/>
    <w:rsid w:val="5D2F5149"/>
    <w:rsid w:val="5D31249E"/>
    <w:rsid w:val="5D31334F"/>
    <w:rsid w:val="5D35E5B5"/>
    <w:rsid w:val="5D37C20C"/>
    <w:rsid w:val="5D479127"/>
    <w:rsid w:val="5D54713A"/>
    <w:rsid w:val="5D56F32A"/>
    <w:rsid w:val="5D593810"/>
    <w:rsid w:val="5D5DC5E3"/>
    <w:rsid w:val="5D609871"/>
    <w:rsid w:val="5D61FC03"/>
    <w:rsid w:val="5D6BCEDE"/>
    <w:rsid w:val="5D70230B"/>
    <w:rsid w:val="5D7911B7"/>
    <w:rsid w:val="5D7A5186"/>
    <w:rsid w:val="5D7DC7B7"/>
    <w:rsid w:val="5D7F981D"/>
    <w:rsid w:val="5D8062EB"/>
    <w:rsid w:val="5D80977D"/>
    <w:rsid w:val="5D80CC77"/>
    <w:rsid w:val="5D8106F4"/>
    <w:rsid w:val="5D83BAE1"/>
    <w:rsid w:val="5D8C2213"/>
    <w:rsid w:val="5D914B79"/>
    <w:rsid w:val="5D918C8E"/>
    <w:rsid w:val="5D9724F8"/>
    <w:rsid w:val="5D980E2D"/>
    <w:rsid w:val="5D9B5498"/>
    <w:rsid w:val="5DA13ADC"/>
    <w:rsid w:val="5DA3A41E"/>
    <w:rsid w:val="5DAE90D0"/>
    <w:rsid w:val="5DB184CA"/>
    <w:rsid w:val="5DB726FB"/>
    <w:rsid w:val="5DBE1F4A"/>
    <w:rsid w:val="5DBFA459"/>
    <w:rsid w:val="5DCB5D4C"/>
    <w:rsid w:val="5DCB8307"/>
    <w:rsid w:val="5DCBC8DD"/>
    <w:rsid w:val="5DD076D6"/>
    <w:rsid w:val="5DD4CC2B"/>
    <w:rsid w:val="5DDE0BCA"/>
    <w:rsid w:val="5DE4235F"/>
    <w:rsid w:val="5DE748EA"/>
    <w:rsid w:val="5DEC8C5F"/>
    <w:rsid w:val="5DECF49E"/>
    <w:rsid w:val="5DEFF16C"/>
    <w:rsid w:val="5DF62033"/>
    <w:rsid w:val="5DF94DA1"/>
    <w:rsid w:val="5DFE6740"/>
    <w:rsid w:val="5E01BF3F"/>
    <w:rsid w:val="5E03526C"/>
    <w:rsid w:val="5E03BF36"/>
    <w:rsid w:val="5E0E516E"/>
    <w:rsid w:val="5E268256"/>
    <w:rsid w:val="5E27E540"/>
    <w:rsid w:val="5E290622"/>
    <w:rsid w:val="5E3AD89A"/>
    <w:rsid w:val="5E3BFB55"/>
    <w:rsid w:val="5E51F709"/>
    <w:rsid w:val="5E52CFC3"/>
    <w:rsid w:val="5E57681C"/>
    <w:rsid w:val="5E58C7A7"/>
    <w:rsid w:val="5E5AD598"/>
    <w:rsid w:val="5E5C556A"/>
    <w:rsid w:val="5E66092A"/>
    <w:rsid w:val="5E6E2ED2"/>
    <w:rsid w:val="5E7596AD"/>
    <w:rsid w:val="5E7B523D"/>
    <w:rsid w:val="5E7C772C"/>
    <w:rsid w:val="5E80490A"/>
    <w:rsid w:val="5E8A03C7"/>
    <w:rsid w:val="5E8F5F72"/>
    <w:rsid w:val="5E994B00"/>
    <w:rsid w:val="5E99D3A0"/>
    <w:rsid w:val="5E9B5690"/>
    <w:rsid w:val="5E9F795E"/>
    <w:rsid w:val="5EA96ACD"/>
    <w:rsid w:val="5EAFAB81"/>
    <w:rsid w:val="5EB39022"/>
    <w:rsid w:val="5EB6F711"/>
    <w:rsid w:val="5EC15807"/>
    <w:rsid w:val="5EC90B1C"/>
    <w:rsid w:val="5ED27A7B"/>
    <w:rsid w:val="5ED4AAC9"/>
    <w:rsid w:val="5EDBF3CB"/>
    <w:rsid w:val="5EE91BA2"/>
    <w:rsid w:val="5EE98B54"/>
    <w:rsid w:val="5EEECB23"/>
    <w:rsid w:val="5EF2F7A5"/>
    <w:rsid w:val="5EF99644"/>
    <w:rsid w:val="5EFAF80D"/>
    <w:rsid w:val="5EFD49A0"/>
    <w:rsid w:val="5F030CDA"/>
    <w:rsid w:val="5F05E197"/>
    <w:rsid w:val="5F0A092F"/>
    <w:rsid w:val="5F11C6B3"/>
    <w:rsid w:val="5F13491E"/>
    <w:rsid w:val="5F135478"/>
    <w:rsid w:val="5F20576D"/>
    <w:rsid w:val="5F209682"/>
    <w:rsid w:val="5F20E0E9"/>
    <w:rsid w:val="5F24409F"/>
    <w:rsid w:val="5F2483F5"/>
    <w:rsid w:val="5F2CB5A5"/>
    <w:rsid w:val="5F3A63EE"/>
    <w:rsid w:val="5F3C30D4"/>
    <w:rsid w:val="5F3DD062"/>
    <w:rsid w:val="5F435A1A"/>
    <w:rsid w:val="5F43D6B5"/>
    <w:rsid w:val="5F460A90"/>
    <w:rsid w:val="5F473D0A"/>
    <w:rsid w:val="5F4C3A1D"/>
    <w:rsid w:val="5F4D62F5"/>
    <w:rsid w:val="5F53E935"/>
    <w:rsid w:val="5F551F2F"/>
    <w:rsid w:val="5F5CA3AA"/>
    <w:rsid w:val="5F674C6F"/>
    <w:rsid w:val="5F6C96DB"/>
    <w:rsid w:val="5F6D47EE"/>
    <w:rsid w:val="5F7A8EEF"/>
    <w:rsid w:val="5F7C9320"/>
    <w:rsid w:val="5F8182E1"/>
    <w:rsid w:val="5F84C2B5"/>
    <w:rsid w:val="5F89A3D7"/>
    <w:rsid w:val="5F89AF71"/>
    <w:rsid w:val="5F89C4E9"/>
    <w:rsid w:val="5F8EC638"/>
    <w:rsid w:val="5F9B4DA3"/>
    <w:rsid w:val="5FA67FB2"/>
    <w:rsid w:val="5FAA6953"/>
    <w:rsid w:val="5FADD19C"/>
    <w:rsid w:val="5FB3A1E4"/>
    <w:rsid w:val="5FB3EC4E"/>
    <w:rsid w:val="5FB9898D"/>
    <w:rsid w:val="5FC0613C"/>
    <w:rsid w:val="5FC89B6F"/>
    <w:rsid w:val="5FCAB424"/>
    <w:rsid w:val="5FD397FA"/>
    <w:rsid w:val="5FD3D460"/>
    <w:rsid w:val="5FD7F28E"/>
    <w:rsid w:val="5FDF6B56"/>
    <w:rsid w:val="5FF0802D"/>
    <w:rsid w:val="5FFA3D68"/>
    <w:rsid w:val="6003338F"/>
    <w:rsid w:val="600EE28A"/>
    <w:rsid w:val="601150E6"/>
    <w:rsid w:val="602367AD"/>
    <w:rsid w:val="6023B015"/>
    <w:rsid w:val="60275BB5"/>
    <w:rsid w:val="602AE691"/>
    <w:rsid w:val="602B4884"/>
    <w:rsid w:val="602D52B4"/>
    <w:rsid w:val="602EB869"/>
    <w:rsid w:val="60316610"/>
    <w:rsid w:val="6032098D"/>
    <w:rsid w:val="603A7222"/>
    <w:rsid w:val="6047B671"/>
    <w:rsid w:val="604CDE31"/>
    <w:rsid w:val="6052FBEE"/>
    <w:rsid w:val="6056CDF9"/>
    <w:rsid w:val="605DE6BE"/>
    <w:rsid w:val="606187DF"/>
    <w:rsid w:val="6061E5D6"/>
    <w:rsid w:val="60640CE1"/>
    <w:rsid w:val="60684EC5"/>
    <w:rsid w:val="60722622"/>
    <w:rsid w:val="6072DABA"/>
    <w:rsid w:val="607C79E1"/>
    <w:rsid w:val="60829B4F"/>
    <w:rsid w:val="608F4032"/>
    <w:rsid w:val="60937D50"/>
    <w:rsid w:val="60965CA0"/>
    <w:rsid w:val="6096CF86"/>
    <w:rsid w:val="6099943D"/>
    <w:rsid w:val="609A0509"/>
    <w:rsid w:val="609C608B"/>
    <w:rsid w:val="609ECF23"/>
    <w:rsid w:val="609F95A6"/>
    <w:rsid w:val="60A10874"/>
    <w:rsid w:val="60A601F1"/>
    <w:rsid w:val="60A67893"/>
    <w:rsid w:val="60AF6827"/>
    <w:rsid w:val="60B83633"/>
    <w:rsid w:val="60C69B0F"/>
    <w:rsid w:val="60CA3654"/>
    <w:rsid w:val="60D90CD5"/>
    <w:rsid w:val="60DB6CDC"/>
    <w:rsid w:val="60DC58E0"/>
    <w:rsid w:val="60DC5B41"/>
    <w:rsid w:val="60E4D4AC"/>
    <w:rsid w:val="60E54FDB"/>
    <w:rsid w:val="60E7C15A"/>
    <w:rsid w:val="60F0C856"/>
    <w:rsid w:val="60F5155B"/>
    <w:rsid w:val="60F8A9D1"/>
    <w:rsid w:val="60FDB937"/>
    <w:rsid w:val="60FE97E8"/>
    <w:rsid w:val="6103FDF6"/>
    <w:rsid w:val="6106DC38"/>
    <w:rsid w:val="61108094"/>
    <w:rsid w:val="611081EA"/>
    <w:rsid w:val="6112EC0F"/>
    <w:rsid w:val="611C1C3A"/>
    <w:rsid w:val="611CCA58"/>
    <w:rsid w:val="611F215D"/>
    <w:rsid w:val="61232F92"/>
    <w:rsid w:val="6136B6F8"/>
    <w:rsid w:val="613FA333"/>
    <w:rsid w:val="6142DE21"/>
    <w:rsid w:val="61462978"/>
    <w:rsid w:val="61468E15"/>
    <w:rsid w:val="61472D6C"/>
    <w:rsid w:val="6148C472"/>
    <w:rsid w:val="614D416A"/>
    <w:rsid w:val="615B4182"/>
    <w:rsid w:val="6162630A"/>
    <w:rsid w:val="6167D9C4"/>
    <w:rsid w:val="616B0034"/>
    <w:rsid w:val="616D1AA0"/>
    <w:rsid w:val="616DE545"/>
    <w:rsid w:val="617AF1EF"/>
    <w:rsid w:val="617B7F72"/>
    <w:rsid w:val="617D3B60"/>
    <w:rsid w:val="617FAC2D"/>
    <w:rsid w:val="6186D33D"/>
    <w:rsid w:val="6187F0DB"/>
    <w:rsid w:val="618DCAFA"/>
    <w:rsid w:val="61912739"/>
    <w:rsid w:val="6191E29A"/>
    <w:rsid w:val="6193766A"/>
    <w:rsid w:val="619B3316"/>
    <w:rsid w:val="61A1137A"/>
    <w:rsid w:val="61A9D9EA"/>
    <w:rsid w:val="61AA6BC6"/>
    <w:rsid w:val="61AC19E5"/>
    <w:rsid w:val="61AD10B2"/>
    <w:rsid w:val="61AE2EC7"/>
    <w:rsid w:val="61AEEE7F"/>
    <w:rsid w:val="61B4A087"/>
    <w:rsid w:val="61B595EE"/>
    <w:rsid w:val="61B84CFB"/>
    <w:rsid w:val="61BA237C"/>
    <w:rsid w:val="61BF1334"/>
    <w:rsid w:val="61D5EA48"/>
    <w:rsid w:val="61D7E471"/>
    <w:rsid w:val="61E7222A"/>
    <w:rsid w:val="61E7F33E"/>
    <w:rsid w:val="61EBE442"/>
    <w:rsid w:val="61ECCC5C"/>
    <w:rsid w:val="61F74A1C"/>
    <w:rsid w:val="61FA000C"/>
    <w:rsid w:val="6208DA23"/>
    <w:rsid w:val="6210F669"/>
    <w:rsid w:val="6210FF0A"/>
    <w:rsid w:val="6213BDB7"/>
    <w:rsid w:val="6224DF0B"/>
    <w:rsid w:val="6226F3D0"/>
    <w:rsid w:val="62282935"/>
    <w:rsid w:val="623642EB"/>
    <w:rsid w:val="6236B50F"/>
    <w:rsid w:val="623D8643"/>
    <w:rsid w:val="6241C262"/>
    <w:rsid w:val="62424B1E"/>
    <w:rsid w:val="624A9A58"/>
    <w:rsid w:val="624DE4FE"/>
    <w:rsid w:val="6250D4D9"/>
    <w:rsid w:val="6252BBAF"/>
    <w:rsid w:val="626335F8"/>
    <w:rsid w:val="626F39D1"/>
    <w:rsid w:val="6273B1B3"/>
    <w:rsid w:val="6273BE5A"/>
    <w:rsid w:val="62763D65"/>
    <w:rsid w:val="627A7F97"/>
    <w:rsid w:val="627D8AA8"/>
    <w:rsid w:val="627F1976"/>
    <w:rsid w:val="628251A6"/>
    <w:rsid w:val="628C75DF"/>
    <w:rsid w:val="6293380B"/>
    <w:rsid w:val="62981E0D"/>
    <w:rsid w:val="629D1597"/>
    <w:rsid w:val="62A2AD2B"/>
    <w:rsid w:val="62A35150"/>
    <w:rsid w:val="62A6F848"/>
    <w:rsid w:val="62A7208E"/>
    <w:rsid w:val="62A9F6DF"/>
    <w:rsid w:val="62BC7BDD"/>
    <w:rsid w:val="62BCCB66"/>
    <w:rsid w:val="62C1AF41"/>
    <w:rsid w:val="62C3F4FF"/>
    <w:rsid w:val="62C47AC6"/>
    <w:rsid w:val="62C95D17"/>
    <w:rsid w:val="62CAD17E"/>
    <w:rsid w:val="62CBAA40"/>
    <w:rsid w:val="62D3235E"/>
    <w:rsid w:val="62D53062"/>
    <w:rsid w:val="62D566AF"/>
    <w:rsid w:val="62D89664"/>
    <w:rsid w:val="62D996BA"/>
    <w:rsid w:val="62DA2631"/>
    <w:rsid w:val="62E3148A"/>
    <w:rsid w:val="62E62CF3"/>
    <w:rsid w:val="62F10C8F"/>
    <w:rsid w:val="62F863CD"/>
    <w:rsid w:val="62FA0AB3"/>
    <w:rsid w:val="62FA9D63"/>
    <w:rsid w:val="62FAB18F"/>
    <w:rsid w:val="62FAFAD0"/>
    <w:rsid w:val="6300A544"/>
    <w:rsid w:val="6300D640"/>
    <w:rsid w:val="63011488"/>
    <w:rsid w:val="6303EC37"/>
    <w:rsid w:val="630DA84E"/>
    <w:rsid w:val="630DFCC1"/>
    <w:rsid w:val="630EE4C3"/>
    <w:rsid w:val="6310CF30"/>
    <w:rsid w:val="63176BBB"/>
    <w:rsid w:val="63192650"/>
    <w:rsid w:val="631E2531"/>
    <w:rsid w:val="6321C9F3"/>
    <w:rsid w:val="6328DD3B"/>
    <w:rsid w:val="632CE410"/>
    <w:rsid w:val="632DA418"/>
    <w:rsid w:val="6336BF4D"/>
    <w:rsid w:val="6337EDE6"/>
    <w:rsid w:val="6344F7BD"/>
    <w:rsid w:val="6349B00A"/>
    <w:rsid w:val="634DCB2C"/>
    <w:rsid w:val="6353BB6F"/>
    <w:rsid w:val="6356D816"/>
    <w:rsid w:val="6367D1F0"/>
    <w:rsid w:val="636D5603"/>
    <w:rsid w:val="637283FC"/>
    <w:rsid w:val="6377421B"/>
    <w:rsid w:val="637C48FF"/>
    <w:rsid w:val="637FD224"/>
    <w:rsid w:val="63806859"/>
    <w:rsid w:val="63822521"/>
    <w:rsid w:val="6383D55F"/>
    <w:rsid w:val="638AF53C"/>
    <w:rsid w:val="638C966A"/>
    <w:rsid w:val="6397B6D6"/>
    <w:rsid w:val="63A4B060"/>
    <w:rsid w:val="63A6F42D"/>
    <w:rsid w:val="63A926DF"/>
    <w:rsid w:val="63D60596"/>
    <w:rsid w:val="63D63D0E"/>
    <w:rsid w:val="63D73598"/>
    <w:rsid w:val="63DBF560"/>
    <w:rsid w:val="63DCC9E5"/>
    <w:rsid w:val="63E8BC7D"/>
    <w:rsid w:val="63EBD4E6"/>
    <w:rsid w:val="63ED3E7F"/>
    <w:rsid w:val="63F07002"/>
    <w:rsid w:val="63F116AF"/>
    <w:rsid w:val="63F69D3B"/>
    <w:rsid w:val="63F7F518"/>
    <w:rsid w:val="63F918FF"/>
    <w:rsid w:val="63F9DB5B"/>
    <w:rsid w:val="63FE0B81"/>
    <w:rsid w:val="64003689"/>
    <w:rsid w:val="641D0BBD"/>
    <w:rsid w:val="641FEDC2"/>
    <w:rsid w:val="64212E28"/>
    <w:rsid w:val="6426687F"/>
    <w:rsid w:val="642A15CF"/>
    <w:rsid w:val="642B14FE"/>
    <w:rsid w:val="642B26C4"/>
    <w:rsid w:val="642D2F42"/>
    <w:rsid w:val="642F963A"/>
    <w:rsid w:val="64316217"/>
    <w:rsid w:val="6437682F"/>
    <w:rsid w:val="6442D5D1"/>
    <w:rsid w:val="6448AC8C"/>
    <w:rsid w:val="644D01EC"/>
    <w:rsid w:val="644D6090"/>
    <w:rsid w:val="6456A3FB"/>
    <w:rsid w:val="645753ED"/>
    <w:rsid w:val="6457AFC4"/>
    <w:rsid w:val="6457C4D3"/>
    <w:rsid w:val="6459767C"/>
    <w:rsid w:val="64616393"/>
    <w:rsid w:val="6475D036"/>
    <w:rsid w:val="64765292"/>
    <w:rsid w:val="647BCFBB"/>
    <w:rsid w:val="647F2E17"/>
    <w:rsid w:val="6483F658"/>
    <w:rsid w:val="64903AE1"/>
    <w:rsid w:val="64931229"/>
    <w:rsid w:val="649DF806"/>
    <w:rsid w:val="64A429B9"/>
    <w:rsid w:val="64A44D00"/>
    <w:rsid w:val="64A4CAD7"/>
    <w:rsid w:val="64A53EB1"/>
    <w:rsid w:val="64A5B6C0"/>
    <w:rsid w:val="64AE9715"/>
    <w:rsid w:val="64BBF07B"/>
    <w:rsid w:val="64BE36C9"/>
    <w:rsid w:val="64C083DA"/>
    <w:rsid w:val="64C253EE"/>
    <w:rsid w:val="64CC3153"/>
    <w:rsid w:val="64CCFE45"/>
    <w:rsid w:val="64D106A7"/>
    <w:rsid w:val="64D1CC2E"/>
    <w:rsid w:val="64E8281F"/>
    <w:rsid w:val="64E91CC2"/>
    <w:rsid w:val="64EFD01F"/>
    <w:rsid w:val="64F05DD5"/>
    <w:rsid w:val="64F404D0"/>
    <w:rsid w:val="64F8AC31"/>
    <w:rsid w:val="64FA444F"/>
    <w:rsid w:val="65057448"/>
    <w:rsid w:val="650D153A"/>
    <w:rsid w:val="6513DF74"/>
    <w:rsid w:val="6527CF3D"/>
    <w:rsid w:val="652FE31C"/>
    <w:rsid w:val="65391E10"/>
    <w:rsid w:val="6539A18C"/>
    <w:rsid w:val="6546FFAF"/>
    <w:rsid w:val="6548DBE2"/>
    <w:rsid w:val="6554EF8A"/>
    <w:rsid w:val="6557BF71"/>
    <w:rsid w:val="6558E9E4"/>
    <w:rsid w:val="655BF0E1"/>
    <w:rsid w:val="65617786"/>
    <w:rsid w:val="65653863"/>
    <w:rsid w:val="65767CB6"/>
    <w:rsid w:val="6579D86E"/>
    <w:rsid w:val="6590276F"/>
    <w:rsid w:val="65958725"/>
    <w:rsid w:val="6597993E"/>
    <w:rsid w:val="659BE688"/>
    <w:rsid w:val="659EA011"/>
    <w:rsid w:val="659FB918"/>
    <w:rsid w:val="65A008A2"/>
    <w:rsid w:val="65A12C7A"/>
    <w:rsid w:val="65A28A80"/>
    <w:rsid w:val="65A344CA"/>
    <w:rsid w:val="65A9C649"/>
    <w:rsid w:val="65AB8FF4"/>
    <w:rsid w:val="65AC60F3"/>
    <w:rsid w:val="65B1D78B"/>
    <w:rsid w:val="65B58C3E"/>
    <w:rsid w:val="65B82E3C"/>
    <w:rsid w:val="65C187D1"/>
    <w:rsid w:val="65C4ACE4"/>
    <w:rsid w:val="65C9D405"/>
    <w:rsid w:val="65C9D8CD"/>
    <w:rsid w:val="65E40D8A"/>
    <w:rsid w:val="65E485E2"/>
    <w:rsid w:val="65F97635"/>
    <w:rsid w:val="65FAC963"/>
    <w:rsid w:val="65FF02A0"/>
    <w:rsid w:val="65FF61F9"/>
    <w:rsid w:val="6600D075"/>
    <w:rsid w:val="6608967D"/>
    <w:rsid w:val="66165EC2"/>
    <w:rsid w:val="66197A3B"/>
    <w:rsid w:val="661B2288"/>
    <w:rsid w:val="662E6004"/>
    <w:rsid w:val="662E8DA1"/>
    <w:rsid w:val="663C91F9"/>
    <w:rsid w:val="663FDAF6"/>
    <w:rsid w:val="6642693B"/>
    <w:rsid w:val="6643B035"/>
    <w:rsid w:val="664520C3"/>
    <w:rsid w:val="664554F5"/>
    <w:rsid w:val="6648BE77"/>
    <w:rsid w:val="6648C744"/>
    <w:rsid w:val="664BB1BE"/>
    <w:rsid w:val="6650ADFF"/>
    <w:rsid w:val="6652DCC9"/>
    <w:rsid w:val="66686D01"/>
    <w:rsid w:val="666AB022"/>
    <w:rsid w:val="666EA439"/>
    <w:rsid w:val="6673B24C"/>
    <w:rsid w:val="6686F991"/>
    <w:rsid w:val="6693F95B"/>
    <w:rsid w:val="66953007"/>
    <w:rsid w:val="669D37F0"/>
    <w:rsid w:val="669D61CE"/>
    <w:rsid w:val="669FD055"/>
    <w:rsid w:val="66A55CDB"/>
    <w:rsid w:val="66A8E8B7"/>
    <w:rsid w:val="66B81284"/>
    <w:rsid w:val="66BB57D7"/>
    <w:rsid w:val="66BC26E4"/>
    <w:rsid w:val="66C43E9D"/>
    <w:rsid w:val="66C76FA9"/>
    <w:rsid w:val="66C9E4AE"/>
    <w:rsid w:val="66CAE993"/>
    <w:rsid w:val="66CBB37D"/>
    <w:rsid w:val="66D324BD"/>
    <w:rsid w:val="66DAF3FB"/>
    <w:rsid w:val="66E820EA"/>
    <w:rsid w:val="66ECA7A5"/>
    <w:rsid w:val="66F15DEC"/>
    <w:rsid w:val="66F25133"/>
    <w:rsid w:val="66F8801F"/>
    <w:rsid w:val="67042CE0"/>
    <w:rsid w:val="6708122F"/>
    <w:rsid w:val="670C4E5C"/>
    <w:rsid w:val="6715BA17"/>
    <w:rsid w:val="6717AFC2"/>
    <w:rsid w:val="6719DE88"/>
    <w:rsid w:val="671A0672"/>
    <w:rsid w:val="671B5574"/>
    <w:rsid w:val="6724B2A8"/>
    <w:rsid w:val="67262BA0"/>
    <w:rsid w:val="6729A787"/>
    <w:rsid w:val="67350932"/>
    <w:rsid w:val="67458257"/>
    <w:rsid w:val="67488768"/>
    <w:rsid w:val="6748D813"/>
    <w:rsid w:val="674C6A1A"/>
    <w:rsid w:val="674FBBE4"/>
    <w:rsid w:val="6759909E"/>
    <w:rsid w:val="6759C31E"/>
    <w:rsid w:val="67622302"/>
    <w:rsid w:val="676B02CF"/>
    <w:rsid w:val="676C707E"/>
    <w:rsid w:val="676D0BBC"/>
    <w:rsid w:val="676DBA9B"/>
    <w:rsid w:val="676E63B0"/>
    <w:rsid w:val="67719EE2"/>
    <w:rsid w:val="6787E735"/>
    <w:rsid w:val="678B01C2"/>
    <w:rsid w:val="678CE948"/>
    <w:rsid w:val="6794FAB8"/>
    <w:rsid w:val="67A1480F"/>
    <w:rsid w:val="67A2AB4D"/>
    <w:rsid w:val="67A70A9D"/>
    <w:rsid w:val="67A7FC51"/>
    <w:rsid w:val="67A83F3B"/>
    <w:rsid w:val="67AF31C6"/>
    <w:rsid w:val="67AFF879"/>
    <w:rsid w:val="67B475BB"/>
    <w:rsid w:val="67B60944"/>
    <w:rsid w:val="67B8F341"/>
    <w:rsid w:val="67BB8CE7"/>
    <w:rsid w:val="67BBA6E6"/>
    <w:rsid w:val="67BF05EF"/>
    <w:rsid w:val="67D20D38"/>
    <w:rsid w:val="67D6B29D"/>
    <w:rsid w:val="67D9E856"/>
    <w:rsid w:val="67DA7CD2"/>
    <w:rsid w:val="67DBEDC2"/>
    <w:rsid w:val="67E2D8F8"/>
    <w:rsid w:val="67E48D16"/>
    <w:rsid w:val="67EB196A"/>
    <w:rsid w:val="67F03A77"/>
    <w:rsid w:val="67F57A1E"/>
    <w:rsid w:val="67F9428C"/>
    <w:rsid w:val="67FD4B4E"/>
    <w:rsid w:val="68026B0B"/>
    <w:rsid w:val="6807D9A7"/>
    <w:rsid w:val="6808C823"/>
    <w:rsid w:val="681AA243"/>
    <w:rsid w:val="681E03C8"/>
    <w:rsid w:val="68244D65"/>
    <w:rsid w:val="682641AB"/>
    <w:rsid w:val="682A45AA"/>
    <w:rsid w:val="682BBB83"/>
    <w:rsid w:val="682CB01C"/>
    <w:rsid w:val="6836F128"/>
    <w:rsid w:val="6838B12F"/>
    <w:rsid w:val="683B4704"/>
    <w:rsid w:val="683FAB69"/>
    <w:rsid w:val="6840915D"/>
    <w:rsid w:val="6840DC04"/>
    <w:rsid w:val="6843D5CF"/>
    <w:rsid w:val="6844151F"/>
    <w:rsid w:val="6848D67D"/>
    <w:rsid w:val="68498EBE"/>
    <w:rsid w:val="684A2013"/>
    <w:rsid w:val="68517770"/>
    <w:rsid w:val="6851E0FE"/>
    <w:rsid w:val="6854C913"/>
    <w:rsid w:val="68596DF1"/>
    <w:rsid w:val="6859F19D"/>
    <w:rsid w:val="685FB3C2"/>
    <w:rsid w:val="6860B023"/>
    <w:rsid w:val="68670F0F"/>
    <w:rsid w:val="6868A224"/>
    <w:rsid w:val="686F14CD"/>
    <w:rsid w:val="6876E604"/>
    <w:rsid w:val="687EC5D0"/>
    <w:rsid w:val="6880FDEB"/>
    <w:rsid w:val="68926FB5"/>
    <w:rsid w:val="68939E3B"/>
    <w:rsid w:val="6893B255"/>
    <w:rsid w:val="689527EC"/>
    <w:rsid w:val="689B7349"/>
    <w:rsid w:val="68A0F86F"/>
    <w:rsid w:val="68A50E2C"/>
    <w:rsid w:val="68C5390E"/>
    <w:rsid w:val="68CB663B"/>
    <w:rsid w:val="68CF85C7"/>
    <w:rsid w:val="68D0BBC6"/>
    <w:rsid w:val="68D353C1"/>
    <w:rsid w:val="68E617AB"/>
    <w:rsid w:val="68E89ECB"/>
    <w:rsid w:val="68EB1981"/>
    <w:rsid w:val="68F1984F"/>
    <w:rsid w:val="68F26F70"/>
    <w:rsid w:val="68F997B1"/>
    <w:rsid w:val="68FA8F68"/>
    <w:rsid w:val="690162DE"/>
    <w:rsid w:val="6903A4D0"/>
    <w:rsid w:val="690D43EF"/>
    <w:rsid w:val="69177ED2"/>
    <w:rsid w:val="69375391"/>
    <w:rsid w:val="694845DE"/>
    <w:rsid w:val="6949AF63"/>
    <w:rsid w:val="694B3D24"/>
    <w:rsid w:val="6955F41F"/>
    <w:rsid w:val="695888ED"/>
    <w:rsid w:val="695A43F8"/>
    <w:rsid w:val="695D8AE1"/>
    <w:rsid w:val="695E95C6"/>
    <w:rsid w:val="6962BBAA"/>
    <w:rsid w:val="6963B849"/>
    <w:rsid w:val="69641B41"/>
    <w:rsid w:val="69647026"/>
    <w:rsid w:val="696ECB54"/>
    <w:rsid w:val="6975735E"/>
    <w:rsid w:val="69802743"/>
    <w:rsid w:val="6982D110"/>
    <w:rsid w:val="6984764F"/>
    <w:rsid w:val="699161FF"/>
    <w:rsid w:val="69966B9C"/>
    <w:rsid w:val="6996F1E3"/>
    <w:rsid w:val="699765B9"/>
    <w:rsid w:val="699AF318"/>
    <w:rsid w:val="69A646A9"/>
    <w:rsid w:val="69A80E37"/>
    <w:rsid w:val="69AA01FF"/>
    <w:rsid w:val="69AABFA2"/>
    <w:rsid w:val="69B04195"/>
    <w:rsid w:val="69B0F3E0"/>
    <w:rsid w:val="69B1AC7F"/>
    <w:rsid w:val="69B1C9BA"/>
    <w:rsid w:val="69B30A59"/>
    <w:rsid w:val="69B8FF82"/>
    <w:rsid w:val="69C2FCF3"/>
    <w:rsid w:val="69CD3C38"/>
    <w:rsid w:val="69D06405"/>
    <w:rsid w:val="69D068B1"/>
    <w:rsid w:val="69D9F973"/>
    <w:rsid w:val="69DD917E"/>
    <w:rsid w:val="69DE7966"/>
    <w:rsid w:val="69DF512E"/>
    <w:rsid w:val="69E26641"/>
    <w:rsid w:val="69EBB2B5"/>
    <w:rsid w:val="69EF7511"/>
    <w:rsid w:val="69EFB691"/>
    <w:rsid w:val="69F04276"/>
    <w:rsid w:val="69FF4006"/>
    <w:rsid w:val="6A0D7FD8"/>
    <w:rsid w:val="6A0F6162"/>
    <w:rsid w:val="6A143602"/>
    <w:rsid w:val="6A146B50"/>
    <w:rsid w:val="6A182D92"/>
    <w:rsid w:val="6A1F1EE3"/>
    <w:rsid w:val="6A21765F"/>
    <w:rsid w:val="6A24EB17"/>
    <w:rsid w:val="6A310093"/>
    <w:rsid w:val="6A35B540"/>
    <w:rsid w:val="6A4400A3"/>
    <w:rsid w:val="6A46ED51"/>
    <w:rsid w:val="6A4B2C4D"/>
    <w:rsid w:val="6A4EAF65"/>
    <w:rsid w:val="6A5807DA"/>
    <w:rsid w:val="6A5830BC"/>
    <w:rsid w:val="6A5AC6C4"/>
    <w:rsid w:val="6A5C6190"/>
    <w:rsid w:val="6A6037F5"/>
    <w:rsid w:val="6A61C138"/>
    <w:rsid w:val="6A61F1DE"/>
    <w:rsid w:val="6A66143C"/>
    <w:rsid w:val="6A67AD4E"/>
    <w:rsid w:val="6A682988"/>
    <w:rsid w:val="6A6A5F01"/>
    <w:rsid w:val="6A6D0872"/>
    <w:rsid w:val="6A6E3D33"/>
    <w:rsid w:val="6A708902"/>
    <w:rsid w:val="6A71B3B7"/>
    <w:rsid w:val="6A77B5A4"/>
    <w:rsid w:val="6A799507"/>
    <w:rsid w:val="6A7E2532"/>
    <w:rsid w:val="6A81D88E"/>
    <w:rsid w:val="6A846F2C"/>
    <w:rsid w:val="6A89A202"/>
    <w:rsid w:val="6A8B9758"/>
    <w:rsid w:val="6A9058AD"/>
    <w:rsid w:val="6A9BA572"/>
    <w:rsid w:val="6A9BF55F"/>
    <w:rsid w:val="6A9D854B"/>
    <w:rsid w:val="6A9E2ABF"/>
    <w:rsid w:val="6AABD3F9"/>
    <w:rsid w:val="6AACA6E9"/>
    <w:rsid w:val="6AACB255"/>
    <w:rsid w:val="6AB01AD4"/>
    <w:rsid w:val="6AB18064"/>
    <w:rsid w:val="6AB1CBFE"/>
    <w:rsid w:val="6ABA9B47"/>
    <w:rsid w:val="6AC842A6"/>
    <w:rsid w:val="6AD2C217"/>
    <w:rsid w:val="6ADAD458"/>
    <w:rsid w:val="6ADBD4E8"/>
    <w:rsid w:val="6ADD923E"/>
    <w:rsid w:val="6AE2A993"/>
    <w:rsid w:val="6AE2CFA7"/>
    <w:rsid w:val="6AE70289"/>
    <w:rsid w:val="6AEE4520"/>
    <w:rsid w:val="6AF0A8C4"/>
    <w:rsid w:val="6B0BCCE3"/>
    <w:rsid w:val="6B0BF217"/>
    <w:rsid w:val="6B0BF43A"/>
    <w:rsid w:val="6B0E9534"/>
    <w:rsid w:val="6B1FFC8B"/>
    <w:rsid w:val="6B215B50"/>
    <w:rsid w:val="6B29AA37"/>
    <w:rsid w:val="6B2C9172"/>
    <w:rsid w:val="6B2CF4CB"/>
    <w:rsid w:val="6B2DACEF"/>
    <w:rsid w:val="6B30969C"/>
    <w:rsid w:val="6B31CAE4"/>
    <w:rsid w:val="6B340D83"/>
    <w:rsid w:val="6B395E37"/>
    <w:rsid w:val="6B3E3AC5"/>
    <w:rsid w:val="6B411FA0"/>
    <w:rsid w:val="6B42155C"/>
    <w:rsid w:val="6B42F406"/>
    <w:rsid w:val="6B43174F"/>
    <w:rsid w:val="6B4ED904"/>
    <w:rsid w:val="6B4F0B5F"/>
    <w:rsid w:val="6B60032C"/>
    <w:rsid w:val="6B74F522"/>
    <w:rsid w:val="6B788E8C"/>
    <w:rsid w:val="6B7A5981"/>
    <w:rsid w:val="6B8117D1"/>
    <w:rsid w:val="6B860DC4"/>
    <w:rsid w:val="6B88B09E"/>
    <w:rsid w:val="6B8BC50B"/>
    <w:rsid w:val="6B8FFCAB"/>
    <w:rsid w:val="6B970BEE"/>
    <w:rsid w:val="6B9BA2D2"/>
    <w:rsid w:val="6B9CE8C6"/>
    <w:rsid w:val="6B9D6557"/>
    <w:rsid w:val="6BA4ABE1"/>
    <w:rsid w:val="6BA5E639"/>
    <w:rsid w:val="6BAA4A9A"/>
    <w:rsid w:val="6BAF198A"/>
    <w:rsid w:val="6BAFD0D1"/>
    <w:rsid w:val="6BB25DFD"/>
    <w:rsid w:val="6BB4328D"/>
    <w:rsid w:val="6BB593B2"/>
    <w:rsid w:val="6BC01D51"/>
    <w:rsid w:val="6BC819D4"/>
    <w:rsid w:val="6BCF3EA1"/>
    <w:rsid w:val="6BD13CD1"/>
    <w:rsid w:val="6BD20FB6"/>
    <w:rsid w:val="6BD85441"/>
    <w:rsid w:val="6BDE1DCD"/>
    <w:rsid w:val="6BE181CA"/>
    <w:rsid w:val="6BE7EBDE"/>
    <w:rsid w:val="6BE884B1"/>
    <w:rsid w:val="6BECE0A4"/>
    <w:rsid w:val="6BED9973"/>
    <w:rsid w:val="6BF04E06"/>
    <w:rsid w:val="6BF1E82D"/>
    <w:rsid w:val="6BF20D35"/>
    <w:rsid w:val="6BF2D86D"/>
    <w:rsid w:val="6BF3671A"/>
    <w:rsid w:val="6BF76F45"/>
    <w:rsid w:val="6BFBF80E"/>
    <w:rsid w:val="6BFC389B"/>
    <w:rsid w:val="6BFC515F"/>
    <w:rsid w:val="6BFD8015"/>
    <w:rsid w:val="6BFECB59"/>
    <w:rsid w:val="6C0BFDA0"/>
    <w:rsid w:val="6C0E916D"/>
    <w:rsid w:val="6C139C30"/>
    <w:rsid w:val="6C149B24"/>
    <w:rsid w:val="6C181599"/>
    <w:rsid w:val="6C1D6359"/>
    <w:rsid w:val="6C277043"/>
    <w:rsid w:val="6C279DAB"/>
    <w:rsid w:val="6C2E2F92"/>
    <w:rsid w:val="6C31C360"/>
    <w:rsid w:val="6C3D26F5"/>
    <w:rsid w:val="6C4E7DCA"/>
    <w:rsid w:val="6C4F692A"/>
    <w:rsid w:val="6C5243D1"/>
    <w:rsid w:val="6C56C988"/>
    <w:rsid w:val="6C584F29"/>
    <w:rsid w:val="6C5B9C49"/>
    <w:rsid w:val="6C622CAE"/>
    <w:rsid w:val="6C64078C"/>
    <w:rsid w:val="6C6DDC54"/>
    <w:rsid w:val="6C740CCE"/>
    <w:rsid w:val="6C79CF45"/>
    <w:rsid w:val="6C7E8261"/>
    <w:rsid w:val="6C824665"/>
    <w:rsid w:val="6C84E5B0"/>
    <w:rsid w:val="6C8589B0"/>
    <w:rsid w:val="6C897B09"/>
    <w:rsid w:val="6C8E650B"/>
    <w:rsid w:val="6C92EC7E"/>
    <w:rsid w:val="6C992DD9"/>
    <w:rsid w:val="6CA11771"/>
    <w:rsid w:val="6CA43894"/>
    <w:rsid w:val="6CB3A8A1"/>
    <w:rsid w:val="6CB970D5"/>
    <w:rsid w:val="6CB9A819"/>
    <w:rsid w:val="6CBFFADC"/>
    <w:rsid w:val="6CC1A58B"/>
    <w:rsid w:val="6CC8E5D0"/>
    <w:rsid w:val="6CD0DC18"/>
    <w:rsid w:val="6CD6F0AF"/>
    <w:rsid w:val="6CD8D2AB"/>
    <w:rsid w:val="6CE29840"/>
    <w:rsid w:val="6CE9110C"/>
    <w:rsid w:val="6CF1B3CE"/>
    <w:rsid w:val="6CF1F85F"/>
    <w:rsid w:val="6CF4E838"/>
    <w:rsid w:val="6CFB19F8"/>
    <w:rsid w:val="6D029428"/>
    <w:rsid w:val="6D053AB9"/>
    <w:rsid w:val="6D0A85C2"/>
    <w:rsid w:val="6D0E2C67"/>
    <w:rsid w:val="6D1AC456"/>
    <w:rsid w:val="6D27D802"/>
    <w:rsid w:val="6D349247"/>
    <w:rsid w:val="6D3EAD86"/>
    <w:rsid w:val="6D454C85"/>
    <w:rsid w:val="6D4935F8"/>
    <w:rsid w:val="6D4B8BE2"/>
    <w:rsid w:val="6D5D119B"/>
    <w:rsid w:val="6D65DE31"/>
    <w:rsid w:val="6D6C2016"/>
    <w:rsid w:val="6D6FD59B"/>
    <w:rsid w:val="6D6FD5DB"/>
    <w:rsid w:val="6D7732F0"/>
    <w:rsid w:val="6D779CF1"/>
    <w:rsid w:val="6D8C628F"/>
    <w:rsid w:val="6D8F9EC3"/>
    <w:rsid w:val="6D9DB4D9"/>
    <w:rsid w:val="6DA7D9A6"/>
    <w:rsid w:val="6DAB9A4E"/>
    <w:rsid w:val="6DAF21A0"/>
    <w:rsid w:val="6DAF3D52"/>
    <w:rsid w:val="6DAF7673"/>
    <w:rsid w:val="6DB2F7DA"/>
    <w:rsid w:val="6DB3B0FA"/>
    <w:rsid w:val="6DB7FCA5"/>
    <w:rsid w:val="6DB8AF4A"/>
    <w:rsid w:val="6DBA33CD"/>
    <w:rsid w:val="6DBA7445"/>
    <w:rsid w:val="6DBFEC35"/>
    <w:rsid w:val="6DC3D72A"/>
    <w:rsid w:val="6DC7576B"/>
    <w:rsid w:val="6DCD2CB7"/>
    <w:rsid w:val="6DCE1C92"/>
    <w:rsid w:val="6DD0BDD1"/>
    <w:rsid w:val="6DD75A45"/>
    <w:rsid w:val="6DD96A46"/>
    <w:rsid w:val="6DDABBD5"/>
    <w:rsid w:val="6DE2A991"/>
    <w:rsid w:val="6DE3A8FA"/>
    <w:rsid w:val="6DE80A2C"/>
    <w:rsid w:val="6DEDFCA0"/>
    <w:rsid w:val="6DEE51F0"/>
    <w:rsid w:val="6DF5CF00"/>
    <w:rsid w:val="6DF8F8EE"/>
    <w:rsid w:val="6E085047"/>
    <w:rsid w:val="6E0E42F0"/>
    <w:rsid w:val="6E0E8A17"/>
    <w:rsid w:val="6E15AA3E"/>
    <w:rsid w:val="6E175DF8"/>
    <w:rsid w:val="6E29F310"/>
    <w:rsid w:val="6E2A0821"/>
    <w:rsid w:val="6E33937B"/>
    <w:rsid w:val="6E39F46F"/>
    <w:rsid w:val="6E3A1F45"/>
    <w:rsid w:val="6E5089B7"/>
    <w:rsid w:val="6E684BE3"/>
    <w:rsid w:val="6E68DD87"/>
    <w:rsid w:val="6E6F1870"/>
    <w:rsid w:val="6E76E5DD"/>
    <w:rsid w:val="6E7FE27D"/>
    <w:rsid w:val="6E883EA4"/>
    <w:rsid w:val="6E900810"/>
    <w:rsid w:val="6E9A6A3E"/>
    <w:rsid w:val="6EA9A46A"/>
    <w:rsid w:val="6EB8501D"/>
    <w:rsid w:val="6EC1D812"/>
    <w:rsid w:val="6EC3DA7A"/>
    <w:rsid w:val="6EC860E3"/>
    <w:rsid w:val="6EC8FB3E"/>
    <w:rsid w:val="6ED5964C"/>
    <w:rsid w:val="6EDB57AF"/>
    <w:rsid w:val="6EDCE0FC"/>
    <w:rsid w:val="6EDDCAEF"/>
    <w:rsid w:val="6EDE5651"/>
    <w:rsid w:val="6EDEC6F2"/>
    <w:rsid w:val="6EDEDA56"/>
    <w:rsid w:val="6EE11F0E"/>
    <w:rsid w:val="6EE97FE9"/>
    <w:rsid w:val="6EEA6A97"/>
    <w:rsid w:val="6EF22B5A"/>
    <w:rsid w:val="6EF22CC8"/>
    <w:rsid w:val="6EFA008D"/>
    <w:rsid w:val="6F06B921"/>
    <w:rsid w:val="6F0BFCAD"/>
    <w:rsid w:val="6F119E4E"/>
    <w:rsid w:val="6F1899DE"/>
    <w:rsid w:val="6F1DDDA7"/>
    <w:rsid w:val="6F1EEDCC"/>
    <w:rsid w:val="6F268E82"/>
    <w:rsid w:val="6F29C90B"/>
    <w:rsid w:val="6F2C0D46"/>
    <w:rsid w:val="6F2CD639"/>
    <w:rsid w:val="6F327780"/>
    <w:rsid w:val="6F328757"/>
    <w:rsid w:val="6F368B49"/>
    <w:rsid w:val="6F36D492"/>
    <w:rsid w:val="6F3949AB"/>
    <w:rsid w:val="6F3BDA80"/>
    <w:rsid w:val="6F48D99E"/>
    <w:rsid w:val="6F4D264E"/>
    <w:rsid w:val="6F4FEBC9"/>
    <w:rsid w:val="6F54824C"/>
    <w:rsid w:val="6F5549B1"/>
    <w:rsid w:val="6F633D20"/>
    <w:rsid w:val="6F652526"/>
    <w:rsid w:val="6F6612FB"/>
    <w:rsid w:val="6F661681"/>
    <w:rsid w:val="6F6BD3AA"/>
    <w:rsid w:val="6F738654"/>
    <w:rsid w:val="6F73B6B3"/>
    <w:rsid w:val="6F8A2090"/>
    <w:rsid w:val="6F8CA9ED"/>
    <w:rsid w:val="6F91208A"/>
    <w:rsid w:val="6F939DA7"/>
    <w:rsid w:val="6F9F1BA6"/>
    <w:rsid w:val="6FA1B512"/>
    <w:rsid w:val="6FB24F65"/>
    <w:rsid w:val="6FB36AE1"/>
    <w:rsid w:val="6FB3AE62"/>
    <w:rsid w:val="6FB59394"/>
    <w:rsid w:val="6FB840EC"/>
    <w:rsid w:val="6FB8DC0E"/>
    <w:rsid w:val="6FBF1892"/>
    <w:rsid w:val="6FC90015"/>
    <w:rsid w:val="6FD419DA"/>
    <w:rsid w:val="6FD4C706"/>
    <w:rsid w:val="6FD55236"/>
    <w:rsid w:val="6FD66521"/>
    <w:rsid w:val="6FD9714A"/>
    <w:rsid w:val="6FDB604E"/>
    <w:rsid w:val="6FDC97EF"/>
    <w:rsid w:val="6FE171F2"/>
    <w:rsid w:val="6FE6BB50"/>
    <w:rsid w:val="6FE76CF1"/>
    <w:rsid w:val="6FF1BEF8"/>
    <w:rsid w:val="6FF4B7D6"/>
    <w:rsid w:val="6FFA3E5A"/>
    <w:rsid w:val="70004BBF"/>
    <w:rsid w:val="7002CD0D"/>
    <w:rsid w:val="7003EA95"/>
    <w:rsid w:val="70075352"/>
    <w:rsid w:val="700B1DBD"/>
    <w:rsid w:val="700FA642"/>
    <w:rsid w:val="701008FD"/>
    <w:rsid w:val="701CB1B5"/>
    <w:rsid w:val="701DFF7E"/>
    <w:rsid w:val="7023D056"/>
    <w:rsid w:val="703119C0"/>
    <w:rsid w:val="70355B1E"/>
    <w:rsid w:val="704DC0B4"/>
    <w:rsid w:val="704E868C"/>
    <w:rsid w:val="70579E97"/>
    <w:rsid w:val="705C1166"/>
    <w:rsid w:val="706725D3"/>
    <w:rsid w:val="706BFD41"/>
    <w:rsid w:val="706CD937"/>
    <w:rsid w:val="707AE32F"/>
    <w:rsid w:val="707B2A67"/>
    <w:rsid w:val="708333AB"/>
    <w:rsid w:val="708A2D2B"/>
    <w:rsid w:val="7093BEAD"/>
    <w:rsid w:val="709F7D39"/>
    <w:rsid w:val="70A718DB"/>
    <w:rsid w:val="70A91427"/>
    <w:rsid w:val="70B06E5C"/>
    <w:rsid w:val="70B4E5F1"/>
    <w:rsid w:val="70C36129"/>
    <w:rsid w:val="70C6595A"/>
    <w:rsid w:val="70CC2042"/>
    <w:rsid w:val="70D70339"/>
    <w:rsid w:val="70D949B7"/>
    <w:rsid w:val="70DB9D1C"/>
    <w:rsid w:val="70DD46EF"/>
    <w:rsid w:val="70EC9F81"/>
    <w:rsid w:val="70EF3423"/>
    <w:rsid w:val="70EFA3DE"/>
    <w:rsid w:val="70F211E2"/>
    <w:rsid w:val="70F45AA3"/>
    <w:rsid w:val="70F57898"/>
    <w:rsid w:val="70FDAABD"/>
    <w:rsid w:val="7104744D"/>
    <w:rsid w:val="71125C97"/>
    <w:rsid w:val="71128116"/>
    <w:rsid w:val="71226A82"/>
    <w:rsid w:val="7125585E"/>
    <w:rsid w:val="713258B1"/>
    <w:rsid w:val="71345964"/>
    <w:rsid w:val="713651A2"/>
    <w:rsid w:val="713A1907"/>
    <w:rsid w:val="7140A473"/>
    <w:rsid w:val="714A65C6"/>
    <w:rsid w:val="714EDE97"/>
    <w:rsid w:val="7153DE87"/>
    <w:rsid w:val="7160520D"/>
    <w:rsid w:val="71694721"/>
    <w:rsid w:val="717663B4"/>
    <w:rsid w:val="7189D367"/>
    <w:rsid w:val="718A220F"/>
    <w:rsid w:val="718F91A0"/>
    <w:rsid w:val="71942B76"/>
    <w:rsid w:val="719828BD"/>
    <w:rsid w:val="719AA3F3"/>
    <w:rsid w:val="719AAD3C"/>
    <w:rsid w:val="719D6F67"/>
    <w:rsid w:val="71A1E287"/>
    <w:rsid w:val="71A6D450"/>
    <w:rsid w:val="71A770EF"/>
    <w:rsid w:val="71A9D3C2"/>
    <w:rsid w:val="71AE42CC"/>
    <w:rsid w:val="71B337D5"/>
    <w:rsid w:val="71B3FB1D"/>
    <w:rsid w:val="71BEE1C0"/>
    <w:rsid w:val="71C24E88"/>
    <w:rsid w:val="71C2EA1A"/>
    <w:rsid w:val="71C99798"/>
    <w:rsid w:val="71D0FBF0"/>
    <w:rsid w:val="71D6C32C"/>
    <w:rsid w:val="71DA74A2"/>
    <w:rsid w:val="71E2DF15"/>
    <w:rsid w:val="71E3C891"/>
    <w:rsid w:val="71E3F3C0"/>
    <w:rsid w:val="71EC472F"/>
    <w:rsid w:val="71EC6F81"/>
    <w:rsid w:val="71ED9B55"/>
    <w:rsid w:val="71F20F7B"/>
    <w:rsid w:val="7202F58B"/>
    <w:rsid w:val="72061D55"/>
    <w:rsid w:val="720625EC"/>
    <w:rsid w:val="72070D10"/>
    <w:rsid w:val="720E3FA2"/>
    <w:rsid w:val="7215C2A3"/>
    <w:rsid w:val="7219E311"/>
    <w:rsid w:val="721C7245"/>
    <w:rsid w:val="721E02DD"/>
    <w:rsid w:val="721FAAF9"/>
    <w:rsid w:val="7231848C"/>
    <w:rsid w:val="7236CDF3"/>
    <w:rsid w:val="7259E6F8"/>
    <w:rsid w:val="726CF683"/>
    <w:rsid w:val="726DF9C0"/>
    <w:rsid w:val="727E5086"/>
    <w:rsid w:val="7281FAA1"/>
    <w:rsid w:val="72831F19"/>
    <w:rsid w:val="728A0854"/>
    <w:rsid w:val="728B40DB"/>
    <w:rsid w:val="728FEEB0"/>
    <w:rsid w:val="729036D7"/>
    <w:rsid w:val="729DD8D7"/>
    <w:rsid w:val="729E5F76"/>
    <w:rsid w:val="72AA27E6"/>
    <w:rsid w:val="72AAB861"/>
    <w:rsid w:val="72AC5996"/>
    <w:rsid w:val="72B67315"/>
    <w:rsid w:val="72B9E445"/>
    <w:rsid w:val="72C196E7"/>
    <w:rsid w:val="72C38761"/>
    <w:rsid w:val="72CA7621"/>
    <w:rsid w:val="72CC67BF"/>
    <w:rsid w:val="72CD948A"/>
    <w:rsid w:val="72CF47C0"/>
    <w:rsid w:val="72D04208"/>
    <w:rsid w:val="72D8F8D8"/>
    <w:rsid w:val="72D9247D"/>
    <w:rsid w:val="72D9EE3D"/>
    <w:rsid w:val="72E0A9F5"/>
    <w:rsid w:val="72E11847"/>
    <w:rsid w:val="72E3BE03"/>
    <w:rsid w:val="72E8E6BF"/>
    <w:rsid w:val="72EC2D35"/>
    <w:rsid w:val="72ED5DB7"/>
    <w:rsid w:val="72EF9BBA"/>
    <w:rsid w:val="72F4832F"/>
    <w:rsid w:val="72F646DA"/>
    <w:rsid w:val="72F791C4"/>
    <w:rsid w:val="7302E6D5"/>
    <w:rsid w:val="730B1762"/>
    <w:rsid w:val="731411A9"/>
    <w:rsid w:val="73171C9E"/>
    <w:rsid w:val="731BD9B1"/>
    <w:rsid w:val="731D431A"/>
    <w:rsid w:val="731E0B2A"/>
    <w:rsid w:val="7323AC34"/>
    <w:rsid w:val="7330C728"/>
    <w:rsid w:val="73338D1C"/>
    <w:rsid w:val="7336CCE6"/>
    <w:rsid w:val="733CFB0C"/>
    <w:rsid w:val="7346C96E"/>
    <w:rsid w:val="734E1BFB"/>
    <w:rsid w:val="734FF476"/>
    <w:rsid w:val="73504987"/>
    <w:rsid w:val="735A69D3"/>
    <w:rsid w:val="735BB570"/>
    <w:rsid w:val="735DFFAA"/>
    <w:rsid w:val="7361F1B3"/>
    <w:rsid w:val="73663D39"/>
    <w:rsid w:val="736ACD9A"/>
    <w:rsid w:val="736E2B5F"/>
    <w:rsid w:val="7371B9CA"/>
    <w:rsid w:val="73751B98"/>
    <w:rsid w:val="7376DDE6"/>
    <w:rsid w:val="737F018D"/>
    <w:rsid w:val="73837497"/>
    <w:rsid w:val="73866F53"/>
    <w:rsid w:val="738983D5"/>
    <w:rsid w:val="738BA49E"/>
    <w:rsid w:val="7399BEC0"/>
    <w:rsid w:val="739CDF5A"/>
    <w:rsid w:val="73A41F76"/>
    <w:rsid w:val="73AF037B"/>
    <w:rsid w:val="73AFFB7E"/>
    <w:rsid w:val="73B32213"/>
    <w:rsid w:val="73BAD8AE"/>
    <w:rsid w:val="73BB39D0"/>
    <w:rsid w:val="73BDB835"/>
    <w:rsid w:val="73C0E10C"/>
    <w:rsid w:val="73C4A485"/>
    <w:rsid w:val="73CF16DC"/>
    <w:rsid w:val="73D64F22"/>
    <w:rsid w:val="73DB14C2"/>
    <w:rsid w:val="73DED68F"/>
    <w:rsid w:val="73DFF955"/>
    <w:rsid w:val="73E3EDCB"/>
    <w:rsid w:val="73E41491"/>
    <w:rsid w:val="73EAE2E9"/>
    <w:rsid w:val="73F1762A"/>
    <w:rsid w:val="73F32D8C"/>
    <w:rsid w:val="73F4D19C"/>
    <w:rsid w:val="73F53904"/>
    <w:rsid w:val="73FF19F1"/>
    <w:rsid w:val="74009CB1"/>
    <w:rsid w:val="7405CFCB"/>
    <w:rsid w:val="740E18E2"/>
    <w:rsid w:val="7411ED8F"/>
    <w:rsid w:val="7412CB14"/>
    <w:rsid w:val="74176392"/>
    <w:rsid w:val="74189258"/>
    <w:rsid w:val="74245879"/>
    <w:rsid w:val="74251B14"/>
    <w:rsid w:val="742EA469"/>
    <w:rsid w:val="742F1699"/>
    <w:rsid w:val="7430CB7A"/>
    <w:rsid w:val="744B1F8E"/>
    <w:rsid w:val="744DA815"/>
    <w:rsid w:val="744DCBC7"/>
    <w:rsid w:val="745AC81D"/>
    <w:rsid w:val="74666108"/>
    <w:rsid w:val="74672936"/>
    <w:rsid w:val="74718717"/>
    <w:rsid w:val="74735D87"/>
    <w:rsid w:val="74829948"/>
    <w:rsid w:val="74847484"/>
    <w:rsid w:val="748AFD22"/>
    <w:rsid w:val="74902BC1"/>
    <w:rsid w:val="7490303D"/>
    <w:rsid w:val="7493D4E2"/>
    <w:rsid w:val="74A770B0"/>
    <w:rsid w:val="74A8EDA7"/>
    <w:rsid w:val="74AED55E"/>
    <w:rsid w:val="74B6BE64"/>
    <w:rsid w:val="74BBE9EA"/>
    <w:rsid w:val="74C59331"/>
    <w:rsid w:val="74C68C0E"/>
    <w:rsid w:val="74C9A145"/>
    <w:rsid w:val="74C9D97B"/>
    <w:rsid w:val="74CAFBD9"/>
    <w:rsid w:val="74D09082"/>
    <w:rsid w:val="74D5F103"/>
    <w:rsid w:val="74D5F46C"/>
    <w:rsid w:val="74D80970"/>
    <w:rsid w:val="74DF11B1"/>
    <w:rsid w:val="74F795F0"/>
    <w:rsid w:val="74FA8638"/>
    <w:rsid w:val="750367CB"/>
    <w:rsid w:val="750C0BCC"/>
    <w:rsid w:val="750D5D2A"/>
    <w:rsid w:val="750E7F07"/>
    <w:rsid w:val="75195FDF"/>
    <w:rsid w:val="751A5BA2"/>
    <w:rsid w:val="7521A19F"/>
    <w:rsid w:val="753954B6"/>
    <w:rsid w:val="753D22B8"/>
    <w:rsid w:val="7548B3A5"/>
    <w:rsid w:val="754994EC"/>
    <w:rsid w:val="75595892"/>
    <w:rsid w:val="755AD508"/>
    <w:rsid w:val="755E3764"/>
    <w:rsid w:val="7562E6C2"/>
    <w:rsid w:val="75632756"/>
    <w:rsid w:val="7567DC75"/>
    <w:rsid w:val="757456A5"/>
    <w:rsid w:val="757E05F7"/>
    <w:rsid w:val="757E4C17"/>
    <w:rsid w:val="757EC3FF"/>
    <w:rsid w:val="7583DDC2"/>
    <w:rsid w:val="75974F04"/>
    <w:rsid w:val="75A4181A"/>
    <w:rsid w:val="75A66E61"/>
    <w:rsid w:val="75B02136"/>
    <w:rsid w:val="75B18A59"/>
    <w:rsid w:val="75B1D6C9"/>
    <w:rsid w:val="75B51D62"/>
    <w:rsid w:val="75BB614F"/>
    <w:rsid w:val="75BE7C37"/>
    <w:rsid w:val="75D3E157"/>
    <w:rsid w:val="75D844C0"/>
    <w:rsid w:val="75E1B557"/>
    <w:rsid w:val="75E5D626"/>
    <w:rsid w:val="75EB25B0"/>
    <w:rsid w:val="75EEA74C"/>
    <w:rsid w:val="75F1CA43"/>
    <w:rsid w:val="75F1D0CE"/>
    <w:rsid w:val="75F44F94"/>
    <w:rsid w:val="75F57549"/>
    <w:rsid w:val="75FDB95B"/>
    <w:rsid w:val="761B6A05"/>
    <w:rsid w:val="7637CDA3"/>
    <w:rsid w:val="763D7C71"/>
    <w:rsid w:val="763E4A39"/>
    <w:rsid w:val="76445A70"/>
    <w:rsid w:val="764E9750"/>
    <w:rsid w:val="765CFE5C"/>
    <w:rsid w:val="7660F41D"/>
    <w:rsid w:val="7665AD12"/>
    <w:rsid w:val="7666B83D"/>
    <w:rsid w:val="766B6E84"/>
    <w:rsid w:val="7672F97A"/>
    <w:rsid w:val="7673BC23"/>
    <w:rsid w:val="76781727"/>
    <w:rsid w:val="768535CC"/>
    <w:rsid w:val="76880B06"/>
    <w:rsid w:val="7688A3A8"/>
    <w:rsid w:val="768F9FFB"/>
    <w:rsid w:val="7696BA73"/>
    <w:rsid w:val="769F7BAD"/>
    <w:rsid w:val="76A03FCC"/>
    <w:rsid w:val="76A2A8EE"/>
    <w:rsid w:val="76A2B234"/>
    <w:rsid w:val="76A482EF"/>
    <w:rsid w:val="76C18B40"/>
    <w:rsid w:val="76C62029"/>
    <w:rsid w:val="76CBB35F"/>
    <w:rsid w:val="76CC2445"/>
    <w:rsid w:val="76CF8507"/>
    <w:rsid w:val="76CFCAA8"/>
    <w:rsid w:val="76D00F5F"/>
    <w:rsid w:val="76DB5525"/>
    <w:rsid w:val="76DE167A"/>
    <w:rsid w:val="76E099F1"/>
    <w:rsid w:val="76E1A5FA"/>
    <w:rsid w:val="76E251A7"/>
    <w:rsid w:val="76E3B79D"/>
    <w:rsid w:val="76E5365C"/>
    <w:rsid w:val="76EA71D2"/>
    <w:rsid w:val="76EC22D7"/>
    <w:rsid w:val="76FD620E"/>
    <w:rsid w:val="76FEEAAB"/>
    <w:rsid w:val="7704EF4C"/>
    <w:rsid w:val="77074E6F"/>
    <w:rsid w:val="77077879"/>
    <w:rsid w:val="7708C1D2"/>
    <w:rsid w:val="7708C4B4"/>
    <w:rsid w:val="771687BC"/>
    <w:rsid w:val="77188E66"/>
    <w:rsid w:val="771F5E28"/>
    <w:rsid w:val="7722EC38"/>
    <w:rsid w:val="77261C64"/>
    <w:rsid w:val="7728DE80"/>
    <w:rsid w:val="772C793C"/>
    <w:rsid w:val="772F9BE3"/>
    <w:rsid w:val="772FF7DC"/>
    <w:rsid w:val="77333182"/>
    <w:rsid w:val="7733F2A1"/>
    <w:rsid w:val="77415BFF"/>
    <w:rsid w:val="77528F82"/>
    <w:rsid w:val="7754C487"/>
    <w:rsid w:val="775D5B3B"/>
    <w:rsid w:val="775EEE87"/>
    <w:rsid w:val="775F8184"/>
    <w:rsid w:val="7763D2E6"/>
    <w:rsid w:val="7767973C"/>
    <w:rsid w:val="77782A52"/>
    <w:rsid w:val="778239E4"/>
    <w:rsid w:val="7782D187"/>
    <w:rsid w:val="779BF1B8"/>
    <w:rsid w:val="779C1806"/>
    <w:rsid w:val="779C18BF"/>
    <w:rsid w:val="77A4A132"/>
    <w:rsid w:val="77A8BE2D"/>
    <w:rsid w:val="77AB0030"/>
    <w:rsid w:val="77B6FAF6"/>
    <w:rsid w:val="77B88CF2"/>
    <w:rsid w:val="77B8FDCB"/>
    <w:rsid w:val="77B92697"/>
    <w:rsid w:val="77BACB99"/>
    <w:rsid w:val="77BCD8E4"/>
    <w:rsid w:val="77C2BCE5"/>
    <w:rsid w:val="77C2E35D"/>
    <w:rsid w:val="77D38867"/>
    <w:rsid w:val="77D3C1DC"/>
    <w:rsid w:val="77D43810"/>
    <w:rsid w:val="77D7F2B4"/>
    <w:rsid w:val="77E185C1"/>
    <w:rsid w:val="77E39827"/>
    <w:rsid w:val="77E67FB0"/>
    <w:rsid w:val="77E736B2"/>
    <w:rsid w:val="77EDD00F"/>
    <w:rsid w:val="77EE67AA"/>
    <w:rsid w:val="77F0A658"/>
    <w:rsid w:val="77F5B2CD"/>
    <w:rsid w:val="77F70DD7"/>
    <w:rsid w:val="77F9608E"/>
    <w:rsid w:val="77FF1C8A"/>
    <w:rsid w:val="78057F07"/>
    <w:rsid w:val="7808BA94"/>
    <w:rsid w:val="780ADA8C"/>
    <w:rsid w:val="780C56A1"/>
    <w:rsid w:val="780EBF8D"/>
    <w:rsid w:val="781E9BB9"/>
    <w:rsid w:val="78297F9B"/>
    <w:rsid w:val="7832D1EC"/>
    <w:rsid w:val="783446F6"/>
    <w:rsid w:val="78351EF2"/>
    <w:rsid w:val="7836EFC8"/>
    <w:rsid w:val="783CF06E"/>
    <w:rsid w:val="783EC574"/>
    <w:rsid w:val="783FCDE3"/>
    <w:rsid w:val="7841F119"/>
    <w:rsid w:val="784253B5"/>
    <w:rsid w:val="7847CED0"/>
    <w:rsid w:val="78559219"/>
    <w:rsid w:val="785E7019"/>
    <w:rsid w:val="78620153"/>
    <w:rsid w:val="7864085F"/>
    <w:rsid w:val="78682200"/>
    <w:rsid w:val="786AB8C7"/>
    <w:rsid w:val="787BD314"/>
    <w:rsid w:val="78800766"/>
    <w:rsid w:val="7889511F"/>
    <w:rsid w:val="788AD266"/>
    <w:rsid w:val="78926ACB"/>
    <w:rsid w:val="78A42C6F"/>
    <w:rsid w:val="78B63417"/>
    <w:rsid w:val="78B6C4C5"/>
    <w:rsid w:val="78C219A2"/>
    <w:rsid w:val="78CC0DEF"/>
    <w:rsid w:val="78D07A7A"/>
    <w:rsid w:val="78D4FA16"/>
    <w:rsid w:val="78DE5460"/>
    <w:rsid w:val="78DEC973"/>
    <w:rsid w:val="78E89773"/>
    <w:rsid w:val="78EF2319"/>
    <w:rsid w:val="78EF7FE4"/>
    <w:rsid w:val="78F1F8E4"/>
    <w:rsid w:val="79004684"/>
    <w:rsid w:val="7901AF92"/>
    <w:rsid w:val="7906B01B"/>
    <w:rsid w:val="79139D71"/>
    <w:rsid w:val="791A3F2D"/>
    <w:rsid w:val="79239CD7"/>
    <w:rsid w:val="79246295"/>
    <w:rsid w:val="792A9911"/>
    <w:rsid w:val="793982E3"/>
    <w:rsid w:val="793F9FD0"/>
    <w:rsid w:val="79428A94"/>
    <w:rsid w:val="7946CAF9"/>
    <w:rsid w:val="79496CF2"/>
    <w:rsid w:val="794C4626"/>
    <w:rsid w:val="794D1566"/>
    <w:rsid w:val="794DA67A"/>
    <w:rsid w:val="7955D26F"/>
    <w:rsid w:val="7957F557"/>
    <w:rsid w:val="79587E27"/>
    <w:rsid w:val="795BB799"/>
    <w:rsid w:val="796626B8"/>
    <w:rsid w:val="79669B25"/>
    <w:rsid w:val="796E81BF"/>
    <w:rsid w:val="796ED26C"/>
    <w:rsid w:val="797367CB"/>
    <w:rsid w:val="797CA716"/>
    <w:rsid w:val="797F3603"/>
    <w:rsid w:val="7980C15B"/>
    <w:rsid w:val="798E17C8"/>
    <w:rsid w:val="7992CCD6"/>
    <w:rsid w:val="79968C2D"/>
    <w:rsid w:val="799C9309"/>
    <w:rsid w:val="79A0965F"/>
    <w:rsid w:val="79AE96DF"/>
    <w:rsid w:val="79B52E99"/>
    <w:rsid w:val="79C648EE"/>
    <w:rsid w:val="79C93B0D"/>
    <w:rsid w:val="79CCE2C0"/>
    <w:rsid w:val="79D121CA"/>
    <w:rsid w:val="79D4E23E"/>
    <w:rsid w:val="79DA09E7"/>
    <w:rsid w:val="79E6D37C"/>
    <w:rsid w:val="79EC109F"/>
    <w:rsid w:val="79F4ED74"/>
    <w:rsid w:val="79F58267"/>
    <w:rsid w:val="79FBEDC0"/>
    <w:rsid w:val="79FC0A36"/>
    <w:rsid w:val="79FCF76C"/>
    <w:rsid w:val="7A0272D6"/>
    <w:rsid w:val="7A02C450"/>
    <w:rsid w:val="7A04980D"/>
    <w:rsid w:val="7A0C18E0"/>
    <w:rsid w:val="7A0C6729"/>
    <w:rsid w:val="7A0EA375"/>
    <w:rsid w:val="7A161D52"/>
    <w:rsid w:val="7A1C7599"/>
    <w:rsid w:val="7A1D5FDE"/>
    <w:rsid w:val="7A1E87E6"/>
    <w:rsid w:val="7A22FA73"/>
    <w:rsid w:val="7A2A96D7"/>
    <w:rsid w:val="7A3397BA"/>
    <w:rsid w:val="7A352654"/>
    <w:rsid w:val="7A38613D"/>
    <w:rsid w:val="7A39BAB1"/>
    <w:rsid w:val="7A42D92C"/>
    <w:rsid w:val="7A449B88"/>
    <w:rsid w:val="7A48408D"/>
    <w:rsid w:val="7A5C1309"/>
    <w:rsid w:val="7A5F5654"/>
    <w:rsid w:val="7A5F9BC0"/>
    <w:rsid w:val="7A670C58"/>
    <w:rsid w:val="7A6ABB2A"/>
    <w:rsid w:val="7A711F8A"/>
    <w:rsid w:val="7A76F312"/>
    <w:rsid w:val="7A7E65EF"/>
    <w:rsid w:val="7A84A471"/>
    <w:rsid w:val="7A850D94"/>
    <w:rsid w:val="7A8A333A"/>
    <w:rsid w:val="7A8AC628"/>
    <w:rsid w:val="7A94B70B"/>
    <w:rsid w:val="7AA6E643"/>
    <w:rsid w:val="7AAA1F21"/>
    <w:rsid w:val="7AAD800C"/>
    <w:rsid w:val="7AAE9585"/>
    <w:rsid w:val="7AB455C3"/>
    <w:rsid w:val="7AB61679"/>
    <w:rsid w:val="7AC0ED4D"/>
    <w:rsid w:val="7AC559B1"/>
    <w:rsid w:val="7AC68543"/>
    <w:rsid w:val="7AC82ED1"/>
    <w:rsid w:val="7AC9D32B"/>
    <w:rsid w:val="7ACC78BD"/>
    <w:rsid w:val="7AD00057"/>
    <w:rsid w:val="7AD76DB3"/>
    <w:rsid w:val="7AD9A176"/>
    <w:rsid w:val="7ADC8FED"/>
    <w:rsid w:val="7AE5AC91"/>
    <w:rsid w:val="7AF2AE44"/>
    <w:rsid w:val="7B02A4B1"/>
    <w:rsid w:val="7B0F3D7E"/>
    <w:rsid w:val="7B1440D7"/>
    <w:rsid w:val="7B156732"/>
    <w:rsid w:val="7B1C82C6"/>
    <w:rsid w:val="7B1D476C"/>
    <w:rsid w:val="7B21A955"/>
    <w:rsid w:val="7B236027"/>
    <w:rsid w:val="7B24947D"/>
    <w:rsid w:val="7B2BE95D"/>
    <w:rsid w:val="7B2E19D8"/>
    <w:rsid w:val="7B2F92CE"/>
    <w:rsid w:val="7B35BB2C"/>
    <w:rsid w:val="7B36559C"/>
    <w:rsid w:val="7B38D89F"/>
    <w:rsid w:val="7B3917B0"/>
    <w:rsid w:val="7B3E0385"/>
    <w:rsid w:val="7B490EBE"/>
    <w:rsid w:val="7B4DC303"/>
    <w:rsid w:val="7B5876A5"/>
    <w:rsid w:val="7B5EDFA4"/>
    <w:rsid w:val="7B6D0398"/>
    <w:rsid w:val="7B6DB95E"/>
    <w:rsid w:val="7B6EF45C"/>
    <w:rsid w:val="7B71433B"/>
    <w:rsid w:val="7B73A851"/>
    <w:rsid w:val="7B7450A5"/>
    <w:rsid w:val="7B74869A"/>
    <w:rsid w:val="7B763134"/>
    <w:rsid w:val="7B7975FE"/>
    <w:rsid w:val="7B7DD49E"/>
    <w:rsid w:val="7B827807"/>
    <w:rsid w:val="7B8BBF84"/>
    <w:rsid w:val="7B912200"/>
    <w:rsid w:val="7B920281"/>
    <w:rsid w:val="7B94C6F9"/>
    <w:rsid w:val="7B98A3C1"/>
    <w:rsid w:val="7B9CB47F"/>
    <w:rsid w:val="7B9D3D1D"/>
    <w:rsid w:val="7BA12225"/>
    <w:rsid w:val="7BAE1866"/>
    <w:rsid w:val="7BB3DE7F"/>
    <w:rsid w:val="7BC29809"/>
    <w:rsid w:val="7BC5E9FF"/>
    <w:rsid w:val="7BC9556E"/>
    <w:rsid w:val="7BCBED4F"/>
    <w:rsid w:val="7BD156DC"/>
    <w:rsid w:val="7BD6D1EB"/>
    <w:rsid w:val="7BE3A163"/>
    <w:rsid w:val="7BF37ADD"/>
    <w:rsid w:val="7BF4F10B"/>
    <w:rsid w:val="7BFBA1A6"/>
    <w:rsid w:val="7BFE99AA"/>
    <w:rsid w:val="7C03F627"/>
    <w:rsid w:val="7C0BD3B1"/>
    <w:rsid w:val="7C0DCF76"/>
    <w:rsid w:val="7C1142C4"/>
    <w:rsid w:val="7C1B7F45"/>
    <w:rsid w:val="7C1E719E"/>
    <w:rsid w:val="7C21878E"/>
    <w:rsid w:val="7C250176"/>
    <w:rsid w:val="7C271F98"/>
    <w:rsid w:val="7C287861"/>
    <w:rsid w:val="7C2C788C"/>
    <w:rsid w:val="7C2CEC6B"/>
    <w:rsid w:val="7C31482D"/>
    <w:rsid w:val="7C32B501"/>
    <w:rsid w:val="7C32C157"/>
    <w:rsid w:val="7C3B8488"/>
    <w:rsid w:val="7C3FAEA1"/>
    <w:rsid w:val="7C445EBC"/>
    <w:rsid w:val="7C46AE0B"/>
    <w:rsid w:val="7C482182"/>
    <w:rsid w:val="7C4DFA27"/>
    <w:rsid w:val="7C510A2C"/>
    <w:rsid w:val="7C550F3E"/>
    <w:rsid w:val="7C5AD43D"/>
    <w:rsid w:val="7C5BC16A"/>
    <w:rsid w:val="7C612CFD"/>
    <w:rsid w:val="7C68F07F"/>
    <w:rsid w:val="7C6FF3B4"/>
    <w:rsid w:val="7C73DF58"/>
    <w:rsid w:val="7C7A933E"/>
    <w:rsid w:val="7C7B490D"/>
    <w:rsid w:val="7C891BC3"/>
    <w:rsid w:val="7C8A74E1"/>
    <w:rsid w:val="7C8F4691"/>
    <w:rsid w:val="7C975D49"/>
    <w:rsid w:val="7C9D8F4D"/>
    <w:rsid w:val="7CAB712E"/>
    <w:rsid w:val="7CAC6433"/>
    <w:rsid w:val="7CAD15B2"/>
    <w:rsid w:val="7CB917CD"/>
    <w:rsid w:val="7CC8BF18"/>
    <w:rsid w:val="7CCE59AF"/>
    <w:rsid w:val="7CCE5B02"/>
    <w:rsid w:val="7CE85E29"/>
    <w:rsid w:val="7CEC7AD3"/>
    <w:rsid w:val="7CF6FCE0"/>
    <w:rsid w:val="7D002848"/>
    <w:rsid w:val="7D005737"/>
    <w:rsid w:val="7D027599"/>
    <w:rsid w:val="7D0A74AB"/>
    <w:rsid w:val="7D0DC853"/>
    <w:rsid w:val="7D1077FA"/>
    <w:rsid w:val="7D10A129"/>
    <w:rsid w:val="7D126791"/>
    <w:rsid w:val="7D1376CC"/>
    <w:rsid w:val="7D13FCC0"/>
    <w:rsid w:val="7D14E8F4"/>
    <w:rsid w:val="7D15AF63"/>
    <w:rsid w:val="7D27844C"/>
    <w:rsid w:val="7D282A6A"/>
    <w:rsid w:val="7D2A8F39"/>
    <w:rsid w:val="7D2E2157"/>
    <w:rsid w:val="7D2F3545"/>
    <w:rsid w:val="7D3C4307"/>
    <w:rsid w:val="7D3D0A44"/>
    <w:rsid w:val="7D3E997C"/>
    <w:rsid w:val="7D5FC573"/>
    <w:rsid w:val="7D63379B"/>
    <w:rsid w:val="7D6754D8"/>
    <w:rsid w:val="7D68BD13"/>
    <w:rsid w:val="7D6CCEB3"/>
    <w:rsid w:val="7D70A22F"/>
    <w:rsid w:val="7D7461F4"/>
    <w:rsid w:val="7D7CB1A2"/>
    <w:rsid w:val="7D81FD78"/>
    <w:rsid w:val="7D82E607"/>
    <w:rsid w:val="7D84AB2C"/>
    <w:rsid w:val="7D84FB60"/>
    <w:rsid w:val="7D8C952D"/>
    <w:rsid w:val="7D8D44AC"/>
    <w:rsid w:val="7D9C1367"/>
    <w:rsid w:val="7DA1C128"/>
    <w:rsid w:val="7DA254A8"/>
    <w:rsid w:val="7DA49068"/>
    <w:rsid w:val="7DA94677"/>
    <w:rsid w:val="7DB03997"/>
    <w:rsid w:val="7DB08575"/>
    <w:rsid w:val="7DB27CED"/>
    <w:rsid w:val="7DB323E9"/>
    <w:rsid w:val="7DB701A4"/>
    <w:rsid w:val="7DC419FB"/>
    <w:rsid w:val="7DC50C49"/>
    <w:rsid w:val="7DD1699A"/>
    <w:rsid w:val="7DD5ACE0"/>
    <w:rsid w:val="7DD64400"/>
    <w:rsid w:val="7DD85EB5"/>
    <w:rsid w:val="7DE4257C"/>
    <w:rsid w:val="7DEEB39D"/>
    <w:rsid w:val="7DF0F357"/>
    <w:rsid w:val="7DF949B2"/>
    <w:rsid w:val="7DFA40EF"/>
    <w:rsid w:val="7E09710D"/>
    <w:rsid w:val="7E0998E2"/>
    <w:rsid w:val="7E109B32"/>
    <w:rsid w:val="7E1788B1"/>
    <w:rsid w:val="7E191601"/>
    <w:rsid w:val="7E195206"/>
    <w:rsid w:val="7E19FF05"/>
    <w:rsid w:val="7E2235C4"/>
    <w:rsid w:val="7E26F7DE"/>
    <w:rsid w:val="7E2C373E"/>
    <w:rsid w:val="7E31B82D"/>
    <w:rsid w:val="7E33A0E7"/>
    <w:rsid w:val="7E4A6DCB"/>
    <w:rsid w:val="7E56D5F8"/>
    <w:rsid w:val="7E5B6A6A"/>
    <w:rsid w:val="7E5BEF1E"/>
    <w:rsid w:val="7E5D993D"/>
    <w:rsid w:val="7E5F828D"/>
    <w:rsid w:val="7E619CE3"/>
    <w:rsid w:val="7E71AE43"/>
    <w:rsid w:val="7E7ACB61"/>
    <w:rsid w:val="7E856855"/>
    <w:rsid w:val="7E85A184"/>
    <w:rsid w:val="7E88A400"/>
    <w:rsid w:val="7E8964AE"/>
    <w:rsid w:val="7E8ACFF1"/>
    <w:rsid w:val="7E8FBD58"/>
    <w:rsid w:val="7E9108EE"/>
    <w:rsid w:val="7E941376"/>
    <w:rsid w:val="7E97C76E"/>
    <w:rsid w:val="7E97E3AB"/>
    <w:rsid w:val="7E9945CE"/>
    <w:rsid w:val="7E9E9DD5"/>
    <w:rsid w:val="7EA4A45A"/>
    <w:rsid w:val="7EA568AC"/>
    <w:rsid w:val="7EA7BC48"/>
    <w:rsid w:val="7EA91AA1"/>
    <w:rsid w:val="7EA97C5B"/>
    <w:rsid w:val="7EA99151"/>
    <w:rsid w:val="7EA9DCA0"/>
    <w:rsid w:val="7EB82740"/>
    <w:rsid w:val="7EBB2B37"/>
    <w:rsid w:val="7EC76D4F"/>
    <w:rsid w:val="7ECCC06E"/>
    <w:rsid w:val="7ECF5D13"/>
    <w:rsid w:val="7ED86617"/>
    <w:rsid w:val="7EE8B1A5"/>
    <w:rsid w:val="7EEA4BB7"/>
    <w:rsid w:val="7EF040E9"/>
    <w:rsid w:val="7EF5A05F"/>
    <w:rsid w:val="7EF69BD0"/>
    <w:rsid w:val="7EF833A9"/>
    <w:rsid w:val="7EF93E05"/>
    <w:rsid w:val="7EFA6A73"/>
    <w:rsid w:val="7EFEE4AA"/>
    <w:rsid w:val="7EFFF052"/>
    <w:rsid w:val="7F0BEFA1"/>
    <w:rsid w:val="7F0E84C1"/>
    <w:rsid w:val="7F101F16"/>
    <w:rsid w:val="7F11DF6B"/>
    <w:rsid w:val="7F187E0F"/>
    <w:rsid w:val="7F224682"/>
    <w:rsid w:val="7F26A1FD"/>
    <w:rsid w:val="7F2967DA"/>
    <w:rsid w:val="7F322200"/>
    <w:rsid w:val="7F394198"/>
    <w:rsid w:val="7F4006C8"/>
    <w:rsid w:val="7F5098A7"/>
    <w:rsid w:val="7F5AFC35"/>
    <w:rsid w:val="7F6083E6"/>
    <w:rsid w:val="7F6B703A"/>
    <w:rsid w:val="7F750918"/>
    <w:rsid w:val="7F7C842E"/>
    <w:rsid w:val="7F7E2836"/>
    <w:rsid w:val="7F7EA37A"/>
    <w:rsid w:val="7F836805"/>
    <w:rsid w:val="7F85BA6F"/>
    <w:rsid w:val="7F89EE15"/>
    <w:rsid w:val="7F8CB000"/>
    <w:rsid w:val="7F8D17FF"/>
    <w:rsid w:val="7F8FFDDC"/>
    <w:rsid w:val="7F986BF5"/>
    <w:rsid w:val="7FA10F94"/>
    <w:rsid w:val="7FA31E18"/>
    <w:rsid w:val="7FAB801A"/>
    <w:rsid w:val="7FAC37CF"/>
    <w:rsid w:val="7FAD0993"/>
    <w:rsid w:val="7FAD8559"/>
    <w:rsid w:val="7FAE6F17"/>
    <w:rsid w:val="7FAE92B2"/>
    <w:rsid w:val="7FB29E68"/>
    <w:rsid w:val="7FBBC9B8"/>
    <w:rsid w:val="7FBD16AB"/>
    <w:rsid w:val="7FC054FD"/>
    <w:rsid w:val="7FC139AD"/>
    <w:rsid w:val="7FCA76C7"/>
    <w:rsid w:val="7FCE3F1A"/>
    <w:rsid w:val="7FD3C4A3"/>
    <w:rsid w:val="7FD5BCC1"/>
    <w:rsid w:val="7FDA33F3"/>
    <w:rsid w:val="7FDC2510"/>
    <w:rsid w:val="7FE22F9C"/>
    <w:rsid w:val="7FE9265B"/>
    <w:rsid w:val="7FEBE89A"/>
    <w:rsid w:val="7FED4E2B"/>
    <w:rsid w:val="7FEDECD8"/>
    <w:rsid w:val="7FFF5491"/>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B64FC"/>
  <w15:chartTrackingRefBased/>
  <w15:docId w15:val="{E82292F7-D6B2-41B4-8CA9-1BD56E03F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873"/>
  </w:style>
  <w:style w:type="paragraph" w:styleId="Heading1">
    <w:name w:val="heading 1"/>
    <w:basedOn w:val="Normal"/>
    <w:next w:val="Normal"/>
    <w:link w:val="Heading1Char"/>
    <w:uiPriority w:val="9"/>
    <w:qFormat/>
    <w:rsid w:val="003B5873"/>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3B5873"/>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B5873"/>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5873"/>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3B587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3B587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3B587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C139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C139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873"/>
    <w:pPr>
      <w:tabs>
        <w:tab w:val="right" w:pos="9638"/>
      </w:tabs>
    </w:pPr>
  </w:style>
  <w:style w:type="character" w:customStyle="1" w:styleId="HeaderChar">
    <w:name w:val="Header Char"/>
    <w:basedOn w:val="DefaultParagraphFont"/>
    <w:link w:val="Header"/>
    <w:uiPriority w:val="99"/>
    <w:rsid w:val="00AA79E8"/>
  </w:style>
  <w:style w:type="paragraph" w:styleId="Footer">
    <w:name w:val="footer"/>
    <w:basedOn w:val="Normal"/>
    <w:link w:val="FooterChar"/>
    <w:uiPriority w:val="99"/>
    <w:unhideWhenUsed/>
    <w:rsid w:val="003B5873"/>
    <w:pPr>
      <w:tabs>
        <w:tab w:val="center" w:pos="4819"/>
        <w:tab w:val="center" w:pos="7370"/>
        <w:tab w:val="right" w:pos="9638"/>
      </w:tabs>
      <w:spacing w:after="0" w:line="240" w:lineRule="auto"/>
    </w:pPr>
  </w:style>
  <w:style w:type="character" w:customStyle="1" w:styleId="FooterChar">
    <w:name w:val="Footer Char"/>
    <w:basedOn w:val="DefaultParagraphFont"/>
    <w:link w:val="Footer"/>
    <w:uiPriority w:val="99"/>
    <w:rsid w:val="00AA79E8"/>
  </w:style>
  <w:style w:type="paragraph" w:styleId="FootnoteText">
    <w:name w:val="footnote text"/>
    <w:basedOn w:val="Normal"/>
    <w:link w:val="FootnoteTextChar"/>
    <w:uiPriority w:val="99"/>
    <w:unhideWhenUsed/>
    <w:rsid w:val="003B5873"/>
    <w:pPr>
      <w:spacing w:after="0" w:line="240" w:lineRule="auto"/>
      <w:ind w:left="720" w:hanging="720"/>
    </w:pPr>
    <w:rPr>
      <w:szCs w:val="20"/>
    </w:rPr>
  </w:style>
  <w:style w:type="character" w:customStyle="1" w:styleId="FootnoteTextChar">
    <w:name w:val="Footnote Text Char"/>
    <w:basedOn w:val="DefaultParagraphFont"/>
    <w:link w:val="FootnoteText"/>
    <w:uiPriority w:val="99"/>
    <w:rsid w:val="00AA79E8"/>
    <w:rPr>
      <w:szCs w:val="20"/>
    </w:rPr>
  </w:style>
  <w:style w:type="paragraph" w:customStyle="1" w:styleId="HeaderLandscape">
    <w:name w:val="HeaderLandscape"/>
    <w:basedOn w:val="Normal"/>
    <w:rsid w:val="003B5873"/>
    <w:pPr>
      <w:tabs>
        <w:tab w:val="right" w:pos="14570"/>
      </w:tabs>
    </w:pPr>
  </w:style>
  <w:style w:type="paragraph" w:customStyle="1" w:styleId="FooterLandscape">
    <w:name w:val="FooterLandscape"/>
    <w:basedOn w:val="Normal"/>
    <w:rsid w:val="003B5873"/>
    <w:pPr>
      <w:tabs>
        <w:tab w:val="center" w:pos="7285"/>
        <w:tab w:val="center" w:pos="10930"/>
        <w:tab w:val="right" w:pos="14570"/>
      </w:tabs>
      <w:spacing w:after="0" w:line="240" w:lineRule="auto"/>
    </w:pPr>
  </w:style>
  <w:style w:type="character" w:styleId="FootnoteReference">
    <w:name w:val="footnote reference"/>
    <w:basedOn w:val="DefaultParagraphFont"/>
    <w:uiPriority w:val="99"/>
    <w:unhideWhenUsed/>
    <w:rsid w:val="003B5873"/>
    <w:rPr>
      <w:b/>
      <w:bdr w:val="none" w:sz="0" w:space="0" w:color="auto"/>
      <w:shd w:val="clear" w:color="auto" w:fill="auto"/>
      <w:vertAlign w:val="superscript"/>
    </w:rPr>
  </w:style>
  <w:style w:type="paragraph" w:customStyle="1" w:styleId="HeaderCouncil">
    <w:name w:val="Header Council"/>
    <w:basedOn w:val="Normal"/>
    <w:link w:val="HeaderCouncilChar"/>
    <w:rsid w:val="003B5873"/>
    <w:pPr>
      <w:spacing w:after="0" w:line="240" w:lineRule="auto"/>
    </w:pPr>
    <w:rPr>
      <w:sz w:val="2"/>
    </w:rPr>
  </w:style>
  <w:style w:type="paragraph" w:customStyle="1" w:styleId="FooterCouncil">
    <w:name w:val="Footer Council"/>
    <w:basedOn w:val="Normal"/>
    <w:link w:val="FooterCouncilChar"/>
    <w:rsid w:val="003B5873"/>
    <w:pPr>
      <w:spacing w:after="0" w:line="240" w:lineRule="auto"/>
    </w:pPr>
    <w:rPr>
      <w:sz w:val="2"/>
    </w:rPr>
  </w:style>
  <w:style w:type="paragraph" w:customStyle="1" w:styleId="TechnicalBlock">
    <w:name w:val="Technical Block"/>
    <w:basedOn w:val="Normal"/>
    <w:next w:val="Normal"/>
    <w:link w:val="TechnicalBlockChar"/>
    <w:rsid w:val="003B5873"/>
    <w:pPr>
      <w:spacing w:after="240" w:line="240" w:lineRule="auto"/>
      <w:jc w:val="center"/>
    </w:pPr>
  </w:style>
  <w:style w:type="character" w:customStyle="1" w:styleId="Marker">
    <w:name w:val="Marker"/>
    <w:basedOn w:val="DefaultParagraphFont"/>
    <w:rsid w:val="00AA79E8"/>
    <w:rPr>
      <w:color w:val="0000FF"/>
      <w:bdr w:val="none" w:sz="0" w:space="0" w:color="auto"/>
      <w:shd w:val="clear" w:color="auto" w:fill="auto"/>
    </w:rPr>
  </w:style>
  <w:style w:type="character" w:customStyle="1" w:styleId="Marker1">
    <w:name w:val="Marker1"/>
    <w:basedOn w:val="DefaultParagraphFont"/>
    <w:rsid w:val="00AA79E8"/>
    <w:rPr>
      <w:color w:val="008000"/>
      <w:bdr w:val="none" w:sz="0" w:space="0" w:color="auto"/>
      <w:shd w:val="clear" w:color="auto" w:fill="auto"/>
    </w:rPr>
  </w:style>
  <w:style w:type="paragraph" w:customStyle="1" w:styleId="FinalLine">
    <w:name w:val="Final Line"/>
    <w:basedOn w:val="Normal"/>
    <w:next w:val="Normal"/>
    <w:rsid w:val="00AA79E8"/>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AA79E8"/>
    <w:pPr>
      <w:pBdr>
        <w:bottom w:val="single" w:sz="4" w:space="0" w:color="000000"/>
      </w:pBdr>
      <w:spacing w:before="360"/>
      <w:ind w:left="5868" w:right="5868"/>
      <w:jc w:val="center"/>
    </w:pPr>
    <w:rPr>
      <w:b/>
    </w:rPr>
  </w:style>
  <w:style w:type="paragraph" w:customStyle="1" w:styleId="EntLogo">
    <w:name w:val="EntLogo"/>
    <w:basedOn w:val="Normal"/>
    <w:rsid w:val="00AA79E8"/>
    <w:pPr>
      <w:tabs>
        <w:tab w:val="right" w:pos="9639"/>
      </w:tabs>
      <w:spacing w:after="0"/>
    </w:pPr>
    <w:rPr>
      <w:b/>
    </w:rPr>
  </w:style>
  <w:style w:type="paragraph" w:customStyle="1" w:styleId="EntEmet">
    <w:name w:val="EntEmet"/>
    <w:basedOn w:val="Normal"/>
    <w:rsid w:val="00AA79E8"/>
    <w:pPr>
      <w:spacing w:before="40" w:after="0" w:line="240" w:lineRule="auto"/>
    </w:pPr>
  </w:style>
  <w:style w:type="paragraph" w:customStyle="1" w:styleId="EntInstit">
    <w:name w:val="EntInstit"/>
    <w:basedOn w:val="Normal"/>
    <w:rsid w:val="00AA79E8"/>
    <w:pPr>
      <w:spacing w:after="0" w:line="240" w:lineRule="auto"/>
      <w:jc w:val="right"/>
    </w:pPr>
    <w:rPr>
      <w:b/>
    </w:rPr>
  </w:style>
  <w:style w:type="paragraph" w:customStyle="1" w:styleId="EntRefer">
    <w:name w:val="EntRefer"/>
    <w:basedOn w:val="Normal"/>
    <w:rsid w:val="00AA79E8"/>
    <w:pPr>
      <w:spacing w:after="0" w:line="240" w:lineRule="auto"/>
    </w:pPr>
    <w:rPr>
      <w:b/>
    </w:rPr>
  </w:style>
  <w:style w:type="paragraph" w:customStyle="1" w:styleId="Genredudocument">
    <w:name w:val="Genre du document"/>
    <w:basedOn w:val="EntRefer"/>
    <w:next w:val="EntRefer"/>
    <w:rsid w:val="00AA79E8"/>
    <w:pPr>
      <w:spacing w:before="240"/>
    </w:pPr>
  </w:style>
  <w:style w:type="paragraph" w:customStyle="1" w:styleId="Languagesconcerned">
    <w:name w:val="Languages concerned"/>
    <w:basedOn w:val="Normal"/>
    <w:next w:val="Procedureapplicable"/>
    <w:rsid w:val="00AA79E8"/>
    <w:pPr>
      <w:spacing w:before="240"/>
    </w:pPr>
  </w:style>
  <w:style w:type="paragraph" w:customStyle="1" w:styleId="Procedureapplicable">
    <w:name w:val="Procedure applicable"/>
    <w:basedOn w:val="Normal"/>
    <w:next w:val="Proceduretype"/>
    <w:rsid w:val="00AA79E8"/>
    <w:pPr>
      <w:spacing w:before="240"/>
    </w:pPr>
  </w:style>
  <w:style w:type="paragraph" w:customStyle="1" w:styleId="Proceduretype">
    <w:name w:val="Procedure type"/>
    <w:basedOn w:val="Normal"/>
    <w:next w:val="Normal"/>
    <w:rsid w:val="00AA79E8"/>
    <w:pPr>
      <w:spacing w:before="240" w:after="0"/>
    </w:pPr>
  </w:style>
  <w:style w:type="paragraph" w:customStyle="1" w:styleId="Agreement">
    <w:name w:val="Agreement"/>
    <w:basedOn w:val="Normal"/>
    <w:next w:val="Normal"/>
    <w:rsid w:val="00AA79E8"/>
  </w:style>
  <w:style w:type="paragraph" w:customStyle="1" w:styleId="Timelimit">
    <w:name w:val="Time limit"/>
    <w:basedOn w:val="Normal"/>
    <w:next w:val="Normal"/>
    <w:rsid w:val="00AA79E8"/>
    <w:pPr>
      <w:spacing w:before="240"/>
    </w:pPr>
  </w:style>
  <w:style w:type="paragraph" w:customStyle="1" w:styleId="Remarks">
    <w:name w:val="Remarks"/>
    <w:basedOn w:val="Normal"/>
    <w:rsid w:val="00AA79E8"/>
    <w:pPr>
      <w:spacing w:before="240"/>
    </w:pPr>
  </w:style>
  <w:style w:type="paragraph" w:customStyle="1" w:styleId="Correctionnewlanguages">
    <w:name w:val="Correction new languages"/>
    <w:basedOn w:val="Normal"/>
    <w:next w:val="Normal"/>
    <w:rsid w:val="00AA79E8"/>
    <w:pPr>
      <w:spacing w:before="240"/>
    </w:pPr>
  </w:style>
  <w:style w:type="paragraph" w:customStyle="1" w:styleId="Anyobservations">
    <w:name w:val="Any observations"/>
    <w:basedOn w:val="Normal"/>
    <w:next w:val="Normal"/>
    <w:rsid w:val="00AA79E8"/>
    <w:pPr>
      <w:spacing w:before="240"/>
    </w:pPr>
    <w:rPr>
      <w:b/>
    </w:rPr>
  </w:style>
  <w:style w:type="paragraph" w:customStyle="1" w:styleId="Annextitle">
    <w:name w:val="Annex title"/>
    <w:basedOn w:val="Normal"/>
    <w:next w:val="Corrigendumtitle"/>
    <w:rsid w:val="00AA79E8"/>
    <w:pPr>
      <w:spacing w:after="0"/>
      <w:jc w:val="right"/>
    </w:pPr>
    <w:rPr>
      <w:b/>
      <w:u w:val="single"/>
    </w:rPr>
  </w:style>
  <w:style w:type="paragraph" w:customStyle="1" w:styleId="Corrigendumtitle">
    <w:name w:val="Corrigendum title"/>
    <w:basedOn w:val="Normal"/>
    <w:next w:val="Corrigendumto"/>
    <w:rsid w:val="00AA79E8"/>
    <w:pPr>
      <w:spacing w:before="240"/>
      <w:jc w:val="center"/>
    </w:pPr>
    <w:rPr>
      <w:b/>
    </w:rPr>
  </w:style>
  <w:style w:type="paragraph" w:customStyle="1" w:styleId="Corrigendumto">
    <w:name w:val="Corrigendum to"/>
    <w:basedOn w:val="Normal"/>
    <w:next w:val="Referencedocument"/>
    <w:rsid w:val="00AA79E8"/>
    <w:pPr>
      <w:spacing w:after="240"/>
      <w:jc w:val="center"/>
    </w:pPr>
    <w:rPr>
      <w:b/>
    </w:rPr>
  </w:style>
  <w:style w:type="paragraph" w:customStyle="1" w:styleId="Referencedocument">
    <w:name w:val="Reference document"/>
    <w:basedOn w:val="Normal"/>
    <w:rsid w:val="00AA79E8"/>
    <w:pPr>
      <w:spacing w:after="0"/>
      <w:jc w:val="center"/>
    </w:pPr>
  </w:style>
  <w:style w:type="paragraph" w:customStyle="1" w:styleId="Correctionpage">
    <w:name w:val="Correction page"/>
    <w:basedOn w:val="Normal"/>
    <w:next w:val="Correctionfortitle"/>
    <w:rsid w:val="00AA79E8"/>
    <w:pPr>
      <w:keepNext/>
      <w:spacing w:before="240"/>
    </w:pPr>
  </w:style>
  <w:style w:type="paragraph" w:customStyle="1" w:styleId="Correctionfortitle">
    <w:name w:val="Correction for title"/>
    <w:basedOn w:val="Normal"/>
    <w:next w:val="Correctionfortext"/>
    <w:rsid w:val="00AA79E8"/>
    <w:pPr>
      <w:keepNext/>
      <w:spacing w:after="240"/>
    </w:pPr>
    <w:rPr>
      <w:i/>
    </w:rPr>
  </w:style>
  <w:style w:type="paragraph" w:customStyle="1" w:styleId="Correctionfortext">
    <w:name w:val="Correction for text"/>
    <w:basedOn w:val="Normal"/>
    <w:rsid w:val="00AA79E8"/>
    <w:pPr>
      <w:spacing w:after="0"/>
    </w:pPr>
  </w:style>
  <w:style w:type="paragraph" w:customStyle="1" w:styleId="Correctionreadtitle">
    <w:name w:val="Correction read title"/>
    <w:basedOn w:val="Normal"/>
    <w:next w:val="Correctionreadtext"/>
    <w:rsid w:val="00AA79E8"/>
    <w:pPr>
      <w:keepNext/>
      <w:spacing w:after="240"/>
    </w:pPr>
    <w:rPr>
      <w:i/>
    </w:rPr>
  </w:style>
  <w:style w:type="paragraph" w:customStyle="1" w:styleId="Correctionreadtext">
    <w:name w:val="Correction read text"/>
    <w:basedOn w:val="Normal"/>
    <w:rsid w:val="00AA79E8"/>
    <w:pPr>
      <w:spacing w:after="0"/>
    </w:pPr>
  </w:style>
  <w:style w:type="paragraph" w:customStyle="1" w:styleId="Phraseofsignature">
    <w:name w:val="Phrase of signature"/>
    <w:basedOn w:val="Normal"/>
    <w:next w:val="Correctionpage"/>
    <w:rsid w:val="00AA79E8"/>
    <w:pPr>
      <w:spacing w:before="240"/>
    </w:pPr>
  </w:style>
  <w:style w:type="paragraph" w:customStyle="1" w:styleId="HeaderCouncilLarge">
    <w:name w:val="Header Council Large"/>
    <w:basedOn w:val="Normal"/>
    <w:link w:val="HeaderCouncilLargeChar"/>
    <w:rsid w:val="003B5873"/>
    <w:pPr>
      <w:spacing w:after="440"/>
      <w:ind w:left="-1134" w:right="-1134"/>
    </w:pPr>
    <w:rPr>
      <w:sz w:val="2"/>
    </w:rPr>
  </w:style>
  <w:style w:type="character" w:customStyle="1" w:styleId="TechnicalBlockChar">
    <w:name w:val="Technical Block Char"/>
    <w:basedOn w:val="DefaultParagraphFont"/>
    <w:link w:val="TechnicalBlock"/>
    <w:rsid w:val="00CB1843"/>
  </w:style>
  <w:style w:type="character" w:customStyle="1" w:styleId="HeaderCouncilLargeChar">
    <w:name w:val="Header Council Large Char"/>
    <w:basedOn w:val="TechnicalBlockChar"/>
    <w:link w:val="HeaderCouncilLarge"/>
    <w:rsid w:val="00CB1843"/>
    <w:rPr>
      <w:sz w:val="2"/>
    </w:rPr>
  </w:style>
  <w:style w:type="paragraph" w:customStyle="1" w:styleId="FooterText">
    <w:name w:val="Footer Text"/>
    <w:basedOn w:val="Normal"/>
    <w:rsid w:val="003B5873"/>
    <w:pPr>
      <w:spacing w:after="0" w:line="240" w:lineRule="auto"/>
    </w:pPr>
    <w:rPr>
      <w:rFonts w:eastAsia="Times New Roman"/>
      <w:szCs w:val="24"/>
    </w:rPr>
  </w:style>
  <w:style w:type="character" w:styleId="PlaceholderText">
    <w:name w:val="Placeholder Text"/>
    <w:basedOn w:val="DefaultParagraphFont"/>
    <w:uiPriority w:val="99"/>
    <w:semiHidden/>
    <w:rsid w:val="00CB1843"/>
    <w:rPr>
      <w:color w:val="808080"/>
    </w:rPr>
  </w:style>
  <w:style w:type="character" w:customStyle="1" w:styleId="Heading1Char">
    <w:name w:val="Heading 1 Char"/>
    <w:basedOn w:val="DefaultParagraphFont"/>
    <w:link w:val="Heading1"/>
    <w:uiPriority w:val="9"/>
    <w:rsid w:val="00DC139C"/>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DC1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C139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DC139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C139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C139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C139C"/>
    <w:rPr>
      <w:rFonts w:asciiTheme="majorHAnsi" w:eastAsiaTheme="majorEastAsia" w:hAnsiTheme="majorHAnsi" w:cstheme="majorBidi"/>
      <w:b/>
      <w:bCs/>
      <w:color w:val="1F3864" w:themeColor="accent1" w:themeShade="80"/>
    </w:rPr>
  </w:style>
  <w:style w:type="character" w:styleId="CommentReference">
    <w:name w:val="annotation reference"/>
    <w:basedOn w:val="DefaultParagraphFont"/>
    <w:uiPriority w:val="99"/>
    <w:unhideWhenUsed/>
    <w:qFormat/>
    <w:rsid w:val="00220ABB"/>
    <w:rPr>
      <w:sz w:val="16"/>
    </w:rPr>
  </w:style>
  <w:style w:type="paragraph" w:styleId="CommentText">
    <w:name w:val="annotation text"/>
    <w:basedOn w:val="Normal"/>
    <w:link w:val="CommentTextChar"/>
    <w:uiPriority w:val="99"/>
    <w:unhideWhenUsed/>
    <w:qFormat/>
    <w:rsid w:val="003B5873"/>
    <w:pPr>
      <w:spacing w:line="240" w:lineRule="auto"/>
      <w:jc w:val="both"/>
    </w:pPr>
    <w:rPr>
      <w:sz w:val="20"/>
      <w:szCs w:val="20"/>
    </w:rPr>
  </w:style>
  <w:style w:type="character" w:customStyle="1" w:styleId="CommentTextChar">
    <w:name w:val="Comment Text Char"/>
    <w:basedOn w:val="DefaultParagraphFont"/>
    <w:link w:val="CommentText"/>
    <w:uiPriority w:val="99"/>
    <w:qFormat/>
    <w:rsid w:val="00220ABB"/>
    <w:rPr>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Welt L,b1,L,EC"/>
    <w:basedOn w:val="Normal"/>
    <w:link w:val="ListParagraphChar"/>
    <w:uiPriority w:val="34"/>
    <w:qFormat/>
    <w:rsid w:val="003B5873"/>
    <w:pPr>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b1 Char"/>
    <w:basedOn w:val="DefaultParagraphFont"/>
    <w:link w:val="ListParagraph"/>
    <w:uiPriority w:val="34"/>
    <w:qFormat/>
    <w:locked/>
    <w:rsid w:val="00220ABB"/>
  </w:style>
  <w:style w:type="paragraph" w:styleId="BalloonText">
    <w:name w:val="Balloon Text"/>
    <w:basedOn w:val="Normal"/>
    <w:link w:val="BalloonTextChar"/>
    <w:uiPriority w:val="99"/>
    <w:semiHidden/>
    <w:unhideWhenUsed/>
    <w:rsid w:val="003B5873"/>
    <w:pPr>
      <w:spacing w:after="0" w:line="240" w:lineRule="auto"/>
    </w:pPr>
    <w:rPr>
      <w:rFonts w:ascii="Segoe UI" w:hAnsi="Segoe UI" w:cs="Segoe UI"/>
      <w:sz w:val="18"/>
      <w:szCs w:val="20"/>
    </w:rPr>
  </w:style>
  <w:style w:type="character" w:customStyle="1" w:styleId="BalloonTextChar">
    <w:name w:val="Balloon Text Char"/>
    <w:basedOn w:val="DefaultParagraphFont"/>
    <w:link w:val="BalloonText"/>
    <w:uiPriority w:val="99"/>
    <w:semiHidden/>
    <w:rsid w:val="00220ABB"/>
    <w:rPr>
      <w:rFonts w:ascii="Segoe UI" w:hAnsi="Segoe UI" w:cs="Segoe UI"/>
      <w:sz w:val="18"/>
      <w:szCs w:val="20"/>
    </w:rPr>
  </w:style>
  <w:style w:type="paragraph" w:styleId="CommentSubject">
    <w:name w:val="annotation subject"/>
    <w:basedOn w:val="CommentText"/>
    <w:next w:val="CommentText"/>
    <w:link w:val="CommentSubjectChar"/>
    <w:uiPriority w:val="99"/>
    <w:semiHidden/>
    <w:unhideWhenUsed/>
    <w:rsid w:val="003B5873"/>
    <w:pPr>
      <w:spacing w:after="200"/>
      <w:jc w:val="left"/>
    </w:pPr>
    <w:rPr>
      <w:b/>
    </w:rPr>
  </w:style>
  <w:style w:type="character" w:customStyle="1" w:styleId="CommentSubjectChar">
    <w:name w:val="Comment Subject Char"/>
    <w:basedOn w:val="CommentTextChar"/>
    <w:link w:val="CommentSubject"/>
    <w:uiPriority w:val="99"/>
    <w:semiHidden/>
    <w:rsid w:val="00220ABB"/>
    <w:rPr>
      <w:b/>
      <w:sz w:val="20"/>
      <w:szCs w:val="20"/>
    </w:rPr>
  </w:style>
  <w:style w:type="paragraph" w:styleId="Revision">
    <w:name w:val="Revision"/>
    <w:hidden/>
    <w:uiPriority w:val="99"/>
    <w:semiHidden/>
    <w:rsid w:val="003B5873"/>
    <w:pPr>
      <w:spacing w:after="0" w:line="240" w:lineRule="auto"/>
    </w:pPr>
    <w:rPr>
      <w:szCs w:val="20"/>
    </w:rPr>
  </w:style>
  <w:style w:type="character" w:styleId="Emphasis">
    <w:name w:val="Emphasis"/>
    <w:basedOn w:val="DefaultParagraphFont"/>
    <w:uiPriority w:val="20"/>
    <w:qFormat/>
    <w:rsid w:val="00DC139C"/>
    <w:rPr>
      <w:i/>
      <w:iCs/>
    </w:rPr>
  </w:style>
  <w:style w:type="character" w:customStyle="1" w:styleId="normaltextrun">
    <w:name w:val="normaltextrun"/>
    <w:basedOn w:val="DefaultParagraphFont"/>
    <w:rsid w:val="00220ABB"/>
  </w:style>
  <w:style w:type="character" w:customStyle="1" w:styleId="findhit">
    <w:name w:val="findhit"/>
    <w:basedOn w:val="DefaultParagraphFont"/>
    <w:rsid w:val="00220ABB"/>
  </w:style>
  <w:style w:type="character" w:customStyle="1" w:styleId="eop">
    <w:name w:val="eop"/>
    <w:basedOn w:val="DefaultParagraphFont"/>
    <w:rsid w:val="00220ABB"/>
  </w:style>
  <w:style w:type="table" w:styleId="GridTable1Light-Accent1">
    <w:name w:val="Grid Table 1 Light Accent 1"/>
    <w:basedOn w:val="TableNormal"/>
    <w:uiPriority w:val="46"/>
    <w:rsid w:val="00220ABB"/>
    <w:pPr>
      <w:spacing w:after="0" w:line="240" w:lineRule="auto"/>
    </w:pPr>
    <w:rPr>
      <w:szCs w:val="20"/>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Text1">
    <w:name w:val="Text 1"/>
    <w:basedOn w:val="Normal"/>
    <w:rsid w:val="003B5873"/>
    <w:pPr>
      <w:keepNext/>
      <w:spacing w:before="40" w:after="0"/>
      <w:jc w:val="both"/>
    </w:pPr>
    <w:rPr>
      <w:szCs w:val="20"/>
    </w:rPr>
  </w:style>
  <w:style w:type="character" w:styleId="IntenseEmphasis">
    <w:name w:val="Intense Emphasis"/>
    <w:basedOn w:val="DefaultParagraphFont"/>
    <w:uiPriority w:val="21"/>
    <w:qFormat/>
    <w:rsid w:val="003B5873"/>
    <w:rPr>
      <w:b/>
      <w:bCs/>
      <w:i/>
      <w:iCs/>
    </w:rPr>
  </w:style>
  <w:style w:type="paragraph" w:customStyle="1" w:styleId="ManualHeading1">
    <w:name w:val="Manual Heading 1"/>
    <w:basedOn w:val="Normal"/>
    <w:next w:val="Text1"/>
    <w:rsid w:val="003B5873"/>
    <w:pPr>
      <w:keepNext/>
      <w:tabs>
        <w:tab w:val="left" w:pos="850"/>
      </w:tabs>
      <w:spacing w:before="360" w:line="240" w:lineRule="auto"/>
      <w:ind w:left="850" w:hanging="850"/>
      <w:jc w:val="both"/>
      <w:outlineLvl w:val="0"/>
    </w:pPr>
    <w:rPr>
      <w:b/>
      <w:smallCaps/>
      <w:szCs w:val="20"/>
    </w:rPr>
  </w:style>
  <w:style w:type="table" w:styleId="TableGrid">
    <w:name w:val="Table Grid"/>
    <w:basedOn w:val="TableNormal"/>
    <w:uiPriority w:val="39"/>
    <w:rsid w:val="00220ABB"/>
    <w:pPr>
      <w:spacing w:after="0" w:line="240" w:lineRule="auto"/>
    </w:pPr>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1">
    <w:name w:val="NumPar 1"/>
    <w:basedOn w:val="Normal"/>
    <w:next w:val="Normal"/>
    <w:rsid w:val="003B5873"/>
    <w:pPr>
      <w:numPr>
        <w:numId w:val="8"/>
      </w:numPr>
      <w:spacing w:line="240" w:lineRule="auto"/>
      <w:jc w:val="both"/>
    </w:pPr>
    <w:rPr>
      <w:szCs w:val="20"/>
    </w:rPr>
  </w:style>
  <w:style w:type="paragraph" w:customStyle="1" w:styleId="NumPar2">
    <w:name w:val="NumPar 2"/>
    <w:basedOn w:val="Normal"/>
    <w:next w:val="Normal"/>
    <w:rsid w:val="003B5873"/>
    <w:pPr>
      <w:numPr>
        <w:ilvl w:val="1"/>
        <w:numId w:val="8"/>
      </w:numPr>
      <w:spacing w:line="240" w:lineRule="auto"/>
      <w:jc w:val="both"/>
    </w:pPr>
    <w:rPr>
      <w:szCs w:val="20"/>
    </w:rPr>
  </w:style>
  <w:style w:type="paragraph" w:customStyle="1" w:styleId="NumPar3">
    <w:name w:val="NumPar 3"/>
    <w:basedOn w:val="Normal"/>
    <w:next w:val="Normal"/>
    <w:rsid w:val="003B5873"/>
    <w:pPr>
      <w:numPr>
        <w:ilvl w:val="2"/>
        <w:numId w:val="8"/>
      </w:numPr>
      <w:spacing w:line="240" w:lineRule="auto"/>
      <w:jc w:val="both"/>
    </w:pPr>
    <w:rPr>
      <w:szCs w:val="20"/>
    </w:rPr>
  </w:style>
  <w:style w:type="paragraph" w:customStyle="1" w:styleId="NumPar4">
    <w:name w:val="NumPar 4"/>
    <w:basedOn w:val="Normal"/>
    <w:next w:val="Normal"/>
    <w:rsid w:val="003B5873"/>
    <w:pPr>
      <w:numPr>
        <w:ilvl w:val="3"/>
        <w:numId w:val="8"/>
      </w:numPr>
      <w:spacing w:line="240" w:lineRule="auto"/>
      <w:jc w:val="both"/>
    </w:pPr>
    <w:rPr>
      <w:szCs w:val="20"/>
    </w:rPr>
  </w:style>
  <w:style w:type="paragraph" w:customStyle="1" w:styleId="paragraph">
    <w:name w:val="paragraph"/>
    <w:basedOn w:val="Normal"/>
    <w:rsid w:val="003B5873"/>
    <w:pPr>
      <w:spacing w:before="100" w:beforeAutospacing="1" w:after="100" w:afterAutospacing="1" w:line="240" w:lineRule="auto"/>
    </w:pPr>
    <w:rPr>
      <w:rFonts w:eastAsia="Times New Roman"/>
      <w:szCs w:val="20"/>
    </w:rPr>
  </w:style>
  <w:style w:type="paragraph" w:customStyle="1" w:styleId="Pagedecouverture">
    <w:name w:val="Page de couverture"/>
    <w:basedOn w:val="Normal"/>
    <w:next w:val="Normal"/>
    <w:rsid w:val="003B5873"/>
    <w:pPr>
      <w:spacing w:after="0" w:line="240" w:lineRule="auto"/>
      <w:jc w:val="both"/>
    </w:pPr>
    <w:rPr>
      <w:szCs w:val="20"/>
    </w:rPr>
  </w:style>
  <w:style w:type="paragraph" w:customStyle="1" w:styleId="FooterCoverPage">
    <w:name w:val="Footer Cover Page"/>
    <w:basedOn w:val="Normal"/>
    <w:link w:val="FooterCoverPageChar"/>
    <w:rsid w:val="003B5873"/>
    <w:pPr>
      <w:keepNext/>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0ABB"/>
    <w:rPr>
      <w:rFonts w:ascii="Times New Roman" w:hAnsi="Times New Roman" w:cs="Times New Roman"/>
      <w:sz w:val="24"/>
    </w:rPr>
  </w:style>
  <w:style w:type="paragraph" w:customStyle="1" w:styleId="FooterSensitivity">
    <w:name w:val="Footer Sensitivity"/>
    <w:basedOn w:val="Normal"/>
    <w:link w:val="FooterSensitivityChar"/>
    <w:rsid w:val="003B5873"/>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0ABB"/>
    <w:rPr>
      <w:rFonts w:ascii="Times New Roman" w:hAnsi="Times New Roman" w:cs="Times New Roman"/>
      <w:b/>
      <w:sz w:val="32"/>
    </w:rPr>
  </w:style>
  <w:style w:type="paragraph" w:customStyle="1" w:styleId="HeaderCoverPage">
    <w:name w:val="Header Cover Page"/>
    <w:basedOn w:val="Normal"/>
    <w:link w:val="HeaderCoverPageChar"/>
    <w:rsid w:val="003B5873"/>
    <w:pPr>
      <w:keepNext/>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0ABB"/>
    <w:rPr>
      <w:rFonts w:ascii="Times New Roman" w:hAnsi="Times New Roman" w:cs="Times New Roman"/>
      <w:sz w:val="24"/>
    </w:rPr>
  </w:style>
  <w:style w:type="paragraph" w:customStyle="1" w:styleId="HeaderSensitivity">
    <w:name w:val="Header Sensitivity"/>
    <w:basedOn w:val="Normal"/>
    <w:link w:val="HeaderSensitivityChar"/>
    <w:rsid w:val="003B5873"/>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0ABB"/>
    <w:rPr>
      <w:rFonts w:ascii="Times New Roman" w:hAnsi="Times New Roman" w:cs="Times New Roman"/>
      <w:b/>
      <w:sz w:val="32"/>
    </w:rPr>
  </w:style>
  <w:style w:type="paragraph" w:customStyle="1" w:styleId="HeaderSensitivityRight">
    <w:name w:val="Header Sensitivity Right"/>
    <w:basedOn w:val="Normal"/>
    <w:link w:val="HeaderSensitivityRightChar"/>
    <w:rsid w:val="003B587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0ABB"/>
    <w:rPr>
      <w:rFonts w:ascii="Times New Roman" w:hAnsi="Times New Roman" w:cs="Times New Roman"/>
      <w:sz w:val="28"/>
    </w:rPr>
  </w:style>
  <w:style w:type="table" w:customStyle="1" w:styleId="GridTable1Light-Accent11">
    <w:name w:val="Grid Table 1 Light - Accent 11"/>
    <w:basedOn w:val="TableNormal"/>
    <w:uiPriority w:val="46"/>
    <w:rsid w:val="00220ABB"/>
    <w:pPr>
      <w:spacing w:after="0" w:line="240" w:lineRule="auto"/>
    </w:pPr>
    <w:rPr>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68B1DB1-Norml5">
    <w:name w:val="P68B1DB1-Norml5"/>
    <w:basedOn w:val="Normal"/>
    <w:rsid w:val="003B5873"/>
    <w:pPr>
      <w:spacing w:after="200" w:line="276" w:lineRule="auto"/>
    </w:pPr>
    <w:rPr>
      <w:rFonts w:eastAsia="Calibri"/>
      <w:szCs w:val="20"/>
    </w:rPr>
  </w:style>
  <w:style w:type="paragraph" w:customStyle="1" w:styleId="P1szvegSTPF">
    <w:name w:val="P1_szöveg_STPF"/>
    <w:basedOn w:val="Normal"/>
    <w:link w:val="P1szvegSTPFChar"/>
    <w:autoRedefine/>
    <w:qFormat/>
    <w:rsid w:val="003B5873"/>
    <w:pPr>
      <w:spacing w:line="240" w:lineRule="auto"/>
      <w:jc w:val="both"/>
    </w:pPr>
    <w:rPr>
      <w:rFonts w:cstheme="minorHAnsi"/>
      <w:smallCaps/>
      <w:szCs w:val="20"/>
    </w:rPr>
  </w:style>
  <w:style w:type="character" w:customStyle="1" w:styleId="P1szvegSTPFChar">
    <w:name w:val="P1_szöveg_STPF Char"/>
    <w:basedOn w:val="DefaultParagraphFont"/>
    <w:link w:val="P1szvegSTPF"/>
    <w:rsid w:val="00220ABB"/>
    <w:rPr>
      <w:rFonts w:cstheme="minorHAnsi"/>
      <w:smallCaps/>
      <w:szCs w:val="20"/>
    </w:rPr>
  </w:style>
  <w:style w:type="character" w:styleId="Hyperlink">
    <w:name w:val="Hyperlink"/>
    <w:basedOn w:val="DefaultParagraphFont"/>
    <w:uiPriority w:val="99"/>
    <w:unhideWhenUsed/>
    <w:rsid w:val="00220ABB"/>
    <w:rPr>
      <w:color w:val="0563C1" w:themeColor="hyperlink"/>
      <w:u w:val="single"/>
    </w:rPr>
  </w:style>
  <w:style w:type="character" w:customStyle="1" w:styleId="Bodytext1">
    <w:name w:val="Body text|1_"/>
    <w:basedOn w:val="DefaultParagraphFont"/>
    <w:link w:val="Bodytext10"/>
    <w:rsid w:val="00220ABB"/>
  </w:style>
  <w:style w:type="paragraph" w:customStyle="1" w:styleId="Bodytext10">
    <w:name w:val="Body text|1"/>
    <w:basedOn w:val="Normal"/>
    <w:link w:val="Bodytext1"/>
    <w:rsid w:val="003B5873"/>
    <w:pPr>
      <w:widowControl w:val="0"/>
      <w:spacing w:after="300" w:line="276" w:lineRule="auto"/>
    </w:pPr>
  </w:style>
  <w:style w:type="paragraph" w:customStyle="1" w:styleId="p3">
    <w:name w:val="p3"/>
    <w:basedOn w:val="Normal"/>
    <w:rsid w:val="003B5873"/>
    <w:pPr>
      <w:spacing w:before="100" w:beforeAutospacing="1" w:after="100" w:afterAutospacing="1" w:line="240" w:lineRule="auto"/>
    </w:pPr>
    <w:rPr>
      <w:szCs w:val="20"/>
    </w:rPr>
  </w:style>
  <w:style w:type="character" w:customStyle="1" w:styleId="s2">
    <w:name w:val="s2"/>
    <w:basedOn w:val="DefaultParagraphFont"/>
    <w:rsid w:val="00220ABB"/>
  </w:style>
  <w:style w:type="paragraph" w:styleId="NormalWeb">
    <w:name w:val="Normal (Web)"/>
    <w:basedOn w:val="Normal"/>
    <w:uiPriority w:val="99"/>
    <w:unhideWhenUsed/>
    <w:qFormat/>
    <w:rsid w:val="003B5873"/>
    <w:pPr>
      <w:spacing w:after="0" w:line="240" w:lineRule="auto"/>
    </w:pPr>
    <w:rPr>
      <w:szCs w:val="20"/>
    </w:rPr>
  </w:style>
  <w:style w:type="paragraph" w:styleId="TOCHeading">
    <w:name w:val="TOC Heading"/>
    <w:basedOn w:val="Heading1"/>
    <w:next w:val="Normal"/>
    <w:uiPriority w:val="39"/>
    <w:unhideWhenUsed/>
    <w:qFormat/>
    <w:rsid w:val="003B5873"/>
    <w:pPr>
      <w:outlineLvl w:val="9"/>
    </w:pPr>
  </w:style>
  <w:style w:type="paragraph" w:styleId="TOC1">
    <w:name w:val="toc 1"/>
    <w:basedOn w:val="Normal"/>
    <w:next w:val="Normal"/>
    <w:autoRedefine/>
    <w:uiPriority w:val="39"/>
    <w:unhideWhenUsed/>
    <w:rsid w:val="003B5873"/>
    <w:pPr>
      <w:spacing w:after="100" w:line="240" w:lineRule="auto"/>
    </w:pPr>
    <w:rPr>
      <w:szCs w:val="20"/>
    </w:rPr>
  </w:style>
  <w:style w:type="paragraph" w:customStyle="1" w:styleId="msonormal0">
    <w:name w:val="msonormal"/>
    <w:basedOn w:val="Normal"/>
    <w:rsid w:val="003B5873"/>
    <w:pPr>
      <w:spacing w:before="100" w:beforeAutospacing="1" w:after="100" w:afterAutospacing="1" w:line="240" w:lineRule="auto"/>
    </w:pPr>
    <w:rPr>
      <w:rFonts w:eastAsia="Times New Roman"/>
      <w:szCs w:val="20"/>
    </w:rPr>
  </w:style>
  <w:style w:type="character" w:customStyle="1" w:styleId="textrun">
    <w:name w:val="textrun"/>
    <w:basedOn w:val="DefaultParagraphFont"/>
    <w:rsid w:val="00220ABB"/>
  </w:style>
  <w:style w:type="character" w:customStyle="1" w:styleId="trackchangetextinsertion">
    <w:name w:val="trackchangetextinsertion"/>
    <w:basedOn w:val="DefaultParagraphFont"/>
    <w:rsid w:val="00220ABB"/>
  </w:style>
  <w:style w:type="character" w:customStyle="1" w:styleId="trackchangetextdeletionmarker">
    <w:name w:val="trackchangetextdeletionmarker"/>
    <w:basedOn w:val="DefaultParagraphFont"/>
    <w:rsid w:val="00220ABB"/>
  </w:style>
  <w:style w:type="character" w:customStyle="1" w:styleId="trackedchange">
    <w:name w:val="trackedchange"/>
    <w:basedOn w:val="DefaultParagraphFont"/>
    <w:rsid w:val="00220ABB"/>
  </w:style>
  <w:style w:type="character" w:customStyle="1" w:styleId="tabrun">
    <w:name w:val="tabrun"/>
    <w:basedOn w:val="DefaultParagraphFont"/>
    <w:rsid w:val="00220ABB"/>
  </w:style>
  <w:style w:type="character" w:customStyle="1" w:styleId="tabchar">
    <w:name w:val="tabchar"/>
    <w:basedOn w:val="DefaultParagraphFont"/>
    <w:rsid w:val="00220ABB"/>
  </w:style>
  <w:style w:type="paragraph" w:customStyle="1" w:styleId="outlineelement">
    <w:name w:val="outlineelement"/>
    <w:basedOn w:val="Normal"/>
    <w:rsid w:val="003B5873"/>
    <w:pPr>
      <w:spacing w:before="100" w:beforeAutospacing="1" w:after="100" w:afterAutospacing="1" w:line="240" w:lineRule="auto"/>
    </w:pPr>
    <w:rPr>
      <w:rFonts w:eastAsia="Times New Roman"/>
      <w:szCs w:val="20"/>
    </w:rPr>
  </w:style>
  <w:style w:type="numbering" w:customStyle="1" w:styleId="NoList1">
    <w:name w:val="No List1"/>
    <w:next w:val="NoList"/>
    <w:uiPriority w:val="99"/>
    <w:semiHidden/>
    <w:unhideWhenUsed/>
    <w:rsid w:val="00220ABB"/>
  </w:style>
  <w:style w:type="paragraph" w:customStyle="1" w:styleId="LegalNumPar">
    <w:name w:val="LegalNumPar"/>
    <w:basedOn w:val="Normal"/>
    <w:rsid w:val="003B5873"/>
    <w:pPr>
      <w:numPr>
        <w:numId w:val="11"/>
      </w:numPr>
      <w:ind w:left="720"/>
    </w:pPr>
    <w:rPr>
      <w:rFonts w:ascii="Calibri" w:hAnsi="Calibri"/>
      <w:szCs w:val="20"/>
    </w:rPr>
  </w:style>
  <w:style w:type="paragraph" w:customStyle="1" w:styleId="LegalNumPar2">
    <w:name w:val="LegalNumPar2"/>
    <w:basedOn w:val="Normal"/>
    <w:rsid w:val="003B5873"/>
    <w:pPr>
      <w:numPr>
        <w:ilvl w:val="1"/>
        <w:numId w:val="11"/>
      </w:numPr>
      <w:ind w:left="1440" w:hanging="360"/>
    </w:pPr>
    <w:rPr>
      <w:rFonts w:ascii="Calibri" w:hAnsi="Calibri"/>
      <w:szCs w:val="20"/>
    </w:rPr>
  </w:style>
  <w:style w:type="paragraph" w:customStyle="1" w:styleId="LegalNumPar3">
    <w:name w:val="LegalNumPar3"/>
    <w:basedOn w:val="Normal"/>
    <w:rsid w:val="003B5873"/>
    <w:pPr>
      <w:numPr>
        <w:ilvl w:val="2"/>
        <w:numId w:val="11"/>
      </w:numPr>
      <w:ind w:left="2160" w:hanging="360"/>
    </w:pPr>
    <w:rPr>
      <w:rFonts w:ascii="Calibri" w:hAnsi="Calibri"/>
      <w:szCs w:val="20"/>
    </w:rPr>
  </w:style>
  <w:style w:type="character" w:customStyle="1" w:styleId="Mention1">
    <w:name w:val="Mention1"/>
    <w:basedOn w:val="DefaultParagraphFont"/>
    <w:uiPriority w:val="99"/>
    <w:unhideWhenUsed/>
    <w:rsid w:val="00220ABB"/>
    <w:rPr>
      <w:color w:val="2B579A"/>
      <w:shd w:val="clear" w:color="auto" w:fill="E6E6E6"/>
    </w:rPr>
  </w:style>
  <w:style w:type="character" w:customStyle="1" w:styleId="Mention2">
    <w:name w:val="Mention2"/>
    <w:basedOn w:val="DefaultParagraphFont"/>
    <w:uiPriority w:val="99"/>
    <w:unhideWhenUsed/>
    <w:rsid w:val="00220ABB"/>
    <w:rPr>
      <w:color w:val="2B579A"/>
      <w:shd w:val="clear" w:color="auto" w:fill="E6E6E6"/>
    </w:rPr>
  </w:style>
  <w:style w:type="character" w:customStyle="1" w:styleId="superscript">
    <w:name w:val="superscript"/>
    <w:basedOn w:val="DefaultParagraphFont"/>
    <w:rsid w:val="00220ABB"/>
  </w:style>
  <w:style w:type="paragraph" w:customStyle="1" w:styleId="font5">
    <w:name w:val="font5"/>
    <w:basedOn w:val="Normal"/>
    <w:rsid w:val="003B5873"/>
    <w:pPr>
      <w:spacing w:before="100" w:beforeAutospacing="1" w:after="100" w:afterAutospacing="1" w:line="240" w:lineRule="auto"/>
    </w:pPr>
    <w:rPr>
      <w:rFonts w:eastAsia="Times New Roman"/>
      <w:color w:val="000000"/>
      <w:szCs w:val="20"/>
    </w:rPr>
  </w:style>
  <w:style w:type="paragraph" w:customStyle="1" w:styleId="font6">
    <w:name w:val="font6"/>
    <w:basedOn w:val="Normal"/>
    <w:rsid w:val="003B5873"/>
    <w:pPr>
      <w:spacing w:before="100" w:beforeAutospacing="1" w:after="100" w:afterAutospacing="1" w:line="240" w:lineRule="auto"/>
    </w:pPr>
    <w:rPr>
      <w:rFonts w:eastAsia="Times New Roman"/>
      <w:color w:val="000000"/>
      <w:szCs w:val="20"/>
    </w:rPr>
  </w:style>
  <w:style w:type="paragraph" w:customStyle="1" w:styleId="font7">
    <w:name w:val="font7"/>
    <w:basedOn w:val="Normal"/>
    <w:rsid w:val="003B5873"/>
    <w:pPr>
      <w:spacing w:before="100" w:beforeAutospacing="1" w:after="100" w:afterAutospacing="1" w:line="240" w:lineRule="auto"/>
    </w:pPr>
    <w:rPr>
      <w:rFonts w:eastAsia="Times New Roman"/>
      <w:color w:val="006100"/>
      <w:szCs w:val="20"/>
    </w:rPr>
  </w:style>
  <w:style w:type="paragraph" w:customStyle="1" w:styleId="font8">
    <w:name w:val="font8"/>
    <w:basedOn w:val="Normal"/>
    <w:rsid w:val="003B5873"/>
    <w:pPr>
      <w:spacing w:before="100" w:beforeAutospacing="1" w:after="100" w:afterAutospacing="1" w:line="240" w:lineRule="auto"/>
    </w:pPr>
    <w:rPr>
      <w:rFonts w:eastAsia="Times New Roman"/>
      <w:color w:val="006100"/>
      <w:szCs w:val="20"/>
    </w:rPr>
  </w:style>
  <w:style w:type="paragraph" w:customStyle="1" w:styleId="xl17">
    <w:name w:val="xl17"/>
    <w:basedOn w:val="Normal"/>
    <w:rsid w:val="003B587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eastAsia="Times New Roman"/>
      <w:b/>
      <w:szCs w:val="20"/>
    </w:rPr>
  </w:style>
  <w:style w:type="paragraph" w:customStyle="1" w:styleId="xl18">
    <w:name w:val="xl18"/>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eastAsia="Times New Roman"/>
      <w:color w:val="000000"/>
      <w:szCs w:val="20"/>
    </w:rPr>
  </w:style>
  <w:style w:type="paragraph" w:customStyle="1" w:styleId="xl19">
    <w:name w:val="xl19"/>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eastAsia="Times New Roman"/>
      <w:color w:val="000000"/>
      <w:szCs w:val="20"/>
    </w:rPr>
  </w:style>
  <w:style w:type="paragraph" w:customStyle="1" w:styleId="xl21">
    <w:name w:val="xl21"/>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olor w:val="000000"/>
      <w:szCs w:val="20"/>
    </w:rPr>
  </w:style>
  <w:style w:type="paragraph" w:customStyle="1" w:styleId="xl22">
    <w:name w:val="xl22"/>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000000"/>
      <w:szCs w:val="20"/>
    </w:rPr>
  </w:style>
  <w:style w:type="paragraph" w:customStyle="1" w:styleId="xl23">
    <w:name w:val="xl23"/>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eastAsia="Times New Roman"/>
      <w:color w:val="000000"/>
      <w:szCs w:val="20"/>
    </w:rPr>
  </w:style>
  <w:style w:type="paragraph" w:customStyle="1" w:styleId="xl24">
    <w:name w:val="xl24"/>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eastAsia="Times New Roman"/>
      <w:color w:val="000000"/>
      <w:szCs w:val="20"/>
    </w:rPr>
  </w:style>
  <w:style w:type="paragraph" w:customStyle="1" w:styleId="xl71">
    <w:name w:val="xl71"/>
    <w:basedOn w:val="Normal"/>
    <w:rsid w:val="003B5873"/>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paragraph" w:customStyle="1" w:styleId="xl72">
    <w:name w:val="xl72"/>
    <w:basedOn w:val="Normal"/>
    <w:rsid w:val="003B5873"/>
    <w:pPr>
      <w:pBdr>
        <w:top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paragraph" w:customStyle="1" w:styleId="xl73">
    <w:name w:val="xl73"/>
    <w:basedOn w:val="Normal"/>
    <w:rsid w:val="003B5873"/>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character" w:styleId="FollowedHyperlink">
    <w:name w:val="FollowedHyperlink"/>
    <w:basedOn w:val="DefaultParagraphFont"/>
    <w:uiPriority w:val="99"/>
    <w:semiHidden/>
    <w:unhideWhenUsed/>
    <w:rsid w:val="00220ABB"/>
    <w:rPr>
      <w:color w:val="954F72"/>
      <w:u w:val="single"/>
    </w:rPr>
  </w:style>
  <w:style w:type="character" w:customStyle="1" w:styleId="font71">
    <w:name w:val="font7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61">
    <w:name w:val="font6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font81">
    <w:name w:val="font8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51">
    <w:name w:val="font5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scxw131614104">
    <w:name w:val="scxw131614104"/>
    <w:basedOn w:val="DefaultParagraphFont"/>
    <w:rsid w:val="00220ABB"/>
  </w:style>
  <w:style w:type="character" w:customStyle="1" w:styleId="Mention3">
    <w:name w:val="Mention3"/>
    <w:basedOn w:val="DefaultParagraphFont"/>
    <w:uiPriority w:val="99"/>
    <w:unhideWhenUsed/>
    <w:rsid w:val="00220ABB"/>
    <w:rPr>
      <w:color w:val="2B579A"/>
      <w:shd w:val="clear" w:color="auto" w:fill="E6E6E6"/>
    </w:rPr>
  </w:style>
  <w:style w:type="character" w:customStyle="1" w:styleId="Mention4">
    <w:name w:val="Mention4"/>
    <w:basedOn w:val="DefaultParagraphFont"/>
    <w:uiPriority w:val="99"/>
    <w:unhideWhenUsed/>
    <w:rsid w:val="00220ABB"/>
    <w:rPr>
      <w:color w:val="2B579A"/>
      <w:shd w:val="clear" w:color="auto" w:fill="E1DFDD"/>
    </w:rPr>
  </w:style>
  <w:style w:type="paragraph" w:customStyle="1" w:styleId="Heading41">
    <w:name w:val="Heading 41"/>
    <w:basedOn w:val="Normal"/>
    <w:next w:val="Text1"/>
    <w:uiPriority w:val="9"/>
    <w:semiHidden/>
    <w:unhideWhenUsed/>
    <w:qFormat/>
    <w:rsid w:val="003B5873"/>
    <w:pPr>
      <w:keepNext/>
      <w:spacing w:line="240" w:lineRule="auto"/>
      <w:ind w:left="2520" w:hanging="360"/>
      <w:jc w:val="both"/>
      <w:outlineLvl w:val="3"/>
    </w:pPr>
    <w:rPr>
      <w:rFonts w:eastAsia="MS Gothic"/>
      <w:szCs w:val="20"/>
    </w:rPr>
  </w:style>
  <w:style w:type="paragraph" w:customStyle="1" w:styleId="Heading51">
    <w:name w:val="Heading 51"/>
    <w:basedOn w:val="Normal"/>
    <w:next w:val="Text2"/>
    <w:uiPriority w:val="9"/>
    <w:semiHidden/>
    <w:unhideWhenUsed/>
    <w:qFormat/>
    <w:rsid w:val="003B5873"/>
    <w:pPr>
      <w:keepNext/>
      <w:spacing w:line="240" w:lineRule="auto"/>
      <w:ind w:left="3240" w:hanging="360"/>
      <w:jc w:val="both"/>
      <w:outlineLvl w:val="4"/>
    </w:pPr>
    <w:rPr>
      <w:rFonts w:eastAsia="MS Gothic"/>
      <w:szCs w:val="20"/>
    </w:rPr>
  </w:style>
  <w:style w:type="paragraph" w:customStyle="1" w:styleId="Heading61">
    <w:name w:val="Heading 61"/>
    <w:basedOn w:val="Normal"/>
    <w:next w:val="Text2"/>
    <w:uiPriority w:val="9"/>
    <w:semiHidden/>
    <w:unhideWhenUsed/>
    <w:qFormat/>
    <w:rsid w:val="003B5873"/>
    <w:pPr>
      <w:keepNext/>
      <w:spacing w:line="240" w:lineRule="auto"/>
      <w:ind w:left="3960" w:hanging="360"/>
      <w:jc w:val="both"/>
      <w:outlineLvl w:val="5"/>
    </w:pPr>
    <w:rPr>
      <w:rFonts w:eastAsia="MS Gothic"/>
      <w:szCs w:val="20"/>
    </w:rPr>
  </w:style>
  <w:style w:type="paragraph" w:customStyle="1" w:styleId="Heading71">
    <w:name w:val="Heading 71"/>
    <w:basedOn w:val="Normal"/>
    <w:next w:val="Text2"/>
    <w:uiPriority w:val="9"/>
    <w:semiHidden/>
    <w:unhideWhenUsed/>
    <w:qFormat/>
    <w:rsid w:val="003B5873"/>
    <w:pPr>
      <w:keepNext/>
      <w:spacing w:line="240" w:lineRule="auto"/>
      <w:ind w:left="4680" w:hanging="360"/>
      <w:jc w:val="both"/>
      <w:outlineLvl w:val="6"/>
    </w:pPr>
    <w:rPr>
      <w:rFonts w:eastAsia="MS Gothic"/>
      <w:szCs w:val="20"/>
    </w:rPr>
  </w:style>
  <w:style w:type="numbering" w:customStyle="1" w:styleId="NoList2">
    <w:name w:val="No List2"/>
    <w:next w:val="NoList"/>
    <w:uiPriority w:val="99"/>
    <w:semiHidden/>
    <w:unhideWhenUsed/>
    <w:rsid w:val="00220ABB"/>
  </w:style>
  <w:style w:type="paragraph" w:styleId="TOC2">
    <w:name w:val="toc 2"/>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3">
    <w:name w:val="toc 3"/>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4">
    <w:name w:val="toc 4"/>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5">
    <w:name w:val="toc 5"/>
    <w:basedOn w:val="Normal"/>
    <w:next w:val="Normal"/>
    <w:uiPriority w:val="39"/>
    <w:semiHidden/>
    <w:unhideWhenUsed/>
    <w:rsid w:val="003B5873"/>
    <w:pPr>
      <w:tabs>
        <w:tab w:val="right" w:leader="dot" w:pos="9071"/>
      </w:tabs>
      <w:spacing w:before="300" w:line="240" w:lineRule="auto"/>
    </w:pPr>
    <w:rPr>
      <w:szCs w:val="20"/>
    </w:rPr>
  </w:style>
  <w:style w:type="paragraph" w:styleId="TOC6">
    <w:name w:val="toc 6"/>
    <w:basedOn w:val="Normal"/>
    <w:next w:val="Normal"/>
    <w:uiPriority w:val="39"/>
    <w:semiHidden/>
    <w:unhideWhenUsed/>
    <w:rsid w:val="003B5873"/>
    <w:pPr>
      <w:tabs>
        <w:tab w:val="right" w:leader="dot" w:pos="9071"/>
      </w:tabs>
      <w:spacing w:before="240" w:line="240" w:lineRule="auto"/>
    </w:pPr>
    <w:rPr>
      <w:szCs w:val="20"/>
    </w:rPr>
  </w:style>
  <w:style w:type="paragraph" w:styleId="TOC7">
    <w:name w:val="toc 7"/>
    <w:basedOn w:val="Normal"/>
    <w:next w:val="Normal"/>
    <w:uiPriority w:val="39"/>
    <w:semiHidden/>
    <w:unhideWhenUsed/>
    <w:rsid w:val="003B5873"/>
    <w:pPr>
      <w:tabs>
        <w:tab w:val="right" w:leader="dot" w:pos="9071"/>
      </w:tabs>
      <w:spacing w:before="180" w:line="240" w:lineRule="auto"/>
    </w:pPr>
    <w:rPr>
      <w:szCs w:val="20"/>
    </w:rPr>
  </w:style>
  <w:style w:type="paragraph" w:styleId="TOC8">
    <w:name w:val="toc 8"/>
    <w:basedOn w:val="Normal"/>
    <w:next w:val="Normal"/>
    <w:uiPriority w:val="39"/>
    <w:semiHidden/>
    <w:unhideWhenUsed/>
    <w:rsid w:val="003B5873"/>
    <w:pPr>
      <w:tabs>
        <w:tab w:val="right" w:leader="dot" w:pos="9071"/>
      </w:tabs>
      <w:spacing w:line="240" w:lineRule="auto"/>
    </w:pPr>
    <w:rPr>
      <w:szCs w:val="20"/>
    </w:rPr>
  </w:style>
  <w:style w:type="paragraph" w:styleId="TOC9">
    <w:name w:val="toc 9"/>
    <w:basedOn w:val="Normal"/>
    <w:next w:val="Normal"/>
    <w:uiPriority w:val="39"/>
    <w:semiHidden/>
    <w:unhideWhenUsed/>
    <w:rsid w:val="003B5873"/>
    <w:pPr>
      <w:tabs>
        <w:tab w:val="right" w:leader="dot" w:pos="9071"/>
      </w:tabs>
      <w:spacing w:line="240" w:lineRule="auto"/>
      <w:ind w:left="1417" w:hanging="1417"/>
    </w:pPr>
    <w:rPr>
      <w:szCs w:val="20"/>
    </w:rPr>
  </w:style>
  <w:style w:type="paragraph" w:customStyle="1" w:styleId="Text2">
    <w:name w:val="Text 2"/>
    <w:basedOn w:val="Normal"/>
    <w:rsid w:val="003B5873"/>
    <w:pPr>
      <w:spacing w:line="240" w:lineRule="auto"/>
      <w:ind w:left="1417"/>
      <w:jc w:val="both"/>
    </w:pPr>
    <w:rPr>
      <w:szCs w:val="20"/>
    </w:rPr>
  </w:style>
  <w:style w:type="paragraph" w:customStyle="1" w:styleId="Text3">
    <w:name w:val="Text 3"/>
    <w:basedOn w:val="Normal"/>
    <w:rsid w:val="003B5873"/>
    <w:pPr>
      <w:spacing w:line="240" w:lineRule="auto"/>
      <w:ind w:left="1984"/>
      <w:jc w:val="both"/>
    </w:pPr>
    <w:rPr>
      <w:szCs w:val="20"/>
    </w:rPr>
  </w:style>
  <w:style w:type="paragraph" w:customStyle="1" w:styleId="Text4">
    <w:name w:val="Text 4"/>
    <w:basedOn w:val="Normal"/>
    <w:rsid w:val="003B5873"/>
    <w:pPr>
      <w:spacing w:line="240" w:lineRule="auto"/>
      <w:ind w:left="2551"/>
      <w:jc w:val="both"/>
    </w:pPr>
    <w:rPr>
      <w:szCs w:val="20"/>
    </w:rPr>
  </w:style>
  <w:style w:type="paragraph" w:customStyle="1" w:styleId="Text5">
    <w:name w:val="Text 5"/>
    <w:basedOn w:val="Normal"/>
    <w:rsid w:val="003B5873"/>
    <w:pPr>
      <w:spacing w:line="240" w:lineRule="auto"/>
      <w:ind w:left="3118"/>
      <w:jc w:val="both"/>
    </w:pPr>
    <w:rPr>
      <w:szCs w:val="20"/>
    </w:rPr>
  </w:style>
  <w:style w:type="paragraph" w:customStyle="1" w:styleId="Text6">
    <w:name w:val="Text 6"/>
    <w:basedOn w:val="Normal"/>
    <w:rsid w:val="003B5873"/>
    <w:pPr>
      <w:spacing w:line="240" w:lineRule="auto"/>
      <w:ind w:left="3685"/>
      <w:jc w:val="both"/>
    </w:pPr>
    <w:rPr>
      <w:szCs w:val="20"/>
    </w:rPr>
  </w:style>
  <w:style w:type="paragraph" w:customStyle="1" w:styleId="NormalCentered">
    <w:name w:val="Normal Centered"/>
    <w:basedOn w:val="Normal"/>
    <w:rsid w:val="003B5873"/>
    <w:pPr>
      <w:spacing w:line="240" w:lineRule="auto"/>
      <w:jc w:val="center"/>
    </w:pPr>
    <w:rPr>
      <w:szCs w:val="20"/>
    </w:rPr>
  </w:style>
  <w:style w:type="paragraph" w:customStyle="1" w:styleId="NormalLeft">
    <w:name w:val="Normal Left"/>
    <w:basedOn w:val="Normal"/>
    <w:rsid w:val="003B5873"/>
    <w:pPr>
      <w:spacing w:line="240" w:lineRule="auto"/>
    </w:pPr>
    <w:rPr>
      <w:szCs w:val="20"/>
    </w:rPr>
  </w:style>
  <w:style w:type="paragraph" w:customStyle="1" w:styleId="NormalRight">
    <w:name w:val="Normal Right"/>
    <w:basedOn w:val="Normal"/>
    <w:rsid w:val="003B5873"/>
    <w:pPr>
      <w:spacing w:line="240" w:lineRule="auto"/>
      <w:jc w:val="right"/>
    </w:pPr>
    <w:rPr>
      <w:szCs w:val="20"/>
    </w:rPr>
  </w:style>
  <w:style w:type="paragraph" w:customStyle="1" w:styleId="QuotedText">
    <w:name w:val="Quoted Text"/>
    <w:basedOn w:val="Normal"/>
    <w:rsid w:val="003B5873"/>
    <w:pPr>
      <w:spacing w:line="240" w:lineRule="auto"/>
      <w:ind w:left="1417"/>
      <w:jc w:val="both"/>
    </w:pPr>
    <w:rPr>
      <w:szCs w:val="20"/>
    </w:rPr>
  </w:style>
  <w:style w:type="paragraph" w:customStyle="1" w:styleId="Point0">
    <w:name w:val="Point 0"/>
    <w:basedOn w:val="Normal"/>
    <w:rsid w:val="003B5873"/>
    <w:pPr>
      <w:spacing w:line="240" w:lineRule="auto"/>
      <w:ind w:left="850" w:hanging="850"/>
      <w:jc w:val="both"/>
    </w:pPr>
    <w:rPr>
      <w:szCs w:val="20"/>
    </w:rPr>
  </w:style>
  <w:style w:type="paragraph" w:customStyle="1" w:styleId="Point1">
    <w:name w:val="Point 1"/>
    <w:basedOn w:val="Normal"/>
    <w:rsid w:val="003B5873"/>
    <w:pPr>
      <w:spacing w:line="240" w:lineRule="auto"/>
      <w:ind w:left="1417" w:hanging="567"/>
      <w:jc w:val="both"/>
    </w:pPr>
    <w:rPr>
      <w:szCs w:val="20"/>
    </w:rPr>
  </w:style>
  <w:style w:type="paragraph" w:customStyle="1" w:styleId="Point2">
    <w:name w:val="Point 2"/>
    <w:basedOn w:val="Normal"/>
    <w:rsid w:val="003B5873"/>
    <w:pPr>
      <w:spacing w:line="240" w:lineRule="auto"/>
      <w:ind w:left="1984" w:hanging="567"/>
      <w:jc w:val="both"/>
    </w:pPr>
    <w:rPr>
      <w:szCs w:val="20"/>
    </w:rPr>
  </w:style>
  <w:style w:type="paragraph" w:customStyle="1" w:styleId="Point3">
    <w:name w:val="Point 3"/>
    <w:basedOn w:val="Normal"/>
    <w:rsid w:val="003B5873"/>
    <w:pPr>
      <w:spacing w:line="240" w:lineRule="auto"/>
      <w:ind w:left="2551" w:hanging="567"/>
      <w:jc w:val="both"/>
    </w:pPr>
    <w:rPr>
      <w:szCs w:val="20"/>
    </w:rPr>
  </w:style>
  <w:style w:type="paragraph" w:customStyle="1" w:styleId="Point4">
    <w:name w:val="Point 4"/>
    <w:basedOn w:val="Normal"/>
    <w:rsid w:val="003B5873"/>
    <w:pPr>
      <w:spacing w:line="240" w:lineRule="auto"/>
      <w:ind w:left="3118" w:hanging="567"/>
      <w:jc w:val="both"/>
    </w:pPr>
    <w:rPr>
      <w:szCs w:val="20"/>
    </w:rPr>
  </w:style>
  <w:style w:type="paragraph" w:customStyle="1" w:styleId="Point5">
    <w:name w:val="Point 5"/>
    <w:basedOn w:val="Normal"/>
    <w:rsid w:val="003B5873"/>
    <w:pPr>
      <w:spacing w:line="240" w:lineRule="auto"/>
      <w:ind w:left="3685" w:hanging="567"/>
      <w:jc w:val="both"/>
    </w:pPr>
    <w:rPr>
      <w:szCs w:val="20"/>
    </w:rPr>
  </w:style>
  <w:style w:type="paragraph" w:customStyle="1" w:styleId="Tiret0">
    <w:name w:val="Tiret 0"/>
    <w:basedOn w:val="Point0"/>
    <w:rsid w:val="00220ABB"/>
    <w:pPr>
      <w:numPr>
        <w:numId w:val="29"/>
      </w:numPr>
      <w:tabs>
        <w:tab w:val="clear" w:pos="850"/>
      </w:tabs>
    </w:pPr>
  </w:style>
  <w:style w:type="paragraph" w:customStyle="1" w:styleId="Tiret1">
    <w:name w:val="Tiret 1"/>
    <w:basedOn w:val="Point1"/>
    <w:rsid w:val="00220ABB"/>
    <w:pPr>
      <w:numPr>
        <w:numId w:val="30"/>
      </w:numPr>
      <w:tabs>
        <w:tab w:val="clear" w:pos="1417"/>
      </w:tabs>
      <w:ind w:left="1440" w:hanging="360"/>
    </w:pPr>
  </w:style>
  <w:style w:type="paragraph" w:customStyle="1" w:styleId="Tiret2">
    <w:name w:val="Tiret 2"/>
    <w:basedOn w:val="Point2"/>
    <w:rsid w:val="00220ABB"/>
    <w:pPr>
      <w:numPr>
        <w:numId w:val="31"/>
      </w:numPr>
      <w:tabs>
        <w:tab w:val="clear" w:pos="1984"/>
      </w:tabs>
    </w:pPr>
  </w:style>
  <w:style w:type="paragraph" w:customStyle="1" w:styleId="Tiret3">
    <w:name w:val="Tiret 3"/>
    <w:basedOn w:val="Point3"/>
    <w:rsid w:val="00220ABB"/>
    <w:pPr>
      <w:numPr>
        <w:numId w:val="32"/>
      </w:numPr>
      <w:tabs>
        <w:tab w:val="clear" w:pos="2551"/>
      </w:tabs>
      <w:ind w:left="1440" w:hanging="360"/>
    </w:pPr>
  </w:style>
  <w:style w:type="paragraph" w:customStyle="1" w:styleId="Tiret4">
    <w:name w:val="Tiret 4"/>
    <w:basedOn w:val="Point4"/>
    <w:rsid w:val="00220ABB"/>
    <w:pPr>
      <w:numPr>
        <w:numId w:val="33"/>
      </w:numPr>
      <w:tabs>
        <w:tab w:val="clear" w:pos="3118"/>
      </w:tabs>
      <w:ind w:left="1440" w:hanging="360"/>
    </w:pPr>
  </w:style>
  <w:style w:type="paragraph" w:customStyle="1" w:styleId="Tiret5">
    <w:name w:val="Tiret 5"/>
    <w:basedOn w:val="Point5"/>
    <w:rsid w:val="00220ABB"/>
    <w:pPr>
      <w:numPr>
        <w:numId w:val="45"/>
      </w:numPr>
      <w:ind w:left="785"/>
    </w:pPr>
  </w:style>
  <w:style w:type="paragraph" w:customStyle="1" w:styleId="PointDouble0">
    <w:name w:val="PointDouble 0"/>
    <w:basedOn w:val="Normal"/>
    <w:rsid w:val="003B5873"/>
    <w:pPr>
      <w:tabs>
        <w:tab w:val="left" w:pos="850"/>
      </w:tabs>
      <w:spacing w:line="240" w:lineRule="auto"/>
      <w:ind w:left="1417" w:hanging="1417"/>
      <w:jc w:val="both"/>
    </w:pPr>
    <w:rPr>
      <w:szCs w:val="20"/>
    </w:rPr>
  </w:style>
  <w:style w:type="paragraph" w:customStyle="1" w:styleId="PointDouble1">
    <w:name w:val="PointDouble 1"/>
    <w:basedOn w:val="Normal"/>
    <w:rsid w:val="003B5873"/>
    <w:pPr>
      <w:tabs>
        <w:tab w:val="left" w:pos="1417"/>
      </w:tabs>
      <w:spacing w:line="240" w:lineRule="auto"/>
      <w:ind w:left="1984" w:hanging="1134"/>
      <w:jc w:val="both"/>
    </w:pPr>
    <w:rPr>
      <w:szCs w:val="20"/>
    </w:rPr>
  </w:style>
  <w:style w:type="paragraph" w:customStyle="1" w:styleId="PointDouble2">
    <w:name w:val="PointDouble 2"/>
    <w:basedOn w:val="Normal"/>
    <w:rsid w:val="003B5873"/>
    <w:pPr>
      <w:tabs>
        <w:tab w:val="left" w:pos="1984"/>
      </w:tabs>
      <w:spacing w:line="240" w:lineRule="auto"/>
      <w:ind w:left="2551" w:hanging="1134"/>
      <w:jc w:val="both"/>
    </w:pPr>
    <w:rPr>
      <w:szCs w:val="20"/>
    </w:rPr>
  </w:style>
  <w:style w:type="paragraph" w:customStyle="1" w:styleId="PointDouble3">
    <w:name w:val="PointDouble 3"/>
    <w:basedOn w:val="Normal"/>
    <w:rsid w:val="003B5873"/>
    <w:pPr>
      <w:tabs>
        <w:tab w:val="left" w:pos="2551"/>
      </w:tabs>
      <w:spacing w:line="240" w:lineRule="auto"/>
      <w:ind w:left="3118" w:hanging="1134"/>
      <w:jc w:val="both"/>
    </w:pPr>
    <w:rPr>
      <w:szCs w:val="20"/>
    </w:rPr>
  </w:style>
  <w:style w:type="paragraph" w:customStyle="1" w:styleId="PointDouble4">
    <w:name w:val="PointDouble 4"/>
    <w:basedOn w:val="Normal"/>
    <w:rsid w:val="003B5873"/>
    <w:pPr>
      <w:tabs>
        <w:tab w:val="left" w:pos="3118"/>
      </w:tabs>
      <w:spacing w:line="240" w:lineRule="auto"/>
      <w:ind w:left="3685" w:hanging="1134"/>
      <w:jc w:val="both"/>
    </w:pPr>
    <w:rPr>
      <w:szCs w:val="20"/>
    </w:rPr>
  </w:style>
  <w:style w:type="paragraph" w:customStyle="1" w:styleId="PointTriple0">
    <w:name w:val="PointTriple 0"/>
    <w:basedOn w:val="Normal"/>
    <w:rsid w:val="003B5873"/>
    <w:pPr>
      <w:tabs>
        <w:tab w:val="left" w:pos="850"/>
        <w:tab w:val="left" w:pos="1417"/>
      </w:tabs>
      <w:spacing w:line="240" w:lineRule="auto"/>
      <w:ind w:left="1984" w:hanging="1984"/>
      <w:jc w:val="both"/>
    </w:pPr>
    <w:rPr>
      <w:szCs w:val="20"/>
    </w:rPr>
  </w:style>
  <w:style w:type="paragraph" w:customStyle="1" w:styleId="PointTriple1">
    <w:name w:val="PointTriple 1"/>
    <w:basedOn w:val="Normal"/>
    <w:rsid w:val="003B5873"/>
    <w:pPr>
      <w:tabs>
        <w:tab w:val="left" w:pos="1417"/>
        <w:tab w:val="left" w:pos="1984"/>
      </w:tabs>
      <w:spacing w:line="240" w:lineRule="auto"/>
      <w:ind w:left="2551" w:hanging="1701"/>
      <w:jc w:val="both"/>
    </w:pPr>
    <w:rPr>
      <w:szCs w:val="20"/>
    </w:rPr>
  </w:style>
  <w:style w:type="paragraph" w:customStyle="1" w:styleId="PointTriple2">
    <w:name w:val="PointTriple 2"/>
    <w:basedOn w:val="Normal"/>
    <w:rsid w:val="003B5873"/>
    <w:pPr>
      <w:tabs>
        <w:tab w:val="left" w:pos="1984"/>
        <w:tab w:val="left" w:pos="2551"/>
      </w:tabs>
      <w:spacing w:line="240" w:lineRule="auto"/>
      <w:ind w:left="3118" w:hanging="1701"/>
      <w:jc w:val="both"/>
    </w:pPr>
    <w:rPr>
      <w:szCs w:val="20"/>
    </w:rPr>
  </w:style>
  <w:style w:type="paragraph" w:customStyle="1" w:styleId="PointTriple3">
    <w:name w:val="PointTriple 3"/>
    <w:basedOn w:val="Normal"/>
    <w:rsid w:val="003B5873"/>
    <w:pPr>
      <w:tabs>
        <w:tab w:val="left" w:pos="2551"/>
        <w:tab w:val="left" w:pos="3118"/>
      </w:tabs>
      <w:spacing w:line="240" w:lineRule="auto"/>
      <w:ind w:left="3685" w:hanging="1701"/>
      <w:jc w:val="both"/>
    </w:pPr>
    <w:rPr>
      <w:szCs w:val="20"/>
    </w:rPr>
  </w:style>
  <w:style w:type="paragraph" w:customStyle="1" w:styleId="PointTriple4">
    <w:name w:val="PointTriple 4"/>
    <w:basedOn w:val="Normal"/>
    <w:rsid w:val="003B5873"/>
    <w:pPr>
      <w:tabs>
        <w:tab w:val="left" w:pos="3118"/>
        <w:tab w:val="left" w:pos="3685"/>
      </w:tabs>
      <w:spacing w:line="240" w:lineRule="auto"/>
      <w:ind w:left="4252" w:hanging="1701"/>
      <w:jc w:val="both"/>
    </w:pPr>
    <w:rPr>
      <w:szCs w:val="20"/>
    </w:rPr>
  </w:style>
  <w:style w:type="paragraph" w:customStyle="1" w:styleId="NumPar5">
    <w:name w:val="NumPar 5"/>
    <w:basedOn w:val="Normal"/>
    <w:next w:val="Text2"/>
    <w:rsid w:val="003B5873"/>
    <w:pPr>
      <w:spacing w:line="240" w:lineRule="auto"/>
      <w:ind w:left="3600" w:hanging="360"/>
      <w:jc w:val="both"/>
    </w:pPr>
    <w:rPr>
      <w:szCs w:val="20"/>
    </w:rPr>
  </w:style>
  <w:style w:type="paragraph" w:customStyle="1" w:styleId="NumPar6">
    <w:name w:val="NumPar 6"/>
    <w:basedOn w:val="Normal"/>
    <w:next w:val="Text2"/>
    <w:rsid w:val="003B5873"/>
    <w:pPr>
      <w:spacing w:line="240" w:lineRule="auto"/>
      <w:ind w:left="4320" w:hanging="360"/>
      <w:jc w:val="both"/>
    </w:pPr>
    <w:rPr>
      <w:szCs w:val="20"/>
    </w:rPr>
  </w:style>
  <w:style w:type="paragraph" w:customStyle="1" w:styleId="NumPar7">
    <w:name w:val="NumPar 7"/>
    <w:basedOn w:val="Normal"/>
    <w:next w:val="Text2"/>
    <w:rsid w:val="003B5873"/>
    <w:pPr>
      <w:spacing w:line="240" w:lineRule="auto"/>
      <w:ind w:left="5040" w:hanging="360"/>
      <w:jc w:val="both"/>
    </w:pPr>
    <w:rPr>
      <w:szCs w:val="20"/>
    </w:rPr>
  </w:style>
  <w:style w:type="paragraph" w:customStyle="1" w:styleId="ManualNumPar1">
    <w:name w:val="Manual NumPar 1"/>
    <w:basedOn w:val="Normal"/>
    <w:next w:val="Text1"/>
    <w:rsid w:val="003B5873"/>
    <w:pPr>
      <w:spacing w:line="240" w:lineRule="auto"/>
      <w:ind w:left="850" w:hanging="850"/>
      <w:jc w:val="both"/>
    </w:pPr>
    <w:rPr>
      <w:szCs w:val="20"/>
    </w:rPr>
  </w:style>
  <w:style w:type="paragraph" w:customStyle="1" w:styleId="ManualNumPar2">
    <w:name w:val="Manual NumPar 2"/>
    <w:basedOn w:val="Normal"/>
    <w:next w:val="Text1"/>
    <w:rsid w:val="003B5873"/>
    <w:pPr>
      <w:spacing w:line="240" w:lineRule="auto"/>
      <w:ind w:left="850" w:hanging="850"/>
      <w:jc w:val="both"/>
    </w:pPr>
    <w:rPr>
      <w:szCs w:val="20"/>
    </w:rPr>
  </w:style>
  <w:style w:type="paragraph" w:customStyle="1" w:styleId="ManualNumPar3">
    <w:name w:val="Manual NumPar 3"/>
    <w:basedOn w:val="Normal"/>
    <w:next w:val="Text1"/>
    <w:rsid w:val="003B5873"/>
    <w:pPr>
      <w:spacing w:line="240" w:lineRule="auto"/>
      <w:ind w:left="850" w:hanging="850"/>
      <w:jc w:val="both"/>
    </w:pPr>
    <w:rPr>
      <w:szCs w:val="20"/>
    </w:rPr>
  </w:style>
  <w:style w:type="paragraph" w:customStyle="1" w:styleId="ManualNumPar4">
    <w:name w:val="Manual NumPar 4"/>
    <w:basedOn w:val="Normal"/>
    <w:next w:val="Text1"/>
    <w:rsid w:val="003B5873"/>
    <w:pPr>
      <w:spacing w:line="240" w:lineRule="auto"/>
      <w:ind w:left="850" w:hanging="850"/>
      <w:jc w:val="both"/>
    </w:pPr>
    <w:rPr>
      <w:szCs w:val="20"/>
    </w:rPr>
  </w:style>
  <w:style w:type="paragraph" w:customStyle="1" w:styleId="ManualNumPar5">
    <w:name w:val="Manual NumPar 5"/>
    <w:basedOn w:val="Normal"/>
    <w:next w:val="Text2"/>
    <w:rsid w:val="003B5873"/>
    <w:pPr>
      <w:spacing w:line="240" w:lineRule="auto"/>
      <w:ind w:left="1417" w:hanging="1417"/>
      <w:jc w:val="both"/>
    </w:pPr>
    <w:rPr>
      <w:szCs w:val="20"/>
    </w:rPr>
  </w:style>
  <w:style w:type="paragraph" w:customStyle="1" w:styleId="ManualNumPar6">
    <w:name w:val="Manual NumPar 6"/>
    <w:basedOn w:val="Normal"/>
    <w:next w:val="Text2"/>
    <w:rsid w:val="003B5873"/>
    <w:pPr>
      <w:spacing w:line="240" w:lineRule="auto"/>
      <w:ind w:left="1417" w:hanging="1417"/>
      <w:jc w:val="both"/>
    </w:pPr>
    <w:rPr>
      <w:szCs w:val="20"/>
    </w:rPr>
  </w:style>
  <w:style w:type="paragraph" w:customStyle="1" w:styleId="ManualNumPar7">
    <w:name w:val="Manual NumPar 7"/>
    <w:basedOn w:val="Normal"/>
    <w:next w:val="Text2"/>
    <w:rsid w:val="003B5873"/>
    <w:pPr>
      <w:spacing w:line="240" w:lineRule="auto"/>
      <w:ind w:left="1417" w:hanging="1417"/>
      <w:jc w:val="both"/>
    </w:pPr>
    <w:rPr>
      <w:szCs w:val="20"/>
    </w:rPr>
  </w:style>
  <w:style w:type="paragraph" w:customStyle="1" w:styleId="QuotedNumPar">
    <w:name w:val="Quoted NumPar"/>
    <w:basedOn w:val="Normal"/>
    <w:rsid w:val="003B5873"/>
    <w:pPr>
      <w:spacing w:line="240" w:lineRule="auto"/>
      <w:ind w:left="1417" w:hanging="567"/>
      <w:jc w:val="both"/>
    </w:pPr>
    <w:rPr>
      <w:szCs w:val="20"/>
    </w:rPr>
  </w:style>
  <w:style w:type="paragraph" w:customStyle="1" w:styleId="ManualHeading2">
    <w:name w:val="Manual Heading 2"/>
    <w:basedOn w:val="Normal"/>
    <w:next w:val="Text1"/>
    <w:rsid w:val="003B5873"/>
    <w:pPr>
      <w:keepNext/>
      <w:tabs>
        <w:tab w:val="left" w:pos="850"/>
      </w:tabs>
      <w:spacing w:line="240" w:lineRule="auto"/>
      <w:ind w:left="850" w:hanging="850"/>
      <w:jc w:val="both"/>
      <w:outlineLvl w:val="1"/>
    </w:pPr>
    <w:rPr>
      <w:b/>
      <w:szCs w:val="20"/>
    </w:rPr>
  </w:style>
  <w:style w:type="paragraph" w:customStyle="1" w:styleId="ManualHeading3">
    <w:name w:val="Manual Heading 3"/>
    <w:basedOn w:val="Normal"/>
    <w:next w:val="Text1"/>
    <w:rsid w:val="003B5873"/>
    <w:pPr>
      <w:keepNext/>
      <w:tabs>
        <w:tab w:val="left" w:pos="850"/>
      </w:tabs>
      <w:spacing w:line="240" w:lineRule="auto"/>
      <w:ind w:left="850" w:hanging="850"/>
      <w:jc w:val="both"/>
      <w:outlineLvl w:val="2"/>
    </w:pPr>
    <w:rPr>
      <w:i/>
      <w:szCs w:val="20"/>
    </w:rPr>
  </w:style>
  <w:style w:type="paragraph" w:customStyle="1" w:styleId="ManualHeading4">
    <w:name w:val="Manual Heading 4"/>
    <w:basedOn w:val="Normal"/>
    <w:next w:val="Text1"/>
    <w:rsid w:val="003B5873"/>
    <w:pPr>
      <w:keepNext/>
      <w:tabs>
        <w:tab w:val="left" w:pos="850"/>
      </w:tabs>
      <w:spacing w:line="240" w:lineRule="auto"/>
      <w:ind w:left="850" w:hanging="850"/>
      <w:jc w:val="both"/>
      <w:outlineLvl w:val="3"/>
    </w:pPr>
    <w:rPr>
      <w:szCs w:val="20"/>
    </w:rPr>
  </w:style>
  <w:style w:type="paragraph" w:customStyle="1" w:styleId="ManualHeading5">
    <w:name w:val="Manual Heading 5"/>
    <w:basedOn w:val="Normal"/>
    <w:next w:val="Text2"/>
    <w:rsid w:val="003B5873"/>
    <w:pPr>
      <w:keepNext/>
      <w:tabs>
        <w:tab w:val="left" w:pos="1417"/>
      </w:tabs>
      <w:spacing w:line="240" w:lineRule="auto"/>
      <w:ind w:left="1417" w:hanging="1417"/>
      <w:jc w:val="both"/>
      <w:outlineLvl w:val="4"/>
    </w:pPr>
    <w:rPr>
      <w:szCs w:val="20"/>
    </w:rPr>
  </w:style>
  <w:style w:type="paragraph" w:customStyle="1" w:styleId="ManualHeading6">
    <w:name w:val="Manual Heading 6"/>
    <w:basedOn w:val="Normal"/>
    <w:next w:val="Text2"/>
    <w:rsid w:val="003B5873"/>
    <w:pPr>
      <w:keepNext/>
      <w:tabs>
        <w:tab w:val="left" w:pos="1417"/>
      </w:tabs>
      <w:spacing w:line="240" w:lineRule="auto"/>
      <w:ind w:left="1417" w:hanging="1417"/>
      <w:jc w:val="both"/>
      <w:outlineLvl w:val="5"/>
    </w:pPr>
    <w:rPr>
      <w:szCs w:val="20"/>
    </w:rPr>
  </w:style>
  <w:style w:type="paragraph" w:customStyle="1" w:styleId="ManualHeading7">
    <w:name w:val="Manual Heading 7"/>
    <w:basedOn w:val="Normal"/>
    <w:next w:val="Text2"/>
    <w:rsid w:val="003B5873"/>
    <w:pPr>
      <w:keepNext/>
      <w:tabs>
        <w:tab w:val="left" w:pos="1417"/>
      </w:tabs>
      <w:spacing w:line="240" w:lineRule="auto"/>
      <w:ind w:left="1417" w:hanging="1417"/>
      <w:jc w:val="both"/>
      <w:outlineLvl w:val="6"/>
    </w:pPr>
    <w:rPr>
      <w:szCs w:val="20"/>
    </w:rPr>
  </w:style>
  <w:style w:type="paragraph" w:customStyle="1" w:styleId="ChapterTitle">
    <w:name w:val="ChapterTitle"/>
    <w:basedOn w:val="Normal"/>
    <w:next w:val="Normal"/>
    <w:rsid w:val="003B5873"/>
    <w:pPr>
      <w:keepNext/>
      <w:spacing w:after="360" w:line="240" w:lineRule="auto"/>
      <w:jc w:val="center"/>
    </w:pPr>
    <w:rPr>
      <w:b/>
      <w:sz w:val="32"/>
      <w:szCs w:val="20"/>
    </w:rPr>
  </w:style>
  <w:style w:type="paragraph" w:customStyle="1" w:styleId="PartTitle">
    <w:name w:val="PartTitle"/>
    <w:basedOn w:val="Normal"/>
    <w:next w:val="ChapterTitle"/>
    <w:rsid w:val="003B5873"/>
    <w:pPr>
      <w:keepNext/>
      <w:pageBreakBefore/>
      <w:spacing w:after="360" w:line="240" w:lineRule="auto"/>
      <w:jc w:val="center"/>
    </w:pPr>
    <w:rPr>
      <w:b/>
      <w:sz w:val="36"/>
      <w:szCs w:val="20"/>
    </w:rPr>
  </w:style>
  <w:style w:type="paragraph" w:customStyle="1" w:styleId="SectionTitle">
    <w:name w:val="SectionTitle"/>
    <w:basedOn w:val="Normal"/>
    <w:next w:val="Heading1"/>
    <w:rsid w:val="003B5873"/>
    <w:pPr>
      <w:keepNext/>
      <w:spacing w:after="360" w:line="240" w:lineRule="auto"/>
      <w:jc w:val="center"/>
    </w:pPr>
    <w:rPr>
      <w:b/>
      <w:smallCaps/>
      <w:sz w:val="28"/>
      <w:szCs w:val="20"/>
    </w:rPr>
  </w:style>
  <w:style w:type="paragraph" w:customStyle="1" w:styleId="TableTitle">
    <w:name w:val="Table Title"/>
    <w:basedOn w:val="Normal"/>
    <w:next w:val="Normal"/>
    <w:rsid w:val="003B5873"/>
    <w:pPr>
      <w:spacing w:line="240" w:lineRule="auto"/>
      <w:jc w:val="center"/>
    </w:pPr>
    <w:rPr>
      <w:b/>
      <w:szCs w:val="20"/>
    </w:rPr>
  </w:style>
  <w:style w:type="character" w:customStyle="1" w:styleId="Marker2">
    <w:name w:val="Marker2"/>
    <w:basedOn w:val="DefaultParagraphFont"/>
    <w:rsid w:val="00220ABB"/>
    <w:rPr>
      <w:color w:val="FF0000"/>
      <w:shd w:val="clear" w:color="auto" w:fill="auto"/>
    </w:rPr>
  </w:style>
  <w:style w:type="paragraph" w:customStyle="1" w:styleId="Point0number">
    <w:name w:val="Point 0 (number)"/>
    <w:basedOn w:val="Normal"/>
    <w:rsid w:val="003B5873"/>
    <w:pPr>
      <w:numPr>
        <w:numId w:val="34"/>
      </w:numPr>
      <w:tabs>
        <w:tab w:val="clear" w:pos="850"/>
      </w:tabs>
      <w:spacing w:line="240" w:lineRule="auto"/>
      <w:ind w:left="720" w:hanging="360"/>
      <w:jc w:val="both"/>
    </w:pPr>
    <w:rPr>
      <w:szCs w:val="20"/>
    </w:rPr>
  </w:style>
  <w:style w:type="paragraph" w:customStyle="1" w:styleId="Point1number">
    <w:name w:val="Point 1 (number)"/>
    <w:basedOn w:val="Normal"/>
    <w:rsid w:val="003B5873"/>
    <w:pPr>
      <w:numPr>
        <w:ilvl w:val="2"/>
        <w:numId w:val="34"/>
      </w:numPr>
      <w:tabs>
        <w:tab w:val="clear" w:pos="1417"/>
      </w:tabs>
      <w:spacing w:line="240" w:lineRule="auto"/>
      <w:ind w:left="2160" w:hanging="360"/>
      <w:jc w:val="both"/>
    </w:pPr>
    <w:rPr>
      <w:szCs w:val="20"/>
    </w:rPr>
  </w:style>
  <w:style w:type="paragraph" w:customStyle="1" w:styleId="Point2number">
    <w:name w:val="Point 2 (number)"/>
    <w:basedOn w:val="Normal"/>
    <w:rsid w:val="003B5873"/>
    <w:pPr>
      <w:numPr>
        <w:ilvl w:val="4"/>
        <w:numId w:val="34"/>
      </w:numPr>
      <w:tabs>
        <w:tab w:val="clear" w:pos="1984"/>
      </w:tabs>
      <w:spacing w:line="240" w:lineRule="auto"/>
      <w:ind w:left="3600" w:hanging="360"/>
      <w:jc w:val="both"/>
    </w:pPr>
    <w:rPr>
      <w:szCs w:val="20"/>
    </w:rPr>
  </w:style>
  <w:style w:type="paragraph" w:customStyle="1" w:styleId="Point3number">
    <w:name w:val="Point 3 (number)"/>
    <w:basedOn w:val="Normal"/>
    <w:rsid w:val="003B5873"/>
    <w:pPr>
      <w:numPr>
        <w:ilvl w:val="6"/>
        <w:numId w:val="34"/>
      </w:numPr>
      <w:tabs>
        <w:tab w:val="clear" w:pos="2551"/>
      </w:tabs>
      <w:spacing w:line="240" w:lineRule="auto"/>
      <w:ind w:left="5040" w:hanging="360"/>
      <w:jc w:val="both"/>
    </w:pPr>
    <w:rPr>
      <w:szCs w:val="20"/>
    </w:rPr>
  </w:style>
  <w:style w:type="paragraph" w:customStyle="1" w:styleId="Point0letter">
    <w:name w:val="Point 0 (letter)"/>
    <w:basedOn w:val="Normal"/>
    <w:rsid w:val="003B5873"/>
    <w:pPr>
      <w:numPr>
        <w:ilvl w:val="1"/>
        <w:numId w:val="34"/>
      </w:numPr>
      <w:tabs>
        <w:tab w:val="clear" w:pos="850"/>
      </w:tabs>
      <w:spacing w:line="240" w:lineRule="auto"/>
      <w:ind w:left="1440" w:hanging="360"/>
      <w:jc w:val="both"/>
    </w:pPr>
    <w:rPr>
      <w:szCs w:val="20"/>
    </w:rPr>
  </w:style>
  <w:style w:type="paragraph" w:customStyle="1" w:styleId="Point1letter">
    <w:name w:val="Point 1 (letter)"/>
    <w:basedOn w:val="Normal"/>
    <w:rsid w:val="003B5873"/>
    <w:pPr>
      <w:numPr>
        <w:ilvl w:val="3"/>
        <w:numId w:val="34"/>
      </w:numPr>
      <w:tabs>
        <w:tab w:val="clear" w:pos="1417"/>
      </w:tabs>
      <w:spacing w:line="240" w:lineRule="auto"/>
      <w:ind w:left="2880" w:hanging="360"/>
      <w:jc w:val="both"/>
    </w:pPr>
    <w:rPr>
      <w:szCs w:val="20"/>
    </w:rPr>
  </w:style>
  <w:style w:type="paragraph" w:customStyle="1" w:styleId="Point2letter">
    <w:name w:val="Point 2 (letter)"/>
    <w:basedOn w:val="Normal"/>
    <w:rsid w:val="003B5873"/>
    <w:pPr>
      <w:numPr>
        <w:ilvl w:val="5"/>
        <w:numId w:val="34"/>
      </w:numPr>
      <w:tabs>
        <w:tab w:val="clear" w:pos="1984"/>
      </w:tabs>
      <w:spacing w:line="240" w:lineRule="auto"/>
      <w:ind w:left="4320" w:hanging="360"/>
      <w:jc w:val="both"/>
    </w:pPr>
    <w:rPr>
      <w:szCs w:val="20"/>
    </w:rPr>
  </w:style>
  <w:style w:type="paragraph" w:customStyle="1" w:styleId="Point3letter">
    <w:name w:val="Point 3 (letter)"/>
    <w:basedOn w:val="Normal"/>
    <w:rsid w:val="003B5873"/>
    <w:pPr>
      <w:numPr>
        <w:ilvl w:val="7"/>
        <w:numId w:val="34"/>
      </w:numPr>
      <w:tabs>
        <w:tab w:val="clear" w:pos="2551"/>
      </w:tabs>
      <w:spacing w:line="240" w:lineRule="auto"/>
      <w:ind w:left="5760" w:hanging="360"/>
      <w:jc w:val="both"/>
    </w:pPr>
    <w:rPr>
      <w:szCs w:val="20"/>
    </w:rPr>
  </w:style>
  <w:style w:type="paragraph" w:customStyle="1" w:styleId="Point4letter">
    <w:name w:val="Point 4 (letter)"/>
    <w:basedOn w:val="Normal"/>
    <w:rsid w:val="003B5873"/>
    <w:pPr>
      <w:numPr>
        <w:ilvl w:val="8"/>
        <w:numId w:val="34"/>
      </w:numPr>
      <w:tabs>
        <w:tab w:val="clear" w:pos="3118"/>
      </w:tabs>
      <w:spacing w:line="240" w:lineRule="auto"/>
      <w:ind w:left="6480" w:hanging="360"/>
      <w:jc w:val="both"/>
    </w:pPr>
    <w:rPr>
      <w:szCs w:val="20"/>
    </w:rPr>
  </w:style>
  <w:style w:type="paragraph" w:customStyle="1" w:styleId="Bullet0">
    <w:name w:val="Bullet 0"/>
    <w:basedOn w:val="Normal"/>
    <w:rsid w:val="003B5873"/>
    <w:pPr>
      <w:numPr>
        <w:numId w:val="35"/>
      </w:numPr>
      <w:spacing w:line="240" w:lineRule="auto"/>
      <w:ind w:left="720" w:hanging="360"/>
      <w:jc w:val="both"/>
    </w:pPr>
    <w:rPr>
      <w:szCs w:val="20"/>
    </w:rPr>
  </w:style>
  <w:style w:type="paragraph" w:customStyle="1" w:styleId="Bullet1">
    <w:name w:val="Bullet 1"/>
    <w:basedOn w:val="Normal"/>
    <w:rsid w:val="003B5873"/>
    <w:pPr>
      <w:numPr>
        <w:numId w:val="36"/>
      </w:numPr>
      <w:spacing w:line="240" w:lineRule="auto"/>
      <w:ind w:left="720" w:hanging="360"/>
      <w:jc w:val="both"/>
    </w:pPr>
    <w:rPr>
      <w:szCs w:val="20"/>
    </w:rPr>
  </w:style>
  <w:style w:type="paragraph" w:customStyle="1" w:styleId="Bullet2">
    <w:name w:val="Bullet 2"/>
    <w:basedOn w:val="Normal"/>
    <w:rsid w:val="003B5873"/>
    <w:pPr>
      <w:numPr>
        <w:numId w:val="37"/>
      </w:numPr>
      <w:spacing w:line="240" w:lineRule="auto"/>
      <w:ind w:left="720" w:hanging="360"/>
      <w:jc w:val="both"/>
    </w:pPr>
    <w:rPr>
      <w:szCs w:val="20"/>
    </w:rPr>
  </w:style>
  <w:style w:type="paragraph" w:customStyle="1" w:styleId="Bullet3">
    <w:name w:val="Bullet 3"/>
    <w:basedOn w:val="Normal"/>
    <w:rsid w:val="003B5873"/>
    <w:pPr>
      <w:numPr>
        <w:numId w:val="38"/>
      </w:numPr>
      <w:spacing w:line="240" w:lineRule="auto"/>
      <w:ind w:left="720" w:hanging="360"/>
      <w:jc w:val="both"/>
    </w:pPr>
    <w:rPr>
      <w:szCs w:val="20"/>
    </w:rPr>
  </w:style>
  <w:style w:type="paragraph" w:customStyle="1" w:styleId="Bullet4">
    <w:name w:val="Bullet 4"/>
    <w:basedOn w:val="Normal"/>
    <w:rsid w:val="003B5873"/>
    <w:pPr>
      <w:numPr>
        <w:numId w:val="39"/>
      </w:numPr>
      <w:spacing w:line="240" w:lineRule="auto"/>
      <w:ind w:left="1080" w:hanging="720"/>
      <w:jc w:val="both"/>
    </w:pPr>
    <w:rPr>
      <w:szCs w:val="20"/>
    </w:rPr>
  </w:style>
  <w:style w:type="paragraph" w:customStyle="1" w:styleId="Langue">
    <w:name w:val="Langue"/>
    <w:basedOn w:val="Normal"/>
    <w:next w:val="Rfrenceinterne"/>
    <w:rsid w:val="003B5873"/>
    <w:pPr>
      <w:framePr w:wrap="around" w:vAnchor="page" w:hAnchor="text" w:xAlign="center" w:y="14741"/>
      <w:spacing w:after="600" w:line="240" w:lineRule="auto"/>
      <w:jc w:val="center"/>
    </w:pPr>
    <w:rPr>
      <w:b/>
      <w:caps/>
      <w:szCs w:val="20"/>
    </w:rPr>
  </w:style>
  <w:style w:type="paragraph" w:customStyle="1" w:styleId="Nomdelinstitution">
    <w:name w:val="Nom de l'institution"/>
    <w:basedOn w:val="Normal"/>
    <w:next w:val="Emission"/>
    <w:rsid w:val="003B5873"/>
    <w:pPr>
      <w:spacing w:after="0" w:line="240" w:lineRule="auto"/>
    </w:pPr>
    <w:rPr>
      <w:rFonts w:ascii="Arial" w:hAnsi="Arial" w:cs="Arial"/>
      <w:szCs w:val="20"/>
    </w:rPr>
  </w:style>
  <w:style w:type="paragraph" w:customStyle="1" w:styleId="Emission">
    <w:name w:val="Emission"/>
    <w:basedOn w:val="Normal"/>
    <w:next w:val="Rfrenceinstitutionnelle"/>
    <w:rsid w:val="003B5873"/>
    <w:pPr>
      <w:spacing w:after="0" w:line="240" w:lineRule="auto"/>
      <w:ind w:left="5103"/>
    </w:pPr>
    <w:rPr>
      <w:szCs w:val="20"/>
    </w:rPr>
  </w:style>
  <w:style w:type="paragraph" w:customStyle="1" w:styleId="Rfrenceinstitutionnelle">
    <w:name w:val="Référence institutionnelle"/>
    <w:basedOn w:val="Normal"/>
    <w:next w:val="Confidentialit"/>
    <w:rsid w:val="003B5873"/>
    <w:pPr>
      <w:spacing w:after="240" w:line="240" w:lineRule="auto"/>
      <w:ind w:left="5103"/>
    </w:pPr>
    <w:rPr>
      <w:szCs w:val="20"/>
    </w:rPr>
  </w:style>
  <w:style w:type="paragraph" w:customStyle="1" w:styleId="Declassification">
    <w:name w:val="Declassification"/>
    <w:basedOn w:val="Normal"/>
    <w:next w:val="Normal"/>
    <w:rsid w:val="003B5873"/>
    <w:pPr>
      <w:spacing w:after="0" w:line="240" w:lineRule="auto"/>
      <w:jc w:val="both"/>
    </w:pPr>
    <w:rPr>
      <w:szCs w:val="20"/>
    </w:rPr>
  </w:style>
  <w:style w:type="paragraph" w:customStyle="1" w:styleId="Disclaimer">
    <w:name w:val="Disclaimer"/>
    <w:basedOn w:val="Normal"/>
    <w:rsid w:val="003B587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rPr>
      <w:szCs w:val="20"/>
    </w:rPr>
  </w:style>
  <w:style w:type="paragraph" w:customStyle="1" w:styleId="SecurityMarking">
    <w:name w:val="SecurityMarking"/>
    <w:basedOn w:val="Normal"/>
    <w:rsid w:val="003B5873"/>
    <w:pPr>
      <w:spacing w:after="0" w:line="276" w:lineRule="auto"/>
      <w:ind w:left="5103"/>
    </w:pPr>
    <w:rPr>
      <w:sz w:val="28"/>
      <w:szCs w:val="20"/>
    </w:rPr>
  </w:style>
  <w:style w:type="paragraph" w:customStyle="1" w:styleId="DateMarking">
    <w:name w:val="DateMarking"/>
    <w:basedOn w:val="Normal"/>
    <w:rsid w:val="003B5873"/>
    <w:pPr>
      <w:spacing w:after="0" w:line="276" w:lineRule="auto"/>
      <w:ind w:left="5103"/>
    </w:pPr>
    <w:rPr>
      <w:i/>
      <w:sz w:val="28"/>
      <w:szCs w:val="20"/>
    </w:rPr>
  </w:style>
  <w:style w:type="paragraph" w:customStyle="1" w:styleId="ReleasableTo">
    <w:name w:val="ReleasableTo"/>
    <w:basedOn w:val="Normal"/>
    <w:rsid w:val="003B5873"/>
    <w:pPr>
      <w:spacing w:after="0" w:line="276" w:lineRule="auto"/>
      <w:ind w:left="5103"/>
    </w:pPr>
    <w:rPr>
      <w:i/>
      <w:sz w:val="28"/>
      <w:szCs w:val="20"/>
    </w:rPr>
  </w:style>
  <w:style w:type="paragraph" w:customStyle="1" w:styleId="Annexetitreexpos">
    <w:name w:val="Annexe titre (exposé)"/>
    <w:basedOn w:val="Normal"/>
    <w:next w:val="Normal"/>
    <w:rsid w:val="003B5873"/>
    <w:pPr>
      <w:spacing w:line="240" w:lineRule="auto"/>
      <w:jc w:val="center"/>
    </w:pPr>
    <w:rPr>
      <w:b/>
      <w:szCs w:val="20"/>
      <w:u w:val="single"/>
    </w:rPr>
  </w:style>
  <w:style w:type="paragraph" w:customStyle="1" w:styleId="Annexetitre">
    <w:name w:val="Annexe titre"/>
    <w:basedOn w:val="Normal"/>
    <w:next w:val="Normal"/>
    <w:rsid w:val="003B5873"/>
    <w:pPr>
      <w:spacing w:line="240" w:lineRule="auto"/>
      <w:jc w:val="center"/>
    </w:pPr>
    <w:rPr>
      <w:b/>
      <w:szCs w:val="20"/>
      <w:u w:val="single"/>
    </w:rPr>
  </w:style>
  <w:style w:type="paragraph" w:customStyle="1" w:styleId="Annexetitrefichefinancire">
    <w:name w:val="Annexe titre (fiche financière)"/>
    <w:basedOn w:val="Normal"/>
    <w:next w:val="Normal"/>
    <w:rsid w:val="003B5873"/>
    <w:pPr>
      <w:spacing w:line="240" w:lineRule="auto"/>
      <w:jc w:val="center"/>
    </w:pPr>
    <w:rPr>
      <w:b/>
      <w:szCs w:val="20"/>
      <w:u w:val="single"/>
    </w:rPr>
  </w:style>
  <w:style w:type="paragraph" w:customStyle="1" w:styleId="Applicationdirecte">
    <w:name w:val="Application directe"/>
    <w:basedOn w:val="Normal"/>
    <w:next w:val="Fait"/>
    <w:rsid w:val="003B5873"/>
    <w:pPr>
      <w:spacing w:before="480" w:line="240" w:lineRule="auto"/>
      <w:jc w:val="both"/>
    </w:pPr>
    <w:rPr>
      <w:szCs w:val="20"/>
    </w:rPr>
  </w:style>
  <w:style w:type="paragraph" w:customStyle="1" w:styleId="Avertissementtitre">
    <w:name w:val="Avertissement titre"/>
    <w:basedOn w:val="Normal"/>
    <w:next w:val="Normal"/>
    <w:rsid w:val="003B5873"/>
    <w:pPr>
      <w:keepNext/>
      <w:spacing w:before="480" w:line="240" w:lineRule="auto"/>
      <w:jc w:val="both"/>
    </w:pPr>
    <w:rPr>
      <w:szCs w:val="20"/>
      <w:u w:val="single"/>
    </w:rPr>
  </w:style>
  <w:style w:type="paragraph" w:customStyle="1" w:styleId="Confidence">
    <w:name w:val="Confidence"/>
    <w:basedOn w:val="Normal"/>
    <w:next w:val="Normal"/>
    <w:rsid w:val="003B5873"/>
    <w:pPr>
      <w:spacing w:before="360" w:line="240" w:lineRule="auto"/>
      <w:jc w:val="center"/>
    </w:pPr>
    <w:rPr>
      <w:szCs w:val="20"/>
    </w:rPr>
  </w:style>
  <w:style w:type="paragraph" w:customStyle="1" w:styleId="Confidentialit">
    <w:name w:val="Confidentialité"/>
    <w:basedOn w:val="Normal"/>
    <w:next w:val="TypedudocumentPagedecouverture"/>
    <w:rsid w:val="003B5873"/>
    <w:pPr>
      <w:spacing w:before="240" w:after="240" w:line="240" w:lineRule="auto"/>
      <w:ind w:left="5103"/>
    </w:pPr>
    <w:rPr>
      <w:i/>
      <w:sz w:val="32"/>
      <w:szCs w:val="20"/>
    </w:rPr>
  </w:style>
  <w:style w:type="paragraph" w:customStyle="1" w:styleId="Considrant">
    <w:name w:val="Considérant"/>
    <w:basedOn w:val="Normal"/>
    <w:rsid w:val="003B5873"/>
    <w:pPr>
      <w:numPr>
        <w:numId w:val="40"/>
      </w:numPr>
      <w:spacing w:line="240" w:lineRule="auto"/>
      <w:ind w:left="720"/>
      <w:jc w:val="both"/>
    </w:pPr>
    <w:rPr>
      <w:szCs w:val="20"/>
    </w:rPr>
  </w:style>
  <w:style w:type="paragraph" w:customStyle="1" w:styleId="Corrigendum">
    <w:name w:val="Corrigendum"/>
    <w:basedOn w:val="Normal"/>
    <w:next w:val="Normal"/>
    <w:rsid w:val="003B5873"/>
    <w:pPr>
      <w:spacing w:after="240" w:line="240" w:lineRule="auto"/>
    </w:pPr>
    <w:rPr>
      <w:szCs w:val="20"/>
    </w:rPr>
  </w:style>
  <w:style w:type="paragraph" w:customStyle="1" w:styleId="Datedadoption">
    <w:name w:val="Date d'adoption"/>
    <w:basedOn w:val="Normal"/>
    <w:next w:val="Titreobjet"/>
    <w:rsid w:val="003B5873"/>
    <w:pPr>
      <w:spacing w:before="360" w:after="0" w:line="240" w:lineRule="auto"/>
      <w:jc w:val="center"/>
    </w:pPr>
    <w:rPr>
      <w:b/>
      <w:szCs w:val="20"/>
    </w:rPr>
  </w:style>
  <w:style w:type="paragraph" w:customStyle="1" w:styleId="Exposdesmotifstitre">
    <w:name w:val="Exposé des motifs titre"/>
    <w:basedOn w:val="Normal"/>
    <w:next w:val="Normal"/>
    <w:rsid w:val="003B5873"/>
    <w:pPr>
      <w:spacing w:line="240" w:lineRule="auto"/>
      <w:jc w:val="center"/>
    </w:pPr>
    <w:rPr>
      <w:b/>
      <w:szCs w:val="20"/>
      <w:u w:val="single"/>
    </w:rPr>
  </w:style>
  <w:style w:type="paragraph" w:customStyle="1" w:styleId="Fait">
    <w:name w:val="Fait à"/>
    <w:basedOn w:val="Normal"/>
    <w:next w:val="Institutionquisigne"/>
    <w:rsid w:val="003B5873"/>
    <w:pPr>
      <w:keepNext/>
      <w:spacing w:after="0" w:line="240" w:lineRule="auto"/>
      <w:jc w:val="both"/>
    </w:pPr>
    <w:rPr>
      <w:szCs w:val="20"/>
    </w:rPr>
  </w:style>
  <w:style w:type="paragraph" w:customStyle="1" w:styleId="Formuledadoption">
    <w:name w:val="Formule d'adoption"/>
    <w:basedOn w:val="Normal"/>
    <w:next w:val="Titrearticle"/>
    <w:rsid w:val="003B5873"/>
    <w:pPr>
      <w:keepNext/>
      <w:spacing w:line="240" w:lineRule="auto"/>
      <w:jc w:val="both"/>
    </w:pPr>
    <w:rPr>
      <w:szCs w:val="20"/>
    </w:rPr>
  </w:style>
  <w:style w:type="paragraph" w:customStyle="1" w:styleId="Institutionquiagit">
    <w:name w:val="Institution qui agit"/>
    <w:basedOn w:val="Normal"/>
    <w:next w:val="Normal"/>
    <w:rsid w:val="003B5873"/>
    <w:pPr>
      <w:keepNext/>
      <w:spacing w:before="600" w:line="240" w:lineRule="auto"/>
      <w:jc w:val="both"/>
    </w:pPr>
    <w:rPr>
      <w:szCs w:val="20"/>
    </w:rPr>
  </w:style>
  <w:style w:type="paragraph" w:customStyle="1" w:styleId="Institutionquisigne">
    <w:name w:val="Institution qui signe"/>
    <w:basedOn w:val="Normal"/>
    <w:next w:val="Personnequisigne"/>
    <w:rsid w:val="003B5873"/>
    <w:pPr>
      <w:keepNext/>
      <w:tabs>
        <w:tab w:val="left" w:pos="4252"/>
      </w:tabs>
      <w:spacing w:before="720" w:after="0" w:line="240" w:lineRule="auto"/>
      <w:jc w:val="both"/>
    </w:pPr>
    <w:rPr>
      <w:i/>
      <w:szCs w:val="20"/>
    </w:rPr>
  </w:style>
  <w:style w:type="paragraph" w:customStyle="1" w:styleId="ManualConsidrant">
    <w:name w:val="Manual Considérant"/>
    <w:basedOn w:val="Normal"/>
    <w:rsid w:val="003B5873"/>
    <w:pPr>
      <w:spacing w:line="240" w:lineRule="auto"/>
      <w:ind w:left="709" w:hanging="709"/>
      <w:jc w:val="both"/>
    </w:pPr>
    <w:rPr>
      <w:szCs w:val="20"/>
    </w:rPr>
  </w:style>
  <w:style w:type="paragraph" w:customStyle="1" w:styleId="Personnequisigne">
    <w:name w:val="Personne qui signe"/>
    <w:basedOn w:val="Normal"/>
    <w:next w:val="Institutionquisigne"/>
    <w:rsid w:val="003B5873"/>
    <w:pPr>
      <w:tabs>
        <w:tab w:val="left" w:pos="4252"/>
      </w:tabs>
      <w:spacing w:after="0" w:line="240" w:lineRule="auto"/>
    </w:pPr>
    <w:rPr>
      <w:i/>
      <w:szCs w:val="20"/>
    </w:rPr>
  </w:style>
  <w:style w:type="paragraph" w:customStyle="1" w:styleId="Rfrenceinterinstitutionnelle">
    <w:name w:val="Référence interinstitutionnelle"/>
    <w:basedOn w:val="Normal"/>
    <w:next w:val="Statut"/>
    <w:rsid w:val="003B5873"/>
    <w:pPr>
      <w:spacing w:after="0" w:line="240" w:lineRule="auto"/>
      <w:ind w:left="5103"/>
    </w:pPr>
    <w:rPr>
      <w:szCs w:val="20"/>
    </w:rPr>
  </w:style>
  <w:style w:type="paragraph" w:customStyle="1" w:styleId="Rfrenceinterne">
    <w:name w:val="Référence interne"/>
    <w:basedOn w:val="Normal"/>
    <w:next w:val="Rfrenceinterinstitutionnelle"/>
    <w:rsid w:val="003B5873"/>
    <w:pPr>
      <w:spacing w:after="0" w:line="240" w:lineRule="auto"/>
      <w:ind w:left="5103"/>
    </w:pPr>
    <w:rPr>
      <w:szCs w:val="20"/>
    </w:rPr>
  </w:style>
  <w:style w:type="paragraph" w:customStyle="1" w:styleId="Statut">
    <w:name w:val="Statut"/>
    <w:basedOn w:val="Normal"/>
    <w:next w:val="Typedudocument"/>
    <w:rsid w:val="003B5873"/>
    <w:pPr>
      <w:spacing w:before="360" w:after="0" w:line="240" w:lineRule="auto"/>
      <w:jc w:val="center"/>
    </w:pPr>
    <w:rPr>
      <w:szCs w:val="20"/>
    </w:rPr>
  </w:style>
  <w:style w:type="paragraph" w:customStyle="1" w:styleId="Titrearticle">
    <w:name w:val="Titre article"/>
    <w:basedOn w:val="Normal"/>
    <w:next w:val="Normal"/>
    <w:rsid w:val="003B5873"/>
    <w:pPr>
      <w:keepNext/>
      <w:spacing w:before="360" w:line="240" w:lineRule="auto"/>
      <w:jc w:val="center"/>
    </w:pPr>
    <w:rPr>
      <w:i/>
      <w:szCs w:val="20"/>
    </w:rPr>
  </w:style>
  <w:style w:type="paragraph" w:customStyle="1" w:styleId="Titreobjet">
    <w:name w:val="Titre objet"/>
    <w:basedOn w:val="Normal"/>
    <w:next w:val="IntrtEEE"/>
    <w:rsid w:val="003B5873"/>
    <w:pPr>
      <w:spacing w:before="360" w:after="360" w:line="240" w:lineRule="auto"/>
      <w:jc w:val="center"/>
    </w:pPr>
    <w:rPr>
      <w:b/>
      <w:szCs w:val="20"/>
    </w:rPr>
  </w:style>
  <w:style w:type="paragraph" w:customStyle="1" w:styleId="Typedudocument">
    <w:name w:val="Type du document"/>
    <w:basedOn w:val="Normal"/>
    <w:next w:val="Titreobjet"/>
    <w:rsid w:val="003B5873"/>
    <w:pPr>
      <w:spacing w:before="360" w:after="0" w:line="240" w:lineRule="auto"/>
      <w:jc w:val="center"/>
    </w:pPr>
    <w:rPr>
      <w:b/>
      <w:szCs w:val="20"/>
    </w:rPr>
  </w:style>
  <w:style w:type="character" w:customStyle="1" w:styleId="Added">
    <w:name w:val="Added"/>
    <w:basedOn w:val="DefaultParagraphFont"/>
    <w:rsid w:val="00220ABB"/>
    <w:rPr>
      <w:b/>
      <w:u w:val="single"/>
      <w:shd w:val="clear" w:color="auto" w:fill="auto"/>
    </w:rPr>
  </w:style>
  <w:style w:type="character" w:customStyle="1" w:styleId="Deleted">
    <w:name w:val="Deleted"/>
    <w:basedOn w:val="DefaultParagraphFont"/>
    <w:rsid w:val="00220ABB"/>
    <w:rPr>
      <w:strike/>
      <w:dstrike w:val="0"/>
      <w:shd w:val="clear" w:color="auto" w:fill="auto"/>
    </w:rPr>
  </w:style>
  <w:style w:type="paragraph" w:customStyle="1" w:styleId="Address">
    <w:name w:val="Address"/>
    <w:basedOn w:val="Normal"/>
    <w:next w:val="Normal"/>
    <w:rsid w:val="003B5873"/>
    <w:pPr>
      <w:keepLines/>
      <w:ind w:left="3402"/>
    </w:pPr>
    <w:rPr>
      <w:szCs w:val="20"/>
    </w:rPr>
  </w:style>
  <w:style w:type="paragraph" w:customStyle="1" w:styleId="Objetexterne">
    <w:name w:val="Objet externe"/>
    <w:basedOn w:val="Normal"/>
    <w:next w:val="Normal"/>
    <w:rsid w:val="003B5873"/>
    <w:pPr>
      <w:spacing w:line="240" w:lineRule="auto"/>
      <w:jc w:val="both"/>
    </w:pPr>
    <w:rPr>
      <w:i/>
      <w:caps/>
      <w:szCs w:val="20"/>
    </w:rPr>
  </w:style>
  <w:style w:type="paragraph" w:customStyle="1" w:styleId="Supertitre">
    <w:name w:val="Supertitre"/>
    <w:basedOn w:val="Normal"/>
    <w:next w:val="Normal"/>
    <w:rsid w:val="003B5873"/>
    <w:pPr>
      <w:spacing w:after="600" w:line="240" w:lineRule="auto"/>
      <w:jc w:val="center"/>
    </w:pPr>
    <w:rPr>
      <w:b/>
      <w:szCs w:val="20"/>
    </w:rPr>
  </w:style>
  <w:style w:type="paragraph" w:customStyle="1" w:styleId="Languesfaisantfoi">
    <w:name w:val="Langues faisant foi"/>
    <w:basedOn w:val="Normal"/>
    <w:next w:val="Normal"/>
    <w:rsid w:val="003B5873"/>
    <w:pPr>
      <w:spacing w:before="360" w:after="0" w:line="240" w:lineRule="auto"/>
      <w:jc w:val="center"/>
    </w:pPr>
    <w:rPr>
      <w:szCs w:val="20"/>
    </w:rPr>
  </w:style>
  <w:style w:type="paragraph" w:customStyle="1" w:styleId="Rfrencecroise">
    <w:name w:val="Référence croisée"/>
    <w:basedOn w:val="Normal"/>
    <w:rsid w:val="003B5873"/>
    <w:pPr>
      <w:spacing w:after="0" w:line="240" w:lineRule="auto"/>
      <w:jc w:val="center"/>
    </w:pPr>
    <w:rPr>
      <w:szCs w:val="20"/>
    </w:rPr>
  </w:style>
  <w:style w:type="paragraph" w:customStyle="1" w:styleId="Fichefinanciretitre">
    <w:name w:val="Fiche financière titre"/>
    <w:basedOn w:val="Normal"/>
    <w:next w:val="Normal"/>
    <w:rsid w:val="003B5873"/>
    <w:pPr>
      <w:spacing w:line="240" w:lineRule="auto"/>
      <w:jc w:val="center"/>
    </w:pPr>
    <w:rPr>
      <w:b/>
      <w:szCs w:val="20"/>
      <w:u w:val="single"/>
    </w:rPr>
  </w:style>
  <w:style w:type="paragraph" w:customStyle="1" w:styleId="DatedadoptionPagedecouverture">
    <w:name w:val="Date d'adoption (Page de couverture)"/>
    <w:basedOn w:val="Datedadoption"/>
    <w:next w:val="TitreobjetPagedecouverture"/>
    <w:rsid w:val="00220ABB"/>
  </w:style>
  <w:style w:type="paragraph" w:customStyle="1" w:styleId="RfrenceinterinstitutionnellePagedecouverture">
    <w:name w:val="Référence interinstitutionnelle (Page de couverture)"/>
    <w:basedOn w:val="Rfrenceinterinstitutionnelle"/>
    <w:next w:val="Confidentialit"/>
    <w:rsid w:val="00220ABB"/>
  </w:style>
  <w:style w:type="paragraph" w:customStyle="1" w:styleId="StatutPagedecouverture">
    <w:name w:val="Statut (Page de couverture)"/>
    <w:basedOn w:val="Statut"/>
    <w:next w:val="TypedudocumentPagedecouverture"/>
    <w:rsid w:val="00220ABB"/>
  </w:style>
  <w:style w:type="paragraph" w:customStyle="1" w:styleId="TitreobjetPagedecouverture">
    <w:name w:val="Titre objet (Page de couverture)"/>
    <w:basedOn w:val="Titreobjet"/>
    <w:next w:val="IntrtEEEPagedecouverture"/>
    <w:rsid w:val="00220ABB"/>
  </w:style>
  <w:style w:type="paragraph" w:customStyle="1" w:styleId="TypedudocumentPagedecouverture">
    <w:name w:val="Type du document (Page de couverture)"/>
    <w:basedOn w:val="Typedudocument"/>
    <w:next w:val="TitreobjetPagedecouverture"/>
    <w:rsid w:val="00220ABB"/>
  </w:style>
  <w:style w:type="paragraph" w:customStyle="1" w:styleId="Volume">
    <w:name w:val="Volume"/>
    <w:basedOn w:val="Normal"/>
    <w:next w:val="Confidentialit"/>
    <w:rsid w:val="003B5873"/>
    <w:pPr>
      <w:spacing w:after="240" w:line="240" w:lineRule="auto"/>
      <w:ind w:left="5103"/>
    </w:pPr>
    <w:rPr>
      <w:szCs w:val="20"/>
    </w:rPr>
  </w:style>
  <w:style w:type="paragraph" w:customStyle="1" w:styleId="IntrtEEE">
    <w:name w:val="Intérêt EEE"/>
    <w:basedOn w:val="Languesfaisantfoi"/>
    <w:next w:val="Normal"/>
    <w:rsid w:val="00220ABB"/>
    <w:pPr>
      <w:spacing w:after="240"/>
    </w:pPr>
  </w:style>
  <w:style w:type="paragraph" w:customStyle="1" w:styleId="Accompagnant">
    <w:name w:val="Accompagnant"/>
    <w:basedOn w:val="Normal"/>
    <w:next w:val="Typeacteprincipal"/>
    <w:rsid w:val="003B5873"/>
    <w:pPr>
      <w:spacing w:after="240" w:line="240" w:lineRule="auto"/>
      <w:jc w:val="center"/>
    </w:pPr>
    <w:rPr>
      <w:b/>
      <w:i/>
      <w:szCs w:val="20"/>
    </w:rPr>
  </w:style>
  <w:style w:type="paragraph" w:customStyle="1" w:styleId="Typeacteprincipal">
    <w:name w:val="Type acte principal"/>
    <w:basedOn w:val="Normal"/>
    <w:next w:val="Objetacteprincipal"/>
    <w:rsid w:val="003B5873"/>
    <w:pPr>
      <w:spacing w:after="240" w:line="240" w:lineRule="auto"/>
      <w:jc w:val="center"/>
    </w:pPr>
    <w:rPr>
      <w:b/>
      <w:szCs w:val="20"/>
    </w:rPr>
  </w:style>
  <w:style w:type="paragraph" w:customStyle="1" w:styleId="Objetacteprincipal">
    <w:name w:val="Objet acte principal"/>
    <w:basedOn w:val="Normal"/>
    <w:next w:val="Titrearticle"/>
    <w:rsid w:val="003B5873"/>
    <w:pPr>
      <w:spacing w:after="360" w:line="240" w:lineRule="auto"/>
      <w:jc w:val="center"/>
    </w:pPr>
    <w:rPr>
      <w:b/>
      <w:szCs w:val="20"/>
    </w:rPr>
  </w:style>
  <w:style w:type="paragraph" w:customStyle="1" w:styleId="IntrtEEEPagedecouverture">
    <w:name w:val="Intérêt EEE (Page de couverture)"/>
    <w:basedOn w:val="IntrtEEE"/>
    <w:next w:val="Rfrencecroise"/>
    <w:rsid w:val="00220ABB"/>
  </w:style>
  <w:style w:type="paragraph" w:customStyle="1" w:styleId="AccompagnantPagedecouverture">
    <w:name w:val="Accompagnant (Page de couverture)"/>
    <w:basedOn w:val="Accompagnant"/>
    <w:next w:val="TypeacteprincipalPagedecouverture"/>
    <w:rsid w:val="00220ABB"/>
  </w:style>
  <w:style w:type="paragraph" w:customStyle="1" w:styleId="TypeacteprincipalPagedecouverture">
    <w:name w:val="Type acte principal (Page de couverture)"/>
    <w:basedOn w:val="Typeacteprincipal"/>
    <w:next w:val="ObjetacteprincipalPagedecouverture"/>
    <w:rsid w:val="00220ABB"/>
  </w:style>
  <w:style w:type="paragraph" w:customStyle="1" w:styleId="ObjetacteprincipalPagedecouverture">
    <w:name w:val="Objet acte principal (Page de couverture)"/>
    <w:basedOn w:val="Objetacteprincipal"/>
    <w:next w:val="Rfrencecroise"/>
    <w:rsid w:val="00220ABB"/>
  </w:style>
  <w:style w:type="paragraph" w:customStyle="1" w:styleId="LanguesfaisantfoiPagedecouverture">
    <w:name w:val="Langues faisant foi (Page de couverture)"/>
    <w:basedOn w:val="Normal"/>
    <w:next w:val="Normal"/>
    <w:rsid w:val="003B5873"/>
    <w:pPr>
      <w:spacing w:before="360" w:after="0" w:line="240" w:lineRule="auto"/>
      <w:jc w:val="center"/>
    </w:pPr>
    <w:rPr>
      <w:szCs w:val="20"/>
    </w:rPr>
  </w:style>
  <w:style w:type="paragraph" w:styleId="ListBullet">
    <w:name w:val="List Bullet"/>
    <w:basedOn w:val="Normal"/>
    <w:rsid w:val="003B5873"/>
    <w:pPr>
      <w:numPr>
        <w:numId w:val="41"/>
      </w:numPr>
      <w:spacing w:line="240" w:lineRule="auto"/>
      <w:jc w:val="both"/>
    </w:pPr>
    <w:rPr>
      <w:rFonts w:eastAsia="Times New Roman"/>
      <w:szCs w:val="20"/>
    </w:rPr>
  </w:style>
  <w:style w:type="paragraph" w:customStyle="1" w:styleId="Default">
    <w:name w:val="Default"/>
    <w:rsid w:val="003B5873"/>
    <w:pPr>
      <w:autoSpaceDE w:val="0"/>
      <w:autoSpaceDN w:val="0"/>
      <w:adjustRightInd w:val="0"/>
      <w:spacing w:after="0" w:line="240" w:lineRule="auto"/>
    </w:pPr>
    <w:rPr>
      <w:rFonts w:ascii="Times New Roman" w:hAnsi="Times New Roman" w:cs="Times New Roman"/>
      <w:color w:val="000000"/>
      <w:sz w:val="24"/>
      <w:szCs w:val="20"/>
    </w:rPr>
  </w:style>
  <w:style w:type="paragraph" w:styleId="ListBullet2">
    <w:name w:val="List Bullet 2"/>
    <w:basedOn w:val="Normal"/>
    <w:uiPriority w:val="99"/>
    <w:semiHidden/>
    <w:unhideWhenUsed/>
    <w:rsid w:val="003B5873"/>
    <w:pPr>
      <w:numPr>
        <w:numId w:val="42"/>
      </w:numPr>
      <w:spacing w:line="240" w:lineRule="auto"/>
      <w:ind w:left="720"/>
      <w:contextualSpacing/>
      <w:jc w:val="both"/>
    </w:pPr>
    <w:rPr>
      <w:szCs w:val="20"/>
    </w:rPr>
  </w:style>
  <w:style w:type="paragraph" w:styleId="ListBullet3">
    <w:name w:val="List Bullet 3"/>
    <w:basedOn w:val="Normal"/>
    <w:uiPriority w:val="99"/>
    <w:semiHidden/>
    <w:unhideWhenUsed/>
    <w:rsid w:val="003B5873"/>
    <w:pPr>
      <w:numPr>
        <w:numId w:val="43"/>
      </w:numPr>
      <w:tabs>
        <w:tab w:val="num" w:pos="850"/>
      </w:tabs>
      <w:spacing w:line="240" w:lineRule="auto"/>
      <w:ind w:left="850" w:hanging="850"/>
      <w:contextualSpacing/>
      <w:jc w:val="both"/>
    </w:pPr>
    <w:rPr>
      <w:szCs w:val="20"/>
    </w:rPr>
  </w:style>
  <w:style w:type="paragraph" w:styleId="ListBullet4">
    <w:name w:val="List Bullet 4"/>
    <w:basedOn w:val="Normal"/>
    <w:uiPriority w:val="99"/>
    <w:semiHidden/>
    <w:unhideWhenUsed/>
    <w:rsid w:val="003B5873"/>
    <w:pPr>
      <w:numPr>
        <w:numId w:val="44"/>
      </w:numPr>
      <w:spacing w:line="240" w:lineRule="auto"/>
      <w:ind w:left="1440" w:hanging="720"/>
      <w:contextualSpacing/>
      <w:jc w:val="both"/>
    </w:pPr>
    <w:rPr>
      <w:szCs w:val="20"/>
    </w:rPr>
  </w:style>
  <w:style w:type="table" w:customStyle="1" w:styleId="TableGrid1">
    <w:name w:val="Table Grid1"/>
    <w:basedOn w:val="TableNormal"/>
    <w:next w:val="TableGrid"/>
    <w:uiPriority w:val="59"/>
    <w:rsid w:val="00220ABB"/>
    <w:pPr>
      <w:spacing w:after="0" w:line="240" w:lineRule="auto"/>
    </w:pPr>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DefaultParagraphFont"/>
    <w:rsid w:val="00220ABB"/>
  </w:style>
  <w:style w:type="character" w:customStyle="1" w:styleId="UnresolvedMention1">
    <w:name w:val="Unresolved Mention1"/>
    <w:basedOn w:val="DefaultParagraphFont"/>
    <w:uiPriority w:val="99"/>
    <w:semiHidden/>
    <w:unhideWhenUsed/>
    <w:rsid w:val="00220ABB"/>
    <w:rPr>
      <w:color w:val="605E5C"/>
      <w:shd w:val="clear" w:color="auto" w:fill="E1DFDD"/>
    </w:rPr>
  </w:style>
  <w:style w:type="character" w:customStyle="1" w:styleId="scxw232726115">
    <w:name w:val="scxw232726115"/>
    <w:basedOn w:val="DefaultParagraphFont"/>
    <w:rsid w:val="00220ABB"/>
  </w:style>
  <w:style w:type="character" w:customStyle="1" w:styleId="Heading4Char1">
    <w:name w:val="Heading 4 Char1"/>
    <w:basedOn w:val="DefaultParagraphFont"/>
    <w:uiPriority w:val="9"/>
    <w:semiHidden/>
    <w:rsid w:val="00220ABB"/>
    <w:rPr>
      <w:rFonts w:asciiTheme="majorHAnsi" w:eastAsiaTheme="majorEastAsia" w:hAnsiTheme="majorHAnsi" w:cstheme="majorBidi"/>
      <w:i/>
      <w:color w:val="2F5496" w:themeColor="accent1" w:themeShade="BF"/>
    </w:rPr>
  </w:style>
  <w:style w:type="character" w:customStyle="1" w:styleId="Heading5Char1">
    <w:name w:val="Heading 5 Char1"/>
    <w:basedOn w:val="DefaultParagraphFont"/>
    <w:uiPriority w:val="9"/>
    <w:semiHidden/>
    <w:rsid w:val="00220ABB"/>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20ABB"/>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220ABB"/>
    <w:rPr>
      <w:rFonts w:asciiTheme="majorHAnsi" w:eastAsiaTheme="majorEastAsia" w:hAnsiTheme="majorHAnsi" w:cstheme="majorBidi"/>
      <w:i/>
      <w:color w:val="1F3763" w:themeColor="accent1" w:themeShade="7F"/>
    </w:rPr>
  </w:style>
  <w:style w:type="paragraph" w:customStyle="1" w:styleId="EntText">
    <w:name w:val="EntText"/>
    <w:basedOn w:val="Normal"/>
    <w:rsid w:val="003B5873"/>
    <w:rPr>
      <w:szCs w:val="20"/>
    </w:rPr>
  </w:style>
  <w:style w:type="paragraph" w:customStyle="1" w:styleId="Lignefinal">
    <w:name w:val="Ligne final"/>
    <w:basedOn w:val="Normal"/>
    <w:next w:val="Normal"/>
    <w:rsid w:val="003B5873"/>
    <w:pPr>
      <w:pBdr>
        <w:bottom w:val="single" w:sz="4" w:space="0" w:color="000000"/>
      </w:pBdr>
      <w:spacing w:before="360"/>
      <w:ind w:left="3400" w:right="3400"/>
      <w:jc w:val="center"/>
    </w:pPr>
    <w:rPr>
      <w:b/>
      <w:szCs w:val="20"/>
    </w:rPr>
  </w:style>
  <w:style w:type="paragraph" w:customStyle="1" w:styleId="pj">
    <w:name w:val="p.j."/>
    <w:basedOn w:val="Normal"/>
    <w:link w:val="pjChar"/>
    <w:rsid w:val="003B5873"/>
    <w:pPr>
      <w:spacing w:before="1200" w:line="240" w:lineRule="auto"/>
      <w:ind w:left="1440" w:hanging="1440"/>
    </w:pPr>
    <w:rPr>
      <w:szCs w:val="20"/>
    </w:rPr>
  </w:style>
  <w:style w:type="character" w:customStyle="1" w:styleId="pjChar">
    <w:name w:val="p.j. Char"/>
    <w:basedOn w:val="TechnicalBlockChar"/>
    <w:link w:val="pj"/>
    <w:rsid w:val="00220ABB"/>
    <w:rPr>
      <w:szCs w:val="20"/>
    </w:rPr>
  </w:style>
  <w:style w:type="paragraph" w:customStyle="1" w:styleId="nbbordered">
    <w:name w:val="nb bordered"/>
    <w:basedOn w:val="Normal"/>
    <w:link w:val="nbborderedChar"/>
    <w:rsid w:val="003B587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b/>
      <w:szCs w:val="20"/>
    </w:rPr>
  </w:style>
  <w:style w:type="character" w:customStyle="1" w:styleId="nbborderedChar">
    <w:name w:val="nb bordered Char"/>
    <w:basedOn w:val="TechnicalBlockChar"/>
    <w:link w:val="nbbordered"/>
    <w:rsid w:val="00220ABB"/>
    <w:rPr>
      <w:b/>
      <w:szCs w:val="20"/>
    </w:rPr>
  </w:style>
  <w:style w:type="character" w:customStyle="1" w:styleId="HeaderCouncilChar">
    <w:name w:val="Header Council Char"/>
    <w:basedOn w:val="DefaultParagraphFont"/>
    <w:link w:val="HeaderCouncil"/>
    <w:rsid w:val="00220ABB"/>
    <w:rPr>
      <w:sz w:val="2"/>
    </w:rPr>
  </w:style>
  <w:style w:type="character" w:customStyle="1" w:styleId="FooterCouncilChar">
    <w:name w:val="Footer Council Char"/>
    <w:basedOn w:val="DefaultParagraphFont"/>
    <w:link w:val="FooterCouncil"/>
    <w:rsid w:val="00220ABB"/>
    <w:rPr>
      <w:sz w:val="2"/>
    </w:rPr>
  </w:style>
  <w:style w:type="character" w:customStyle="1" w:styleId="cf01">
    <w:name w:val="cf01"/>
    <w:basedOn w:val="DefaultParagraphFont"/>
    <w:rsid w:val="00220ABB"/>
    <w:rPr>
      <w:rFonts w:ascii="Segoe UI" w:hAnsi="Segoe UI" w:cs="Segoe UI" w:hint="default"/>
      <w:sz w:val="18"/>
      <w:shd w:val="clear" w:color="auto" w:fill="00FF00"/>
    </w:rPr>
  </w:style>
  <w:style w:type="paragraph" w:customStyle="1" w:styleId="P68B1DB1-Normal1">
    <w:name w:val="P68B1DB1-Normal1"/>
    <w:basedOn w:val="Normal"/>
    <w:rsid w:val="00220ABB"/>
    <w:rPr>
      <w:b/>
      <w:szCs w:val="20"/>
    </w:rPr>
  </w:style>
  <w:style w:type="paragraph" w:customStyle="1" w:styleId="P68B1DB1-ListParagraph2">
    <w:name w:val="P68B1DB1-ListParagraph2"/>
    <w:basedOn w:val="ListParagraph"/>
    <w:rsid w:val="00220ABB"/>
    <w:rPr>
      <w:b/>
    </w:rPr>
  </w:style>
  <w:style w:type="paragraph" w:customStyle="1" w:styleId="P68B1DB1-Normal3">
    <w:name w:val="P68B1DB1-Normal3"/>
    <w:basedOn w:val="Normal"/>
    <w:rsid w:val="00220ABB"/>
    <w:rPr>
      <w:color w:val="000000"/>
      <w:szCs w:val="20"/>
      <w:shd w:val="clear" w:color="auto" w:fill="FFFFFF"/>
    </w:rPr>
  </w:style>
  <w:style w:type="paragraph" w:customStyle="1" w:styleId="P68B1DB1-Normal4">
    <w:name w:val="P68B1DB1-Normal4"/>
    <w:basedOn w:val="Normal"/>
    <w:rsid w:val="00220ABB"/>
    <w:rPr>
      <w:b/>
      <w:color w:val="000000" w:themeColor="text1"/>
      <w:szCs w:val="20"/>
    </w:rPr>
  </w:style>
  <w:style w:type="paragraph" w:customStyle="1" w:styleId="P68B1DB1-Normal5">
    <w:name w:val="P68B1DB1-Normal5"/>
    <w:basedOn w:val="Normal"/>
    <w:rsid w:val="00220ABB"/>
    <w:rPr>
      <w:color w:val="000000"/>
      <w:szCs w:val="20"/>
    </w:rPr>
  </w:style>
  <w:style w:type="paragraph" w:customStyle="1" w:styleId="P68B1DB1-ListParagraph6">
    <w:name w:val="P68B1DB1-ListParagraph6"/>
    <w:basedOn w:val="ListParagraph"/>
    <w:rsid w:val="00220ABB"/>
    <w:rPr>
      <w:color w:val="000000" w:themeColor="text1"/>
    </w:rPr>
  </w:style>
  <w:style w:type="paragraph" w:customStyle="1" w:styleId="P68B1DB1-Normal7">
    <w:name w:val="P68B1DB1-Normal7"/>
    <w:basedOn w:val="Normal"/>
    <w:rsid w:val="00220ABB"/>
    <w:rPr>
      <w:b/>
      <w:sz w:val="18"/>
      <w:szCs w:val="20"/>
    </w:rPr>
  </w:style>
  <w:style w:type="paragraph" w:customStyle="1" w:styleId="P68B1DB1-Normal8">
    <w:name w:val="P68B1DB1-Normal8"/>
    <w:basedOn w:val="Normal"/>
    <w:rsid w:val="00220ABB"/>
    <w:rPr>
      <w:sz w:val="18"/>
      <w:szCs w:val="20"/>
    </w:rPr>
  </w:style>
  <w:style w:type="paragraph" w:customStyle="1" w:styleId="P68B1DB1-ListParagraph9">
    <w:name w:val="P68B1DB1-ListParagraph9"/>
    <w:basedOn w:val="ListParagraph"/>
    <w:rsid w:val="00220ABB"/>
    <w:rPr>
      <w:sz w:val="18"/>
    </w:rPr>
  </w:style>
  <w:style w:type="paragraph" w:customStyle="1" w:styleId="P68B1DB1-Normal10">
    <w:name w:val="P68B1DB1-Normal10"/>
    <w:basedOn w:val="Normal"/>
    <w:rsid w:val="00220ABB"/>
    <w:rPr>
      <w:rFonts w:ascii="Calibri" w:hAnsi="Calibri"/>
      <w:sz w:val="18"/>
      <w:szCs w:val="20"/>
    </w:rPr>
  </w:style>
  <w:style w:type="paragraph" w:customStyle="1" w:styleId="P68B1DB1-CommentText11">
    <w:name w:val="P68B1DB1-CommentText11"/>
    <w:basedOn w:val="CommentText"/>
    <w:rsid w:val="00220ABB"/>
    <w:rPr>
      <w:sz w:val="18"/>
    </w:rPr>
  </w:style>
  <w:style w:type="paragraph" w:customStyle="1" w:styleId="P68B1DB1-CommentText12">
    <w:name w:val="P68B1DB1-CommentText12"/>
    <w:basedOn w:val="CommentText"/>
    <w:rsid w:val="00220ABB"/>
    <w:rPr>
      <w:sz w:val="18"/>
    </w:rPr>
  </w:style>
  <w:style w:type="paragraph" w:customStyle="1" w:styleId="P68B1DB1-Normal13">
    <w:name w:val="P68B1DB1-Normal13"/>
    <w:basedOn w:val="Normal"/>
    <w:rsid w:val="00220ABB"/>
    <w:rPr>
      <w:sz w:val="18"/>
      <w:szCs w:val="20"/>
      <w:u w:val="single"/>
    </w:rPr>
  </w:style>
  <w:style w:type="paragraph" w:customStyle="1" w:styleId="P68B1DB1-Normal14">
    <w:name w:val="P68B1DB1-Normal14"/>
    <w:basedOn w:val="Normal"/>
    <w:rsid w:val="00220ABB"/>
    <w:rPr>
      <w:b/>
      <w:color w:val="000000"/>
      <w:szCs w:val="20"/>
      <w:shd w:val="clear" w:color="auto" w:fill="FFFFFF"/>
    </w:rPr>
  </w:style>
  <w:style w:type="paragraph" w:customStyle="1" w:styleId="P68B1DB1-Normal15">
    <w:name w:val="P68B1DB1-Normal15"/>
    <w:basedOn w:val="Normal"/>
    <w:rsid w:val="00220ABB"/>
    <w:rPr>
      <w:sz w:val="18"/>
      <w:szCs w:val="20"/>
      <w:shd w:val="clear" w:color="auto" w:fill="E6E6E6"/>
    </w:rPr>
  </w:style>
  <w:style w:type="paragraph" w:customStyle="1" w:styleId="P68B1DB1-Normal16">
    <w:name w:val="P68B1DB1-Normal16"/>
    <w:basedOn w:val="Normal"/>
    <w:rsid w:val="00220ABB"/>
    <w:rPr>
      <w:b/>
      <w:szCs w:val="20"/>
      <w:u w:val="single"/>
    </w:rPr>
  </w:style>
  <w:style w:type="paragraph" w:customStyle="1" w:styleId="P68B1DB1-Heading217">
    <w:name w:val="P68B1DB1-Heading217"/>
    <w:basedOn w:val="Heading2"/>
    <w:rsid w:val="00220ABB"/>
    <w:rPr>
      <w:caps/>
    </w:rPr>
  </w:style>
  <w:style w:type="paragraph" w:customStyle="1" w:styleId="P68B1DB1-Text118">
    <w:name w:val="P68B1DB1-Text118"/>
    <w:basedOn w:val="Text1"/>
    <w:rsid w:val="00220ABB"/>
    <w:rPr>
      <w:b/>
    </w:rPr>
  </w:style>
  <w:style w:type="paragraph" w:customStyle="1" w:styleId="P68B1DB1-paragraph19">
    <w:name w:val="P68B1DB1-paragraph19"/>
    <w:basedOn w:val="paragraph"/>
    <w:rsid w:val="00220ABB"/>
    <w:rPr>
      <w:sz w:val="18"/>
    </w:rPr>
  </w:style>
  <w:style w:type="paragraph" w:customStyle="1" w:styleId="P68B1DB1-ListParagraph20">
    <w:name w:val="P68B1DB1-ListParagraph20"/>
    <w:basedOn w:val="ListParagraph"/>
    <w:rsid w:val="00220ABB"/>
    <w:rPr>
      <w:sz w:val="18"/>
    </w:rPr>
  </w:style>
  <w:style w:type="paragraph" w:customStyle="1" w:styleId="P68B1DB1-Normal21">
    <w:name w:val="P68B1DB1-Normal21"/>
    <w:basedOn w:val="Normal"/>
    <w:rsid w:val="00220ABB"/>
    <w:rPr>
      <w:rFonts w:cstheme="minorHAnsi"/>
      <w:b/>
      <w:sz w:val="18"/>
      <w:szCs w:val="20"/>
    </w:rPr>
  </w:style>
  <w:style w:type="paragraph" w:customStyle="1" w:styleId="P68B1DB1-Normal22">
    <w:name w:val="P68B1DB1-Normal22"/>
    <w:basedOn w:val="Normal"/>
    <w:rsid w:val="00220ABB"/>
    <w:rPr>
      <w:rFonts w:cstheme="minorHAnsi"/>
      <w:sz w:val="18"/>
      <w:szCs w:val="20"/>
    </w:rPr>
  </w:style>
  <w:style w:type="paragraph" w:customStyle="1" w:styleId="P68B1DB1-Normal23">
    <w:name w:val="P68B1DB1-Normal23"/>
    <w:basedOn w:val="Normal"/>
    <w:rsid w:val="00220ABB"/>
    <w:rPr>
      <w:rFonts w:eastAsia="Calibri" w:cstheme="minorHAnsi"/>
      <w:sz w:val="18"/>
      <w:szCs w:val="20"/>
    </w:rPr>
  </w:style>
  <w:style w:type="paragraph" w:customStyle="1" w:styleId="P68B1DB1-Normal24">
    <w:name w:val="P68B1DB1-Normal24"/>
    <w:basedOn w:val="Normal"/>
    <w:rsid w:val="00220ABB"/>
    <w:rPr>
      <w:rFonts w:asciiTheme="majorBidi" w:hAnsiTheme="majorBidi" w:cstheme="majorBidi"/>
      <w:sz w:val="18"/>
      <w:szCs w:val="20"/>
    </w:rPr>
  </w:style>
  <w:style w:type="paragraph" w:customStyle="1" w:styleId="P68B1DB1-Normal25">
    <w:name w:val="P68B1DB1-Normal25"/>
    <w:basedOn w:val="Normal"/>
    <w:rsid w:val="00220ABB"/>
    <w:rPr>
      <w:szCs w:val="20"/>
    </w:rPr>
  </w:style>
  <w:style w:type="paragraph" w:customStyle="1" w:styleId="P68B1DB1-ListParagraph26">
    <w:name w:val="P68B1DB1-ListParagraph26"/>
    <w:basedOn w:val="ListParagraph"/>
    <w:rsid w:val="00220ABB"/>
  </w:style>
  <w:style w:type="paragraph" w:customStyle="1" w:styleId="P68B1DB1-ListParagraph27">
    <w:name w:val="P68B1DB1-ListParagraph27"/>
    <w:basedOn w:val="ListParagraph"/>
    <w:rsid w:val="00220ABB"/>
    <w:rPr>
      <w:rFonts w:eastAsia="Calibri" w:cs="Times New Roman"/>
    </w:rPr>
  </w:style>
  <w:style w:type="paragraph" w:customStyle="1" w:styleId="P68B1DB1-Normal28">
    <w:name w:val="P68B1DB1-Normal28"/>
    <w:basedOn w:val="Normal"/>
    <w:rsid w:val="00220ABB"/>
    <w:rPr>
      <w:rFonts w:eastAsia="Times New Roman"/>
      <w:b/>
      <w:szCs w:val="20"/>
    </w:rPr>
  </w:style>
  <w:style w:type="paragraph" w:customStyle="1" w:styleId="P68B1DB1-Normal29">
    <w:name w:val="P68B1DB1-Normal29"/>
    <w:basedOn w:val="Normal"/>
    <w:rsid w:val="00220ABB"/>
    <w:rPr>
      <w:rFonts w:eastAsia="Times New Roman"/>
      <w:szCs w:val="20"/>
    </w:rPr>
  </w:style>
  <w:style w:type="paragraph" w:customStyle="1" w:styleId="P68B1DB1-Normal30">
    <w:name w:val="P68B1DB1-Normal30"/>
    <w:basedOn w:val="Normal"/>
    <w:rsid w:val="00220ABB"/>
    <w:rPr>
      <w:rFonts w:eastAsia="Calibri"/>
      <w:szCs w:val="20"/>
    </w:rPr>
  </w:style>
  <w:style w:type="paragraph" w:customStyle="1" w:styleId="P68B1DB1-Normal31">
    <w:name w:val="P68B1DB1-Normal31"/>
    <w:basedOn w:val="Normal"/>
    <w:rsid w:val="00220ABB"/>
    <w:rPr>
      <w:rFonts w:eastAsia="Times New Roman"/>
      <w:szCs w:val="20"/>
      <w:u w:val="single"/>
    </w:rPr>
  </w:style>
  <w:style w:type="paragraph" w:customStyle="1" w:styleId="P68B1DB1-NumPar132">
    <w:name w:val="P68B1DB1-NumPar132"/>
    <w:basedOn w:val="NumPar1"/>
    <w:rsid w:val="00220ABB"/>
    <w:rPr>
      <w:b/>
    </w:rPr>
  </w:style>
  <w:style w:type="paragraph" w:customStyle="1" w:styleId="P68B1DB1-FooterText33">
    <w:name w:val="P68B1DB1-FooterText33"/>
    <w:basedOn w:val="FooterText"/>
    <w:rsid w:val="00220ABB"/>
    <w:rPr>
      <w:b/>
      <w:caps/>
      <w:position w:val="-4"/>
      <w:sz w:val="36"/>
      <w:szCs w:val="20"/>
    </w:rPr>
  </w:style>
  <w:style w:type="character" w:customStyle="1" w:styleId="Heading8Char">
    <w:name w:val="Heading 8 Char"/>
    <w:basedOn w:val="DefaultParagraphFont"/>
    <w:link w:val="Heading8"/>
    <w:uiPriority w:val="9"/>
    <w:rsid w:val="00DC139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rsid w:val="00DC139C"/>
    <w:rPr>
      <w:rFonts w:asciiTheme="majorHAnsi" w:eastAsiaTheme="majorEastAsia" w:hAnsiTheme="majorHAnsi" w:cstheme="majorBidi"/>
      <w:i/>
      <w:iCs/>
      <w:color w:val="1F3864" w:themeColor="accent1" w:themeShade="80"/>
    </w:rPr>
  </w:style>
  <w:style w:type="paragraph" w:customStyle="1" w:styleId="Heading11">
    <w:name w:val="Heading 11"/>
    <w:basedOn w:val="Normal"/>
    <w:next w:val="Normal"/>
    <w:uiPriority w:val="9"/>
    <w:rsid w:val="0025423B"/>
    <w:pPr>
      <w:keepNext/>
      <w:keepLines/>
      <w:spacing w:before="240" w:after="0" w:line="276" w:lineRule="auto"/>
      <w:outlineLvl w:val="0"/>
    </w:pPr>
    <w:rPr>
      <w:rFonts w:ascii="Calibri Light" w:eastAsia="Times New Roman" w:hAnsi="Calibri Light"/>
      <w:color w:val="2F5496"/>
      <w:sz w:val="32"/>
      <w:szCs w:val="32"/>
    </w:rPr>
  </w:style>
  <w:style w:type="paragraph" w:customStyle="1" w:styleId="Heading21">
    <w:name w:val="Heading 21"/>
    <w:basedOn w:val="Normal"/>
    <w:next w:val="Normal"/>
    <w:uiPriority w:val="9"/>
    <w:unhideWhenUsed/>
    <w:rsid w:val="0025423B"/>
    <w:pPr>
      <w:keepNext/>
      <w:keepLines/>
      <w:numPr>
        <w:ilvl w:val="1"/>
        <w:numId w:val="3"/>
      </w:numPr>
      <w:spacing w:before="40" w:after="0" w:line="276" w:lineRule="auto"/>
      <w:outlineLvl w:val="1"/>
    </w:pPr>
    <w:rPr>
      <w:rFonts w:ascii="Calibri Light" w:eastAsia="Times New Roman" w:hAnsi="Calibri Light"/>
      <w:color w:val="2F5496"/>
      <w:sz w:val="26"/>
      <w:szCs w:val="26"/>
    </w:rPr>
  </w:style>
  <w:style w:type="paragraph" w:customStyle="1" w:styleId="Heading31">
    <w:name w:val="Heading 31"/>
    <w:basedOn w:val="Normal"/>
    <w:next w:val="Normal"/>
    <w:uiPriority w:val="9"/>
    <w:semiHidden/>
    <w:unhideWhenUsed/>
    <w:rsid w:val="0025423B"/>
    <w:pPr>
      <w:keepNext/>
      <w:keepLines/>
      <w:numPr>
        <w:ilvl w:val="2"/>
        <w:numId w:val="3"/>
      </w:numPr>
      <w:spacing w:before="40" w:after="0" w:line="276" w:lineRule="auto"/>
      <w:outlineLvl w:val="2"/>
    </w:pPr>
    <w:rPr>
      <w:rFonts w:ascii="Calibri Light" w:eastAsia="Times New Roman" w:hAnsi="Calibri Light"/>
      <w:color w:val="1F3763"/>
      <w:szCs w:val="24"/>
    </w:rPr>
  </w:style>
  <w:style w:type="paragraph" w:customStyle="1" w:styleId="Heading81">
    <w:name w:val="Heading 81"/>
    <w:basedOn w:val="Normal"/>
    <w:next w:val="Normal"/>
    <w:rsid w:val="0025423B"/>
    <w:pPr>
      <w:keepNext/>
      <w:keepLines/>
      <w:spacing w:before="40" w:after="0" w:line="276" w:lineRule="auto"/>
      <w:ind w:left="1440" w:hanging="432"/>
      <w:outlineLvl w:val="7"/>
    </w:pPr>
    <w:rPr>
      <w:rFonts w:asciiTheme="majorHAnsi" w:eastAsiaTheme="majorEastAsia" w:hAnsiTheme="majorHAnsi" w:cstheme="majorBidi"/>
      <w:color w:val="272727" w:themeColor="text1" w:themeTint="D8"/>
      <w:sz w:val="21"/>
      <w:szCs w:val="21"/>
    </w:rPr>
  </w:style>
  <w:style w:type="paragraph" w:customStyle="1" w:styleId="Heading91">
    <w:name w:val="Heading 91"/>
    <w:basedOn w:val="Normal"/>
    <w:next w:val="Normal"/>
    <w:rsid w:val="0025423B"/>
    <w:pPr>
      <w:keepNext/>
      <w:keepLines/>
      <w:numPr>
        <w:numId w:val="76"/>
      </w:numPr>
      <w:tabs>
        <w:tab w:val="clear" w:pos="567"/>
      </w:tabs>
      <w:spacing w:before="40" w:after="0" w:line="276" w:lineRule="auto"/>
      <w:ind w:left="1584" w:hanging="144"/>
      <w:outlineLvl w:val="8"/>
    </w:pPr>
    <w:rPr>
      <w:rFonts w:asciiTheme="majorHAnsi" w:eastAsiaTheme="majorEastAsia" w:hAnsiTheme="majorHAnsi" w:cstheme="majorBidi"/>
      <w:i/>
      <w:iCs/>
      <w:color w:val="272727" w:themeColor="text1" w:themeTint="D8"/>
      <w:sz w:val="21"/>
      <w:szCs w:val="21"/>
    </w:rPr>
  </w:style>
  <w:style w:type="paragraph" w:customStyle="1" w:styleId="TBEntInstit">
    <w:name w:val="TBEntInstit"/>
    <w:basedOn w:val="TechnicalBlockBase"/>
    <w:link w:val="EntInstitChar"/>
    <w:rsid w:val="0025423B"/>
    <w:pPr>
      <w:spacing w:before="0" w:after="0" w:line="240" w:lineRule="auto"/>
      <w:ind w:left="0" w:right="0"/>
      <w:jc w:val="right"/>
    </w:pPr>
    <w:rPr>
      <w:rFonts w:ascii="Arial" w:hAnsi="Arial"/>
      <w:i w:val="0"/>
      <w:dstrike w:val="0"/>
      <w:color w:val="auto"/>
      <w:sz w:val="23"/>
      <w:u w:val="none"/>
    </w:rPr>
  </w:style>
  <w:style w:type="paragraph" w:customStyle="1" w:styleId="TBEntRefer">
    <w:name w:val="TBEntRefer"/>
    <w:basedOn w:val="TechnicalBlockBase"/>
    <w:rsid w:val="0025423B"/>
    <w:pPr>
      <w:spacing w:before="0" w:after="0" w:line="240" w:lineRule="auto"/>
      <w:ind w:left="0" w:right="0"/>
    </w:pPr>
    <w:rPr>
      <w:rFonts w:ascii="Arial" w:hAnsi="Arial"/>
      <w:i w:val="0"/>
      <w:dstrike w:val="0"/>
      <w:color w:val="auto"/>
      <w:sz w:val="23"/>
      <w:u w:val="none"/>
    </w:rPr>
  </w:style>
  <w:style w:type="paragraph" w:customStyle="1" w:styleId="Par-number10">
    <w:name w:val="Par-number 1)"/>
    <w:basedOn w:val="Normal"/>
    <w:next w:val="Normal"/>
    <w:rsid w:val="0025423B"/>
    <w:pPr>
      <w:numPr>
        <w:numId w:val="74"/>
      </w:numPr>
      <w:spacing w:after="200" w:line="276" w:lineRule="auto"/>
    </w:pPr>
    <w:rPr>
      <w:rFonts w:ascii="Calibri" w:hAnsi="Calibri" w:cs="Arial"/>
    </w:rPr>
  </w:style>
  <w:style w:type="paragraph" w:customStyle="1" w:styleId="Par-bullet">
    <w:name w:val="Par-bullet"/>
    <w:basedOn w:val="Normal"/>
    <w:next w:val="Normal"/>
    <w:rsid w:val="0025423B"/>
    <w:pPr>
      <w:numPr>
        <w:numId w:val="75"/>
      </w:numPr>
      <w:spacing w:after="200" w:line="276" w:lineRule="auto"/>
    </w:pPr>
    <w:rPr>
      <w:rFonts w:ascii="Calibri" w:hAnsi="Calibri" w:cs="Arial"/>
    </w:rPr>
  </w:style>
  <w:style w:type="paragraph" w:customStyle="1" w:styleId="Par-equal">
    <w:name w:val="Par-equal"/>
    <w:basedOn w:val="Normal"/>
    <w:next w:val="Normal"/>
    <w:rsid w:val="0025423B"/>
    <w:pPr>
      <w:tabs>
        <w:tab w:val="num" w:pos="567"/>
      </w:tabs>
      <w:spacing w:after="200" w:line="276" w:lineRule="auto"/>
      <w:ind w:left="567" w:hanging="567"/>
    </w:pPr>
    <w:rPr>
      <w:rFonts w:ascii="Calibri" w:hAnsi="Calibri" w:cs="Arial"/>
    </w:rPr>
  </w:style>
  <w:style w:type="paragraph" w:customStyle="1" w:styleId="Par-number1">
    <w:name w:val="Par-number (1)"/>
    <w:basedOn w:val="Normal"/>
    <w:next w:val="Normal"/>
    <w:rsid w:val="0025423B"/>
    <w:pPr>
      <w:numPr>
        <w:numId w:val="77"/>
      </w:numPr>
      <w:spacing w:after="200" w:line="276" w:lineRule="auto"/>
    </w:pPr>
    <w:rPr>
      <w:rFonts w:ascii="Calibri" w:hAnsi="Calibri" w:cs="Arial"/>
    </w:rPr>
  </w:style>
  <w:style w:type="paragraph" w:customStyle="1" w:styleId="Par-number11">
    <w:name w:val="Par-number 1."/>
    <w:basedOn w:val="Normal"/>
    <w:next w:val="Normal"/>
    <w:rsid w:val="0025423B"/>
    <w:pPr>
      <w:numPr>
        <w:numId w:val="78"/>
      </w:numPr>
      <w:spacing w:after="200" w:line="276" w:lineRule="auto"/>
    </w:pPr>
    <w:rPr>
      <w:rFonts w:ascii="Calibri" w:hAnsi="Calibri" w:cs="Arial"/>
    </w:rPr>
  </w:style>
  <w:style w:type="paragraph" w:customStyle="1" w:styleId="Par-numberI">
    <w:name w:val="Par-number I."/>
    <w:basedOn w:val="Normal"/>
    <w:next w:val="Normal"/>
    <w:rsid w:val="0025423B"/>
    <w:pPr>
      <w:numPr>
        <w:numId w:val="79"/>
      </w:numPr>
      <w:spacing w:after="200" w:line="276" w:lineRule="auto"/>
    </w:pPr>
    <w:rPr>
      <w:rFonts w:ascii="Calibri" w:hAnsi="Calibri" w:cs="Arial"/>
    </w:rPr>
  </w:style>
  <w:style w:type="paragraph" w:customStyle="1" w:styleId="Par-dash">
    <w:name w:val="Par-dash"/>
    <w:basedOn w:val="Normal"/>
    <w:next w:val="Normal"/>
    <w:rsid w:val="0025423B"/>
    <w:pPr>
      <w:numPr>
        <w:numId w:val="80"/>
      </w:numPr>
      <w:spacing w:after="200" w:line="276" w:lineRule="auto"/>
    </w:pPr>
    <w:rPr>
      <w:rFonts w:ascii="Calibri" w:hAnsi="Calibri" w:cs="Arial"/>
    </w:rPr>
  </w:style>
  <w:style w:type="paragraph" w:customStyle="1" w:styleId="Par-numberA">
    <w:name w:val="Par-number A."/>
    <w:basedOn w:val="Normal"/>
    <w:next w:val="Normal"/>
    <w:rsid w:val="0025423B"/>
    <w:pPr>
      <w:numPr>
        <w:numId w:val="81"/>
      </w:numPr>
      <w:spacing w:after="200" w:line="276" w:lineRule="auto"/>
    </w:pPr>
    <w:rPr>
      <w:rFonts w:ascii="Calibri" w:hAnsi="Calibri" w:cs="Arial"/>
    </w:rPr>
  </w:style>
  <w:style w:type="paragraph" w:customStyle="1" w:styleId="EndnoteText1">
    <w:name w:val="Endnote Text1"/>
    <w:basedOn w:val="Normal"/>
    <w:next w:val="EndnoteText"/>
    <w:link w:val="EndnoteTextChar"/>
    <w:rsid w:val="0025423B"/>
    <w:pPr>
      <w:tabs>
        <w:tab w:val="left" w:pos="567"/>
      </w:tabs>
      <w:spacing w:after="200" w:line="240" w:lineRule="auto"/>
      <w:ind w:left="567" w:hanging="567"/>
    </w:pPr>
  </w:style>
  <w:style w:type="character" w:customStyle="1" w:styleId="EndnoteTextChar">
    <w:name w:val="Endnote Text Char"/>
    <w:basedOn w:val="DefaultParagraphFont"/>
    <w:link w:val="EndnoteText1"/>
    <w:rsid w:val="0025423B"/>
  </w:style>
  <w:style w:type="character" w:styleId="EndnoteReference">
    <w:name w:val="endnote reference"/>
    <w:rsid w:val="0025423B"/>
    <w:rPr>
      <w:b/>
      <w:vertAlign w:val="superscript"/>
    </w:rPr>
  </w:style>
  <w:style w:type="paragraph" w:customStyle="1" w:styleId="AC">
    <w:name w:val="AC"/>
    <w:basedOn w:val="Normal"/>
    <w:next w:val="Normal"/>
    <w:rsid w:val="0025423B"/>
    <w:pPr>
      <w:spacing w:after="200" w:line="276" w:lineRule="auto"/>
    </w:pPr>
    <w:rPr>
      <w:rFonts w:ascii="Calibri" w:hAnsi="Calibri" w:cs="Arial"/>
      <w:b/>
      <w:sz w:val="40"/>
    </w:rPr>
  </w:style>
  <w:style w:type="character" w:styleId="PageNumber">
    <w:name w:val="page number"/>
    <w:basedOn w:val="DefaultParagraphFont"/>
    <w:rsid w:val="0025423B"/>
  </w:style>
  <w:style w:type="paragraph" w:customStyle="1" w:styleId="Par-numberi0">
    <w:name w:val="Par-number (i)"/>
    <w:basedOn w:val="Normal"/>
    <w:next w:val="Normal"/>
    <w:rsid w:val="0025423B"/>
    <w:pPr>
      <w:numPr>
        <w:numId w:val="82"/>
      </w:numPr>
      <w:tabs>
        <w:tab w:val="clear" w:pos="720"/>
        <w:tab w:val="left" w:pos="567"/>
      </w:tabs>
      <w:spacing w:after="200" w:line="276" w:lineRule="auto"/>
    </w:pPr>
    <w:rPr>
      <w:rFonts w:ascii="Calibri" w:hAnsi="Calibri" w:cs="Arial"/>
    </w:rPr>
  </w:style>
  <w:style w:type="paragraph" w:customStyle="1" w:styleId="Par-numbera0">
    <w:name w:val="Par-number (a)"/>
    <w:basedOn w:val="Normal"/>
    <w:next w:val="Normal"/>
    <w:rsid w:val="0025423B"/>
    <w:pPr>
      <w:numPr>
        <w:numId w:val="83"/>
      </w:numPr>
      <w:spacing w:after="200" w:line="276" w:lineRule="auto"/>
    </w:pPr>
    <w:rPr>
      <w:rFonts w:ascii="Calibri" w:hAnsi="Calibri" w:cs="Arial"/>
    </w:rPr>
  </w:style>
  <w:style w:type="character" w:customStyle="1" w:styleId="DontTranslate">
    <w:name w:val="DontTranslate"/>
    <w:rsid w:val="0025423B"/>
    <w:rPr>
      <w:color w:val="auto"/>
    </w:rPr>
  </w:style>
  <w:style w:type="paragraph" w:customStyle="1" w:styleId="AddReference">
    <w:name w:val="Add Reference"/>
    <w:basedOn w:val="Normal"/>
    <w:rsid w:val="0025423B"/>
    <w:pPr>
      <w:pBdr>
        <w:top w:val="single" w:sz="4" w:space="1" w:color="auto"/>
        <w:left w:val="single" w:sz="4" w:space="4" w:color="auto"/>
        <w:bottom w:val="single" w:sz="4" w:space="1" w:color="auto"/>
        <w:right w:val="single" w:sz="4" w:space="4" w:color="auto"/>
      </w:pBdr>
      <w:spacing w:after="200" w:line="240" w:lineRule="auto"/>
      <w:ind w:left="7655" w:right="-454"/>
    </w:pPr>
    <w:rPr>
      <w:rFonts w:ascii="Calibri" w:hAnsi="Calibri" w:cs="Arial"/>
      <w:i/>
      <w:sz w:val="20"/>
    </w:rPr>
  </w:style>
  <w:style w:type="paragraph" w:customStyle="1" w:styleId="TBEntReferNew">
    <w:name w:val="TBEntReferNew"/>
    <w:basedOn w:val="TechnicalBlockBase"/>
    <w:rsid w:val="0025423B"/>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25423B"/>
    <w:pPr>
      <w:spacing w:before="0" w:after="40" w:line="216" w:lineRule="auto"/>
      <w:ind w:left="0" w:right="0"/>
    </w:pPr>
    <w:rPr>
      <w:rFonts w:ascii="Arial" w:hAnsi="Arial"/>
      <w:i w:val="0"/>
      <w:dstrike w:val="0"/>
      <w:color w:val="4D4D4D"/>
      <w:sz w:val="23"/>
      <w:szCs w:val="23"/>
      <w:u w:val="none"/>
    </w:rPr>
  </w:style>
  <w:style w:type="paragraph" w:customStyle="1" w:styleId="TBNormalTechnicalBlock">
    <w:name w:val="TBNormalTechnicalBlock"/>
    <w:basedOn w:val="TechnicalBlockBase"/>
    <w:rsid w:val="0025423B"/>
    <w:pPr>
      <w:spacing w:before="0" w:after="0" w:line="216" w:lineRule="auto"/>
      <w:ind w:left="0" w:right="0"/>
    </w:pPr>
    <w:rPr>
      <w:rFonts w:ascii="Arial" w:hAnsi="Arial"/>
      <w:i w:val="0"/>
      <w:dstrike w:val="0"/>
      <w:color w:val="auto"/>
      <w:sz w:val="23"/>
      <w:szCs w:val="23"/>
      <w:u w:val="none"/>
    </w:rPr>
  </w:style>
  <w:style w:type="paragraph" w:customStyle="1" w:styleId="InstitutionNarrow">
    <w:name w:val="Institution Narrow"/>
    <w:basedOn w:val="TBInstitution"/>
    <w:rsid w:val="0025423B"/>
    <w:rPr>
      <w:sz w:val="22"/>
      <w:u w:val="single"/>
    </w:rPr>
  </w:style>
  <w:style w:type="paragraph" w:customStyle="1" w:styleId="TBInstitutionSubwordmark">
    <w:name w:val="TBInstitutionSubwordmark"/>
    <w:basedOn w:val="TechnicalBlockBase"/>
    <w:rsid w:val="0025423B"/>
    <w:pPr>
      <w:spacing w:before="120" w:after="40" w:line="216" w:lineRule="auto"/>
      <w:ind w:left="0" w:right="0"/>
    </w:pPr>
    <w:rPr>
      <w:rFonts w:ascii="Arial" w:hAnsi="Arial"/>
      <w:b w:val="0"/>
      <w:i w:val="0"/>
      <w:dstrike w:val="0"/>
      <w:color w:val="4D4D4D"/>
      <w:sz w:val="23"/>
      <w:u w:val="none"/>
    </w:rPr>
  </w:style>
  <w:style w:type="numbering" w:styleId="111111">
    <w:name w:val="Outline List 2"/>
    <w:basedOn w:val="NoList"/>
    <w:uiPriority w:val="99"/>
    <w:semiHidden/>
    <w:unhideWhenUsed/>
    <w:rsid w:val="0025423B"/>
    <w:pPr>
      <w:numPr>
        <w:numId w:val="84"/>
      </w:numPr>
    </w:pPr>
  </w:style>
  <w:style w:type="numbering" w:styleId="1ai">
    <w:name w:val="Outline List 1"/>
    <w:basedOn w:val="NoList"/>
    <w:uiPriority w:val="99"/>
    <w:semiHidden/>
    <w:unhideWhenUsed/>
    <w:rsid w:val="0025423B"/>
    <w:pPr>
      <w:numPr>
        <w:numId w:val="85"/>
      </w:numPr>
    </w:pPr>
  </w:style>
  <w:style w:type="character" w:customStyle="1" w:styleId="Heading1Char1">
    <w:name w:val="Heading 1 Char1"/>
    <w:basedOn w:val="DefaultParagraphFont"/>
    <w:uiPriority w:val="9"/>
    <w:rsid w:val="0025423B"/>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25423B"/>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25423B"/>
    <w:rPr>
      <w:rFonts w:asciiTheme="majorHAnsi" w:eastAsiaTheme="majorEastAsia" w:hAnsiTheme="majorHAnsi" w:cstheme="majorBidi"/>
      <w:color w:val="1F3763" w:themeColor="accent1" w:themeShade="7F"/>
      <w:sz w:val="24"/>
      <w:szCs w:val="24"/>
    </w:rPr>
  </w:style>
  <w:style w:type="character" w:customStyle="1" w:styleId="Heading8Char1">
    <w:name w:val="Heading 8 Char1"/>
    <w:basedOn w:val="DefaultParagraphFont"/>
    <w:uiPriority w:val="9"/>
    <w:semiHidden/>
    <w:rsid w:val="0025423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25423B"/>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5423B"/>
    <w:pPr>
      <w:numPr>
        <w:numId w:val="86"/>
      </w:numPr>
    </w:pPr>
  </w:style>
  <w:style w:type="paragraph" w:customStyle="1" w:styleId="Bibliography1">
    <w:name w:val="Bibliography1"/>
    <w:basedOn w:val="Normal"/>
    <w:next w:val="Normal"/>
    <w:uiPriority w:val="37"/>
    <w:semiHidden/>
    <w:unhideWhenUsed/>
    <w:rsid w:val="0025423B"/>
    <w:pPr>
      <w:spacing w:after="200" w:line="276" w:lineRule="auto"/>
    </w:pPr>
    <w:rPr>
      <w:rFonts w:ascii="Calibri" w:hAnsi="Calibri" w:cs="Arial"/>
    </w:rPr>
  </w:style>
  <w:style w:type="paragraph" w:customStyle="1" w:styleId="BlockText1">
    <w:name w:val="Block Text1"/>
    <w:basedOn w:val="Normal"/>
    <w:next w:val="BlockText"/>
    <w:uiPriority w:val="99"/>
    <w:semiHidden/>
    <w:unhideWhenUsed/>
    <w:rsid w:val="0025423B"/>
    <w:pPr>
      <w:spacing w:line="276" w:lineRule="auto"/>
      <w:ind w:left="1440" w:right="1440"/>
    </w:pPr>
    <w:rPr>
      <w:rFonts w:ascii="Calibri" w:hAnsi="Calibri" w:cs="Arial"/>
    </w:rPr>
  </w:style>
  <w:style w:type="paragraph" w:customStyle="1" w:styleId="BodyText11">
    <w:name w:val="Body Text1"/>
    <w:basedOn w:val="Normal"/>
    <w:next w:val="BodyText"/>
    <w:link w:val="BodyTextChar"/>
    <w:uiPriority w:val="99"/>
    <w:semiHidden/>
    <w:unhideWhenUsed/>
    <w:rsid w:val="0025423B"/>
    <w:pPr>
      <w:spacing w:line="276" w:lineRule="auto"/>
    </w:pPr>
  </w:style>
  <w:style w:type="character" w:customStyle="1" w:styleId="BodyTextChar">
    <w:name w:val="Body Text Char"/>
    <w:basedOn w:val="DefaultParagraphFont"/>
    <w:link w:val="BodyText11"/>
    <w:uiPriority w:val="99"/>
    <w:semiHidden/>
    <w:rsid w:val="0025423B"/>
  </w:style>
  <w:style w:type="paragraph" w:customStyle="1" w:styleId="BodyText21">
    <w:name w:val="Body Text 21"/>
    <w:basedOn w:val="Normal"/>
    <w:next w:val="BodyText2"/>
    <w:link w:val="BodyText2Char"/>
    <w:uiPriority w:val="99"/>
    <w:semiHidden/>
    <w:unhideWhenUsed/>
    <w:rsid w:val="0025423B"/>
    <w:pPr>
      <w:spacing w:line="480" w:lineRule="auto"/>
    </w:pPr>
  </w:style>
  <w:style w:type="character" w:customStyle="1" w:styleId="BodyText2Char">
    <w:name w:val="Body Text 2 Char"/>
    <w:basedOn w:val="DefaultParagraphFont"/>
    <w:link w:val="BodyText21"/>
    <w:uiPriority w:val="99"/>
    <w:semiHidden/>
    <w:rsid w:val="0025423B"/>
  </w:style>
  <w:style w:type="paragraph" w:customStyle="1" w:styleId="BodyText31">
    <w:name w:val="Body Text 31"/>
    <w:basedOn w:val="Normal"/>
    <w:next w:val="BodyText3"/>
    <w:link w:val="BodyText3Char"/>
    <w:uiPriority w:val="99"/>
    <w:semiHidden/>
    <w:unhideWhenUsed/>
    <w:rsid w:val="0025423B"/>
    <w:pPr>
      <w:spacing w:line="276" w:lineRule="auto"/>
    </w:pPr>
    <w:rPr>
      <w:sz w:val="16"/>
      <w:szCs w:val="16"/>
    </w:rPr>
  </w:style>
  <w:style w:type="character" w:customStyle="1" w:styleId="BodyText3Char">
    <w:name w:val="Body Text 3 Char"/>
    <w:basedOn w:val="DefaultParagraphFont"/>
    <w:link w:val="BodyText31"/>
    <w:uiPriority w:val="99"/>
    <w:semiHidden/>
    <w:rsid w:val="0025423B"/>
    <w:rPr>
      <w:sz w:val="16"/>
      <w:szCs w:val="16"/>
    </w:rPr>
  </w:style>
  <w:style w:type="paragraph" w:customStyle="1" w:styleId="BodyTextFirstIndent1">
    <w:name w:val="Body Text First Indent1"/>
    <w:basedOn w:val="BodyText"/>
    <w:next w:val="BodyTextFirstIndent"/>
    <w:link w:val="BodyTextFirstIndentChar"/>
    <w:uiPriority w:val="99"/>
    <w:semiHidden/>
    <w:unhideWhenUsed/>
    <w:rsid w:val="0025423B"/>
    <w:pPr>
      <w:spacing w:line="276" w:lineRule="auto"/>
      <w:ind w:firstLine="210"/>
    </w:pPr>
  </w:style>
  <w:style w:type="character" w:customStyle="1" w:styleId="BodyTextFirstIndentChar">
    <w:name w:val="Body Text First Indent Char"/>
    <w:basedOn w:val="BodyTextChar"/>
    <w:link w:val="BodyTextFirstIndent1"/>
    <w:uiPriority w:val="99"/>
    <w:semiHidden/>
    <w:rsid w:val="0025423B"/>
  </w:style>
  <w:style w:type="paragraph" w:customStyle="1" w:styleId="BodyTextIndent1">
    <w:name w:val="Body Text Indent1"/>
    <w:basedOn w:val="Normal"/>
    <w:next w:val="BodyTextIndent"/>
    <w:link w:val="BodyTextIndentChar"/>
    <w:uiPriority w:val="99"/>
    <w:semiHidden/>
    <w:unhideWhenUsed/>
    <w:rsid w:val="0025423B"/>
    <w:pPr>
      <w:spacing w:line="276" w:lineRule="auto"/>
      <w:ind w:left="360"/>
    </w:pPr>
  </w:style>
  <w:style w:type="character" w:customStyle="1" w:styleId="BodyTextIndentChar">
    <w:name w:val="Body Text Indent Char"/>
    <w:basedOn w:val="DefaultParagraphFont"/>
    <w:link w:val="BodyTextIndent1"/>
    <w:uiPriority w:val="99"/>
    <w:semiHidden/>
    <w:rsid w:val="0025423B"/>
  </w:style>
  <w:style w:type="paragraph" w:customStyle="1" w:styleId="BodyTextFirstIndent21">
    <w:name w:val="Body Text First Indent 21"/>
    <w:basedOn w:val="BodyTextIndent"/>
    <w:next w:val="BodyTextFirstIndent2"/>
    <w:link w:val="BodyTextFirstIndent2Char"/>
    <w:uiPriority w:val="99"/>
    <w:semiHidden/>
    <w:unhideWhenUsed/>
    <w:rsid w:val="0025423B"/>
    <w:pPr>
      <w:spacing w:line="276" w:lineRule="auto"/>
      <w:ind w:left="360" w:firstLine="210"/>
    </w:pPr>
  </w:style>
  <w:style w:type="character" w:customStyle="1" w:styleId="BodyTextFirstIndent2Char">
    <w:name w:val="Body Text First Indent 2 Char"/>
    <w:basedOn w:val="BodyTextIndentChar"/>
    <w:link w:val="BodyTextFirstIndent21"/>
    <w:uiPriority w:val="99"/>
    <w:semiHidden/>
    <w:rsid w:val="0025423B"/>
  </w:style>
  <w:style w:type="paragraph" w:customStyle="1" w:styleId="BodyTextIndent21">
    <w:name w:val="Body Text Indent 21"/>
    <w:basedOn w:val="Normal"/>
    <w:next w:val="BodyTextIndent2"/>
    <w:link w:val="BodyTextIndent2Char"/>
    <w:uiPriority w:val="99"/>
    <w:semiHidden/>
    <w:unhideWhenUsed/>
    <w:rsid w:val="0025423B"/>
    <w:pPr>
      <w:spacing w:line="480" w:lineRule="auto"/>
      <w:ind w:left="360"/>
    </w:pPr>
  </w:style>
  <w:style w:type="character" w:customStyle="1" w:styleId="BodyTextIndent2Char">
    <w:name w:val="Body Text Indent 2 Char"/>
    <w:basedOn w:val="DefaultParagraphFont"/>
    <w:link w:val="BodyTextIndent21"/>
    <w:uiPriority w:val="99"/>
    <w:semiHidden/>
    <w:rsid w:val="0025423B"/>
  </w:style>
  <w:style w:type="paragraph" w:customStyle="1" w:styleId="BodyTextIndent31">
    <w:name w:val="Body Text Indent 31"/>
    <w:basedOn w:val="Normal"/>
    <w:next w:val="BodyTextIndent3"/>
    <w:link w:val="BodyTextIndent3Char"/>
    <w:uiPriority w:val="99"/>
    <w:semiHidden/>
    <w:unhideWhenUsed/>
    <w:rsid w:val="0025423B"/>
    <w:pPr>
      <w:spacing w:line="276" w:lineRule="auto"/>
      <w:ind w:left="360"/>
    </w:pPr>
    <w:rPr>
      <w:sz w:val="16"/>
      <w:szCs w:val="16"/>
    </w:rPr>
  </w:style>
  <w:style w:type="character" w:customStyle="1" w:styleId="BodyTextIndent3Char">
    <w:name w:val="Body Text Indent 3 Char"/>
    <w:basedOn w:val="DefaultParagraphFont"/>
    <w:link w:val="BodyTextIndent31"/>
    <w:uiPriority w:val="99"/>
    <w:semiHidden/>
    <w:rsid w:val="0025423B"/>
    <w:rPr>
      <w:sz w:val="16"/>
      <w:szCs w:val="16"/>
    </w:rPr>
  </w:style>
  <w:style w:type="character" w:styleId="BookTitle">
    <w:name w:val="Book Title"/>
    <w:basedOn w:val="DefaultParagraphFont"/>
    <w:uiPriority w:val="33"/>
    <w:qFormat/>
    <w:rsid w:val="00DC139C"/>
    <w:rPr>
      <w:b/>
      <w:bCs/>
      <w:smallCaps/>
    </w:rPr>
  </w:style>
  <w:style w:type="paragraph" w:customStyle="1" w:styleId="Caption1">
    <w:name w:val="Caption1"/>
    <w:basedOn w:val="Normal"/>
    <w:next w:val="Normal"/>
    <w:uiPriority w:val="35"/>
    <w:semiHidden/>
    <w:unhideWhenUsed/>
    <w:rsid w:val="0025423B"/>
    <w:pPr>
      <w:spacing w:after="200" w:line="276" w:lineRule="auto"/>
    </w:pPr>
    <w:rPr>
      <w:rFonts w:ascii="Calibri" w:hAnsi="Calibri" w:cs="Arial"/>
      <w:b/>
      <w:bCs/>
      <w:sz w:val="20"/>
    </w:rPr>
  </w:style>
  <w:style w:type="paragraph" w:customStyle="1" w:styleId="Closing1">
    <w:name w:val="Closing1"/>
    <w:basedOn w:val="Normal"/>
    <w:next w:val="Closing"/>
    <w:link w:val="ClosingChar"/>
    <w:uiPriority w:val="99"/>
    <w:semiHidden/>
    <w:unhideWhenUsed/>
    <w:rsid w:val="0025423B"/>
    <w:pPr>
      <w:spacing w:after="200" w:line="276" w:lineRule="auto"/>
      <w:ind w:left="4320"/>
    </w:pPr>
  </w:style>
  <w:style w:type="character" w:customStyle="1" w:styleId="ClosingChar">
    <w:name w:val="Closing Char"/>
    <w:basedOn w:val="DefaultParagraphFont"/>
    <w:link w:val="Closing1"/>
    <w:uiPriority w:val="99"/>
    <w:semiHidden/>
    <w:rsid w:val="0025423B"/>
  </w:style>
  <w:style w:type="table" w:customStyle="1" w:styleId="ColorfulGrid1">
    <w:name w:val="Colorful Grid1"/>
    <w:basedOn w:val="TableNormal"/>
    <w:next w:val="ColorfulGrid"/>
    <w:uiPriority w:val="73"/>
    <w:rsid w:val="0025423B"/>
    <w:rPr>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25423B"/>
    <w:rPr>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25423B"/>
    <w:rPr>
      <w:color w:val="000000"/>
      <w:sz w:val="20"/>
      <w:szCs w:val="2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25423B"/>
    <w:rPr>
      <w:color w:val="000000"/>
      <w:sz w:val="20"/>
      <w:szCs w:val="2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25423B"/>
    <w:rPr>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25423B"/>
    <w:rPr>
      <w:color w:val="000000"/>
      <w:sz w:val="20"/>
      <w:szCs w:val="2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25423B"/>
    <w:rPr>
      <w:color w:val="000000"/>
      <w:sz w:val="20"/>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rsid w:val="0025423B"/>
    <w:rPr>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25423B"/>
    <w:rPr>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25423B"/>
    <w:rPr>
      <w:color w:val="000000"/>
      <w:sz w:val="20"/>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25423B"/>
    <w:rPr>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25423B"/>
    <w:rPr>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25423B"/>
    <w:rPr>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25423B"/>
    <w:rPr>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rsid w:val="0025423B"/>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25423B"/>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25423B"/>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25423B"/>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25423B"/>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25423B"/>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25423B"/>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rsid w:val="0025423B"/>
    <w:rPr>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25423B"/>
    <w:rPr>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25423B"/>
    <w:rPr>
      <w:color w:val="FFFFFF"/>
      <w:sz w:val="20"/>
      <w:szCs w:val="20"/>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25423B"/>
    <w:rPr>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25423B"/>
    <w:rPr>
      <w:color w:val="FFFFFF"/>
      <w:sz w:val="20"/>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25423B"/>
    <w:rPr>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25423B"/>
    <w:rPr>
      <w:color w:val="FFFFFF"/>
      <w:sz w:val="20"/>
      <w:szCs w:val="20"/>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customStyle="1" w:styleId="Date1">
    <w:name w:val="Date1"/>
    <w:basedOn w:val="Normal"/>
    <w:next w:val="Normal"/>
    <w:uiPriority w:val="99"/>
    <w:semiHidden/>
    <w:unhideWhenUsed/>
    <w:rsid w:val="0025423B"/>
    <w:pPr>
      <w:spacing w:after="200" w:line="276" w:lineRule="auto"/>
    </w:pPr>
    <w:rPr>
      <w:rFonts w:ascii="Calibri" w:hAnsi="Calibri" w:cs="Arial"/>
    </w:rPr>
  </w:style>
  <w:style w:type="character" w:customStyle="1" w:styleId="DateChar">
    <w:name w:val="Date Char"/>
    <w:basedOn w:val="DefaultParagraphFont"/>
    <w:link w:val="Date"/>
    <w:uiPriority w:val="99"/>
    <w:semiHidden/>
    <w:rsid w:val="0025423B"/>
  </w:style>
  <w:style w:type="paragraph" w:customStyle="1" w:styleId="DocumentMap1">
    <w:name w:val="Document Map1"/>
    <w:basedOn w:val="Normal"/>
    <w:next w:val="DocumentMap"/>
    <w:link w:val="DocumentMapChar"/>
    <w:uiPriority w:val="99"/>
    <w:semiHidden/>
    <w:unhideWhenUsed/>
    <w:rsid w:val="0025423B"/>
    <w:pPr>
      <w:spacing w:after="200" w:line="276" w:lineRule="auto"/>
    </w:pPr>
    <w:rPr>
      <w:sz w:val="16"/>
      <w:szCs w:val="16"/>
    </w:rPr>
  </w:style>
  <w:style w:type="character" w:customStyle="1" w:styleId="DocumentMapChar">
    <w:name w:val="Document Map Char"/>
    <w:basedOn w:val="DefaultParagraphFont"/>
    <w:link w:val="DocumentMap1"/>
    <w:uiPriority w:val="99"/>
    <w:semiHidden/>
    <w:rsid w:val="0025423B"/>
    <w:rPr>
      <w:sz w:val="16"/>
      <w:szCs w:val="16"/>
    </w:rPr>
  </w:style>
  <w:style w:type="paragraph" w:customStyle="1" w:styleId="E-mailSignature1">
    <w:name w:val="E-mail Signature1"/>
    <w:basedOn w:val="Normal"/>
    <w:next w:val="E-mailSignature"/>
    <w:link w:val="E-mailSignatureChar"/>
    <w:uiPriority w:val="99"/>
    <w:semiHidden/>
    <w:unhideWhenUsed/>
    <w:rsid w:val="0025423B"/>
    <w:pPr>
      <w:spacing w:after="200" w:line="276" w:lineRule="auto"/>
    </w:pPr>
  </w:style>
  <w:style w:type="character" w:customStyle="1" w:styleId="E-mailSignatureChar">
    <w:name w:val="E-mail Signature Char"/>
    <w:basedOn w:val="DefaultParagraphFont"/>
    <w:link w:val="E-mailSignature1"/>
    <w:uiPriority w:val="99"/>
    <w:semiHidden/>
    <w:rsid w:val="0025423B"/>
  </w:style>
  <w:style w:type="paragraph" w:customStyle="1" w:styleId="EnvelopeAddress1">
    <w:name w:val="Envelope Address1"/>
    <w:basedOn w:val="Normal"/>
    <w:next w:val="EnvelopeAddress"/>
    <w:uiPriority w:val="99"/>
    <w:semiHidden/>
    <w:unhideWhenUsed/>
    <w:rsid w:val="0025423B"/>
    <w:pPr>
      <w:framePr w:w="7920" w:h="1980" w:hRule="exact" w:hSpace="180" w:wrap="auto" w:hAnchor="page" w:xAlign="center" w:yAlign="bottom"/>
      <w:spacing w:after="200" w:line="276" w:lineRule="auto"/>
      <w:ind w:left="2880"/>
    </w:pPr>
    <w:rPr>
      <w:rFonts w:ascii="Calibri" w:hAnsi="Calibri" w:cs="Arial"/>
      <w:szCs w:val="24"/>
    </w:rPr>
  </w:style>
  <w:style w:type="paragraph" w:customStyle="1" w:styleId="EnvelopeReturn1">
    <w:name w:val="Envelope Return1"/>
    <w:basedOn w:val="Normal"/>
    <w:next w:val="EnvelopeReturn"/>
    <w:uiPriority w:val="99"/>
    <w:semiHidden/>
    <w:unhideWhenUsed/>
    <w:rsid w:val="0025423B"/>
    <w:pPr>
      <w:spacing w:after="200" w:line="276" w:lineRule="auto"/>
    </w:pPr>
    <w:rPr>
      <w:rFonts w:ascii="Calibri" w:hAnsi="Calibri" w:cs="Arial"/>
      <w:sz w:val="20"/>
    </w:rPr>
  </w:style>
  <w:style w:type="character" w:styleId="HTMLAcronym">
    <w:name w:val="HTML Acronym"/>
    <w:uiPriority w:val="99"/>
    <w:semiHidden/>
    <w:unhideWhenUsed/>
    <w:rsid w:val="0025423B"/>
  </w:style>
  <w:style w:type="paragraph" w:customStyle="1" w:styleId="HTMLAddress1">
    <w:name w:val="HTML Address1"/>
    <w:basedOn w:val="Normal"/>
    <w:next w:val="HTMLAddress"/>
    <w:link w:val="HTMLAddressChar"/>
    <w:uiPriority w:val="99"/>
    <w:semiHidden/>
    <w:unhideWhenUsed/>
    <w:rsid w:val="0025423B"/>
    <w:pPr>
      <w:spacing w:after="200" w:line="276" w:lineRule="auto"/>
    </w:pPr>
    <w:rPr>
      <w:i/>
      <w:iCs/>
    </w:rPr>
  </w:style>
  <w:style w:type="character" w:customStyle="1" w:styleId="HTMLAddressChar">
    <w:name w:val="HTML Address Char"/>
    <w:basedOn w:val="DefaultParagraphFont"/>
    <w:link w:val="HTMLAddress1"/>
    <w:uiPriority w:val="99"/>
    <w:semiHidden/>
    <w:rsid w:val="0025423B"/>
    <w:rPr>
      <w:i/>
      <w:iCs/>
    </w:rPr>
  </w:style>
  <w:style w:type="character" w:styleId="HTMLCite">
    <w:name w:val="HTML Cite"/>
    <w:uiPriority w:val="99"/>
    <w:semiHidden/>
    <w:unhideWhenUsed/>
    <w:rsid w:val="0025423B"/>
    <w:rPr>
      <w:i/>
      <w:iCs/>
    </w:rPr>
  </w:style>
  <w:style w:type="character" w:styleId="HTMLCode">
    <w:name w:val="HTML Code"/>
    <w:uiPriority w:val="99"/>
    <w:semiHidden/>
    <w:unhideWhenUsed/>
    <w:rsid w:val="0025423B"/>
    <w:rPr>
      <w:rFonts w:ascii="Arial" w:hAnsi="Arial" w:cs="Arial"/>
      <w:sz w:val="20"/>
      <w:szCs w:val="20"/>
    </w:rPr>
  </w:style>
  <w:style w:type="character" w:styleId="HTMLDefinition">
    <w:name w:val="HTML Definition"/>
    <w:uiPriority w:val="99"/>
    <w:semiHidden/>
    <w:unhideWhenUsed/>
    <w:rsid w:val="0025423B"/>
    <w:rPr>
      <w:i/>
      <w:iCs/>
    </w:rPr>
  </w:style>
  <w:style w:type="character" w:styleId="HTMLKeyboard">
    <w:name w:val="HTML Keyboard"/>
    <w:uiPriority w:val="99"/>
    <w:semiHidden/>
    <w:unhideWhenUsed/>
    <w:rsid w:val="0025423B"/>
    <w:rPr>
      <w:rFonts w:ascii="Arial" w:hAnsi="Arial" w:cs="Arial"/>
      <w:sz w:val="20"/>
      <w:szCs w:val="20"/>
    </w:rPr>
  </w:style>
  <w:style w:type="paragraph" w:customStyle="1" w:styleId="HTMLPreformatted1">
    <w:name w:val="HTML Preformatted1"/>
    <w:basedOn w:val="Normal"/>
    <w:next w:val="HTMLPreformatted"/>
    <w:link w:val="HTMLPreformattedChar"/>
    <w:uiPriority w:val="99"/>
    <w:semiHidden/>
    <w:unhideWhenUsed/>
    <w:rsid w:val="0025423B"/>
    <w:pPr>
      <w:spacing w:after="200" w:line="276" w:lineRule="auto"/>
    </w:pPr>
    <w:rPr>
      <w:sz w:val="20"/>
    </w:rPr>
  </w:style>
  <w:style w:type="character" w:customStyle="1" w:styleId="HTMLPreformattedChar">
    <w:name w:val="HTML Preformatted Char"/>
    <w:basedOn w:val="DefaultParagraphFont"/>
    <w:link w:val="HTMLPreformatted1"/>
    <w:uiPriority w:val="99"/>
    <w:semiHidden/>
    <w:rsid w:val="0025423B"/>
    <w:rPr>
      <w:sz w:val="20"/>
    </w:rPr>
  </w:style>
  <w:style w:type="character" w:styleId="HTMLSample">
    <w:name w:val="HTML Sample"/>
    <w:uiPriority w:val="99"/>
    <w:semiHidden/>
    <w:unhideWhenUsed/>
    <w:rsid w:val="0025423B"/>
    <w:rPr>
      <w:rFonts w:ascii="Arial" w:hAnsi="Arial" w:cs="Arial"/>
    </w:rPr>
  </w:style>
  <w:style w:type="character" w:styleId="HTMLTypewriter">
    <w:name w:val="HTML Typewriter"/>
    <w:uiPriority w:val="99"/>
    <w:semiHidden/>
    <w:unhideWhenUsed/>
    <w:rsid w:val="0025423B"/>
    <w:rPr>
      <w:rFonts w:ascii="Arial" w:hAnsi="Arial" w:cs="Arial"/>
      <w:sz w:val="20"/>
      <w:szCs w:val="20"/>
    </w:rPr>
  </w:style>
  <w:style w:type="character" w:styleId="HTMLVariable">
    <w:name w:val="HTML Variable"/>
    <w:uiPriority w:val="99"/>
    <w:semiHidden/>
    <w:unhideWhenUsed/>
    <w:rsid w:val="0025423B"/>
    <w:rPr>
      <w:i/>
      <w:iCs/>
    </w:rPr>
  </w:style>
  <w:style w:type="paragraph" w:customStyle="1" w:styleId="Index11">
    <w:name w:val="Index 11"/>
    <w:basedOn w:val="Normal"/>
    <w:next w:val="Normal"/>
    <w:autoRedefine/>
    <w:uiPriority w:val="99"/>
    <w:semiHidden/>
    <w:unhideWhenUsed/>
    <w:rsid w:val="0025423B"/>
    <w:pPr>
      <w:spacing w:after="200" w:line="276" w:lineRule="auto"/>
      <w:ind w:left="230" w:hanging="230"/>
    </w:pPr>
    <w:rPr>
      <w:rFonts w:ascii="Calibri" w:hAnsi="Calibri" w:cs="Arial"/>
    </w:rPr>
  </w:style>
  <w:style w:type="paragraph" w:customStyle="1" w:styleId="Index21">
    <w:name w:val="Index 21"/>
    <w:basedOn w:val="Normal"/>
    <w:next w:val="Normal"/>
    <w:autoRedefine/>
    <w:uiPriority w:val="99"/>
    <w:semiHidden/>
    <w:unhideWhenUsed/>
    <w:rsid w:val="0025423B"/>
    <w:pPr>
      <w:spacing w:after="200" w:line="276" w:lineRule="auto"/>
      <w:ind w:left="460" w:hanging="230"/>
    </w:pPr>
    <w:rPr>
      <w:rFonts w:ascii="Calibri" w:hAnsi="Calibri" w:cs="Arial"/>
    </w:rPr>
  </w:style>
  <w:style w:type="paragraph" w:customStyle="1" w:styleId="Index31">
    <w:name w:val="Index 31"/>
    <w:basedOn w:val="Normal"/>
    <w:next w:val="Normal"/>
    <w:autoRedefine/>
    <w:uiPriority w:val="99"/>
    <w:semiHidden/>
    <w:unhideWhenUsed/>
    <w:rsid w:val="0025423B"/>
    <w:pPr>
      <w:spacing w:after="200" w:line="276" w:lineRule="auto"/>
      <w:ind w:left="690" w:hanging="230"/>
    </w:pPr>
    <w:rPr>
      <w:rFonts w:ascii="Calibri" w:hAnsi="Calibri" w:cs="Arial"/>
    </w:rPr>
  </w:style>
  <w:style w:type="paragraph" w:customStyle="1" w:styleId="Index41">
    <w:name w:val="Index 41"/>
    <w:basedOn w:val="Normal"/>
    <w:next w:val="Normal"/>
    <w:autoRedefine/>
    <w:uiPriority w:val="99"/>
    <w:semiHidden/>
    <w:unhideWhenUsed/>
    <w:rsid w:val="0025423B"/>
    <w:pPr>
      <w:spacing w:after="200" w:line="276" w:lineRule="auto"/>
      <w:ind w:left="920" w:hanging="230"/>
    </w:pPr>
    <w:rPr>
      <w:rFonts w:ascii="Calibri" w:hAnsi="Calibri" w:cs="Arial"/>
    </w:rPr>
  </w:style>
  <w:style w:type="paragraph" w:customStyle="1" w:styleId="Index51">
    <w:name w:val="Index 51"/>
    <w:basedOn w:val="Normal"/>
    <w:next w:val="Normal"/>
    <w:autoRedefine/>
    <w:uiPriority w:val="99"/>
    <w:semiHidden/>
    <w:unhideWhenUsed/>
    <w:rsid w:val="0025423B"/>
    <w:pPr>
      <w:spacing w:after="200" w:line="276" w:lineRule="auto"/>
      <w:ind w:left="1150" w:hanging="230"/>
    </w:pPr>
    <w:rPr>
      <w:rFonts w:ascii="Calibri" w:hAnsi="Calibri" w:cs="Arial"/>
    </w:rPr>
  </w:style>
  <w:style w:type="paragraph" w:customStyle="1" w:styleId="Index61">
    <w:name w:val="Index 61"/>
    <w:basedOn w:val="Normal"/>
    <w:next w:val="Normal"/>
    <w:autoRedefine/>
    <w:uiPriority w:val="99"/>
    <w:semiHidden/>
    <w:unhideWhenUsed/>
    <w:rsid w:val="0025423B"/>
    <w:pPr>
      <w:spacing w:after="200" w:line="276" w:lineRule="auto"/>
      <w:ind w:left="1380" w:hanging="230"/>
    </w:pPr>
    <w:rPr>
      <w:rFonts w:ascii="Calibri" w:hAnsi="Calibri" w:cs="Arial"/>
    </w:rPr>
  </w:style>
  <w:style w:type="paragraph" w:customStyle="1" w:styleId="Index71">
    <w:name w:val="Index 71"/>
    <w:basedOn w:val="Normal"/>
    <w:next w:val="Normal"/>
    <w:autoRedefine/>
    <w:uiPriority w:val="99"/>
    <w:semiHidden/>
    <w:unhideWhenUsed/>
    <w:rsid w:val="0025423B"/>
    <w:pPr>
      <w:spacing w:after="200" w:line="276" w:lineRule="auto"/>
      <w:ind w:left="1610" w:hanging="230"/>
    </w:pPr>
    <w:rPr>
      <w:rFonts w:ascii="Calibri" w:hAnsi="Calibri" w:cs="Arial"/>
    </w:rPr>
  </w:style>
  <w:style w:type="paragraph" w:customStyle="1" w:styleId="Index81">
    <w:name w:val="Index 81"/>
    <w:basedOn w:val="Normal"/>
    <w:next w:val="Normal"/>
    <w:autoRedefine/>
    <w:uiPriority w:val="99"/>
    <w:semiHidden/>
    <w:unhideWhenUsed/>
    <w:rsid w:val="0025423B"/>
    <w:pPr>
      <w:spacing w:after="200" w:line="276" w:lineRule="auto"/>
      <w:ind w:left="1840" w:hanging="230"/>
    </w:pPr>
    <w:rPr>
      <w:rFonts w:ascii="Calibri" w:hAnsi="Calibri" w:cs="Arial"/>
    </w:rPr>
  </w:style>
  <w:style w:type="paragraph" w:customStyle="1" w:styleId="Index91">
    <w:name w:val="Index 91"/>
    <w:basedOn w:val="Normal"/>
    <w:next w:val="Normal"/>
    <w:autoRedefine/>
    <w:uiPriority w:val="99"/>
    <w:semiHidden/>
    <w:unhideWhenUsed/>
    <w:rsid w:val="0025423B"/>
    <w:pPr>
      <w:spacing w:after="200" w:line="276" w:lineRule="auto"/>
      <w:ind w:left="2070" w:hanging="230"/>
    </w:pPr>
    <w:rPr>
      <w:rFonts w:ascii="Calibri" w:hAnsi="Calibri" w:cs="Arial"/>
    </w:rPr>
  </w:style>
  <w:style w:type="paragraph" w:customStyle="1" w:styleId="IndexHeading1">
    <w:name w:val="Index Heading1"/>
    <w:basedOn w:val="Normal"/>
    <w:next w:val="Index1"/>
    <w:uiPriority w:val="99"/>
    <w:semiHidden/>
    <w:unhideWhenUsed/>
    <w:rsid w:val="0025423B"/>
    <w:pPr>
      <w:spacing w:after="200" w:line="276" w:lineRule="auto"/>
    </w:pPr>
    <w:rPr>
      <w:rFonts w:ascii="Calibri" w:hAnsi="Calibri" w:cs="Arial"/>
      <w:b/>
      <w:bCs/>
    </w:rPr>
  </w:style>
  <w:style w:type="paragraph" w:customStyle="1" w:styleId="IntenseQuote1">
    <w:name w:val="Intense Quote1"/>
    <w:basedOn w:val="Normal"/>
    <w:next w:val="Normal"/>
    <w:uiPriority w:val="30"/>
    <w:rsid w:val="0025423B"/>
    <w:pPr>
      <w:pBdr>
        <w:bottom w:val="single" w:sz="4" w:space="4" w:color="4F81BD"/>
      </w:pBdr>
      <w:spacing w:before="200" w:after="280" w:line="276" w:lineRule="auto"/>
      <w:ind w:left="936" w:right="936"/>
    </w:pPr>
    <w:rPr>
      <w:rFonts w:ascii="Calibri" w:hAnsi="Calibri" w:cs="Arial"/>
      <w:b/>
      <w:bCs/>
      <w:i/>
      <w:iCs/>
      <w:color w:val="4F81BD"/>
    </w:rPr>
  </w:style>
  <w:style w:type="character" w:customStyle="1" w:styleId="IntenseQuoteChar">
    <w:name w:val="Intense Quote Char"/>
    <w:basedOn w:val="DefaultParagraphFont"/>
    <w:link w:val="IntenseQuote"/>
    <w:uiPriority w:val="30"/>
    <w:rsid w:val="00DC139C"/>
    <w:rPr>
      <w:rFonts w:asciiTheme="majorHAnsi" w:eastAsiaTheme="majorEastAsia" w:hAnsiTheme="majorHAnsi" w:cstheme="majorBidi"/>
      <w:color w:val="44546A" w:themeColor="text2"/>
      <w:sz w:val="32"/>
      <w:szCs w:val="32"/>
    </w:rPr>
  </w:style>
  <w:style w:type="character" w:styleId="IntenseReference">
    <w:name w:val="Intense Reference"/>
    <w:basedOn w:val="DefaultParagraphFont"/>
    <w:uiPriority w:val="32"/>
    <w:qFormat/>
    <w:rsid w:val="00DC139C"/>
    <w:rPr>
      <w:b/>
      <w:bCs/>
      <w:smallCaps/>
      <w:color w:val="44546A" w:themeColor="text2"/>
      <w:u w:val="single"/>
    </w:rPr>
  </w:style>
  <w:style w:type="table" w:customStyle="1" w:styleId="LightGrid1">
    <w:name w:val="Light Grid1"/>
    <w:basedOn w:val="TableNormal"/>
    <w:next w:val="LightGrid"/>
    <w:uiPriority w:val="62"/>
    <w:rsid w:val="0025423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25423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25423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25423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25423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25423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25423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rsid w:val="0025423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25423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25423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25423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25423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25423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25423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rsid w:val="0025423B"/>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25423B"/>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25423B"/>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25423B"/>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25423B"/>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25423B"/>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25423B"/>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25423B"/>
  </w:style>
  <w:style w:type="paragraph" w:customStyle="1" w:styleId="List1">
    <w:name w:val="List1"/>
    <w:basedOn w:val="Normal"/>
    <w:next w:val="List"/>
    <w:uiPriority w:val="99"/>
    <w:semiHidden/>
    <w:unhideWhenUsed/>
    <w:rsid w:val="0025423B"/>
    <w:pPr>
      <w:spacing w:after="200" w:line="276" w:lineRule="auto"/>
      <w:ind w:left="360" w:hanging="360"/>
      <w:contextualSpacing/>
    </w:pPr>
    <w:rPr>
      <w:rFonts w:ascii="Calibri" w:hAnsi="Calibri" w:cs="Arial"/>
    </w:rPr>
  </w:style>
  <w:style w:type="paragraph" w:customStyle="1" w:styleId="List21">
    <w:name w:val="List 21"/>
    <w:basedOn w:val="Normal"/>
    <w:next w:val="List2"/>
    <w:uiPriority w:val="99"/>
    <w:semiHidden/>
    <w:unhideWhenUsed/>
    <w:rsid w:val="0025423B"/>
    <w:pPr>
      <w:spacing w:after="200" w:line="276" w:lineRule="auto"/>
      <w:ind w:left="720" w:hanging="360"/>
      <w:contextualSpacing/>
    </w:pPr>
    <w:rPr>
      <w:rFonts w:ascii="Calibri" w:hAnsi="Calibri" w:cs="Arial"/>
    </w:rPr>
  </w:style>
  <w:style w:type="paragraph" w:customStyle="1" w:styleId="List31">
    <w:name w:val="List 31"/>
    <w:basedOn w:val="Normal"/>
    <w:next w:val="List3"/>
    <w:uiPriority w:val="99"/>
    <w:semiHidden/>
    <w:unhideWhenUsed/>
    <w:rsid w:val="0025423B"/>
    <w:pPr>
      <w:spacing w:after="200" w:line="276" w:lineRule="auto"/>
      <w:ind w:left="1080" w:hanging="360"/>
      <w:contextualSpacing/>
    </w:pPr>
    <w:rPr>
      <w:rFonts w:ascii="Calibri" w:hAnsi="Calibri" w:cs="Arial"/>
    </w:rPr>
  </w:style>
  <w:style w:type="paragraph" w:customStyle="1" w:styleId="List41">
    <w:name w:val="List 41"/>
    <w:basedOn w:val="Normal"/>
    <w:next w:val="List4"/>
    <w:uiPriority w:val="99"/>
    <w:semiHidden/>
    <w:unhideWhenUsed/>
    <w:rsid w:val="0025423B"/>
    <w:pPr>
      <w:spacing w:after="200" w:line="276" w:lineRule="auto"/>
      <w:ind w:left="1440" w:hanging="360"/>
      <w:contextualSpacing/>
    </w:pPr>
    <w:rPr>
      <w:rFonts w:ascii="Calibri" w:hAnsi="Calibri" w:cs="Arial"/>
    </w:rPr>
  </w:style>
  <w:style w:type="paragraph" w:customStyle="1" w:styleId="List51">
    <w:name w:val="List 51"/>
    <w:basedOn w:val="Normal"/>
    <w:next w:val="List5"/>
    <w:uiPriority w:val="99"/>
    <w:semiHidden/>
    <w:unhideWhenUsed/>
    <w:rsid w:val="0025423B"/>
    <w:pPr>
      <w:spacing w:after="200" w:line="276" w:lineRule="auto"/>
      <w:ind w:left="1800" w:hanging="360"/>
      <w:contextualSpacing/>
    </w:pPr>
    <w:rPr>
      <w:rFonts w:ascii="Calibri" w:hAnsi="Calibri" w:cs="Arial"/>
    </w:rPr>
  </w:style>
  <w:style w:type="paragraph" w:customStyle="1" w:styleId="ListBullet51">
    <w:name w:val="List Bullet 51"/>
    <w:basedOn w:val="Normal"/>
    <w:next w:val="ListBullet5"/>
    <w:uiPriority w:val="99"/>
    <w:semiHidden/>
    <w:unhideWhenUsed/>
    <w:rsid w:val="0025423B"/>
    <w:pPr>
      <w:numPr>
        <w:numId w:val="87"/>
      </w:numPr>
      <w:spacing w:after="200" w:line="276" w:lineRule="auto"/>
      <w:contextualSpacing/>
    </w:pPr>
    <w:rPr>
      <w:rFonts w:ascii="Calibri" w:hAnsi="Calibri" w:cs="Arial"/>
    </w:rPr>
  </w:style>
  <w:style w:type="paragraph" w:customStyle="1" w:styleId="ListContinue1">
    <w:name w:val="List Continue1"/>
    <w:basedOn w:val="Normal"/>
    <w:next w:val="ListContinue"/>
    <w:uiPriority w:val="99"/>
    <w:semiHidden/>
    <w:unhideWhenUsed/>
    <w:rsid w:val="0025423B"/>
    <w:pPr>
      <w:spacing w:line="276" w:lineRule="auto"/>
      <w:ind w:left="360"/>
      <w:contextualSpacing/>
    </w:pPr>
    <w:rPr>
      <w:rFonts w:ascii="Calibri" w:hAnsi="Calibri" w:cs="Arial"/>
    </w:rPr>
  </w:style>
  <w:style w:type="paragraph" w:customStyle="1" w:styleId="ListContinue21">
    <w:name w:val="List Continue 21"/>
    <w:basedOn w:val="Normal"/>
    <w:next w:val="ListContinue2"/>
    <w:uiPriority w:val="99"/>
    <w:semiHidden/>
    <w:unhideWhenUsed/>
    <w:rsid w:val="0025423B"/>
    <w:pPr>
      <w:spacing w:line="276" w:lineRule="auto"/>
      <w:ind w:left="720"/>
      <w:contextualSpacing/>
    </w:pPr>
    <w:rPr>
      <w:rFonts w:ascii="Calibri" w:hAnsi="Calibri" w:cs="Arial"/>
    </w:rPr>
  </w:style>
  <w:style w:type="paragraph" w:customStyle="1" w:styleId="ListContinue31">
    <w:name w:val="List Continue 31"/>
    <w:basedOn w:val="Normal"/>
    <w:next w:val="ListContinue3"/>
    <w:uiPriority w:val="99"/>
    <w:semiHidden/>
    <w:unhideWhenUsed/>
    <w:rsid w:val="0025423B"/>
    <w:pPr>
      <w:spacing w:line="276" w:lineRule="auto"/>
      <w:ind w:left="1080"/>
      <w:contextualSpacing/>
    </w:pPr>
    <w:rPr>
      <w:rFonts w:ascii="Calibri" w:hAnsi="Calibri" w:cs="Arial"/>
    </w:rPr>
  </w:style>
  <w:style w:type="paragraph" w:customStyle="1" w:styleId="ListContinue41">
    <w:name w:val="List Continue 41"/>
    <w:basedOn w:val="Normal"/>
    <w:next w:val="ListContinue4"/>
    <w:uiPriority w:val="99"/>
    <w:semiHidden/>
    <w:unhideWhenUsed/>
    <w:rsid w:val="0025423B"/>
    <w:pPr>
      <w:spacing w:line="276" w:lineRule="auto"/>
      <w:ind w:left="1440"/>
      <w:contextualSpacing/>
    </w:pPr>
    <w:rPr>
      <w:rFonts w:ascii="Calibri" w:hAnsi="Calibri" w:cs="Arial"/>
    </w:rPr>
  </w:style>
  <w:style w:type="paragraph" w:customStyle="1" w:styleId="ListContinue51">
    <w:name w:val="List Continue 51"/>
    <w:basedOn w:val="Normal"/>
    <w:next w:val="ListContinue5"/>
    <w:uiPriority w:val="99"/>
    <w:semiHidden/>
    <w:unhideWhenUsed/>
    <w:rsid w:val="0025423B"/>
    <w:pPr>
      <w:spacing w:line="276" w:lineRule="auto"/>
      <w:ind w:left="1800"/>
      <w:contextualSpacing/>
    </w:pPr>
    <w:rPr>
      <w:rFonts w:ascii="Calibri" w:hAnsi="Calibri" w:cs="Arial"/>
    </w:rPr>
  </w:style>
  <w:style w:type="paragraph" w:customStyle="1" w:styleId="ListNumber1">
    <w:name w:val="List Number1"/>
    <w:basedOn w:val="Normal"/>
    <w:next w:val="ListNumber"/>
    <w:uiPriority w:val="99"/>
    <w:semiHidden/>
    <w:unhideWhenUsed/>
    <w:rsid w:val="0025423B"/>
    <w:pPr>
      <w:numPr>
        <w:numId w:val="88"/>
      </w:numPr>
      <w:spacing w:after="200" w:line="276" w:lineRule="auto"/>
      <w:contextualSpacing/>
    </w:pPr>
    <w:rPr>
      <w:rFonts w:ascii="Calibri" w:hAnsi="Calibri" w:cs="Arial"/>
    </w:rPr>
  </w:style>
  <w:style w:type="paragraph" w:customStyle="1" w:styleId="ListNumber21">
    <w:name w:val="List Number 21"/>
    <w:basedOn w:val="Normal"/>
    <w:next w:val="ListNumber2"/>
    <w:uiPriority w:val="99"/>
    <w:semiHidden/>
    <w:unhideWhenUsed/>
    <w:rsid w:val="0025423B"/>
    <w:pPr>
      <w:numPr>
        <w:numId w:val="89"/>
      </w:numPr>
      <w:spacing w:after="200" w:line="276" w:lineRule="auto"/>
      <w:contextualSpacing/>
    </w:pPr>
    <w:rPr>
      <w:rFonts w:ascii="Calibri" w:hAnsi="Calibri" w:cs="Arial"/>
    </w:rPr>
  </w:style>
  <w:style w:type="paragraph" w:customStyle="1" w:styleId="ListNumber31">
    <w:name w:val="List Number 31"/>
    <w:basedOn w:val="Normal"/>
    <w:next w:val="ListNumber3"/>
    <w:uiPriority w:val="99"/>
    <w:semiHidden/>
    <w:unhideWhenUsed/>
    <w:rsid w:val="0025423B"/>
    <w:pPr>
      <w:numPr>
        <w:numId w:val="90"/>
      </w:numPr>
      <w:spacing w:after="200" w:line="276" w:lineRule="auto"/>
      <w:contextualSpacing/>
    </w:pPr>
    <w:rPr>
      <w:rFonts w:ascii="Calibri" w:hAnsi="Calibri" w:cs="Arial"/>
    </w:rPr>
  </w:style>
  <w:style w:type="paragraph" w:customStyle="1" w:styleId="ListNumber41">
    <w:name w:val="List Number 41"/>
    <w:basedOn w:val="Normal"/>
    <w:next w:val="ListNumber4"/>
    <w:uiPriority w:val="99"/>
    <w:semiHidden/>
    <w:unhideWhenUsed/>
    <w:rsid w:val="0025423B"/>
    <w:pPr>
      <w:numPr>
        <w:numId w:val="91"/>
      </w:numPr>
      <w:spacing w:after="200" w:line="276" w:lineRule="auto"/>
      <w:contextualSpacing/>
    </w:pPr>
    <w:rPr>
      <w:rFonts w:ascii="Calibri" w:hAnsi="Calibri" w:cs="Arial"/>
    </w:rPr>
  </w:style>
  <w:style w:type="paragraph" w:customStyle="1" w:styleId="ListNumber51">
    <w:name w:val="List Number 51"/>
    <w:basedOn w:val="Normal"/>
    <w:next w:val="ListNumber5"/>
    <w:uiPriority w:val="99"/>
    <w:semiHidden/>
    <w:unhideWhenUsed/>
    <w:rsid w:val="0025423B"/>
    <w:pPr>
      <w:numPr>
        <w:numId w:val="92"/>
      </w:numPr>
      <w:spacing w:after="200" w:line="276" w:lineRule="auto"/>
      <w:contextualSpacing/>
    </w:pPr>
    <w:rPr>
      <w:rFonts w:ascii="Calibri" w:hAnsi="Calibri" w:cs="Arial"/>
    </w:rPr>
  </w:style>
  <w:style w:type="paragraph" w:customStyle="1" w:styleId="MacroText1">
    <w:name w:val="Macro Text1"/>
    <w:next w:val="MacroText"/>
    <w:link w:val="MacroTextChar"/>
    <w:uiPriority w:val="99"/>
    <w:semiHidden/>
    <w:unhideWhenUsed/>
    <w:rsid w:val="0025423B"/>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rPr>
  </w:style>
  <w:style w:type="character" w:customStyle="1" w:styleId="MacroTextChar">
    <w:name w:val="Macro Text Char"/>
    <w:basedOn w:val="DefaultParagraphFont"/>
    <w:link w:val="MacroText1"/>
    <w:uiPriority w:val="99"/>
    <w:semiHidden/>
    <w:rsid w:val="0025423B"/>
    <w:rPr>
      <w:rFonts w:ascii="Arial" w:hAnsi="Arial" w:cs="Arial"/>
    </w:rPr>
  </w:style>
  <w:style w:type="table" w:customStyle="1" w:styleId="MediumGrid11">
    <w:name w:val="Medium Grid 11"/>
    <w:basedOn w:val="TableNormal"/>
    <w:next w:val="MediumGrid1"/>
    <w:uiPriority w:val="67"/>
    <w:rsid w:val="0025423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25423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25423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25423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25423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25423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25423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25423B"/>
    <w:rPr>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25423B"/>
    <w:rPr>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25423B"/>
    <w:rPr>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25423B"/>
    <w:rPr>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25423B"/>
    <w:rPr>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25423B"/>
    <w:rPr>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25423B"/>
    <w:rPr>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rsid w:val="0025423B"/>
    <w:rPr>
      <w:color w:val="000000"/>
      <w:sz w:val="20"/>
      <w:szCs w:val="2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25423B"/>
    <w:rPr>
      <w:color w:val="000000"/>
      <w:sz w:val="20"/>
      <w:szCs w:val="2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25423B"/>
    <w:rPr>
      <w:color w:val="000000"/>
      <w:sz w:val="20"/>
      <w:szCs w:val="2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25423B"/>
    <w:rPr>
      <w:color w:val="000000"/>
      <w:sz w:val="20"/>
      <w:szCs w:val="2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25423B"/>
    <w:rPr>
      <w:color w:val="000000"/>
      <w:sz w:val="20"/>
      <w:szCs w:val="2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25423B"/>
    <w:rPr>
      <w:color w:val="000000"/>
      <w:sz w:val="20"/>
      <w:szCs w:val="2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25423B"/>
    <w:rPr>
      <w:color w:val="000000"/>
      <w:sz w:val="20"/>
      <w:szCs w:val="2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25423B"/>
    <w:rPr>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25423B"/>
    <w:rPr>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25423B"/>
    <w:rPr>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25423B"/>
    <w:rPr>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25423B"/>
    <w:rPr>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25423B"/>
    <w:rPr>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25423B"/>
    <w:rPr>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rsid w:val="0025423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25423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25423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25423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25423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25423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25423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pPr>
    <w:rPr>
      <w:szCs w:val="24"/>
    </w:rPr>
  </w:style>
  <w:style w:type="character" w:customStyle="1" w:styleId="MessageHeaderChar">
    <w:name w:val="Message Header Char"/>
    <w:basedOn w:val="DefaultParagraphFont"/>
    <w:link w:val="MessageHeader1"/>
    <w:uiPriority w:val="99"/>
    <w:semiHidden/>
    <w:rsid w:val="0025423B"/>
    <w:rPr>
      <w:szCs w:val="24"/>
      <w:shd w:val="pct20" w:color="auto" w:fill="auto"/>
    </w:rPr>
  </w:style>
  <w:style w:type="paragraph" w:customStyle="1" w:styleId="NormalIndent1">
    <w:name w:val="Normal Indent1"/>
    <w:basedOn w:val="Normal"/>
    <w:next w:val="NormalIndent"/>
    <w:uiPriority w:val="99"/>
    <w:semiHidden/>
    <w:unhideWhenUsed/>
    <w:rsid w:val="0025423B"/>
    <w:pPr>
      <w:spacing w:after="200" w:line="276" w:lineRule="auto"/>
      <w:ind w:left="720"/>
    </w:pPr>
    <w:rPr>
      <w:rFonts w:ascii="Calibri" w:hAnsi="Calibri" w:cs="Arial"/>
    </w:rPr>
  </w:style>
  <w:style w:type="paragraph" w:customStyle="1" w:styleId="NoteHeading1">
    <w:name w:val="Note Heading1"/>
    <w:basedOn w:val="Normal"/>
    <w:next w:val="Normal"/>
    <w:uiPriority w:val="99"/>
    <w:semiHidden/>
    <w:unhideWhenUsed/>
    <w:rsid w:val="0025423B"/>
    <w:pPr>
      <w:spacing w:after="200" w:line="276" w:lineRule="auto"/>
    </w:pPr>
    <w:rPr>
      <w:rFonts w:ascii="Calibri" w:hAnsi="Calibri" w:cs="Arial"/>
    </w:rPr>
  </w:style>
  <w:style w:type="character" w:customStyle="1" w:styleId="NoteHeadingChar">
    <w:name w:val="Note Heading Char"/>
    <w:basedOn w:val="DefaultParagraphFont"/>
    <w:link w:val="NoteHeading"/>
    <w:uiPriority w:val="99"/>
    <w:semiHidden/>
    <w:rsid w:val="0025423B"/>
  </w:style>
  <w:style w:type="paragraph" w:customStyle="1" w:styleId="PlainText1">
    <w:name w:val="Plain Text1"/>
    <w:basedOn w:val="Normal"/>
    <w:next w:val="PlainText"/>
    <w:link w:val="PlainTextChar"/>
    <w:uiPriority w:val="99"/>
    <w:semiHidden/>
    <w:unhideWhenUsed/>
    <w:rsid w:val="0025423B"/>
    <w:pPr>
      <w:spacing w:after="200" w:line="276" w:lineRule="auto"/>
    </w:pPr>
    <w:rPr>
      <w:sz w:val="20"/>
    </w:rPr>
  </w:style>
  <w:style w:type="character" w:customStyle="1" w:styleId="PlainTextChar">
    <w:name w:val="Plain Text Char"/>
    <w:basedOn w:val="DefaultParagraphFont"/>
    <w:link w:val="PlainText1"/>
    <w:uiPriority w:val="99"/>
    <w:semiHidden/>
    <w:rsid w:val="0025423B"/>
    <w:rPr>
      <w:sz w:val="20"/>
    </w:rPr>
  </w:style>
  <w:style w:type="paragraph" w:customStyle="1" w:styleId="Quote1">
    <w:name w:val="Quote1"/>
    <w:basedOn w:val="Normal"/>
    <w:next w:val="Normal"/>
    <w:uiPriority w:val="29"/>
    <w:rsid w:val="0025423B"/>
    <w:pPr>
      <w:spacing w:after="200" w:line="276" w:lineRule="auto"/>
    </w:pPr>
    <w:rPr>
      <w:rFonts w:ascii="Calibri" w:hAnsi="Calibri" w:cs="Arial"/>
      <w:i/>
      <w:iCs/>
      <w:color w:val="000000"/>
    </w:rPr>
  </w:style>
  <w:style w:type="character" w:customStyle="1" w:styleId="QuoteChar">
    <w:name w:val="Quote Char"/>
    <w:basedOn w:val="DefaultParagraphFont"/>
    <w:link w:val="Quote"/>
    <w:uiPriority w:val="29"/>
    <w:rsid w:val="00DC139C"/>
    <w:rPr>
      <w:color w:val="44546A" w:themeColor="text2"/>
      <w:sz w:val="24"/>
      <w:szCs w:val="24"/>
    </w:rPr>
  </w:style>
  <w:style w:type="paragraph" w:customStyle="1" w:styleId="Salutation1">
    <w:name w:val="Salutation1"/>
    <w:basedOn w:val="Normal"/>
    <w:next w:val="Normal"/>
    <w:uiPriority w:val="99"/>
    <w:semiHidden/>
    <w:unhideWhenUsed/>
    <w:rsid w:val="0025423B"/>
    <w:pPr>
      <w:spacing w:after="200" w:line="276" w:lineRule="auto"/>
    </w:pPr>
    <w:rPr>
      <w:rFonts w:ascii="Calibri" w:hAnsi="Calibri" w:cs="Arial"/>
    </w:rPr>
  </w:style>
  <w:style w:type="character" w:customStyle="1" w:styleId="SalutationChar">
    <w:name w:val="Salutation Char"/>
    <w:basedOn w:val="DefaultParagraphFont"/>
    <w:link w:val="Salutation"/>
    <w:uiPriority w:val="99"/>
    <w:semiHidden/>
    <w:rsid w:val="0025423B"/>
  </w:style>
  <w:style w:type="paragraph" w:customStyle="1" w:styleId="Signature1">
    <w:name w:val="Signature1"/>
    <w:basedOn w:val="Normal"/>
    <w:next w:val="Signature"/>
    <w:link w:val="SignatureChar"/>
    <w:uiPriority w:val="99"/>
    <w:semiHidden/>
    <w:unhideWhenUsed/>
    <w:rsid w:val="0025423B"/>
    <w:pPr>
      <w:spacing w:after="200" w:line="276" w:lineRule="auto"/>
      <w:ind w:left="4320"/>
    </w:pPr>
  </w:style>
  <w:style w:type="character" w:customStyle="1" w:styleId="SignatureChar">
    <w:name w:val="Signature Char"/>
    <w:basedOn w:val="DefaultParagraphFont"/>
    <w:link w:val="Signature1"/>
    <w:uiPriority w:val="99"/>
    <w:semiHidden/>
    <w:rsid w:val="0025423B"/>
  </w:style>
  <w:style w:type="character" w:styleId="Strong">
    <w:name w:val="Strong"/>
    <w:basedOn w:val="DefaultParagraphFont"/>
    <w:uiPriority w:val="22"/>
    <w:qFormat/>
    <w:rsid w:val="00DC139C"/>
    <w:rPr>
      <w:b/>
      <w:bCs/>
    </w:rPr>
  </w:style>
  <w:style w:type="paragraph" w:customStyle="1" w:styleId="Subtitle1">
    <w:name w:val="Subtitle1"/>
    <w:basedOn w:val="Normal"/>
    <w:next w:val="Normal"/>
    <w:uiPriority w:val="11"/>
    <w:rsid w:val="0025423B"/>
    <w:pPr>
      <w:spacing w:after="60" w:line="276" w:lineRule="auto"/>
      <w:jc w:val="center"/>
      <w:outlineLvl w:val="1"/>
    </w:pPr>
    <w:rPr>
      <w:rFonts w:ascii="Calibri" w:hAnsi="Calibri" w:cs="Arial"/>
      <w:szCs w:val="24"/>
    </w:rPr>
  </w:style>
  <w:style w:type="character" w:customStyle="1" w:styleId="SubtitleChar">
    <w:name w:val="Subtitle Char"/>
    <w:basedOn w:val="DefaultParagraphFont"/>
    <w:link w:val="Subtitle"/>
    <w:uiPriority w:val="11"/>
    <w:rsid w:val="00DC139C"/>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C139C"/>
    <w:rPr>
      <w:i/>
      <w:iCs/>
      <w:color w:val="595959" w:themeColor="text1" w:themeTint="A6"/>
    </w:rPr>
  </w:style>
  <w:style w:type="character" w:styleId="SubtleReference">
    <w:name w:val="Subtle Reference"/>
    <w:basedOn w:val="DefaultParagraphFont"/>
    <w:uiPriority w:val="31"/>
    <w:qFormat/>
    <w:rsid w:val="00DC139C"/>
    <w:rPr>
      <w:smallCaps/>
      <w:color w:val="595959" w:themeColor="text1" w:themeTint="A6"/>
      <w:u w:val="none" w:color="7F7F7F" w:themeColor="text1" w:themeTint="80"/>
      <w:bdr w:val="none" w:sz="0" w:space="0" w:color="auto"/>
    </w:rPr>
  </w:style>
  <w:style w:type="table" w:customStyle="1" w:styleId="Table3Deffects11">
    <w:name w:val="Table 3D effects 11"/>
    <w:basedOn w:val="TableNormal"/>
    <w:next w:val="Table3Deffects1"/>
    <w:uiPriority w:val="99"/>
    <w:semiHidden/>
    <w:unhideWhenUsed/>
    <w:rsid w:val="0025423B"/>
    <w:pPr>
      <w:widowControl w:val="0"/>
      <w:spacing w:line="216"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25423B"/>
    <w:pPr>
      <w:widowControl w:val="0"/>
      <w:spacing w:line="216"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25423B"/>
    <w:pPr>
      <w:widowControl w:val="0"/>
      <w:spacing w:line="216"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25423B"/>
    <w:pPr>
      <w:widowControl w:val="0"/>
      <w:spacing w:line="216"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25423B"/>
    <w:pPr>
      <w:widowControl w:val="0"/>
      <w:spacing w:line="21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25423B"/>
    <w:pPr>
      <w:widowControl w:val="0"/>
      <w:spacing w:line="216" w:lineRule="auto"/>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25423B"/>
    <w:pPr>
      <w:widowControl w:val="0"/>
      <w:spacing w:line="21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25423B"/>
    <w:pPr>
      <w:widowControl w:val="0"/>
      <w:spacing w:line="216" w:lineRule="auto"/>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25423B"/>
    <w:pPr>
      <w:widowControl w:val="0"/>
      <w:spacing w:line="216"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25423B"/>
    <w:pPr>
      <w:widowControl w:val="0"/>
      <w:spacing w:line="216"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25423B"/>
    <w:pPr>
      <w:widowControl w:val="0"/>
      <w:spacing w:line="216" w:lineRule="auto"/>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25423B"/>
    <w:pPr>
      <w:widowControl w:val="0"/>
      <w:spacing w:line="216" w:lineRule="auto"/>
    </w:pPr>
    <w:rPr>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25423B"/>
    <w:pPr>
      <w:widowControl w:val="0"/>
      <w:spacing w:line="216" w:lineRule="auto"/>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25423B"/>
    <w:pPr>
      <w:widowControl w:val="0"/>
      <w:spacing w:line="21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25423B"/>
    <w:pPr>
      <w:widowControl w:val="0"/>
      <w:spacing w:line="21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25423B"/>
    <w:pPr>
      <w:widowControl w:val="0"/>
      <w:spacing w:line="216"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25423B"/>
    <w:pPr>
      <w:widowControl w:val="0"/>
      <w:spacing w:line="21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25423B"/>
    <w:pPr>
      <w:widowControl w:val="0"/>
      <w:spacing w:line="21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25423B"/>
    <w:pPr>
      <w:widowControl w:val="0"/>
      <w:spacing w:line="216"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25423B"/>
    <w:pPr>
      <w:widowControl w:val="0"/>
      <w:spacing w:line="216"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25423B"/>
    <w:pPr>
      <w:widowControl w:val="0"/>
      <w:spacing w:line="216" w:lineRule="auto"/>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25423B"/>
    <w:pPr>
      <w:widowControl w:val="0"/>
      <w:spacing w:line="216"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25423B"/>
    <w:pPr>
      <w:widowControl w:val="0"/>
      <w:spacing w:line="21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25423B"/>
    <w:pPr>
      <w:widowControl w:val="0"/>
      <w:spacing w:line="216"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25423B"/>
    <w:pPr>
      <w:widowControl w:val="0"/>
      <w:spacing w:line="216"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25423B"/>
    <w:pPr>
      <w:widowControl w:val="0"/>
      <w:spacing w:line="216"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25423B"/>
    <w:pPr>
      <w:widowControl w:val="0"/>
      <w:spacing w:line="216"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25423B"/>
    <w:pPr>
      <w:widowControl w:val="0"/>
      <w:spacing w:line="216"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25423B"/>
    <w:pPr>
      <w:widowControl w:val="0"/>
      <w:spacing w:line="216"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ofAuthorities1">
    <w:name w:val="Table of Authorities1"/>
    <w:basedOn w:val="Normal"/>
    <w:next w:val="Normal"/>
    <w:uiPriority w:val="99"/>
    <w:semiHidden/>
    <w:unhideWhenUsed/>
    <w:rsid w:val="0025423B"/>
    <w:pPr>
      <w:spacing w:after="200" w:line="276" w:lineRule="auto"/>
      <w:ind w:left="230" w:hanging="230"/>
    </w:pPr>
    <w:rPr>
      <w:rFonts w:ascii="Calibri" w:hAnsi="Calibri" w:cs="Arial"/>
    </w:rPr>
  </w:style>
  <w:style w:type="paragraph" w:customStyle="1" w:styleId="TableofFigures1">
    <w:name w:val="Table of Figures1"/>
    <w:basedOn w:val="Normal"/>
    <w:next w:val="Normal"/>
    <w:uiPriority w:val="99"/>
    <w:semiHidden/>
    <w:unhideWhenUsed/>
    <w:rsid w:val="0025423B"/>
    <w:pPr>
      <w:spacing w:after="200" w:line="276" w:lineRule="auto"/>
    </w:pPr>
    <w:rPr>
      <w:rFonts w:ascii="Calibri" w:hAnsi="Calibri" w:cs="Arial"/>
    </w:rPr>
  </w:style>
  <w:style w:type="table" w:customStyle="1" w:styleId="TableProfessional1">
    <w:name w:val="Table Professional1"/>
    <w:basedOn w:val="TableNormal"/>
    <w:next w:val="TableProfessional"/>
    <w:uiPriority w:val="99"/>
    <w:semiHidden/>
    <w:unhideWhenUsed/>
    <w:rsid w:val="0025423B"/>
    <w:pPr>
      <w:widowControl w:val="0"/>
      <w:spacing w:line="21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25423B"/>
    <w:pPr>
      <w:widowControl w:val="0"/>
      <w:spacing w:line="216"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25423B"/>
    <w:pPr>
      <w:widowControl w:val="0"/>
      <w:spacing w:line="216"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25423B"/>
    <w:pPr>
      <w:widowControl w:val="0"/>
      <w:spacing w:line="216"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25423B"/>
    <w:pPr>
      <w:widowControl w:val="0"/>
      <w:spacing w:line="216"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25423B"/>
    <w:pPr>
      <w:widowControl w:val="0"/>
      <w:spacing w:line="21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25423B"/>
    <w:pPr>
      <w:widowControl w:val="0"/>
      <w:spacing w:line="21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25423B"/>
    <w:pPr>
      <w:widowControl w:val="0"/>
      <w:spacing w:line="216"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25423B"/>
    <w:pPr>
      <w:widowControl w:val="0"/>
      <w:spacing w:line="216"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1">
    <w:name w:val="Title1"/>
    <w:basedOn w:val="Normal"/>
    <w:next w:val="Normal"/>
    <w:uiPriority w:val="10"/>
    <w:rsid w:val="0025423B"/>
    <w:pPr>
      <w:spacing w:before="240" w:after="60" w:line="276" w:lineRule="auto"/>
      <w:jc w:val="center"/>
      <w:outlineLvl w:val="0"/>
    </w:pPr>
    <w:rPr>
      <w:rFonts w:ascii="Calibri" w:hAnsi="Calibri" w:cs="Arial"/>
      <w:b/>
      <w:bCs/>
      <w:kern w:val="28"/>
      <w:sz w:val="32"/>
      <w:szCs w:val="32"/>
    </w:rPr>
  </w:style>
  <w:style w:type="character" w:customStyle="1" w:styleId="TitleChar">
    <w:name w:val="Title Char"/>
    <w:basedOn w:val="DefaultParagraphFont"/>
    <w:link w:val="Title"/>
    <w:uiPriority w:val="10"/>
    <w:rsid w:val="00DC139C"/>
    <w:rPr>
      <w:rFonts w:asciiTheme="majorHAnsi" w:eastAsiaTheme="majorEastAsia" w:hAnsiTheme="majorHAnsi" w:cstheme="majorBidi"/>
      <w:caps/>
      <w:color w:val="44546A" w:themeColor="text2"/>
      <w:sz w:val="72"/>
      <w:szCs w:val="72"/>
    </w:rPr>
  </w:style>
  <w:style w:type="paragraph" w:customStyle="1" w:styleId="TOAHeading1">
    <w:name w:val="TOA Heading1"/>
    <w:basedOn w:val="Normal"/>
    <w:next w:val="Normal"/>
    <w:uiPriority w:val="99"/>
    <w:semiHidden/>
    <w:unhideWhenUsed/>
    <w:rsid w:val="0025423B"/>
    <w:pPr>
      <w:spacing w:after="200" w:line="276" w:lineRule="auto"/>
    </w:pPr>
    <w:rPr>
      <w:rFonts w:ascii="Calibri" w:hAnsi="Calibri" w:cs="Arial"/>
      <w:b/>
      <w:bCs/>
      <w:szCs w:val="24"/>
    </w:rPr>
  </w:style>
  <w:style w:type="paragraph" w:customStyle="1" w:styleId="TBSousEmbargo">
    <w:name w:val="TBSousEmbargo"/>
    <w:basedOn w:val="TechnicalBlockBase"/>
    <w:rsid w:val="0025423B"/>
    <w:pPr>
      <w:spacing w:before="360" w:after="360" w:line="240" w:lineRule="auto"/>
      <w:ind w:left="0" w:right="0"/>
      <w:jc w:val="center"/>
    </w:pPr>
    <w:rPr>
      <w:rFonts w:ascii="Arial" w:hAnsi="Arial"/>
      <w:i w:val="0"/>
      <w:dstrike w:val="0"/>
      <w:color w:val="auto"/>
      <w:sz w:val="23"/>
      <w:szCs w:val="23"/>
      <w:u w:val="double"/>
    </w:rPr>
  </w:style>
  <w:style w:type="paragraph" w:customStyle="1" w:styleId="TechnicalBlockBase">
    <w:name w:val="TechnicalBlockBase"/>
    <w:link w:val="TechnicalBlockBaseChar"/>
    <w:rsid w:val="0025423B"/>
    <w:pPr>
      <w:widowControl w:val="0"/>
      <w:spacing w:before="140" w:after="140" w:line="185" w:lineRule="auto"/>
      <w:ind w:left="260" w:right="260"/>
    </w:pPr>
    <w:rPr>
      <w:rFonts w:ascii="Arial New Roman" w:hAnsi="Arial New Roman" w:cs="Arial"/>
      <w:b/>
      <w:i/>
      <w:dstrike/>
      <w:color w:val="606060"/>
      <w:sz w:val="10"/>
      <w:u w:val="words" w:color="606060"/>
    </w:rPr>
  </w:style>
  <w:style w:type="character" w:customStyle="1" w:styleId="EntInstitChar">
    <w:name w:val="EntInstit Char"/>
    <w:basedOn w:val="DefaultParagraphFont"/>
    <w:link w:val="TBEntInstit"/>
    <w:rsid w:val="0025423B"/>
    <w:rPr>
      <w:rFonts w:ascii="Arial" w:hAnsi="Arial" w:cs="Arial"/>
      <w:b/>
      <w:sz w:val="23"/>
      <w:u w:color="606060"/>
    </w:rPr>
  </w:style>
  <w:style w:type="character" w:customStyle="1" w:styleId="TechnicalBlockBaseChar">
    <w:name w:val="TechnicalBlockBase Char"/>
    <w:basedOn w:val="EntInstitChar"/>
    <w:link w:val="TechnicalBlockBase"/>
    <w:rsid w:val="0025423B"/>
    <w:rPr>
      <w:rFonts w:ascii="Arial New Roman" w:hAnsi="Arial New Roman" w:cs="Arial"/>
      <w:b/>
      <w:i/>
      <w:dstrike/>
      <w:color w:val="606060"/>
      <w:sz w:val="10"/>
      <w:u w:val="words" w:color="606060"/>
    </w:rPr>
  </w:style>
  <w:style w:type="paragraph" w:customStyle="1" w:styleId="EntACP">
    <w:name w:val="EntACP"/>
    <w:basedOn w:val="Normal"/>
    <w:rsid w:val="0025423B"/>
    <w:pPr>
      <w:spacing w:after="200"/>
      <w:jc w:val="center"/>
    </w:pPr>
    <w:rPr>
      <w:rFonts w:ascii="Calibri" w:hAnsi="Calibri" w:cs="Arial"/>
      <w:b/>
      <w:bCs/>
      <w:sz w:val="28"/>
      <w:szCs w:val="28"/>
    </w:rPr>
  </w:style>
  <w:style w:type="paragraph" w:customStyle="1" w:styleId="EntASSOC">
    <w:name w:val="EntASSOC"/>
    <w:basedOn w:val="Normal"/>
    <w:rsid w:val="0025423B"/>
    <w:pPr>
      <w:spacing w:after="200" w:line="276" w:lineRule="auto"/>
      <w:jc w:val="center"/>
    </w:pPr>
    <w:rPr>
      <w:rFonts w:ascii="Calibri" w:hAnsi="Calibri" w:cs="Arial"/>
      <w:b/>
      <w:bCs/>
    </w:rPr>
  </w:style>
  <w:style w:type="paragraph" w:customStyle="1" w:styleId="EntEU">
    <w:name w:val="EntEU"/>
    <w:basedOn w:val="Normal"/>
    <w:rsid w:val="0025423B"/>
    <w:pPr>
      <w:spacing w:before="240" w:after="240" w:line="276" w:lineRule="auto"/>
      <w:jc w:val="center"/>
    </w:pPr>
    <w:rPr>
      <w:rFonts w:ascii="Calibri" w:hAnsi="Calibri" w:cs="Arial"/>
      <w:b/>
      <w:bCs/>
      <w:sz w:val="36"/>
      <w:szCs w:val="36"/>
    </w:rPr>
  </w:style>
  <w:style w:type="paragraph" w:customStyle="1" w:styleId="EntInstitACP">
    <w:name w:val="EntInstitACP"/>
    <w:basedOn w:val="Normal"/>
    <w:rsid w:val="0025423B"/>
    <w:pPr>
      <w:spacing w:after="200" w:line="276" w:lineRule="auto"/>
      <w:jc w:val="center"/>
    </w:pPr>
    <w:rPr>
      <w:rFonts w:ascii="Calibri" w:hAnsi="Calibri" w:cs="Arial"/>
      <w:b/>
      <w:bCs/>
    </w:rPr>
  </w:style>
  <w:style w:type="paragraph" w:customStyle="1" w:styleId="EntReferNew">
    <w:name w:val="EntReferNew"/>
    <w:basedOn w:val="EntRefer"/>
    <w:rsid w:val="0025423B"/>
    <w:pPr>
      <w:spacing w:after="200" w:line="276" w:lineRule="auto"/>
      <w:jc w:val="center"/>
    </w:pPr>
    <w:rPr>
      <w:rFonts w:ascii="Calibri" w:hAnsi="Calibri" w:cs="Arial"/>
      <w:bCs/>
    </w:rPr>
  </w:style>
  <w:style w:type="paragraph" w:customStyle="1" w:styleId="TBSubjectTable">
    <w:name w:val="TBSubjectTable"/>
    <w:basedOn w:val="TechnicalBlockBase"/>
    <w:rsid w:val="0025423B"/>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5423B"/>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5423B"/>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5423B"/>
    <w:pPr>
      <w:widowControl/>
      <w:spacing w:before="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rsid w:val="0025423B"/>
    <w:pPr>
      <w:widowControl/>
      <w:spacing w:before="40" w:after="40" w:line="240" w:lineRule="auto"/>
      <w:ind w:left="0" w:right="0"/>
    </w:pPr>
    <w:rPr>
      <w:rFonts w:ascii="Arial" w:hAnsi="Arial"/>
      <w:b w:val="0"/>
      <w:i w:val="0"/>
      <w:dstrike w:val="0"/>
      <w:color w:val="auto"/>
      <w:sz w:val="23"/>
      <w:u w:val="none"/>
    </w:rPr>
  </w:style>
  <w:style w:type="paragraph" w:customStyle="1" w:styleId="CommentText1">
    <w:name w:val="Comment Text1"/>
    <w:basedOn w:val="Normal"/>
    <w:next w:val="CommentText"/>
    <w:uiPriority w:val="99"/>
    <w:unhideWhenUsed/>
    <w:rsid w:val="0025423B"/>
    <w:pPr>
      <w:spacing w:line="240" w:lineRule="auto"/>
      <w:jc w:val="both"/>
    </w:pPr>
    <w:rPr>
      <w:sz w:val="20"/>
      <w:szCs w:val="20"/>
    </w:rPr>
  </w:style>
  <w:style w:type="paragraph" w:customStyle="1" w:styleId="b11">
    <w:name w:val="b11"/>
    <w:basedOn w:val="Normal"/>
    <w:next w:val="ListParagraph"/>
    <w:uiPriority w:val="34"/>
    <w:rsid w:val="0025423B"/>
    <w:pPr>
      <w:spacing w:after="200" w:line="276" w:lineRule="auto"/>
      <w:ind w:left="720"/>
      <w:contextualSpacing/>
    </w:pPr>
    <w:rPr>
      <w:rFonts w:eastAsia="Times New Roman" w:cs="Arial"/>
    </w:rPr>
  </w:style>
  <w:style w:type="paragraph" w:customStyle="1" w:styleId="BalloonText1">
    <w:name w:val="Balloon Text1"/>
    <w:basedOn w:val="Normal"/>
    <w:next w:val="BalloonText"/>
    <w:uiPriority w:val="99"/>
    <w:semiHidden/>
    <w:unhideWhenUsed/>
    <w:rsid w:val="0025423B"/>
    <w:pPr>
      <w:spacing w:after="0" w:line="240" w:lineRule="auto"/>
    </w:pPr>
    <w:rPr>
      <w:rFonts w:ascii="Segoe UI" w:hAnsi="Segoe UI" w:cs="Segoe UI"/>
      <w:sz w:val="18"/>
      <w:szCs w:val="18"/>
    </w:rPr>
  </w:style>
  <w:style w:type="paragraph" w:customStyle="1" w:styleId="CommentSubject1">
    <w:name w:val="Comment Subject1"/>
    <w:basedOn w:val="CommentText"/>
    <w:next w:val="CommentText"/>
    <w:uiPriority w:val="99"/>
    <w:semiHidden/>
    <w:unhideWhenUsed/>
    <w:rsid w:val="0025423B"/>
    <w:pPr>
      <w:spacing w:after="200"/>
      <w:jc w:val="left"/>
    </w:pPr>
    <w:rPr>
      <w:rFonts w:ascii="Calibri" w:hAnsi="Calibri" w:cs="Arial"/>
      <w:b/>
      <w:bCs/>
    </w:rPr>
  </w:style>
  <w:style w:type="paragraph" w:customStyle="1" w:styleId="Revision1">
    <w:name w:val="Revision1"/>
    <w:next w:val="Revision"/>
    <w:hidden/>
    <w:uiPriority w:val="99"/>
    <w:semiHidden/>
    <w:rsid w:val="0025423B"/>
    <w:pPr>
      <w:spacing w:after="0" w:line="240" w:lineRule="auto"/>
    </w:pPr>
  </w:style>
  <w:style w:type="character" w:customStyle="1" w:styleId="IntenseEmphasis1">
    <w:name w:val="Intense Emphasis1"/>
    <w:basedOn w:val="DefaultParagraphFont"/>
    <w:uiPriority w:val="21"/>
    <w:rsid w:val="0025423B"/>
    <w:rPr>
      <w:i/>
      <w:iCs/>
      <w:color w:val="4472C4"/>
    </w:rPr>
  </w:style>
  <w:style w:type="character" w:customStyle="1" w:styleId="Hyperlink1">
    <w:name w:val="Hyperlink1"/>
    <w:basedOn w:val="DefaultParagraphFont"/>
    <w:uiPriority w:val="99"/>
    <w:unhideWhenUsed/>
    <w:rsid w:val="0025423B"/>
    <w:rPr>
      <w:color w:val="0563C1"/>
      <w:u w:val="single"/>
    </w:rPr>
  </w:style>
  <w:style w:type="paragraph" w:customStyle="1" w:styleId="NormalWeb1">
    <w:name w:val="Normal (Web)1"/>
    <w:basedOn w:val="Normal"/>
    <w:next w:val="NormalWeb"/>
    <w:uiPriority w:val="99"/>
    <w:unhideWhenUsed/>
    <w:rsid w:val="0025423B"/>
    <w:pPr>
      <w:spacing w:after="0" w:line="240" w:lineRule="auto"/>
    </w:pPr>
    <w:rPr>
      <w:szCs w:val="24"/>
    </w:rPr>
  </w:style>
  <w:style w:type="paragraph" w:customStyle="1" w:styleId="TOCHeading1">
    <w:name w:val="TOC Heading1"/>
    <w:basedOn w:val="Heading1"/>
    <w:next w:val="Normal"/>
    <w:uiPriority w:val="39"/>
    <w:unhideWhenUsed/>
    <w:rsid w:val="0025423B"/>
    <w:pPr>
      <w:spacing w:line="259" w:lineRule="auto"/>
      <w:outlineLvl w:val="9"/>
    </w:pPr>
    <w:rPr>
      <w:szCs w:val="32"/>
    </w:rPr>
  </w:style>
  <w:style w:type="paragraph" w:customStyle="1" w:styleId="TOC11">
    <w:name w:val="TOC 11"/>
    <w:basedOn w:val="Normal"/>
    <w:next w:val="Normal"/>
    <w:autoRedefine/>
    <w:uiPriority w:val="39"/>
    <w:unhideWhenUsed/>
    <w:rsid w:val="0025423B"/>
    <w:pPr>
      <w:spacing w:after="100" w:line="240" w:lineRule="auto"/>
    </w:pPr>
    <w:rPr>
      <w:rFonts w:cs="Arial"/>
    </w:rPr>
  </w:style>
  <w:style w:type="paragraph" w:customStyle="1" w:styleId="TOC21">
    <w:name w:val="TOC 2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31">
    <w:name w:val="TOC 3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41">
    <w:name w:val="TOC 4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51">
    <w:name w:val="TOC 51"/>
    <w:basedOn w:val="Normal"/>
    <w:next w:val="Normal"/>
    <w:uiPriority w:val="39"/>
    <w:semiHidden/>
    <w:unhideWhenUsed/>
    <w:rsid w:val="0025423B"/>
    <w:pPr>
      <w:tabs>
        <w:tab w:val="right" w:leader="dot" w:pos="9071"/>
      </w:tabs>
      <w:spacing w:before="300" w:line="240" w:lineRule="auto"/>
    </w:pPr>
  </w:style>
  <w:style w:type="paragraph" w:customStyle="1" w:styleId="TOC61">
    <w:name w:val="TOC 61"/>
    <w:basedOn w:val="Normal"/>
    <w:next w:val="Normal"/>
    <w:uiPriority w:val="39"/>
    <w:semiHidden/>
    <w:unhideWhenUsed/>
    <w:rsid w:val="0025423B"/>
    <w:pPr>
      <w:tabs>
        <w:tab w:val="right" w:leader="dot" w:pos="9071"/>
      </w:tabs>
      <w:spacing w:before="240" w:line="240" w:lineRule="auto"/>
    </w:pPr>
  </w:style>
  <w:style w:type="paragraph" w:customStyle="1" w:styleId="TOC71">
    <w:name w:val="TOC 71"/>
    <w:basedOn w:val="Normal"/>
    <w:next w:val="Normal"/>
    <w:uiPriority w:val="39"/>
    <w:semiHidden/>
    <w:unhideWhenUsed/>
    <w:rsid w:val="0025423B"/>
    <w:pPr>
      <w:tabs>
        <w:tab w:val="right" w:leader="dot" w:pos="9071"/>
      </w:tabs>
      <w:spacing w:before="180" w:line="240" w:lineRule="auto"/>
    </w:pPr>
  </w:style>
  <w:style w:type="paragraph" w:customStyle="1" w:styleId="TOC81">
    <w:name w:val="TOC 81"/>
    <w:basedOn w:val="Normal"/>
    <w:next w:val="Normal"/>
    <w:uiPriority w:val="39"/>
    <w:semiHidden/>
    <w:unhideWhenUsed/>
    <w:rsid w:val="0025423B"/>
    <w:pPr>
      <w:tabs>
        <w:tab w:val="right" w:leader="dot" w:pos="9071"/>
      </w:tabs>
      <w:spacing w:line="240" w:lineRule="auto"/>
    </w:pPr>
  </w:style>
  <w:style w:type="paragraph" w:customStyle="1" w:styleId="TOC91">
    <w:name w:val="TOC 91"/>
    <w:basedOn w:val="Normal"/>
    <w:next w:val="Normal"/>
    <w:uiPriority w:val="39"/>
    <w:semiHidden/>
    <w:unhideWhenUsed/>
    <w:rsid w:val="0025423B"/>
    <w:pPr>
      <w:tabs>
        <w:tab w:val="right" w:leader="dot" w:pos="9071"/>
      </w:tabs>
      <w:spacing w:line="240" w:lineRule="auto"/>
      <w:ind w:left="1417" w:hanging="1417"/>
    </w:pPr>
  </w:style>
  <w:style w:type="paragraph" w:customStyle="1" w:styleId="ListBullet21">
    <w:name w:val="List Bullet 21"/>
    <w:basedOn w:val="Normal"/>
    <w:next w:val="ListBullet2"/>
    <w:uiPriority w:val="99"/>
    <w:semiHidden/>
    <w:unhideWhenUsed/>
    <w:rsid w:val="0025423B"/>
    <w:pPr>
      <w:tabs>
        <w:tab w:val="num" w:pos="643"/>
      </w:tabs>
      <w:spacing w:line="240" w:lineRule="auto"/>
      <w:ind w:left="720" w:hanging="360"/>
      <w:contextualSpacing/>
      <w:jc w:val="both"/>
    </w:pPr>
  </w:style>
  <w:style w:type="paragraph" w:customStyle="1" w:styleId="ListBullet31">
    <w:name w:val="List Bullet 31"/>
    <w:basedOn w:val="Normal"/>
    <w:next w:val="ListBullet3"/>
    <w:uiPriority w:val="99"/>
    <w:semiHidden/>
    <w:unhideWhenUsed/>
    <w:rsid w:val="0025423B"/>
    <w:pPr>
      <w:tabs>
        <w:tab w:val="num" w:pos="850"/>
        <w:tab w:val="num" w:pos="926"/>
      </w:tabs>
      <w:spacing w:line="240" w:lineRule="auto"/>
      <w:ind w:left="850" w:hanging="850"/>
      <w:contextualSpacing/>
      <w:jc w:val="both"/>
    </w:pPr>
  </w:style>
  <w:style w:type="paragraph" w:customStyle="1" w:styleId="ListBullet41">
    <w:name w:val="List Bullet 41"/>
    <w:basedOn w:val="Normal"/>
    <w:next w:val="ListBullet4"/>
    <w:uiPriority w:val="99"/>
    <w:semiHidden/>
    <w:unhideWhenUsed/>
    <w:rsid w:val="0025423B"/>
    <w:pPr>
      <w:tabs>
        <w:tab w:val="num" w:pos="1209"/>
      </w:tabs>
      <w:spacing w:line="240" w:lineRule="auto"/>
      <w:ind w:left="1440" w:hanging="720"/>
      <w:contextualSpacing/>
      <w:jc w:val="both"/>
    </w:pPr>
  </w:style>
  <w:style w:type="table" w:customStyle="1" w:styleId="TableGrid11">
    <w:name w:val="Table Grid11"/>
    <w:basedOn w:val="TableNormal"/>
    <w:next w:val="TableGrid"/>
    <w:uiPriority w:val="59"/>
    <w:rsid w:val="0025423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1"/>
    <w:uiPriority w:val="99"/>
    <w:semiHidden/>
    <w:unhideWhenUsed/>
    <w:rsid w:val="0025423B"/>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25423B"/>
    <w:rPr>
      <w:sz w:val="20"/>
      <w:szCs w:val="20"/>
    </w:rPr>
  </w:style>
  <w:style w:type="paragraph" w:styleId="BlockText">
    <w:name w:val="Block Text"/>
    <w:basedOn w:val="Normal"/>
    <w:uiPriority w:val="99"/>
    <w:semiHidden/>
    <w:unhideWhenUsed/>
    <w:rsid w:val="0025423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
    <w:name w:val="Body Text"/>
    <w:basedOn w:val="Normal"/>
    <w:link w:val="BodyTextChar1"/>
    <w:uiPriority w:val="99"/>
    <w:semiHidden/>
    <w:unhideWhenUsed/>
    <w:rsid w:val="0025423B"/>
  </w:style>
  <w:style w:type="character" w:customStyle="1" w:styleId="BodyTextChar1">
    <w:name w:val="Body Text Char1"/>
    <w:basedOn w:val="DefaultParagraphFont"/>
    <w:link w:val="BodyText"/>
    <w:uiPriority w:val="99"/>
    <w:semiHidden/>
    <w:rsid w:val="0025423B"/>
    <w:rPr>
      <w:rFonts w:ascii="Times New Roman" w:hAnsi="Times New Roman" w:cs="Times New Roman"/>
      <w:sz w:val="24"/>
    </w:rPr>
  </w:style>
  <w:style w:type="paragraph" w:styleId="BodyText2">
    <w:name w:val="Body Text 2"/>
    <w:basedOn w:val="Normal"/>
    <w:link w:val="BodyText2Char1"/>
    <w:uiPriority w:val="99"/>
    <w:semiHidden/>
    <w:unhideWhenUsed/>
    <w:rsid w:val="0025423B"/>
    <w:pPr>
      <w:spacing w:line="480" w:lineRule="auto"/>
    </w:pPr>
  </w:style>
  <w:style w:type="character" w:customStyle="1" w:styleId="BodyText2Char1">
    <w:name w:val="Body Text 2 Char1"/>
    <w:basedOn w:val="DefaultParagraphFont"/>
    <w:link w:val="BodyText2"/>
    <w:uiPriority w:val="99"/>
    <w:semiHidden/>
    <w:rsid w:val="0025423B"/>
    <w:rPr>
      <w:rFonts w:ascii="Times New Roman" w:hAnsi="Times New Roman" w:cs="Times New Roman"/>
      <w:sz w:val="24"/>
    </w:rPr>
  </w:style>
  <w:style w:type="paragraph" w:styleId="BodyText3">
    <w:name w:val="Body Text 3"/>
    <w:basedOn w:val="Normal"/>
    <w:link w:val="BodyText3Char1"/>
    <w:uiPriority w:val="99"/>
    <w:semiHidden/>
    <w:unhideWhenUsed/>
    <w:rsid w:val="0025423B"/>
    <w:rPr>
      <w:sz w:val="16"/>
      <w:szCs w:val="16"/>
    </w:rPr>
  </w:style>
  <w:style w:type="character" w:customStyle="1" w:styleId="BodyText3Char1">
    <w:name w:val="Body Text 3 Char1"/>
    <w:basedOn w:val="DefaultParagraphFont"/>
    <w:link w:val="BodyText3"/>
    <w:uiPriority w:val="99"/>
    <w:semiHidden/>
    <w:rsid w:val="0025423B"/>
    <w:rPr>
      <w:rFonts w:ascii="Times New Roman" w:hAnsi="Times New Roman" w:cs="Times New Roman"/>
      <w:sz w:val="16"/>
      <w:szCs w:val="16"/>
    </w:rPr>
  </w:style>
  <w:style w:type="paragraph" w:styleId="BodyTextFirstIndent">
    <w:name w:val="Body Text First Indent"/>
    <w:basedOn w:val="BodyText"/>
    <w:link w:val="BodyTextFirstIndentChar1"/>
    <w:uiPriority w:val="99"/>
    <w:semiHidden/>
    <w:unhideWhenUsed/>
    <w:rsid w:val="0025423B"/>
    <w:pPr>
      <w:ind w:firstLine="360"/>
    </w:pPr>
  </w:style>
  <w:style w:type="character" w:customStyle="1" w:styleId="BodyTextFirstIndentChar1">
    <w:name w:val="Body Text First Indent Char1"/>
    <w:basedOn w:val="BodyTextChar1"/>
    <w:link w:val="BodyTextFirstIndent"/>
    <w:uiPriority w:val="99"/>
    <w:semiHidden/>
    <w:rsid w:val="0025423B"/>
    <w:rPr>
      <w:rFonts w:ascii="Times New Roman" w:hAnsi="Times New Roman" w:cs="Times New Roman"/>
      <w:sz w:val="24"/>
    </w:rPr>
  </w:style>
  <w:style w:type="paragraph" w:styleId="BodyTextIndent">
    <w:name w:val="Body Text Indent"/>
    <w:basedOn w:val="Normal"/>
    <w:link w:val="BodyTextIndentChar1"/>
    <w:uiPriority w:val="99"/>
    <w:semiHidden/>
    <w:unhideWhenUsed/>
    <w:rsid w:val="0025423B"/>
    <w:pPr>
      <w:ind w:left="283"/>
    </w:pPr>
  </w:style>
  <w:style w:type="character" w:customStyle="1" w:styleId="BodyTextIndentChar1">
    <w:name w:val="Body Text Indent Char1"/>
    <w:basedOn w:val="DefaultParagraphFont"/>
    <w:link w:val="BodyTextIndent"/>
    <w:uiPriority w:val="99"/>
    <w:semiHidden/>
    <w:rsid w:val="0025423B"/>
    <w:rPr>
      <w:rFonts w:ascii="Times New Roman" w:hAnsi="Times New Roman" w:cs="Times New Roman"/>
      <w:sz w:val="24"/>
    </w:rPr>
  </w:style>
  <w:style w:type="paragraph" w:styleId="BodyTextFirstIndent2">
    <w:name w:val="Body Text First Indent 2"/>
    <w:basedOn w:val="BodyTextIndent"/>
    <w:link w:val="BodyTextFirstIndent2Char1"/>
    <w:uiPriority w:val="99"/>
    <w:semiHidden/>
    <w:unhideWhenUsed/>
    <w:rsid w:val="0025423B"/>
    <w:pPr>
      <w:ind w:left="360" w:firstLine="360"/>
    </w:pPr>
  </w:style>
  <w:style w:type="character" w:customStyle="1" w:styleId="BodyTextFirstIndent2Char1">
    <w:name w:val="Body Text First Indent 2 Char1"/>
    <w:basedOn w:val="BodyTextIndentChar1"/>
    <w:link w:val="BodyTextFirstIndent2"/>
    <w:uiPriority w:val="99"/>
    <w:semiHidden/>
    <w:rsid w:val="0025423B"/>
    <w:rPr>
      <w:rFonts w:ascii="Times New Roman" w:hAnsi="Times New Roman" w:cs="Times New Roman"/>
      <w:sz w:val="24"/>
    </w:rPr>
  </w:style>
  <w:style w:type="paragraph" w:styleId="BodyTextIndent2">
    <w:name w:val="Body Text Indent 2"/>
    <w:basedOn w:val="Normal"/>
    <w:link w:val="BodyTextIndent2Char1"/>
    <w:uiPriority w:val="99"/>
    <w:semiHidden/>
    <w:unhideWhenUsed/>
    <w:rsid w:val="0025423B"/>
    <w:pPr>
      <w:spacing w:line="480" w:lineRule="auto"/>
      <w:ind w:left="283"/>
    </w:pPr>
  </w:style>
  <w:style w:type="character" w:customStyle="1" w:styleId="BodyTextIndent2Char1">
    <w:name w:val="Body Text Indent 2 Char1"/>
    <w:basedOn w:val="DefaultParagraphFont"/>
    <w:link w:val="BodyTextIndent2"/>
    <w:uiPriority w:val="99"/>
    <w:semiHidden/>
    <w:rsid w:val="0025423B"/>
    <w:rPr>
      <w:rFonts w:ascii="Times New Roman" w:hAnsi="Times New Roman" w:cs="Times New Roman"/>
      <w:sz w:val="24"/>
    </w:rPr>
  </w:style>
  <w:style w:type="paragraph" w:styleId="BodyTextIndent3">
    <w:name w:val="Body Text Indent 3"/>
    <w:basedOn w:val="Normal"/>
    <w:link w:val="BodyTextIndent3Char1"/>
    <w:uiPriority w:val="99"/>
    <w:semiHidden/>
    <w:unhideWhenUsed/>
    <w:rsid w:val="0025423B"/>
    <w:pPr>
      <w:ind w:left="283"/>
    </w:pPr>
    <w:rPr>
      <w:sz w:val="16"/>
      <w:szCs w:val="16"/>
    </w:rPr>
  </w:style>
  <w:style w:type="character" w:customStyle="1" w:styleId="BodyTextIndent3Char1">
    <w:name w:val="Body Text Indent 3 Char1"/>
    <w:basedOn w:val="DefaultParagraphFont"/>
    <w:link w:val="BodyTextIndent3"/>
    <w:uiPriority w:val="99"/>
    <w:semiHidden/>
    <w:rsid w:val="0025423B"/>
    <w:rPr>
      <w:rFonts w:ascii="Times New Roman" w:hAnsi="Times New Roman" w:cs="Times New Roman"/>
      <w:sz w:val="16"/>
      <w:szCs w:val="16"/>
    </w:rPr>
  </w:style>
  <w:style w:type="paragraph" w:styleId="Closing">
    <w:name w:val="Closing"/>
    <w:basedOn w:val="Normal"/>
    <w:link w:val="ClosingChar1"/>
    <w:uiPriority w:val="99"/>
    <w:semiHidden/>
    <w:unhideWhenUsed/>
    <w:rsid w:val="0025423B"/>
    <w:pPr>
      <w:spacing w:after="0" w:line="240" w:lineRule="auto"/>
      <w:ind w:left="4252"/>
    </w:pPr>
  </w:style>
  <w:style w:type="character" w:customStyle="1" w:styleId="ClosingChar1">
    <w:name w:val="Closing Char1"/>
    <w:basedOn w:val="DefaultParagraphFont"/>
    <w:link w:val="Closing"/>
    <w:uiPriority w:val="99"/>
    <w:semiHidden/>
    <w:rsid w:val="0025423B"/>
  </w:style>
  <w:style w:type="table" w:styleId="ColorfulGrid">
    <w:name w:val="Colorful Grid"/>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5423B"/>
  </w:style>
  <w:style w:type="character" w:customStyle="1" w:styleId="DateChar1">
    <w:name w:val="Date Char1"/>
    <w:basedOn w:val="DefaultParagraphFont"/>
    <w:uiPriority w:val="99"/>
    <w:semiHidden/>
    <w:rsid w:val="0025423B"/>
    <w:rPr>
      <w:rFonts w:ascii="Times New Roman" w:hAnsi="Times New Roman" w:cs="Times New Roman"/>
      <w:sz w:val="24"/>
    </w:rPr>
  </w:style>
  <w:style w:type="paragraph" w:styleId="DocumentMap">
    <w:name w:val="Document Map"/>
    <w:basedOn w:val="Normal"/>
    <w:link w:val="DocumentMapChar1"/>
    <w:uiPriority w:val="99"/>
    <w:semiHidden/>
    <w:unhideWhenUsed/>
    <w:rsid w:val="0025423B"/>
    <w:pPr>
      <w:spacing w:after="0" w:line="240" w:lineRule="auto"/>
    </w:pPr>
    <w:rPr>
      <w:rFonts w:ascii="Segoe UI" w:hAnsi="Segoe UI" w:cs="Segoe UI"/>
      <w:sz w:val="16"/>
      <w:szCs w:val="16"/>
    </w:rPr>
  </w:style>
  <w:style w:type="character" w:customStyle="1" w:styleId="DocumentMapChar1">
    <w:name w:val="Document Map Char1"/>
    <w:basedOn w:val="DefaultParagraphFont"/>
    <w:link w:val="DocumentMap"/>
    <w:uiPriority w:val="99"/>
    <w:semiHidden/>
    <w:rsid w:val="0025423B"/>
    <w:rPr>
      <w:rFonts w:ascii="Segoe UI" w:hAnsi="Segoe UI" w:cs="Segoe UI"/>
      <w:sz w:val="16"/>
      <w:szCs w:val="16"/>
    </w:rPr>
  </w:style>
  <w:style w:type="paragraph" w:styleId="E-mailSignature">
    <w:name w:val="E-mail Signature"/>
    <w:basedOn w:val="Normal"/>
    <w:link w:val="E-mailSignatureChar1"/>
    <w:uiPriority w:val="99"/>
    <w:semiHidden/>
    <w:unhideWhenUsed/>
    <w:rsid w:val="0025423B"/>
    <w:pPr>
      <w:spacing w:after="0" w:line="240" w:lineRule="auto"/>
    </w:pPr>
  </w:style>
  <w:style w:type="character" w:customStyle="1" w:styleId="E-mailSignatureChar1">
    <w:name w:val="E-mail Signature Char1"/>
    <w:basedOn w:val="DefaultParagraphFont"/>
    <w:link w:val="E-mailSignature"/>
    <w:uiPriority w:val="99"/>
    <w:semiHidden/>
    <w:rsid w:val="0025423B"/>
  </w:style>
  <w:style w:type="paragraph" w:styleId="EnvelopeAddress">
    <w:name w:val="envelope address"/>
    <w:basedOn w:val="Normal"/>
    <w:uiPriority w:val="99"/>
    <w:semiHidden/>
    <w:unhideWhenUsed/>
    <w:rsid w:val="0025423B"/>
    <w:pPr>
      <w:framePr w:w="7938" w:h="1985"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5423B"/>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1"/>
    <w:uiPriority w:val="99"/>
    <w:semiHidden/>
    <w:unhideWhenUsed/>
    <w:rsid w:val="0025423B"/>
    <w:pPr>
      <w:spacing w:after="0" w:line="240" w:lineRule="auto"/>
    </w:pPr>
    <w:rPr>
      <w:i/>
      <w:iCs/>
    </w:rPr>
  </w:style>
  <w:style w:type="character" w:customStyle="1" w:styleId="HTMLAddressChar1">
    <w:name w:val="HTML Address Char1"/>
    <w:basedOn w:val="DefaultParagraphFont"/>
    <w:link w:val="HTMLAddress"/>
    <w:uiPriority w:val="99"/>
    <w:semiHidden/>
    <w:rsid w:val="0025423B"/>
    <w:rPr>
      <w:i/>
      <w:iCs/>
    </w:rPr>
  </w:style>
  <w:style w:type="paragraph" w:styleId="HTMLPreformatted">
    <w:name w:val="HTML Preformatted"/>
    <w:basedOn w:val="Normal"/>
    <w:link w:val="HTMLPreformattedChar1"/>
    <w:uiPriority w:val="99"/>
    <w:semiHidden/>
    <w:unhideWhenUsed/>
    <w:rsid w:val="0025423B"/>
    <w:pPr>
      <w:spacing w:after="0" w:line="240" w:lineRule="auto"/>
    </w:pPr>
    <w:rPr>
      <w:rFonts w:ascii="Consolas" w:hAnsi="Consolas"/>
      <w:sz w:val="20"/>
      <w:szCs w:val="20"/>
    </w:rPr>
  </w:style>
  <w:style w:type="character" w:customStyle="1" w:styleId="HTMLPreformattedChar1">
    <w:name w:val="HTML Preformatted Char1"/>
    <w:basedOn w:val="DefaultParagraphFont"/>
    <w:link w:val="HTMLPreformatted"/>
    <w:uiPriority w:val="99"/>
    <w:semiHidden/>
    <w:rsid w:val="0025423B"/>
    <w:rPr>
      <w:rFonts w:ascii="Consolas" w:hAnsi="Consolas"/>
      <w:sz w:val="20"/>
      <w:szCs w:val="20"/>
    </w:rPr>
  </w:style>
  <w:style w:type="paragraph" w:styleId="Index1">
    <w:name w:val="index 1"/>
    <w:basedOn w:val="Normal"/>
    <w:next w:val="Normal"/>
    <w:autoRedefine/>
    <w:uiPriority w:val="99"/>
    <w:semiHidden/>
    <w:unhideWhenUsed/>
    <w:rsid w:val="0025423B"/>
    <w:pPr>
      <w:spacing w:after="0" w:line="240" w:lineRule="auto"/>
      <w:ind w:left="240" w:hanging="240"/>
    </w:pPr>
  </w:style>
  <w:style w:type="paragraph" w:styleId="IntenseQuote">
    <w:name w:val="Intense Quote"/>
    <w:basedOn w:val="Normal"/>
    <w:next w:val="Normal"/>
    <w:link w:val="IntenseQuoteChar"/>
    <w:uiPriority w:val="30"/>
    <w:qFormat/>
    <w:rsid w:val="00DC139C"/>
    <w:pPr>
      <w:spacing w:before="100" w:beforeAutospacing="1" w:after="240" w:line="240" w:lineRule="auto"/>
      <w:ind w:left="720"/>
      <w:jc w:val="center"/>
    </w:pPr>
    <w:rPr>
      <w:rFonts w:asciiTheme="majorHAnsi" w:eastAsiaTheme="majorEastAsia" w:hAnsiTheme="majorHAnsi" w:cstheme="majorBidi"/>
      <w:color w:val="44546A" w:themeColor="text2"/>
      <w:sz w:val="32"/>
      <w:szCs w:val="32"/>
    </w:rPr>
  </w:style>
  <w:style w:type="character" w:customStyle="1" w:styleId="IntenseQuoteChar1">
    <w:name w:val="Intense Quote Char1"/>
    <w:basedOn w:val="DefaultParagraphFont"/>
    <w:uiPriority w:val="30"/>
    <w:rsid w:val="0025423B"/>
    <w:rPr>
      <w:rFonts w:ascii="Times New Roman" w:hAnsi="Times New Roman" w:cs="Times New Roman"/>
      <w:i/>
      <w:iCs/>
      <w:color w:val="4472C4" w:themeColor="accent1"/>
      <w:sz w:val="24"/>
    </w:rPr>
  </w:style>
  <w:style w:type="table" w:styleId="LightGrid">
    <w:name w:val="Light Grid"/>
    <w:basedOn w:val="TableNormal"/>
    <w:uiPriority w:val="62"/>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5423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5423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5423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5423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5423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5423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5423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25423B"/>
    <w:pPr>
      <w:ind w:left="283" w:hanging="283"/>
      <w:contextualSpacing/>
    </w:pPr>
  </w:style>
  <w:style w:type="paragraph" w:styleId="List2">
    <w:name w:val="List 2"/>
    <w:basedOn w:val="Normal"/>
    <w:uiPriority w:val="99"/>
    <w:semiHidden/>
    <w:unhideWhenUsed/>
    <w:rsid w:val="0025423B"/>
    <w:pPr>
      <w:ind w:left="566" w:hanging="283"/>
      <w:contextualSpacing/>
    </w:pPr>
  </w:style>
  <w:style w:type="paragraph" w:styleId="List3">
    <w:name w:val="List 3"/>
    <w:basedOn w:val="Normal"/>
    <w:uiPriority w:val="99"/>
    <w:semiHidden/>
    <w:unhideWhenUsed/>
    <w:rsid w:val="0025423B"/>
    <w:pPr>
      <w:ind w:left="849" w:hanging="283"/>
      <w:contextualSpacing/>
    </w:pPr>
  </w:style>
  <w:style w:type="paragraph" w:styleId="List4">
    <w:name w:val="List 4"/>
    <w:basedOn w:val="Normal"/>
    <w:uiPriority w:val="99"/>
    <w:semiHidden/>
    <w:unhideWhenUsed/>
    <w:rsid w:val="0025423B"/>
    <w:pPr>
      <w:ind w:left="1132" w:hanging="283"/>
      <w:contextualSpacing/>
    </w:pPr>
  </w:style>
  <w:style w:type="paragraph" w:styleId="List5">
    <w:name w:val="List 5"/>
    <w:basedOn w:val="Normal"/>
    <w:uiPriority w:val="99"/>
    <w:semiHidden/>
    <w:unhideWhenUsed/>
    <w:rsid w:val="0025423B"/>
    <w:pPr>
      <w:ind w:left="1415" w:hanging="283"/>
      <w:contextualSpacing/>
    </w:pPr>
  </w:style>
  <w:style w:type="paragraph" w:styleId="ListBullet5">
    <w:name w:val="List Bullet 5"/>
    <w:basedOn w:val="Normal"/>
    <w:uiPriority w:val="99"/>
    <w:semiHidden/>
    <w:unhideWhenUsed/>
    <w:rsid w:val="0025423B"/>
    <w:pPr>
      <w:tabs>
        <w:tab w:val="num" w:pos="567"/>
      </w:tabs>
      <w:ind w:left="567" w:hanging="567"/>
      <w:contextualSpacing/>
    </w:pPr>
  </w:style>
  <w:style w:type="paragraph" w:styleId="ListContinue">
    <w:name w:val="List Continue"/>
    <w:basedOn w:val="Normal"/>
    <w:uiPriority w:val="99"/>
    <w:semiHidden/>
    <w:unhideWhenUsed/>
    <w:rsid w:val="0025423B"/>
    <w:pPr>
      <w:ind w:left="283"/>
      <w:contextualSpacing/>
    </w:pPr>
  </w:style>
  <w:style w:type="paragraph" w:styleId="ListContinue2">
    <w:name w:val="List Continue 2"/>
    <w:basedOn w:val="Normal"/>
    <w:uiPriority w:val="99"/>
    <w:semiHidden/>
    <w:unhideWhenUsed/>
    <w:rsid w:val="0025423B"/>
    <w:pPr>
      <w:ind w:left="566"/>
      <w:contextualSpacing/>
    </w:pPr>
  </w:style>
  <w:style w:type="paragraph" w:styleId="ListContinue3">
    <w:name w:val="List Continue 3"/>
    <w:basedOn w:val="Normal"/>
    <w:uiPriority w:val="99"/>
    <w:semiHidden/>
    <w:unhideWhenUsed/>
    <w:rsid w:val="0025423B"/>
    <w:pPr>
      <w:ind w:left="849"/>
      <w:contextualSpacing/>
    </w:pPr>
  </w:style>
  <w:style w:type="paragraph" w:styleId="ListContinue4">
    <w:name w:val="List Continue 4"/>
    <w:basedOn w:val="Normal"/>
    <w:uiPriority w:val="99"/>
    <w:semiHidden/>
    <w:unhideWhenUsed/>
    <w:rsid w:val="0025423B"/>
    <w:pPr>
      <w:ind w:left="1132"/>
      <w:contextualSpacing/>
    </w:pPr>
  </w:style>
  <w:style w:type="paragraph" w:styleId="ListContinue5">
    <w:name w:val="List Continue 5"/>
    <w:basedOn w:val="Normal"/>
    <w:uiPriority w:val="99"/>
    <w:semiHidden/>
    <w:unhideWhenUsed/>
    <w:rsid w:val="0025423B"/>
    <w:pPr>
      <w:ind w:left="1415"/>
      <w:contextualSpacing/>
    </w:pPr>
  </w:style>
  <w:style w:type="paragraph" w:styleId="ListNumber">
    <w:name w:val="List Number"/>
    <w:basedOn w:val="Normal"/>
    <w:uiPriority w:val="99"/>
    <w:semiHidden/>
    <w:unhideWhenUsed/>
    <w:rsid w:val="0025423B"/>
    <w:pPr>
      <w:tabs>
        <w:tab w:val="num" w:pos="567"/>
      </w:tabs>
      <w:ind w:left="567" w:hanging="567"/>
      <w:contextualSpacing/>
    </w:pPr>
  </w:style>
  <w:style w:type="paragraph" w:styleId="ListNumber2">
    <w:name w:val="List Number 2"/>
    <w:basedOn w:val="Normal"/>
    <w:uiPriority w:val="99"/>
    <w:semiHidden/>
    <w:unhideWhenUsed/>
    <w:rsid w:val="0025423B"/>
    <w:pPr>
      <w:tabs>
        <w:tab w:val="num" w:pos="567"/>
      </w:tabs>
      <w:ind w:left="567" w:hanging="567"/>
      <w:contextualSpacing/>
    </w:pPr>
  </w:style>
  <w:style w:type="paragraph" w:styleId="ListNumber3">
    <w:name w:val="List Number 3"/>
    <w:basedOn w:val="Normal"/>
    <w:uiPriority w:val="99"/>
    <w:semiHidden/>
    <w:unhideWhenUsed/>
    <w:rsid w:val="0025423B"/>
    <w:pPr>
      <w:tabs>
        <w:tab w:val="num" w:pos="567"/>
      </w:tabs>
      <w:ind w:left="567" w:hanging="567"/>
      <w:contextualSpacing/>
    </w:pPr>
  </w:style>
  <w:style w:type="paragraph" w:styleId="ListNumber4">
    <w:name w:val="List Number 4"/>
    <w:basedOn w:val="Normal"/>
    <w:uiPriority w:val="99"/>
    <w:semiHidden/>
    <w:unhideWhenUsed/>
    <w:rsid w:val="0025423B"/>
    <w:pPr>
      <w:tabs>
        <w:tab w:val="num" w:pos="720"/>
      </w:tabs>
      <w:ind w:left="567" w:hanging="567"/>
      <w:contextualSpacing/>
    </w:pPr>
  </w:style>
  <w:style w:type="paragraph" w:styleId="ListNumber5">
    <w:name w:val="List Number 5"/>
    <w:basedOn w:val="Normal"/>
    <w:uiPriority w:val="99"/>
    <w:semiHidden/>
    <w:unhideWhenUsed/>
    <w:rsid w:val="0025423B"/>
    <w:pPr>
      <w:tabs>
        <w:tab w:val="num" w:pos="567"/>
      </w:tabs>
      <w:ind w:left="567" w:hanging="567"/>
      <w:contextualSpacing/>
    </w:pPr>
  </w:style>
  <w:style w:type="paragraph" w:styleId="MacroText">
    <w:name w:val="macro"/>
    <w:link w:val="MacroTextChar1"/>
    <w:uiPriority w:val="99"/>
    <w:semiHidden/>
    <w:unhideWhenUsed/>
    <w:rsid w:val="0025423B"/>
    <w:pPr>
      <w:tabs>
        <w:tab w:val="left" w:pos="480"/>
        <w:tab w:val="left" w:pos="960"/>
        <w:tab w:val="left" w:pos="1440"/>
        <w:tab w:val="left" w:pos="1920"/>
        <w:tab w:val="left" w:pos="2400"/>
        <w:tab w:val="left" w:pos="2880"/>
        <w:tab w:val="left" w:pos="3360"/>
        <w:tab w:val="left" w:pos="3840"/>
        <w:tab w:val="left" w:pos="4320"/>
      </w:tabs>
      <w:spacing w:before="120" w:after="0" w:line="360" w:lineRule="auto"/>
    </w:pPr>
    <w:rPr>
      <w:rFonts w:ascii="Consolas" w:hAnsi="Consolas" w:cs="Times New Roman"/>
      <w:sz w:val="20"/>
      <w:szCs w:val="20"/>
    </w:rPr>
  </w:style>
  <w:style w:type="character" w:customStyle="1" w:styleId="MacroTextChar1">
    <w:name w:val="Macro Text Char1"/>
    <w:basedOn w:val="DefaultParagraphFont"/>
    <w:link w:val="MacroText"/>
    <w:uiPriority w:val="99"/>
    <w:semiHidden/>
    <w:rsid w:val="0025423B"/>
    <w:rPr>
      <w:rFonts w:ascii="Consolas" w:hAnsi="Consolas" w:cs="Times New Roman"/>
      <w:sz w:val="20"/>
      <w:szCs w:val="20"/>
    </w:rPr>
  </w:style>
  <w:style w:type="table" w:styleId="MediumGrid1">
    <w:name w:val="Medium Grid 1"/>
    <w:basedOn w:val="TableNormal"/>
    <w:uiPriority w:val="67"/>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1">
    <w:name w:val="Message Header Char1"/>
    <w:basedOn w:val="DefaultParagraphFont"/>
    <w:link w:val="MessageHeader"/>
    <w:uiPriority w:val="99"/>
    <w:semiHidden/>
    <w:rsid w:val="0025423B"/>
    <w:rPr>
      <w:rFonts w:asciiTheme="majorHAnsi" w:eastAsiaTheme="majorEastAsia" w:hAnsiTheme="majorHAnsi" w:cstheme="majorBidi"/>
      <w:szCs w:val="24"/>
      <w:shd w:val="pct20" w:color="auto" w:fill="auto"/>
    </w:rPr>
  </w:style>
  <w:style w:type="paragraph" w:styleId="NoSpacing">
    <w:name w:val="No Spacing"/>
    <w:uiPriority w:val="1"/>
    <w:qFormat/>
    <w:rsid w:val="00DC139C"/>
    <w:pPr>
      <w:spacing w:after="0" w:line="240" w:lineRule="auto"/>
    </w:pPr>
  </w:style>
  <w:style w:type="paragraph" w:styleId="NormalIndent">
    <w:name w:val="Normal Indent"/>
    <w:basedOn w:val="Normal"/>
    <w:uiPriority w:val="99"/>
    <w:semiHidden/>
    <w:unhideWhenUsed/>
    <w:rsid w:val="0025423B"/>
    <w:pPr>
      <w:ind w:left="720"/>
    </w:pPr>
  </w:style>
  <w:style w:type="paragraph" w:styleId="NoteHeading">
    <w:name w:val="Note Heading"/>
    <w:basedOn w:val="Normal"/>
    <w:next w:val="Normal"/>
    <w:link w:val="NoteHeadingChar"/>
    <w:uiPriority w:val="99"/>
    <w:semiHidden/>
    <w:unhideWhenUsed/>
    <w:rsid w:val="0025423B"/>
    <w:pPr>
      <w:spacing w:after="0" w:line="240" w:lineRule="auto"/>
    </w:pPr>
  </w:style>
  <w:style w:type="character" w:customStyle="1" w:styleId="NoteHeadingChar1">
    <w:name w:val="Note Heading Char1"/>
    <w:basedOn w:val="DefaultParagraphFont"/>
    <w:uiPriority w:val="99"/>
    <w:semiHidden/>
    <w:rsid w:val="0025423B"/>
    <w:rPr>
      <w:rFonts w:ascii="Times New Roman" w:hAnsi="Times New Roman" w:cs="Times New Roman"/>
      <w:sz w:val="24"/>
    </w:rPr>
  </w:style>
  <w:style w:type="paragraph" w:styleId="PlainText">
    <w:name w:val="Plain Text"/>
    <w:basedOn w:val="Normal"/>
    <w:link w:val="PlainTextChar1"/>
    <w:uiPriority w:val="99"/>
    <w:semiHidden/>
    <w:unhideWhenUsed/>
    <w:rsid w:val="0025423B"/>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25423B"/>
    <w:rPr>
      <w:rFonts w:ascii="Consolas" w:hAnsi="Consolas"/>
      <w:sz w:val="21"/>
      <w:szCs w:val="21"/>
    </w:rPr>
  </w:style>
  <w:style w:type="paragraph" w:styleId="Quote">
    <w:name w:val="Quote"/>
    <w:basedOn w:val="Normal"/>
    <w:next w:val="Normal"/>
    <w:link w:val="QuoteChar"/>
    <w:uiPriority w:val="29"/>
    <w:qFormat/>
    <w:rsid w:val="00DC139C"/>
    <w:pPr>
      <w:spacing w:before="120" w:after="120"/>
      <w:ind w:left="720"/>
    </w:pPr>
    <w:rPr>
      <w:color w:val="44546A" w:themeColor="text2"/>
      <w:sz w:val="24"/>
      <w:szCs w:val="24"/>
    </w:rPr>
  </w:style>
  <w:style w:type="character" w:customStyle="1" w:styleId="QuoteChar1">
    <w:name w:val="Quote Char1"/>
    <w:basedOn w:val="DefaultParagraphFont"/>
    <w:uiPriority w:val="29"/>
    <w:rsid w:val="0025423B"/>
    <w:rPr>
      <w:rFonts w:ascii="Times New Roman" w:hAnsi="Times New Roman" w:cs="Times New Roman"/>
      <w:i/>
      <w:iCs/>
      <w:color w:val="404040" w:themeColor="text1" w:themeTint="BF"/>
      <w:sz w:val="24"/>
    </w:rPr>
  </w:style>
  <w:style w:type="paragraph" w:styleId="Salutation">
    <w:name w:val="Salutation"/>
    <w:basedOn w:val="Normal"/>
    <w:next w:val="Normal"/>
    <w:link w:val="SalutationChar"/>
    <w:uiPriority w:val="99"/>
    <w:semiHidden/>
    <w:unhideWhenUsed/>
    <w:rsid w:val="0025423B"/>
  </w:style>
  <w:style w:type="character" w:customStyle="1" w:styleId="SalutationChar1">
    <w:name w:val="Salutation Char1"/>
    <w:basedOn w:val="DefaultParagraphFont"/>
    <w:uiPriority w:val="99"/>
    <w:semiHidden/>
    <w:rsid w:val="0025423B"/>
    <w:rPr>
      <w:rFonts w:ascii="Times New Roman" w:hAnsi="Times New Roman" w:cs="Times New Roman"/>
      <w:sz w:val="24"/>
    </w:rPr>
  </w:style>
  <w:style w:type="paragraph" w:styleId="Signature">
    <w:name w:val="Signature"/>
    <w:basedOn w:val="Normal"/>
    <w:link w:val="SignatureChar1"/>
    <w:uiPriority w:val="99"/>
    <w:semiHidden/>
    <w:unhideWhenUsed/>
    <w:rsid w:val="0025423B"/>
    <w:pPr>
      <w:spacing w:after="0" w:line="240" w:lineRule="auto"/>
      <w:ind w:left="4252"/>
    </w:pPr>
  </w:style>
  <w:style w:type="character" w:customStyle="1" w:styleId="SignatureChar1">
    <w:name w:val="Signature Char1"/>
    <w:basedOn w:val="DefaultParagraphFont"/>
    <w:link w:val="Signature"/>
    <w:uiPriority w:val="99"/>
    <w:semiHidden/>
    <w:rsid w:val="0025423B"/>
  </w:style>
  <w:style w:type="paragraph" w:styleId="Subtitle">
    <w:name w:val="Subtitle"/>
    <w:basedOn w:val="Normal"/>
    <w:next w:val="Normal"/>
    <w:link w:val="SubtitleChar"/>
    <w:uiPriority w:val="11"/>
    <w:qFormat/>
    <w:rsid w:val="00DC139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1">
    <w:name w:val="Subtitle Char1"/>
    <w:basedOn w:val="DefaultParagraphFont"/>
    <w:uiPriority w:val="11"/>
    <w:rsid w:val="0025423B"/>
    <w:rPr>
      <w:rFonts w:eastAsiaTheme="minorEastAsia"/>
      <w:color w:val="5A5A5A" w:themeColor="text1" w:themeTint="A5"/>
    </w:rPr>
  </w:style>
  <w:style w:type="table" w:styleId="Table3Deffects1">
    <w:name w:val="Table 3D effects 1"/>
    <w:basedOn w:val="TableNormal"/>
    <w:uiPriority w:val="99"/>
    <w:semiHidden/>
    <w:unhideWhenUsed/>
    <w:rsid w:val="0025423B"/>
    <w:pPr>
      <w:spacing w:before="120" w:after="120"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5423B"/>
    <w:pPr>
      <w:spacing w:before="120" w:after="120"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5423B"/>
    <w:pPr>
      <w:spacing w:before="120" w:after="120"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5423B"/>
    <w:pPr>
      <w:spacing w:before="120" w:after="120"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5423B"/>
    <w:pPr>
      <w:spacing w:before="120" w:after="120"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5423B"/>
    <w:pPr>
      <w:spacing w:before="120" w:after="120"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5423B"/>
    <w:pPr>
      <w:spacing w:before="120" w:after="120"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5423B"/>
    <w:pPr>
      <w:spacing w:before="120" w:after="120"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5423B"/>
    <w:pPr>
      <w:spacing w:before="120" w:after="120"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5423B"/>
    <w:pPr>
      <w:spacing w:before="120" w:after="120"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5423B"/>
    <w:pPr>
      <w:spacing w:before="120" w:after="120"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5423B"/>
    <w:pPr>
      <w:spacing w:before="120" w:after="120"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423B"/>
    <w:pPr>
      <w:spacing w:before="120" w:after="120"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5423B"/>
    <w:pPr>
      <w:spacing w:before="120" w:after="120"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5423B"/>
    <w:pPr>
      <w:spacing w:before="120" w:after="120"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5423B"/>
    <w:pPr>
      <w:spacing w:before="120" w:after="120"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5423B"/>
    <w:pPr>
      <w:spacing w:before="120" w:after="120"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5423B"/>
    <w:pPr>
      <w:spacing w:before="120" w:after="120"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5423B"/>
    <w:pPr>
      <w:spacing w:before="120" w:after="120"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5423B"/>
    <w:pPr>
      <w:spacing w:before="120" w:after="12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5423B"/>
    <w:pPr>
      <w:spacing w:before="120" w:after="120"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5423B"/>
    <w:pPr>
      <w:spacing w:before="120" w:after="120"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5423B"/>
    <w:pPr>
      <w:spacing w:before="120" w:after="120"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5423B"/>
    <w:pPr>
      <w:spacing w:before="120" w:after="120"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5423B"/>
    <w:pPr>
      <w:spacing w:before="120" w:after="120"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5423B"/>
    <w:pPr>
      <w:spacing w:before="120" w:after="120"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5423B"/>
    <w:pPr>
      <w:spacing w:before="120" w:after="120"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5423B"/>
    <w:pPr>
      <w:spacing w:before="120" w:after="120"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5423B"/>
    <w:pPr>
      <w:spacing w:before="120"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5423B"/>
    <w:pPr>
      <w:spacing w:before="120" w:after="120"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5423B"/>
    <w:pPr>
      <w:spacing w:before="120" w:after="120"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5423B"/>
    <w:pPr>
      <w:spacing w:before="120" w:after="120"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DC139C"/>
    <w:pPr>
      <w:spacing w:after="0" w:line="204" w:lineRule="auto"/>
      <w:contextualSpacing/>
    </w:pPr>
    <w:rPr>
      <w:rFonts w:asciiTheme="majorHAnsi" w:eastAsiaTheme="majorEastAsia" w:hAnsiTheme="majorHAnsi" w:cstheme="majorBidi"/>
      <w:caps/>
      <w:color w:val="44546A" w:themeColor="text2"/>
      <w:sz w:val="72"/>
      <w:szCs w:val="72"/>
    </w:rPr>
  </w:style>
  <w:style w:type="character" w:customStyle="1" w:styleId="TitleChar1">
    <w:name w:val="Title Char1"/>
    <w:basedOn w:val="DefaultParagraphFont"/>
    <w:uiPriority w:val="10"/>
    <w:rsid w:val="0025423B"/>
    <w:rPr>
      <w:rFonts w:asciiTheme="majorHAnsi" w:eastAsiaTheme="majorEastAsia" w:hAnsiTheme="majorHAnsi" w:cstheme="majorBidi"/>
      <w:kern w:val="28"/>
      <w:sz w:val="56"/>
      <w:szCs w:val="56"/>
    </w:rPr>
  </w:style>
  <w:style w:type="character" w:customStyle="1" w:styleId="CommentTextChar1">
    <w:name w:val="Comment Text Char1"/>
    <w:basedOn w:val="DefaultParagraphFont"/>
    <w:uiPriority w:val="99"/>
    <w:rsid w:val="0025423B"/>
    <w:rPr>
      <w:rFonts w:ascii="Times New Roman" w:hAnsi="Times New Roman" w:cs="Times New Roman"/>
      <w:sz w:val="20"/>
      <w:szCs w:val="20"/>
    </w:rPr>
  </w:style>
  <w:style w:type="character" w:customStyle="1" w:styleId="BalloonTextChar1">
    <w:name w:val="Balloon Text Char1"/>
    <w:basedOn w:val="DefaultParagraphFont"/>
    <w:uiPriority w:val="99"/>
    <w:semiHidden/>
    <w:rsid w:val="0025423B"/>
    <w:rPr>
      <w:rFonts w:ascii="Segoe UI" w:hAnsi="Segoe UI" w:cs="Segoe UI"/>
      <w:sz w:val="18"/>
      <w:szCs w:val="18"/>
    </w:rPr>
  </w:style>
  <w:style w:type="character" w:customStyle="1" w:styleId="CommentSubjectChar1">
    <w:name w:val="Comment Subject Char1"/>
    <w:basedOn w:val="CommentTextChar1"/>
    <w:uiPriority w:val="99"/>
    <w:semiHidden/>
    <w:rsid w:val="0025423B"/>
    <w:rPr>
      <w:rFonts w:ascii="Times New Roman" w:hAnsi="Times New Roman" w:cs="Times New Roman"/>
      <w:b/>
      <w:bCs/>
      <w:sz w:val="20"/>
      <w:szCs w:val="20"/>
    </w:rPr>
  </w:style>
  <w:style w:type="paragraph" w:styleId="Caption">
    <w:name w:val="caption"/>
    <w:basedOn w:val="Normal"/>
    <w:next w:val="Normal"/>
    <w:uiPriority w:val="35"/>
    <w:semiHidden/>
    <w:unhideWhenUsed/>
    <w:qFormat/>
    <w:rsid w:val="005455E6"/>
    <w:pPr>
      <w:spacing w:line="240" w:lineRule="auto"/>
    </w:pPr>
    <w:rPr>
      <w:b/>
      <w:bCs/>
      <w:smallCaps/>
      <w:color w:val="44546A" w:themeColor="text2"/>
    </w:rPr>
  </w:style>
  <w:style w:type="character" w:customStyle="1" w:styleId="Mention">
    <w:name w:val="Mention"/>
    <w:basedOn w:val="DefaultParagraphFont"/>
    <w:uiPriority w:val="99"/>
    <w:unhideWhenUsed/>
    <w:rsid w:val="00C97B43"/>
    <w:rPr>
      <w:color w:val="2B579A"/>
      <w:shd w:val="clear" w:color="auto" w:fill="E1DFDD"/>
    </w:rPr>
  </w:style>
  <w:style w:type="character" w:customStyle="1" w:styleId="UnresolvedMention">
    <w:name w:val="Unresolved Mention"/>
    <w:basedOn w:val="DefaultParagraphFont"/>
    <w:uiPriority w:val="99"/>
    <w:semiHidden/>
    <w:unhideWhenUsed/>
    <w:rsid w:val="003C7D62"/>
    <w:rPr>
      <w:color w:val="605E5C"/>
      <w:shd w:val="clear" w:color="auto" w:fill="E1DFDD"/>
    </w:rPr>
  </w:style>
  <w:style w:type="paragraph" w:customStyle="1" w:styleId="P68B1DB1-Normal2">
    <w:name w:val="P68B1DB1-Normal2"/>
    <w:basedOn w:val="Normal"/>
    <w:rPr>
      <w:rFonts w:ascii="Times New Roman" w:hAnsi="Times New Roman"/>
      <w:b/>
      <w:sz w:val="24"/>
      <w:szCs w:val="24"/>
      <w:u w:val="single"/>
    </w:rPr>
  </w:style>
  <w:style w:type="paragraph" w:customStyle="1" w:styleId="P68B1DB1-Heading13">
    <w:name w:val="P68B1DB1-Heading13"/>
    <w:basedOn w:val="Heading1"/>
    <w:rPr>
      <w:rFonts w:ascii="Times New Roman" w:hAnsi="Times New Roman" w:cs="Times New Roman"/>
      <w:b/>
      <w:color w:val="auto"/>
      <w:sz w:val="24"/>
      <w:szCs w:val="24"/>
    </w:rPr>
  </w:style>
  <w:style w:type="paragraph" w:customStyle="1" w:styleId="P68B1DB1-ListParagraph4">
    <w:name w:val="P68B1DB1-ListParagraph4"/>
    <w:basedOn w:val="ListParagraph"/>
    <w:rPr>
      <w:rFonts w:ascii="Times New Roman" w:hAnsi="Times New Roman"/>
      <w:b/>
      <w:sz w:val="24"/>
    </w:rPr>
  </w:style>
  <w:style w:type="paragraph" w:customStyle="1" w:styleId="P68B1DB1-Heading25">
    <w:name w:val="P68B1DB1-Heading25"/>
    <w:basedOn w:val="Heading2"/>
    <w:rPr>
      <w:rFonts w:ascii="Times New Roman" w:hAnsi="Times New Roman"/>
      <w:b/>
      <w:color w:val="auto"/>
      <w:sz w:val="24"/>
      <w:u w:val="single"/>
    </w:rPr>
  </w:style>
  <w:style w:type="paragraph" w:customStyle="1" w:styleId="P68B1DB1-Normal6">
    <w:name w:val="P68B1DB1-Normal6"/>
    <w:basedOn w:val="Normal"/>
    <w:rPr>
      <w:rFonts w:ascii="Times New Roman" w:hAnsi="Times New Roman"/>
      <w:sz w:val="24"/>
    </w:rPr>
  </w:style>
  <w:style w:type="paragraph" w:customStyle="1" w:styleId="P68B1DB1-ListParagraph7">
    <w:name w:val="P68B1DB1-ListParagraph7"/>
    <w:basedOn w:val="ListParagraph"/>
    <w:rPr>
      <w:rFonts w:ascii="Times New Roman" w:hAnsi="Times New Roman"/>
      <w:sz w:val="24"/>
    </w:rPr>
  </w:style>
  <w:style w:type="paragraph" w:customStyle="1" w:styleId="P68B1DB1-Normal9">
    <w:name w:val="P68B1DB1-Normal9"/>
    <w:basedOn w:val="Normal"/>
    <w:rPr>
      <w:rFonts w:ascii="Times New Roman" w:hAnsi="Times New Roman" w:cs="Times New Roman"/>
      <w:sz w:val="24"/>
      <w:szCs w:val="24"/>
      <w:shd w:val="clear" w:color="auto" w:fill="FFFFFF"/>
    </w:rPr>
  </w:style>
  <w:style w:type="paragraph" w:customStyle="1" w:styleId="P68B1DB1-Heading310">
    <w:name w:val="P68B1DB1-Heading310"/>
    <w:basedOn w:val="Heading3"/>
    <w:rPr>
      <w:rFonts w:ascii="Times New Roman" w:hAnsi="Times New Roman" w:cs="Times New Roman"/>
      <w:b/>
      <w:color w:val="auto"/>
      <w:sz w:val="24"/>
      <w:szCs w:val="24"/>
      <w:u w:val="single"/>
    </w:rPr>
  </w:style>
  <w:style w:type="paragraph" w:customStyle="1" w:styleId="P68B1DB1-Heading411">
    <w:name w:val="P68B1DB1-Heading411"/>
    <w:basedOn w:val="Heading4"/>
    <w:rPr>
      <w:rFonts w:ascii="Times New Roman" w:hAnsi="Times New Roman" w:cs="Times New Roman"/>
      <w:b/>
      <w:color w:val="auto"/>
    </w:rPr>
  </w:style>
  <w:style w:type="paragraph" w:customStyle="1" w:styleId="P68B1DB1-Normal12">
    <w:name w:val="P68B1DB1-Normal12"/>
    <w:basedOn w:val="Normal"/>
    <w:rPr>
      <w:sz w:val="24"/>
    </w:rPr>
  </w:style>
  <w:style w:type="paragraph" w:customStyle="1" w:styleId="P68B1DB1-Normal17">
    <w:name w:val="P68B1DB1-Normal17"/>
    <w:basedOn w:val="Normal"/>
    <w:rPr>
      <w:sz w:val="24"/>
      <w:shd w:val="clear" w:color="auto" w:fill="FFFFFF"/>
    </w:rPr>
  </w:style>
  <w:style w:type="paragraph" w:customStyle="1" w:styleId="P68B1DB1-Normal18">
    <w:name w:val="P68B1DB1-Normal18"/>
    <w:basedOn w:val="Normal"/>
    <w:rPr>
      <w:rFonts w:ascii="Times New Roman" w:eastAsia="Calibri" w:hAnsi="Times New Roman" w:cs="Times New Roman"/>
      <w:sz w:val="24"/>
      <w:szCs w:val="24"/>
      <w:shd w:val="clear" w:color="auto" w:fill="FFFFFF"/>
    </w:rPr>
  </w:style>
  <w:style w:type="paragraph" w:customStyle="1" w:styleId="P68B1DB1-Normal19">
    <w:name w:val="P68B1DB1-Normal19"/>
    <w:basedOn w:val="Normal"/>
    <w:rPr>
      <w:rFonts w:ascii="Times New Roman" w:hAnsi="Times New Roman"/>
      <w:b/>
      <w:sz w:val="18"/>
    </w:rPr>
  </w:style>
  <w:style w:type="paragraph" w:customStyle="1" w:styleId="P68B1DB1-Normal20">
    <w:name w:val="P68B1DB1-Normal20"/>
    <w:basedOn w:val="Normal"/>
    <w:rPr>
      <w:rFonts w:ascii="Times New Roman" w:hAnsi="Times New Roman"/>
      <w:sz w:val="18"/>
    </w:rPr>
  </w:style>
  <w:style w:type="paragraph" w:customStyle="1" w:styleId="P68B1DB1-Normal26">
    <w:name w:val="P68B1DB1-Normal26"/>
    <w:basedOn w:val="Normal"/>
    <w:rPr>
      <w:sz w:val="18"/>
    </w:rPr>
  </w:style>
  <w:style w:type="paragraph" w:customStyle="1" w:styleId="P68B1DB1-Normal27">
    <w:name w:val="P68B1DB1-Normal27"/>
    <w:basedOn w:val="Normal"/>
    <w:rPr>
      <w:rFonts w:ascii="Times New Roman" w:eastAsia="Times New Roman" w:hAnsi="Times New Roman" w:cs="Times New Roman"/>
      <w:sz w:val="18"/>
      <w:szCs w:val="18"/>
    </w:rPr>
  </w:style>
  <w:style w:type="paragraph" w:customStyle="1" w:styleId="P68B1DB1-Normal32">
    <w:name w:val="P68B1DB1-Normal32"/>
    <w:basedOn w:val="Normal"/>
    <w:rPr>
      <w:rFonts w:ascii="Times New Roman" w:hAnsi="Times New Roman" w:cs="Times New Roman"/>
      <w:sz w:val="18"/>
      <w:szCs w:val="18"/>
    </w:rPr>
  </w:style>
  <w:style w:type="paragraph" w:customStyle="1" w:styleId="P68B1DB1-ListParagraph33">
    <w:name w:val="P68B1DB1-ListParagraph33"/>
    <w:basedOn w:val="ListParagraph"/>
    <w:rPr>
      <w:rFonts w:ascii="Times New Roman" w:hAnsi="Times New Roman"/>
      <w:sz w:val="18"/>
    </w:rPr>
  </w:style>
  <w:style w:type="paragraph" w:customStyle="1" w:styleId="P68B1DB1-Normal34">
    <w:name w:val="P68B1DB1-Normal34"/>
    <w:basedOn w:val="Normal"/>
    <w:rPr>
      <w:rFonts w:ascii="Times New Roman" w:hAnsi="Times New Roman" w:cs="Times New Roman"/>
      <w:sz w:val="24"/>
      <w:szCs w:val="24"/>
    </w:rPr>
  </w:style>
  <w:style w:type="paragraph" w:customStyle="1" w:styleId="P68B1DB1-ListParagraph35">
    <w:name w:val="P68B1DB1-ListParagraph35"/>
    <w:basedOn w:val="ListParagraph"/>
    <w:rPr>
      <w:rFonts w:ascii="Times New Roman" w:hAnsi="Times New Roman" w:cs="Times New Roman"/>
      <w:sz w:val="24"/>
      <w:szCs w:val="24"/>
    </w:rPr>
  </w:style>
  <w:style w:type="paragraph" w:customStyle="1" w:styleId="P68B1DB1-Normal36">
    <w:name w:val="P68B1DB1-Normal36"/>
    <w:basedOn w:val="Normal"/>
    <w:rPr>
      <w:rFonts w:ascii="Times New Roman" w:hAnsi="Times New Roman"/>
      <w:sz w:val="24"/>
      <w:szCs w:val="24"/>
    </w:rPr>
  </w:style>
  <w:style w:type="paragraph" w:customStyle="1" w:styleId="P68B1DB1-Normal37">
    <w:name w:val="P68B1DB1-Normal37"/>
    <w:basedOn w:val="Normal"/>
    <w:rPr>
      <w:rFonts w:ascii="Times New Roman" w:hAnsi="Times New Roman" w:cs="Times New Roman"/>
      <w:b/>
      <w:sz w:val="18"/>
      <w:szCs w:val="18"/>
    </w:rPr>
  </w:style>
  <w:style w:type="paragraph" w:customStyle="1" w:styleId="P68B1DB1-CommentText38">
    <w:name w:val="P68B1DB1-CommentText38"/>
    <w:basedOn w:val="CommentText"/>
    <w:rPr>
      <w:rFonts w:ascii="Times New Roman" w:hAnsi="Times New Roman" w:cs="Times New Roman"/>
      <w:sz w:val="18"/>
      <w:szCs w:val="18"/>
    </w:rPr>
  </w:style>
  <w:style w:type="paragraph" w:customStyle="1" w:styleId="P68B1DB1-Normal39">
    <w:name w:val="P68B1DB1-Normal39"/>
    <w:basedOn w:val="Normal"/>
    <w:rPr>
      <w:rFonts w:ascii="Times New Roman" w:hAnsi="Times New Roman"/>
      <w:sz w:val="24"/>
      <w:shd w:val="clear" w:color="auto" w:fill="FFFFFF"/>
    </w:rPr>
  </w:style>
  <w:style w:type="paragraph" w:customStyle="1" w:styleId="P68B1DB1-Heading440">
    <w:name w:val="P68B1DB1-Heading440"/>
    <w:basedOn w:val="Heading4"/>
    <w:rPr>
      <w:rFonts w:ascii="Times New Roman" w:hAnsi="Times New Roman" w:cs="Times New Roman"/>
      <w:b/>
      <w:color w:val="auto"/>
      <w:shd w:val="clear" w:color="auto" w:fill="FFFFFF"/>
    </w:rPr>
  </w:style>
  <w:style w:type="paragraph" w:customStyle="1" w:styleId="P68B1DB1-Normal41">
    <w:name w:val="P68B1DB1-Normal41"/>
    <w:basedOn w:val="Normal"/>
    <w:rPr>
      <w:rFonts w:ascii="Times New Roman" w:eastAsia="Times New Roman" w:hAnsi="Times New Roman" w:cs="Times New Roman"/>
      <w:color w:val="000000" w:themeColor="text1"/>
      <w:sz w:val="18"/>
      <w:szCs w:val="18"/>
    </w:rPr>
  </w:style>
  <w:style w:type="paragraph" w:customStyle="1" w:styleId="P68B1DB1-ListParagraph42">
    <w:name w:val="P68B1DB1-ListParagraph42"/>
    <w:basedOn w:val="ListParagraph"/>
    <w:rPr>
      <w:rFonts w:ascii="Times New Roman" w:eastAsia="Times New Roman" w:hAnsi="Times New Roman" w:cs="Times New Roman"/>
      <w:color w:val="000000" w:themeColor="text1"/>
      <w:sz w:val="18"/>
      <w:szCs w:val="18"/>
    </w:rPr>
  </w:style>
  <w:style w:type="paragraph" w:customStyle="1" w:styleId="P68B1DB1-ListParagraph43">
    <w:name w:val="P68B1DB1-ListParagraph43"/>
    <w:basedOn w:val="ListParagraph"/>
    <w:rPr>
      <w:rFonts w:ascii="Times New Roman" w:hAnsi="Times New Roman" w:cs="Times New Roman"/>
      <w:sz w:val="18"/>
      <w:szCs w:val="18"/>
    </w:rPr>
  </w:style>
  <w:style w:type="paragraph" w:customStyle="1" w:styleId="P68B1DB1-Normal44">
    <w:name w:val="P68B1DB1-Normal44"/>
    <w:basedOn w:val="Normal"/>
    <w:rPr>
      <w:rFonts w:ascii="Times New Roman" w:hAnsi="Times New Roman"/>
      <w:b/>
      <w:sz w:val="24"/>
      <w:u w:val="single"/>
    </w:rPr>
  </w:style>
  <w:style w:type="paragraph" w:customStyle="1" w:styleId="P68B1DB1-Text145">
    <w:name w:val="P68B1DB1-Text145"/>
    <w:basedOn w:val="Text1"/>
    <w:rPr>
      <w:rFonts w:ascii="Times New Roman" w:hAnsi="Times New Roman"/>
      <w:sz w:val="24"/>
    </w:rPr>
  </w:style>
  <w:style w:type="paragraph" w:customStyle="1" w:styleId="P68B1DB1-Text146">
    <w:name w:val="P68B1DB1-Text146"/>
    <w:basedOn w:val="Text1"/>
    <w:rPr>
      <w:rFonts w:ascii="Times New Roman" w:hAnsi="Times New Roman"/>
      <w:sz w:val="24"/>
      <w:szCs w:val="24"/>
    </w:rPr>
  </w:style>
  <w:style w:type="paragraph" w:customStyle="1" w:styleId="P68B1DB1-Text147">
    <w:name w:val="P68B1DB1-Text147"/>
    <w:basedOn w:val="Text1"/>
    <w:rPr>
      <w:sz w:val="24"/>
    </w:rPr>
  </w:style>
  <w:style w:type="paragraph" w:customStyle="1" w:styleId="P68B1DB1-Normal48">
    <w:name w:val="P68B1DB1-Normal48"/>
    <w:basedOn w:val="Normal"/>
    <w:rPr>
      <w:rFonts w:ascii="Times New Roman" w:eastAsia="Yu Mincho" w:hAnsi="Times New Roman" w:cs="Times New Roman"/>
      <w:sz w:val="24"/>
      <w:szCs w:val="24"/>
    </w:rPr>
  </w:style>
  <w:style w:type="paragraph" w:customStyle="1" w:styleId="P68B1DB1-Normal49">
    <w:name w:val="P68B1DB1-Normal49"/>
    <w:basedOn w:val="Normal"/>
    <w:rPr>
      <w:rFonts w:ascii="Times New Roman" w:eastAsia="Calibri" w:hAnsi="Times New Roman" w:cs="Times New Roman"/>
      <w:sz w:val="18"/>
      <w:szCs w:val="18"/>
    </w:rPr>
  </w:style>
  <w:style w:type="paragraph" w:customStyle="1" w:styleId="P68B1DB1-Heading350">
    <w:name w:val="P68B1DB1-Heading350"/>
    <w:basedOn w:val="Heading3"/>
    <w:rPr>
      <w:b/>
      <w:color w:val="auto"/>
      <w:sz w:val="24"/>
      <w:u w:val="single"/>
    </w:rPr>
  </w:style>
  <w:style w:type="paragraph" w:customStyle="1" w:styleId="P68B1DB1-ListParagraph51">
    <w:name w:val="P68B1DB1-ListParagraph51"/>
    <w:basedOn w:val="ListParagraph"/>
    <w:rPr>
      <w:rFonts w:ascii="Times New Roman" w:eastAsia="Calibri" w:hAnsi="Times New Roman" w:cs="Times New Roman"/>
      <w:sz w:val="18"/>
      <w:szCs w:val="18"/>
    </w:rPr>
  </w:style>
  <w:style w:type="paragraph" w:customStyle="1" w:styleId="P68B1DB1-Normal52">
    <w:name w:val="P68B1DB1-Normal52"/>
    <w:basedOn w:val="Normal"/>
    <w:rPr>
      <w:rFonts w:ascii="Times New Roman" w:hAnsi="Times New Roman"/>
      <w:color w:val="000000"/>
      <w:sz w:val="24"/>
      <w:shd w:val="clear" w:color="auto" w:fill="FFFFFF"/>
    </w:rPr>
  </w:style>
  <w:style w:type="paragraph" w:customStyle="1" w:styleId="P68B1DB1-Normal53">
    <w:name w:val="P68B1DB1-Normal53"/>
    <w:basedOn w:val="Normal"/>
    <w:rPr>
      <w:rFonts w:ascii="Times New Roman" w:hAnsi="Times New Roman" w:cs="Times New Roman"/>
      <w:b/>
      <w:sz w:val="24"/>
      <w:szCs w:val="24"/>
      <w:u w:val="single"/>
    </w:rPr>
  </w:style>
  <w:style w:type="paragraph" w:customStyle="1" w:styleId="P68B1DB1-Normal54">
    <w:name w:val="P68B1DB1-Normal54"/>
    <w:basedOn w:val="Normal"/>
    <w:rPr>
      <w:rFonts w:ascii="Times New Roman" w:eastAsiaTheme="minorHAnsi" w:hAnsi="Times New Roman" w:cs="Times New Roman"/>
      <w:sz w:val="24"/>
      <w:szCs w:val="24"/>
    </w:rPr>
  </w:style>
  <w:style w:type="paragraph" w:customStyle="1" w:styleId="P68B1DB1-P68B1DB1-Norml555">
    <w:name w:val="P68B1DB1-P68B1DB1-Norml555"/>
    <w:basedOn w:val="P68B1DB1-Norml5"/>
    <w:rPr>
      <w:sz w:val="24"/>
    </w:rPr>
  </w:style>
  <w:style w:type="paragraph" w:customStyle="1" w:styleId="P68B1DB1-P68B1DB1-Norml556">
    <w:name w:val="P68B1DB1-P68B1DB1-Norml556"/>
    <w:basedOn w:val="P68B1DB1-Norml5"/>
    <w:rPr>
      <w:rFonts w:ascii="Times New Roman" w:hAnsi="Times New Roman"/>
      <w:sz w:val="24"/>
      <w:szCs w:val="24"/>
    </w:rPr>
  </w:style>
  <w:style w:type="paragraph" w:customStyle="1" w:styleId="P68B1DB1-LegalNumPar57">
    <w:name w:val="P68B1DB1-LegalNumPar57"/>
    <w:basedOn w:val="LegalNumPar"/>
    <w:rPr>
      <w:rFonts w:ascii="Times New Roman" w:hAnsi="Times New Roman" w:cs="Times New Roman"/>
      <w:sz w:val="24"/>
      <w:szCs w:val="24"/>
    </w:rPr>
  </w:style>
  <w:style w:type="paragraph" w:customStyle="1" w:styleId="P68B1DB1-LegalNumPar258">
    <w:name w:val="P68B1DB1-LegalNumPar258"/>
    <w:basedOn w:val="LegalNumPar2"/>
    <w:rPr>
      <w:rFonts w:ascii="Times New Roman" w:hAnsi="Times New Roman" w:cs="Times New Roman"/>
      <w:sz w:val="24"/>
      <w:szCs w:val="24"/>
    </w:rPr>
  </w:style>
  <w:style w:type="paragraph" w:customStyle="1" w:styleId="P68B1DB1-Normal59">
    <w:name w:val="P68B1DB1-Normal59"/>
    <w:basedOn w:val="Normal"/>
    <w:rPr>
      <w:rFonts w:ascii="Times New Roman" w:eastAsiaTheme="minorHAnsi" w:hAnsi="Times New Roman" w:cs="Times New Roman"/>
      <w:sz w:val="24"/>
    </w:rPr>
  </w:style>
  <w:style w:type="paragraph" w:customStyle="1" w:styleId="P68B1DB1-Normal60">
    <w:name w:val="P68B1DB1-Normal60"/>
    <w:basedOn w:val="Normal"/>
    <w:rPr>
      <w:rFonts w:ascii="Times New Roman" w:eastAsia="Times New Roman" w:hAnsi="Times New Roman" w:cs="Times New Roman"/>
      <w:sz w:val="24"/>
    </w:rPr>
  </w:style>
  <w:style w:type="paragraph" w:customStyle="1" w:styleId="P68B1DB1-Normal61">
    <w:name w:val="P68B1DB1-Normal61"/>
    <w:basedOn w:val="Normal"/>
    <w:rPr>
      <w:rFonts w:ascii="Times New Roman" w:eastAsia="Times New Roman" w:hAnsi="Times New Roman" w:cs="Times New Roman"/>
      <w:sz w:val="24"/>
      <w:szCs w:val="24"/>
    </w:rPr>
  </w:style>
  <w:style w:type="paragraph" w:customStyle="1" w:styleId="P68B1DB1-Normal62">
    <w:name w:val="P68B1DB1-Normal62"/>
    <w:basedOn w:val="Normal"/>
    <w:rPr>
      <w:rFonts w:ascii="Times New Roman" w:eastAsia="Times New Roman" w:hAnsi="Times New Roman"/>
      <w:sz w:val="24"/>
      <w:szCs w:val="20"/>
    </w:rPr>
  </w:style>
  <w:style w:type="paragraph" w:customStyle="1" w:styleId="P68B1DB1-Normal63">
    <w:name w:val="P68B1DB1-Normal63"/>
    <w:basedOn w:val="Normal"/>
    <w:rPr>
      <w:rFonts w:ascii="Times New Roman" w:eastAsia="Times New Roman" w:hAnsi="Times New Roman"/>
      <w:sz w:val="24"/>
      <w:szCs w:val="24"/>
    </w:rPr>
  </w:style>
  <w:style w:type="paragraph" w:customStyle="1" w:styleId="P68B1DB1-Normal64">
    <w:name w:val="P68B1DB1-Normal64"/>
    <w:basedOn w:val="Normal"/>
    <w:rPr>
      <w:rFonts w:ascii="Times New Roman" w:hAnsi="Times New Roman" w:cs="Times New Roman"/>
      <w:sz w:val="24"/>
      <w:szCs w:val="20"/>
    </w:rPr>
  </w:style>
  <w:style w:type="paragraph" w:customStyle="1" w:styleId="P68B1DB1-paragraph65">
    <w:name w:val="P68B1DB1-paragraph65"/>
    <w:basedOn w:val="paragraph"/>
    <w:rPr>
      <w:rFonts w:ascii="Times New Roman" w:hAnsi="Times New Roman" w:cs="Times New Roman"/>
      <w:sz w:val="18"/>
      <w:szCs w:val="18"/>
    </w:rPr>
  </w:style>
  <w:style w:type="paragraph" w:customStyle="1" w:styleId="P68B1DB1-Normal66">
    <w:name w:val="P68B1DB1-Normal66"/>
    <w:basedOn w:val="Normal"/>
    <w:rPr>
      <w:rFonts w:ascii="Times New Roman" w:eastAsiaTheme="minorHAnsi" w:hAnsi="Times New Roman" w:cs="Times New Roman"/>
      <w:sz w:val="18"/>
      <w:szCs w:val="18"/>
    </w:rPr>
  </w:style>
  <w:style w:type="paragraph" w:customStyle="1" w:styleId="P68B1DB1-ListParagraph67">
    <w:name w:val="P68B1DB1-ListParagraph67"/>
    <w:basedOn w:val="ListParagraph"/>
    <w:rPr>
      <w:rFonts w:ascii="Times New Roman" w:eastAsiaTheme="minorHAnsi" w:hAnsi="Times New Roman" w:cs="Times New Roman"/>
      <w:sz w:val="18"/>
      <w:szCs w:val="18"/>
    </w:rPr>
  </w:style>
  <w:style w:type="paragraph" w:customStyle="1" w:styleId="P68B1DB1-ListParagraph68">
    <w:name w:val="P68B1DB1-ListParagraph68"/>
    <w:basedOn w:val="ListParagraph"/>
    <w:rPr>
      <w:rFonts w:ascii="Times New Roman" w:eastAsia="Times New Roman" w:hAnsi="Times New Roman" w:cs="Times New Roman"/>
      <w:sz w:val="18"/>
      <w:szCs w:val="18"/>
    </w:rPr>
  </w:style>
  <w:style w:type="paragraph" w:customStyle="1" w:styleId="P68B1DB1-Heading469">
    <w:name w:val="P68B1DB1-Heading469"/>
    <w:basedOn w:val="Heading4"/>
    <w:rPr>
      <w:rFonts w:ascii="Times New Roman" w:hAnsi="Times New Roman" w:cs="Times New Roman"/>
      <w:color w:val="auto"/>
    </w:rPr>
  </w:style>
  <w:style w:type="paragraph" w:customStyle="1" w:styleId="P68B1DB1-Normal70">
    <w:name w:val="P68B1DB1-Normal70"/>
    <w:basedOn w:val="Normal"/>
    <w:rPr>
      <w:rFonts w:ascii="Times New Roman" w:hAnsi="Times New Roman" w:cs="Times New Roman"/>
      <w:sz w:val="16"/>
      <w:szCs w:val="16"/>
    </w:rPr>
  </w:style>
  <w:style w:type="paragraph" w:customStyle="1" w:styleId="P68B1DB1-Normal71">
    <w:name w:val="P68B1DB1-Normal71"/>
    <w:basedOn w:val="Normal"/>
    <w:rPr>
      <w:rFonts w:ascii="Times New Roman" w:hAnsi="Times New Roman" w:cs="Times New Roman"/>
      <w:b/>
      <w:sz w:val="18"/>
    </w:rPr>
  </w:style>
  <w:style w:type="paragraph" w:customStyle="1" w:styleId="P68B1DB1-Normal72">
    <w:name w:val="P68B1DB1-Normal72"/>
    <w:basedOn w:val="Normal"/>
    <w:rPr>
      <w:rFonts w:ascii="Times New Roman" w:hAnsi="Times New Roman" w:cs="Times New Roman"/>
      <w:sz w:val="18"/>
    </w:rPr>
  </w:style>
  <w:style w:type="paragraph" w:customStyle="1" w:styleId="P68B1DB1-Default73">
    <w:name w:val="P68B1DB1-Default73"/>
    <w:basedOn w:val="Default"/>
    <w:rPr>
      <w:color w:val="auto"/>
      <w:sz w:val="18"/>
      <w:szCs w:val="18"/>
    </w:rPr>
  </w:style>
  <w:style w:type="paragraph" w:customStyle="1" w:styleId="P68B1DB1-Default74">
    <w:name w:val="P68B1DB1-Default74"/>
    <w:basedOn w:val="Default"/>
    <w:rPr>
      <w:sz w:val="19"/>
      <w:szCs w:val="19"/>
    </w:rPr>
  </w:style>
  <w:style w:type="paragraph" w:customStyle="1" w:styleId="P68B1DB1-Normal75">
    <w:name w:val="P68B1DB1-Normal75"/>
    <w:basedOn w:val="Normal"/>
    <w:rPr>
      <w:sz w:val="19"/>
      <w:szCs w:val="19"/>
    </w:rPr>
  </w:style>
  <w:style w:type="paragraph" w:customStyle="1" w:styleId="P68B1DB1-Normal76">
    <w:name w:val="P68B1DB1-Normal76"/>
    <w:basedOn w:val="Normal"/>
    <w:rPr>
      <w:rFonts w:ascii="Times New Roman" w:hAnsi="Times New Roman"/>
      <w:b/>
      <w:sz w:val="24"/>
    </w:rPr>
  </w:style>
  <w:style w:type="paragraph" w:customStyle="1" w:styleId="P68B1DB1-Heading277">
    <w:name w:val="P68B1DB1-Heading277"/>
    <w:basedOn w:val="Heading2"/>
    <w:rPr>
      <w:rFonts w:ascii="Times New Roman" w:hAnsi="Times New Roman" w:cs="Times New Roman"/>
      <w:b/>
      <w:color w:val="auto"/>
      <w:sz w:val="24"/>
      <w:szCs w:val="24"/>
      <w:u w:val="single"/>
    </w:rPr>
  </w:style>
  <w:style w:type="paragraph" w:customStyle="1" w:styleId="P68B1DB1-Heading378">
    <w:name w:val="P68B1DB1-Heading378"/>
    <w:basedOn w:val="Heading3"/>
    <w:rPr>
      <w:rFonts w:ascii="Times New Roman" w:hAnsi="Times New Roman" w:cs="Times New Roman"/>
      <w:b/>
      <w:color w:val="auto"/>
      <w:sz w:val="24"/>
      <w:szCs w:val="24"/>
    </w:rPr>
  </w:style>
  <w:style w:type="paragraph" w:customStyle="1" w:styleId="P68B1DB1-Normal79">
    <w:name w:val="P68B1DB1-Normal79"/>
    <w:basedOn w:val="Normal"/>
    <w:rPr>
      <w:rFonts w:ascii="Times New Roman" w:eastAsia="Times New Roman" w:hAnsi="Times New Roman" w:cs="Times New Roman"/>
      <w:b/>
    </w:rPr>
  </w:style>
  <w:style w:type="paragraph" w:customStyle="1" w:styleId="P68B1DB1-Normal80">
    <w:name w:val="P68B1DB1-Normal80"/>
    <w:basedOn w:val="Normal"/>
    <w:rPr>
      <w:rFonts w:ascii="Times New Roman" w:hAnsi="Times New Roman" w:cs="Times New Roman"/>
    </w:rPr>
  </w:style>
  <w:style w:type="paragraph" w:customStyle="1" w:styleId="P68B1DB1-CommentText81">
    <w:name w:val="P68B1DB1-CommentText81"/>
    <w:basedOn w:val="CommentText"/>
    <w:rPr>
      <w:rFonts w:ascii="Times New Roman" w:hAnsi="Times New Roman" w:cs="Times New Roman"/>
      <w:sz w:val="22"/>
      <w:szCs w:val="22"/>
    </w:rPr>
  </w:style>
  <w:style w:type="paragraph" w:customStyle="1" w:styleId="P68B1DB1-Header82">
    <w:name w:val="P68B1DB1-Header82"/>
    <w:basedOn w:val="Header"/>
    <w:rPr>
      <w:rFonts w:ascii="Times New Roman" w:hAnsi="Times New Roman" w:cs="Times New Roman"/>
    </w:rPr>
  </w:style>
  <w:style w:type="paragraph" w:customStyle="1" w:styleId="P68B1DB1-Normal83">
    <w:name w:val="P68B1DB1-Normal83"/>
    <w:basedOn w:val="Normal"/>
    <w:rPr>
      <w:rFonts w:ascii="Times New Roman" w:eastAsia="Times New Roman" w:hAnsi="Times New Roman" w:cs="Times New Roman"/>
      <w:color w:val="000000" w:themeColor="text1"/>
    </w:rPr>
  </w:style>
  <w:style w:type="paragraph" w:customStyle="1" w:styleId="P68B1DB1-Normal84">
    <w:name w:val="P68B1DB1-Normal84"/>
    <w:basedOn w:val="Normal"/>
    <w:rPr>
      <w:rFonts w:ascii="Times New Roman" w:eastAsia="Times New Roman" w:hAnsi="Times New Roman" w:cs="Times New Roman"/>
    </w:rPr>
  </w:style>
  <w:style w:type="paragraph" w:customStyle="1" w:styleId="P68B1DB1-Normal85">
    <w:name w:val="P68B1DB1-Normal85"/>
    <w:basedOn w:val="Normal"/>
    <w:rPr>
      <w:rFonts w:ascii="Times New Roman" w:eastAsiaTheme="minorHAnsi" w:hAnsi="Times New Roman" w:cs="Times New Roman"/>
    </w:rPr>
  </w:style>
  <w:style w:type="paragraph" w:customStyle="1" w:styleId="P68B1DB1-Heading286">
    <w:name w:val="P68B1DB1-Heading286"/>
    <w:basedOn w:val="Heading2"/>
    <w:rPr>
      <w:rFonts w:ascii="Times New Roman" w:hAnsi="Times New Roman" w:cs="Times New Roman"/>
      <w:b/>
      <w:color w:val="auto"/>
      <w:sz w:val="22"/>
      <w:szCs w:val="22"/>
      <w:u w:val="single"/>
    </w:rPr>
  </w:style>
  <w:style w:type="paragraph" w:customStyle="1" w:styleId="P68B1DB1-Heading387">
    <w:name w:val="P68B1DB1-Heading387"/>
    <w:basedOn w:val="Heading3"/>
    <w:rPr>
      <w:rFonts w:ascii="Times New Roman" w:hAnsi="Times New Roman" w:cs="Times New Roman"/>
      <w:b/>
      <w:color w:val="auto"/>
      <w:sz w:val="22"/>
      <w:szCs w:val="22"/>
    </w:rPr>
  </w:style>
  <w:style w:type="paragraph" w:customStyle="1" w:styleId="P68B1DB1-Normal88">
    <w:name w:val="P68B1DB1-Normal88"/>
    <w:basedOn w:val="Normal"/>
    <w:rPr>
      <w:rFonts w:ascii="Times New Roman" w:eastAsia="Calibri" w:hAnsi="Times New Roman" w:cs="Times New Roman"/>
    </w:rPr>
  </w:style>
  <w:style w:type="paragraph" w:customStyle="1" w:styleId="P68B1DB1-Default89">
    <w:name w:val="P68B1DB1-Default89"/>
    <w:basedOn w:val="Default"/>
    <w:rPr>
      <w:sz w:val="22"/>
      <w:szCs w:val="22"/>
    </w:rPr>
  </w:style>
  <w:style w:type="paragraph" w:customStyle="1" w:styleId="P68B1DB1-Heading190">
    <w:name w:val="P68B1DB1-Heading190"/>
    <w:basedOn w:val="Heading1"/>
    <w:rPr>
      <w:rFonts w:ascii="Times New Roman" w:eastAsia="Times New Roman" w:hAnsi="Times New Roman" w:cs="Times New Roman"/>
      <w:b/>
      <w:color w:val="000000" w:themeColor="text1"/>
      <w:sz w:val="24"/>
      <w:szCs w:val="24"/>
    </w:rPr>
  </w:style>
  <w:style w:type="paragraph" w:customStyle="1" w:styleId="P68B1DB1-Heading291">
    <w:name w:val="P68B1DB1-Heading291"/>
    <w:basedOn w:val="Heading2"/>
    <w:rPr>
      <w:rFonts w:ascii="Times New Roman" w:hAnsi="Times New Roman" w:cs="Times New Roman"/>
      <w:b/>
      <w:color w:val="auto"/>
      <w:sz w:val="24"/>
      <w:szCs w:val="24"/>
    </w:rPr>
  </w:style>
  <w:style w:type="paragraph" w:customStyle="1" w:styleId="P68B1DB1-Footer92">
    <w:name w:val="P68B1DB1-Footer92"/>
    <w:basedOn w:val="Footer"/>
    <w:rPr>
      <w:rFonts w:ascii="Times New Roman" w:hAnsi="Times New Roman" w:cs="Times New Roman"/>
    </w:rPr>
  </w:style>
  <w:style w:type="paragraph" w:customStyle="1" w:styleId="P68B1DB1-FootnoteText93">
    <w:name w:val="P68B1DB1-FootnoteText93"/>
    <w:basedOn w:val="FootnoteText"/>
    <w:rPr>
      <w:rFonts w:ascii="Times New Roman" w:eastAsia="EC Square Sans Pro"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394">
      <w:bodyDiv w:val="1"/>
      <w:marLeft w:val="0"/>
      <w:marRight w:val="0"/>
      <w:marTop w:val="0"/>
      <w:marBottom w:val="0"/>
      <w:divBdr>
        <w:top w:val="none" w:sz="0" w:space="0" w:color="auto"/>
        <w:left w:val="none" w:sz="0" w:space="0" w:color="auto"/>
        <w:bottom w:val="none" w:sz="0" w:space="0" w:color="auto"/>
        <w:right w:val="none" w:sz="0" w:space="0" w:color="auto"/>
      </w:divBdr>
    </w:div>
    <w:div w:id="61677639">
      <w:bodyDiv w:val="1"/>
      <w:marLeft w:val="0"/>
      <w:marRight w:val="0"/>
      <w:marTop w:val="0"/>
      <w:marBottom w:val="0"/>
      <w:divBdr>
        <w:top w:val="none" w:sz="0" w:space="0" w:color="auto"/>
        <w:left w:val="none" w:sz="0" w:space="0" w:color="auto"/>
        <w:bottom w:val="none" w:sz="0" w:space="0" w:color="auto"/>
        <w:right w:val="none" w:sz="0" w:space="0" w:color="auto"/>
      </w:divBdr>
    </w:div>
    <w:div w:id="82528626">
      <w:bodyDiv w:val="1"/>
      <w:marLeft w:val="0"/>
      <w:marRight w:val="0"/>
      <w:marTop w:val="0"/>
      <w:marBottom w:val="0"/>
      <w:divBdr>
        <w:top w:val="none" w:sz="0" w:space="0" w:color="auto"/>
        <w:left w:val="none" w:sz="0" w:space="0" w:color="auto"/>
        <w:bottom w:val="none" w:sz="0" w:space="0" w:color="auto"/>
        <w:right w:val="none" w:sz="0" w:space="0" w:color="auto"/>
      </w:divBdr>
    </w:div>
    <w:div w:id="99302903">
      <w:bodyDiv w:val="1"/>
      <w:marLeft w:val="0"/>
      <w:marRight w:val="0"/>
      <w:marTop w:val="0"/>
      <w:marBottom w:val="0"/>
      <w:divBdr>
        <w:top w:val="none" w:sz="0" w:space="0" w:color="auto"/>
        <w:left w:val="none" w:sz="0" w:space="0" w:color="auto"/>
        <w:bottom w:val="none" w:sz="0" w:space="0" w:color="auto"/>
        <w:right w:val="none" w:sz="0" w:space="0" w:color="auto"/>
      </w:divBdr>
    </w:div>
    <w:div w:id="122894642">
      <w:bodyDiv w:val="1"/>
      <w:marLeft w:val="0"/>
      <w:marRight w:val="0"/>
      <w:marTop w:val="0"/>
      <w:marBottom w:val="0"/>
      <w:divBdr>
        <w:top w:val="none" w:sz="0" w:space="0" w:color="auto"/>
        <w:left w:val="none" w:sz="0" w:space="0" w:color="auto"/>
        <w:bottom w:val="none" w:sz="0" w:space="0" w:color="auto"/>
        <w:right w:val="none" w:sz="0" w:space="0" w:color="auto"/>
      </w:divBdr>
    </w:div>
    <w:div w:id="186673813">
      <w:bodyDiv w:val="1"/>
      <w:marLeft w:val="0"/>
      <w:marRight w:val="0"/>
      <w:marTop w:val="0"/>
      <w:marBottom w:val="0"/>
      <w:divBdr>
        <w:top w:val="none" w:sz="0" w:space="0" w:color="auto"/>
        <w:left w:val="none" w:sz="0" w:space="0" w:color="auto"/>
        <w:bottom w:val="none" w:sz="0" w:space="0" w:color="auto"/>
        <w:right w:val="none" w:sz="0" w:space="0" w:color="auto"/>
      </w:divBdr>
    </w:div>
    <w:div w:id="263542449">
      <w:bodyDiv w:val="1"/>
      <w:marLeft w:val="0"/>
      <w:marRight w:val="0"/>
      <w:marTop w:val="0"/>
      <w:marBottom w:val="0"/>
      <w:divBdr>
        <w:top w:val="none" w:sz="0" w:space="0" w:color="auto"/>
        <w:left w:val="none" w:sz="0" w:space="0" w:color="auto"/>
        <w:bottom w:val="none" w:sz="0" w:space="0" w:color="auto"/>
        <w:right w:val="none" w:sz="0" w:space="0" w:color="auto"/>
      </w:divBdr>
      <w:divsChild>
        <w:div w:id="1209105563">
          <w:marLeft w:val="0"/>
          <w:marRight w:val="0"/>
          <w:marTop w:val="0"/>
          <w:marBottom w:val="0"/>
          <w:divBdr>
            <w:top w:val="none" w:sz="0" w:space="0" w:color="auto"/>
            <w:left w:val="none" w:sz="0" w:space="0" w:color="auto"/>
            <w:bottom w:val="none" w:sz="0" w:space="0" w:color="auto"/>
            <w:right w:val="none" w:sz="0" w:space="0" w:color="auto"/>
          </w:divBdr>
        </w:div>
        <w:div w:id="1776946704">
          <w:marLeft w:val="0"/>
          <w:marRight w:val="0"/>
          <w:marTop w:val="0"/>
          <w:marBottom w:val="0"/>
          <w:divBdr>
            <w:top w:val="none" w:sz="0" w:space="0" w:color="auto"/>
            <w:left w:val="none" w:sz="0" w:space="0" w:color="auto"/>
            <w:bottom w:val="none" w:sz="0" w:space="0" w:color="auto"/>
            <w:right w:val="none" w:sz="0" w:space="0" w:color="auto"/>
          </w:divBdr>
        </w:div>
      </w:divsChild>
    </w:div>
    <w:div w:id="318461582">
      <w:bodyDiv w:val="1"/>
      <w:marLeft w:val="0"/>
      <w:marRight w:val="0"/>
      <w:marTop w:val="0"/>
      <w:marBottom w:val="0"/>
      <w:divBdr>
        <w:top w:val="none" w:sz="0" w:space="0" w:color="auto"/>
        <w:left w:val="none" w:sz="0" w:space="0" w:color="auto"/>
        <w:bottom w:val="none" w:sz="0" w:space="0" w:color="auto"/>
        <w:right w:val="none" w:sz="0" w:space="0" w:color="auto"/>
      </w:divBdr>
    </w:div>
    <w:div w:id="327637844">
      <w:bodyDiv w:val="1"/>
      <w:marLeft w:val="0"/>
      <w:marRight w:val="0"/>
      <w:marTop w:val="0"/>
      <w:marBottom w:val="0"/>
      <w:divBdr>
        <w:top w:val="none" w:sz="0" w:space="0" w:color="auto"/>
        <w:left w:val="none" w:sz="0" w:space="0" w:color="auto"/>
        <w:bottom w:val="none" w:sz="0" w:space="0" w:color="auto"/>
        <w:right w:val="none" w:sz="0" w:space="0" w:color="auto"/>
      </w:divBdr>
    </w:div>
    <w:div w:id="353730207">
      <w:bodyDiv w:val="1"/>
      <w:marLeft w:val="0"/>
      <w:marRight w:val="0"/>
      <w:marTop w:val="0"/>
      <w:marBottom w:val="0"/>
      <w:divBdr>
        <w:top w:val="none" w:sz="0" w:space="0" w:color="auto"/>
        <w:left w:val="none" w:sz="0" w:space="0" w:color="auto"/>
        <w:bottom w:val="none" w:sz="0" w:space="0" w:color="auto"/>
        <w:right w:val="none" w:sz="0" w:space="0" w:color="auto"/>
      </w:divBdr>
    </w:div>
    <w:div w:id="459232137">
      <w:bodyDiv w:val="1"/>
      <w:marLeft w:val="0"/>
      <w:marRight w:val="0"/>
      <w:marTop w:val="0"/>
      <w:marBottom w:val="0"/>
      <w:divBdr>
        <w:top w:val="none" w:sz="0" w:space="0" w:color="auto"/>
        <w:left w:val="none" w:sz="0" w:space="0" w:color="auto"/>
        <w:bottom w:val="none" w:sz="0" w:space="0" w:color="auto"/>
        <w:right w:val="none" w:sz="0" w:space="0" w:color="auto"/>
      </w:divBdr>
      <w:divsChild>
        <w:div w:id="211046123">
          <w:marLeft w:val="0"/>
          <w:marRight w:val="0"/>
          <w:marTop w:val="0"/>
          <w:marBottom w:val="0"/>
          <w:divBdr>
            <w:top w:val="none" w:sz="0" w:space="0" w:color="auto"/>
            <w:left w:val="none" w:sz="0" w:space="0" w:color="auto"/>
            <w:bottom w:val="none" w:sz="0" w:space="0" w:color="auto"/>
            <w:right w:val="none" w:sz="0" w:space="0" w:color="auto"/>
          </w:divBdr>
        </w:div>
        <w:div w:id="1706054268">
          <w:marLeft w:val="0"/>
          <w:marRight w:val="0"/>
          <w:marTop w:val="0"/>
          <w:marBottom w:val="0"/>
          <w:divBdr>
            <w:top w:val="none" w:sz="0" w:space="0" w:color="auto"/>
            <w:left w:val="none" w:sz="0" w:space="0" w:color="auto"/>
            <w:bottom w:val="none" w:sz="0" w:space="0" w:color="auto"/>
            <w:right w:val="none" w:sz="0" w:space="0" w:color="auto"/>
          </w:divBdr>
          <w:divsChild>
            <w:div w:id="436827207">
              <w:marLeft w:val="-75"/>
              <w:marRight w:val="0"/>
              <w:marTop w:val="30"/>
              <w:marBottom w:val="30"/>
              <w:divBdr>
                <w:top w:val="none" w:sz="0" w:space="0" w:color="auto"/>
                <w:left w:val="none" w:sz="0" w:space="0" w:color="auto"/>
                <w:bottom w:val="none" w:sz="0" w:space="0" w:color="auto"/>
                <w:right w:val="none" w:sz="0" w:space="0" w:color="auto"/>
              </w:divBdr>
              <w:divsChild>
                <w:div w:id="172838510">
                  <w:marLeft w:val="0"/>
                  <w:marRight w:val="0"/>
                  <w:marTop w:val="0"/>
                  <w:marBottom w:val="0"/>
                  <w:divBdr>
                    <w:top w:val="none" w:sz="0" w:space="0" w:color="auto"/>
                    <w:left w:val="none" w:sz="0" w:space="0" w:color="auto"/>
                    <w:bottom w:val="none" w:sz="0" w:space="0" w:color="auto"/>
                    <w:right w:val="none" w:sz="0" w:space="0" w:color="auto"/>
                  </w:divBdr>
                  <w:divsChild>
                    <w:div w:id="1094592945">
                      <w:marLeft w:val="0"/>
                      <w:marRight w:val="0"/>
                      <w:marTop w:val="0"/>
                      <w:marBottom w:val="0"/>
                      <w:divBdr>
                        <w:top w:val="none" w:sz="0" w:space="0" w:color="auto"/>
                        <w:left w:val="none" w:sz="0" w:space="0" w:color="auto"/>
                        <w:bottom w:val="none" w:sz="0" w:space="0" w:color="auto"/>
                        <w:right w:val="none" w:sz="0" w:space="0" w:color="auto"/>
                      </w:divBdr>
                    </w:div>
                  </w:divsChild>
                </w:div>
                <w:div w:id="500584092">
                  <w:marLeft w:val="0"/>
                  <w:marRight w:val="0"/>
                  <w:marTop w:val="0"/>
                  <w:marBottom w:val="0"/>
                  <w:divBdr>
                    <w:top w:val="none" w:sz="0" w:space="0" w:color="auto"/>
                    <w:left w:val="none" w:sz="0" w:space="0" w:color="auto"/>
                    <w:bottom w:val="none" w:sz="0" w:space="0" w:color="auto"/>
                    <w:right w:val="none" w:sz="0" w:space="0" w:color="auto"/>
                  </w:divBdr>
                  <w:divsChild>
                    <w:div w:id="2126998890">
                      <w:marLeft w:val="0"/>
                      <w:marRight w:val="0"/>
                      <w:marTop w:val="0"/>
                      <w:marBottom w:val="0"/>
                      <w:divBdr>
                        <w:top w:val="none" w:sz="0" w:space="0" w:color="auto"/>
                        <w:left w:val="none" w:sz="0" w:space="0" w:color="auto"/>
                        <w:bottom w:val="none" w:sz="0" w:space="0" w:color="auto"/>
                        <w:right w:val="none" w:sz="0" w:space="0" w:color="auto"/>
                      </w:divBdr>
                    </w:div>
                  </w:divsChild>
                </w:div>
                <w:div w:id="685641370">
                  <w:marLeft w:val="0"/>
                  <w:marRight w:val="0"/>
                  <w:marTop w:val="0"/>
                  <w:marBottom w:val="0"/>
                  <w:divBdr>
                    <w:top w:val="none" w:sz="0" w:space="0" w:color="auto"/>
                    <w:left w:val="none" w:sz="0" w:space="0" w:color="auto"/>
                    <w:bottom w:val="none" w:sz="0" w:space="0" w:color="auto"/>
                    <w:right w:val="none" w:sz="0" w:space="0" w:color="auto"/>
                  </w:divBdr>
                  <w:divsChild>
                    <w:div w:id="2057510561">
                      <w:marLeft w:val="0"/>
                      <w:marRight w:val="0"/>
                      <w:marTop w:val="0"/>
                      <w:marBottom w:val="0"/>
                      <w:divBdr>
                        <w:top w:val="none" w:sz="0" w:space="0" w:color="auto"/>
                        <w:left w:val="none" w:sz="0" w:space="0" w:color="auto"/>
                        <w:bottom w:val="none" w:sz="0" w:space="0" w:color="auto"/>
                        <w:right w:val="none" w:sz="0" w:space="0" w:color="auto"/>
                      </w:divBdr>
                    </w:div>
                  </w:divsChild>
                </w:div>
                <w:div w:id="1009871958">
                  <w:marLeft w:val="0"/>
                  <w:marRight w:val="0"/>
                  <w:marTop w:val="0"/>
                  <w:marBottom w:val="0"/>
                  <w:divBdr>
                    <w:top w:val="none" w:sz="0" w:space="0" w:color="auto"/>
                    <w:left w:val="none" w:sz="0" w:space="0" w:color="auto"/>
                    <w:bottom w:val="none" w:sz="0" w:space="0" w:color="auto"/>
                    <w:right w:val="none" w:sz="0" w:space="0" w:color="auto"/>
                  </w:divBdr>
                  <w:divsChild>
                    <w:div w:id="82384729">
                      <w:marLeft w:val="0"/>
                      <w:marRight w:val="0"/>
                      <w:marTop w:val="0"/>
                      <w:marBottom w:val="0"/>
                      <w:divBdr>
                        <w:top w:val="none" w:sz="0" w:space="0" w:color="auto"/>
                        <w:left w:val="none" w:sz="0" w:space="0" w:color="auto"/>
                        <w:bottom w:val="none" w:sz="0" w:space="0" w:color="auto"/>
                        <w:right w:val="none" w:sz="0" w:space="0" w:color="auto"/>
                      </w:divBdr>
                    </w:div>
                  </w:divsChild>
                </w:div>
                <w:div w:id="1421100426">
                  <w:marLeft w:val="0"/>
                  <w:marRight w:val="0"/>
                  <w:marTop w:val="0"/>
                  <w:marBottom w:val="0"/>
                  <w:divBdr>
                    <w:top w:val="none" w:sz="0" w:space="0" w:color="auto"/>
                    <w:left w:val="none" w:sz="0" w:space="0" w:color="auto"/>
                    <w:bottom w:val="none" w:sz="0" w:space="0" w:color="auto"/>
                    <w:right w:val="none" w:sz="0" w:space="0" w:color="auto"/>
                  </w:divBdr>
                  <w:divsChild>
                    <w:div w:id="1503740898">
                      <w:marLeft w:val="0"/>
                      <w:marRight w:val="0"/>
                      <w:marTop w:val="0"/>
                      <w:marBottom w:val="0"/>
                      <w:divBdr>
                        <w:top w:val="none" w:sz="0" w:space="0" w:color="auto"/>
                        <w:left w:val="none" w:sz="0" w:space="0" w:color="auto"/>
                        <w:bottom w:val="none" w:sz="0" w:space="0" w:color="auto"/>
                        <w:right w:val="none" w:sz="0" w:space="0" w:color="auto"/>
                      </w:divBdr>
                    </w:div>
                  </w:divsChild>
                </w:div>
                <w:div w:id="1525436178">
                  <w:marLeft w:val="0"/>
                  <w:marRight w:val="0"/>
                  <w:marTop w:val="0"/>
                  <w:marBottom w:val="0"/>
                  <w:divBdr>
                    <w:top w:val="none" w:sz="0" w:space="0" w:color="auto"/>
                    <w:left w:val="none" w:sz="0" w:space="0" w:color="auto"/>
                    <w:bottom w:val="none" w:sz="0" w:space="0" w:color="auto"/>
                    <w:right w:val="none" w:sz="0" w:space="0" w:color="auto"/>
                  </w:divBdr>
                  <w:divsChild>
                    <w:div w:id="2020885658">
                      <w:marLeft w:val="0"/>
                      <w:marRight w:val="0"/>
                      <w:marTop w:val="0"/>
                      <w:marBottom w:val="0"/>
                      <w:divBdr>
                        <w:top w:val="none" w:sz="0" w:space="0" w:color="auto"/>
                        <w:left w:val="none" w:sz="0" w:space="0" w:color="auto"/>
                        <w:bottom w:val="none" w:sz="0" w:space="0" w:color="auto"/>
                        <w:right w:val="none" w:sz="0" w:space="0" w:color="auto"/>
                      </w:divBdr>
                    </w:div>
                  </w:divsChild>
                </w:div>
                <w:div w:id="1635210708">
                  <w:marLeft w:val="0"/>
                  <w:marRight w:val="0"/>
                  <w:marTop w:val="0"/>
                  <w:marBottom w:val="0"/>
                  <w:divBdr>
                    <w:top w:val="none" w:sz="0" w:space="0" w:color="auto"/>
                    <w:left w:val="none" w:sz="0" w:space="0" w:color="auto"/>
                    <w:bottom w:val="none" w:sz="0" w:space="0" w:color="auto"/>
                    <w:right w:val="none" w:sz="0" w:space="0" w:color="auto"/>
                  </w:divBdr>
                  <w:divsChild>
                    <w:div w:id="396169393">
                      <w:marLeft w:val="0"/>
                      <w:marRight w:val="0"/>
                      <w:marTop w:val="0"/>
                      <w:marBottom w:val="0"/>
                      <w:divBdr>
                        <w:top w:val="none" w:sz="0" w:space="0" w:color="auto"/>
                        <w:left w:val="none" w:sz="0" w:space="0" w:color="auto"/>
                        <w:bottom w:val="none" w:sz="0" w:space="0" w:color="auto"/>
                        <w:right w:val="none" w:sz="0" w:space="0" w:color="auto"/>
                      </w:divBdr>
                    </w:div>
                  </w:divsChild>
                </w:div>
                <w:div w:id="1659845120">
                  <w:marLeft w:val="0"/>
                  <w:marRight w:val="0"/>
                  <w:marTop w:val="0"/>
                  <w:marBottom w:val="0"/>
                  <w:divBdr>
                    <w:top w:val="none" w:sz="0" w:space="0" w:color="auto"/>
                    <w:left w:val="none" w:sz="0" w:space="0" w:color="auto"/>
                    <w:bottom w:val="none" w:sz="0" w:space="0" w:color="auto"/>
                    <w:right w:val="none" w:sz="0" w:space="0" w:color="auto"/>
                  </w:divBdr>
                  <w:divsChild>
                    <w:div w:id="768502187">
                      <w:marLeft w:val="0"/>
                      <w:marRight w:val="0"/>
                      <w:marTop w:val="0"/>
                      <w:marBottom w:val="0"/>
                      <w:divBdr>
                        <w:top w:val="none" w:sz="0" w:space="0" w:color="auto"/>
                        <w:left w:val="none" w:sz="0" w:space="0" w:color="auto"/>
                        <w:bottom w:val="none" w:sz="0" w:space="0" w:color="auto"/>
                        <w:right w:val="none" w:sz="0" w:space="0" w:color="auto"/>
                      </w:divBdr>
                    </w:div>
                  </w:divsChild>
                </w:div>
                <w:div w:id="1809665731">
                  <w:marLeft w:val="0"/>
                  <w:marRight w:val="0"/>
                  <w:marTop w:val="0"/>
                  <w:marBottom w:val="0"/>
                  <w:divBdr>
                    <w:top w:val="none" w:sz="0" w:space="0" w:color="auto"/>
                    <w:left w:val="none" w:sz="0" w:space="0" w:color="auto"/>
                    <w:bottom w:val="none" w:sz="0" w:space="0" w:color="auto"/>
                    <w:right w:val="none" w:sz="0" w:space="0" w:color="auto"/>
                  </w:divBdr>
                  <w:divsChild>
                    <w:div w:id="1436901479">
                      <w:marLeft w:val="0"/>
                      <w:marRight w:val="0"/>
                      <w:marTop w:val="0"/>
                      <w:marBottom w:val="0"/>
                      <w:divBdr>
                        <w:top w:val="none" w:sz="0" w:space="0" w:color="auto"/>
                        <w:left w:val="none" w:sz="0" w:space="0" w:color="auto"/>
                        <w:bottom w:val="none" w:sz="0" w:space="0" w:color="auto"/>
                        <w:right w:val="none" w:sz="0" w:space="0" w:color="auto"/>
                      </w:divBdr>
                    </w:div>
                  </w:divsChild>
                </w:div>
                <w:div w:id="1814983999">
                  <w:marLeft w:val="0"/>
                  <w:marRight w:val="0"/>
                  <w:marTop w:val="0"/>
                  <w:marBottom w:val="0"/>
                  <w:divBdr>
                    <w:top w:val="none" w:sz="0" w:space="0" w:color="auto"/>
                    <w:left w:val="none" w:sz="0" w:space="0" w:color="auto"/>
                    <w:bottom w:val="none" w:sz="0" w:space="0" w:color="auto"/>
                    <w:right w:val="none" w:sz="0" w:space="0" w:color="auto"/>
                  </w:divBdr>
                  <w:divsChild>
                    <w:div w:id="748768668">
                      <w:marLeft w:val="0"/>
                      <w:marRight w:val="0"/>
                      <w:marTop w:val="0"/>
                      <w:marBottom w:val="0"/>
                      <w:divBdr>
                        <w:top w:val="none" w:sz="0" w:space="0" w:color="auto"/>
                        <w:left w:val="none" w:sz="0" w:space="0" w:color="auto"/>
                        <w:bottom w:val="none" w:sz="0" w:space="0" w:color="auto"/>
                        <w:right w:val="none" w:sz="0" w:space="0" w:color="auto"/>
                      </w:divBdr>
                    </w:div>
                  </w:divsChild>
                </w:div>
                <w:div w:id="2021347070">
                  <w:marLeft w:val="0"/>
                  <w:marRight w:val="0"/>
                  <w:marTop w:val="0"/>
                  <w:marBottom w:val="0"/>
                  <w:divBdr>
                    <w:top w:val="none" w:sz="0" w:space="0" w:color="auto"/>
                    <w:left w:val="none" w:sz="0" w:space="0" w:color="auto"/>
                    <w:bottom w:val="none" w:sz="0" w:space="0" w:color="auto"/>
                    <w:right w:val="none" w:sz="0" w:space="0" w:color="auto"/>
                  </w:divBdr>
                  <w:divsChild>
                    <w:div w:id="151094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739401">
      <w:bodyDiv w:val="1"/>
      <w:marLeft w:val="0"/>
      <w:marRight w:val="0"/>
      <w:marTop w:val="0"/>
      <w:marBottom w:val="0"/>
      <w:divBdr>
        <w:top w:val="none" w:sz="0" w:space="0" w:color="auto"/>
        <w:left w:val="none" w:sz="0" w:space="0" w:color="auto"/>
        <w:bottom w:val="none" w:sz="0" w:space="0" w:color="auto"/>
        <w:right w:val="none" w:sz="0" w:space="0" w:color="auto"/>
      </w:divBdr>
    </w:div>
    <w:div w:id="501625649">
      <w:bodyDiv w:val="1"/>
      <w:marLeft w:val="0"/>
      <w:marRight w:val="0"/>
      <w:marTop w:val="0"/>
      <w:marBottom w:val="0"/>
      <w:divBdr>
        <w:top w:val="none" w:sz="0" w:space="0" w:color="auto"/>
        <w:left w:val="none" w:sz="0" w:space="0" w:color="auto"/>
        <w:bottom w:val="none" w:sz="0" w:space="0" w:color="auto"/>
        <w:right w:val="none" w:sz="0" w:space="0" w:color="auto"/>
      </w:divBdr>
    </w:div>
    <w:div w:id="527643592">
      <w:bodyDiv w:val="1"/>
      <w:marLeft w:val="0"/>
      <w:marRight w:val="0"/>
      <w:marTop w:val="0"/>
      <w:marBottom w:val="0"/>
      <w:divBdr>
        <w:top w:val="none" w:sz="0" w:space="0" w:color="auto"/>
        <w:left w:val="none" w:sz="0" w:space="0" w:color="auto"/>
        <w:bottom w:val="none" w:sz="0" w:space="0" w:color="auto"/>
        <w:right w:val="none" w:sz="0" w:space="0" w:color="auto"/>
      </w:divBdr>
    </w:div>
    <w:div w:id="531380286">
      <w:bodyDiv w:val="1"/>
      <w:marLeft w:val="0"/>
      <w:marRight w:val="0"/>
      <w:marTop w:val="0"/>
      <w:marBottom w:val="0"/>
      <w:divBdr>
        <w:top w:val="none" w:sz="0" w:space="0" w:color="auto"/>
        <w:left w:val="none" w:sz="0" w:space="0" w:color="auto"/>
        <w:bottom w:val="none" w:sz="0" w:space="0" w:color="auto"/>
        <w:right w:val="none" w:sz="0" w:space="0" w:color="auto"/>
      </w:divBdr>
    </w:div>
    <w:div w:id="537353464">
      <w:bodyDiv w:val="1"/>
      <w:marLeft w:val="0"/>
      <w:marRight w:val="0"/>
      <w:marTop w:val="0"/>
      <w:marBottom w:val="0"/>
      <w:divBdr>
        <w:top w:val="none" w:sz="0" w:space="0" w:color="auto"/>
        <w:left w:val="none" w:sz="0" w:space="0" w:color="auto"/>
        <w:bottom w:val="none" w:sz="0" w:space="0" w:color="auto"/>
        <w:right w:val="none" w:sz="0" w:space="0" w:color="auto"/>
      </w:divBdr>
    </w:div>
    <w:div w:id="556472296">
      <w:bodyDiv w:val="1"/>
      <w:marLeft w:val="0"/>
      <w:marRight w:val="0"/>
      <w:marTop w:val="0"/>
      <w:marBottom w:val="0"/>
      <w:divBdr>
        <w:top w:val="none" w:sz="0" w:space="0" w:color="auto"/>
        <w:left w:val="none" w:sz="0" w:space="0" w:color="auto"/>
        <w:bottom w:val="none" w:sz="0" w:space="0" w:color="auto"/>
        <w:right w:val="none" w:sz="0" w:space="0" w:color="auto"/>
      </w:divBdr>
    </w:div>
    <w:div w:id="573587924">
      <w:bodyDiv w:val="1"/>
      <w:marLeft w:val="0"/>
      <w:marRight w:val="0"/>
      <w:marTop w:val="0"/>
      <w:marBottom w:val="0"/>
      <w:divBdr>
        <w:top w:val="none" w:sz="0" w:space="0" w:color="auto"/>
        <w:left w:val="none" w:sz="0" w:space="0" w:color="auto"/>
        <w:bottom w:val="none" w:sz="0" w:space="0" w:color="auto"/>
        <w:right w:val="none" w:sz="0" w:space="0" w:color="auto"/>
      </w:divBdr>
    </w:div>
    <w:div w:id="584732588">
      <w:bodyDiv w:val="1"/>
      <w:marLeft w:val="0"/>
      <w:marRight w:val="0"/>
      <w:marTop w:val="0"/>
      <w:marBottom w:val="0"/>
      <w:divBdr>
        <w:top w:val="none" w:sz="0" w:space="0" w:color="auto"/>
        <w:left w:val="none" w:sz="0" w:space="0" w:color="auto"/>
        <w:bottom w:val="none" w:sz="0" w:space="0" w:color="auto"/>
        <w:right w:val="none" w:sz="0" w:space="0" w:color="auto"/>
      </w:divBdr>
    </w:div>
    <w:div w:id="588152245">
      <w:bodyDiv w:val="1"/>
      <w:marLeft w:val="0"/>
      <w:marRight w:val="0"/>
      <w:marTop w:val="0"/>
      <w:marBottom w:val="0"/>
      <w:divBdr>
        <w:top w:val="none" w:sz="0" w:space="0" w:color="auto"/>
        <w:left w:val="none" w:sz="0" w:space="0" w:color="auto"/>
        <w:bottom w:val="none" w:sz="0" w:space="0" w:color="auto"/>
        <w:right w:val="none" w:sz="0" w:space="0" w:color="auto"/>
      </w:divBdr>
    </w:div>
    <w:div w:id="667296035">
      <w:bodyDiv w:val="1"/>
      <w:marLeft w:val="0"/>
      <w:marRight w:val="0"/>
      <w:marTop w:val="0"/>
      <w:marBottom w:val="0"/>
      <w:divBdr>
        <w:top w:val="none" w:sz="0" w:space="0" w:color="auto"/>
        <w:left w:val="none" w:sz="0" w:space="0" w:color="auto"/>
        <w:bottom w:val="none" w:sz="0" w:space="0" w:color="auto"/>
        <w:right w:val="none" w:sz="0" w:space="0" w:color="auto"/>
      </w:divBdr>
    </w:div>
    <w:div w:id="681904626">
      <w:bodyDiv w:val="1"/>
      <w:marLeft w:val="0"/>
      <w:marRight w:val="0"/>
      <w:marTop w:val="0"/>
      <w:marBottom w:val="0"/>
      <w:divBdr>
        <w:top w:val="none" w:sz="0" w:space="0" w:color="auto"/>
        <w:left w:val="none" w:sz="0" w:space="0" w:color="auto"/>
        <w:bottom w:val="none" w:sz="0" w:space="0" w:color="auto"/>
        <w:right w:val="none" w:sz="0" w:space="0" w:color="auto"/>
      </w:divBdr>
    </w:div>
    <w:div w:id="712001318">
      <w:bodyDiv w:val="1"/>
      <w:marLeft w:val="0"/>
      <w:marRight w:val="0"/>
      <w:marTop w:val="0"/>
      <w:marBottom w:val="0"/>
      <w:divBdr>
        <w:top w:val="none" w:sz="0" w:space="0" w:color="auto"/>
        <w:left w:val="none" w:sz="0" w:space="0" w:color="auto"/>
        <w:bottom w:val="none" w:sz="0" w:space="0" w:color="auto"/>
        <w:right w:val="none" w:sz="0" w:space="0" w:color="auto"/>
      </w:divBdr>
    </w:div>
    <w:div w:id="834882343">
      <w:bodyDiv w:val="1"/>
      <w:marLeft w:val="0"/>
      <w:marRight w:val="0"/>
      <w:marTop w:val="0"/>
      <w:marBottom w:val="0"/>
      <w:divBdr>
        <w:top w:val="none" w:sz="0" w:space="0" w:color="auto"/>
        <w:left w:val="none" w:sz="0" w:space="0" w:color="auto"/>
        <w:bottom w:val="none" w:sz="0" w:space="0" w:color="auto"/>
        <w:right w:val="none" w:sz="0" w:space="0" w:color="auto"/>
      </w:divBdr>
    </w:div>
    <w:div w:id="854418164">
      <w:bodyDiv w:val="1"/>
      <w:marLeft w:val="0"/>
      <w:marRight w:val="0"/>
      <w:marTop w:val="0"/>
      <w:marBottom w:val="0"/>
      <w:divBdr>
        <w:top w:val="none" w:sz="0" w:space="0" w:color="auto"/>
        <w:left w:val="none" w:sz="0" w:space="0" w:color="auto"/>
        <w:bottom w:val="none" w:sz="0" w:space="0" w:color="auto"/>
        <w:right w:val="none" w:sz="0" w:space="0" w:color="auto"/>
      </w:divBdr>
      <w:divsChild>
        <w:div w:id="1148085890">
          <w:marLeft w:val="0"/>
          <w:marRight w:val="0"/>
          <w:marTop w:val="0"/>
          <w:marBottom w:val="0"/>
          <w:divBdr>
            <w:top w:val="none" w:sz="0" w:space="0" w:color="auto"/>
            <w:left w:val="none" w:sz="0" w:space="0" w:color="auto"/>
            <w:bottom w:val="none" w:sz="0" w:space="0" w:color="auto"/>
            <w:right w:val="none" w:sz="0" w:space="0" w:color="auto"/>
          </w:divBdr>
          <w:divsChild>
            <w:div w:id="19615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284">
      <w:bodyDiv w:val="1"/>
      <w:marLeft w:val="0"/>
      <w:marRight w:val="0"/>
      <w:marTop w:val="0"/>
      <w:marBottom w:val="0"/>
      <w:divBdr>
        <w:top w:val="none" w:sz="0" w:space="0" w:color="auto"/>
        <w:left w:val="none" w:sz="0" w:space="0" w:color="auto"/>
        <w:bottom w:val="none" w:sz="0" w:space="0" w:color="auto"/>
        <w:right w:val="none" w:sz="0" w:space="0" w:color="auto"/>
      </w:divBdr>
    </w:div>
    <w:div w:id="868447930">
      <w:bodyDiv w:val="1"/>
      <w:marLeft w:val="0"/>
      <w:marRight w:val="0"/>
      <w:marTop w:val="0"/>
      <w:marBottom w:val="0"/>
      <w:divBdr>
        <w:top w:val="none" w:sz="0" w:space="0" w:color="auto"/>
        <w:left w:val="none" w:sz="0" w:space="0" w:color="auto"/>
        <w:bottom w:val="none" w:sz="0" w:space="0" w:color="auto"/>
        <w:right w:val="none" w:sz="0" w:space="0" w:color="auto"/>
      </w:divBdr>
    </w:div>
    <w:div w:id="870143635">
      <w:bodyDiv w:val="1"/>
      <w:marLeft w:val="0"/>
      <w:marRight w:val="0"/>
      <w:marTop w:val="0"/>
      <w:marBottom w:val="0"/>
      <w:divBdr>
        <w:top w:val="none" w:sz="0" w:space="0" w:color="auto"/>
        <w:left w:val="none" w:sz="0" w:space="0" w:color="auto"/>
        <w:bottom w:val="none" w:sz="0" w:space="0" w:color="auto"/>
        <w:right w:val="none" w:sz="0" w:space="0" w:color="auto"/>
      </w:divBdr>
    </w:div>
    <w:div w:id="890458174">
      <w:bodyDiv w:val="1"/>
      <w:marLeft w:val="0"/>
      <w:marRight w:val="0"/>
      <w:marTop w:val="0"/>
      <w:marBottom w:val="0"/>
      <w:divBdr>
        <w:top w:val="none" w:sz="0" w:space="0" w:color="auto"/>
        <w:left w:val="none" w:sz="0" w:space="0" w:color="auto"/>
        <w:bottom w:val="none" w:sz="0" w:space="0" w:color="auto"/>
        <w:right w:val="none" w:sz="0" w:space="0" w:color="auto"/>
      </w:divBdr>
    </w:div>
    <w:div w:id="896745711">
      <w:bodyDiv w:val="1"/>
      <w:marLeft w:val="0"/>
      <w:marRight w:val="0"/>
      <w:marTop w:val="0"/>
      <w:marBottom w:val="0"/>
      <w:divBdr>
        <w:top w:val="none" w:sz="0" w:space="0" w:color="auto"/>
        <w:left w:val="none" w:sz="0" w:space="0" w:color="auto"/>
        <w:bottom w:val="none" w:sz="0" w:space="0" w:color="auto"/>
        <w:right w:val="none" w:sz="0" w:space="0" w:color="auto"/>
      </w:divBdr>
      <w:divsChild>
        <w:div w:id="294604790">
          <w:marLeft w:val="0"/>
          <w:marRight w:val="0"/>
          <w:marTop w:val="0"/>
          <w:marBottom w:val="0"/>
          <w:divBdr>
            <w:top w:val="none" w:sz="0" w:space="0" w:color="auto"/>
            <w:left w:val="none" w:sz="0" w:space="0" w:color="auto"/>
            <w:bottom w:val="none" w:sz="0" w:space="0" w:color="auto"/>
            <w:right w:val="none" w:sz="0" w:space="0" w:color="auto"/>
          </w:divBdr>
        </w:div>
        <w:div w:id="581330069">
          <w:marLeft w:val="0"/>
          <w:marRight w:val="0"/>
          <w:marTop w:val="0"/>
          <w:marBottom w:val="0"/>
          <w:divBdr>
            <w:top w:val="none" w:sz="0" w:space="0" w:color="auto"/>
            <w:left w:val="none" w:sz="0" w:space="0" w:color="auto"/>
            <w:bottom w:val="none" w:sz="0" w:space="0" w:color="auto"/>
            <w:right w:val="none" w:sz="0" w:space="0" w:color="auto"/>
          </w:divBdr>
        </w:div>
        <w:div w:id="808128492">
          <w:marLeft w:val="0"/>
          <w:marRight w:val="0"/>
          <w:marTop w:val="0"/>
          <w:marBottom w:val="0"/>
          <w:divBdr>
            <w:top w:val="none" w:sz="0" w:space="0" w:color="auto"/>
            <w:left w:val="none" w:sz="0" w:space="0" w:color="auto"/>
            <w:bottom w:val="none" w:sz="0" w:space="0" w:color="auto"/>
            <w:right w:val="none" w:sz="0" w:space="0" w:color="auto"/>
          </w:divBdr>
        </w:div>
        <w:div w:id="1102337857">
          <w:marLeft w:val="0"/>
          <w:marRight w:val="0"/>
          <w:marTop w:val="0"/>
          <w:marBottom w:val="0"/>
          <w:divBdr>
            <w:top w:val="none" w:sz="0" w:space="0" w:color="auto"/>
            <w:left w:val="none" w:sz="0" w:space="0" w:color="auto"/>
            <w:bottom w:val="none" w:sz="0" w:space="0" w:color="auto"/>
            <w:right w:val="none" w:sz="0" w:space="0" w:color="auto"/>
          </w:divBdr>
        </w:div>
        <w:div w:id="1125855104">
          <w:marLeft w:val="0"/>
          <w:marRight w:val="0"/>
          <w:marTop w:val="0"/>
          <w:marBottom w:val="0"/>
          <w:divBdr>
            <w:top w:val="none" w:sz="0" w:space="0" w:color="auto"/>
            <w:left w:val="none" w:sz="0" w:space="0" w:color="auto"/>
            <w:bottom w:val="none" w:sz="0" w:space="0" w:color="auto"/>
            <w:right w:val="none" w:sz="0" w:space="0" w:color="auto"/>
          </w:divBdr>
        </w:div>
        <w:div w:id="1399747594">
          <w:marLeft w:val="0"/>
          <w:marRight w:val="0"/>
          <w:marTop w:val="0"/>
          <w:marBottom w:val="0"/>
          <w:divBdr>
            <w:top w:val="none" w:sz="0" w:space="0" w:color="auto"/>
            <w:left w:val="none" w:sz="0" w:space="0" w:color="auto"/>
            <w:bottom w:val="none" w:sz="0" w:space="0" w:color="auto"/>
            <w:right w:val="none" w:sz="0" w:space="0" w:color="auto"/>
          </w:divBdr>
        </w:div>
        <w:div w:id="1407802356">
          <w:marLeft w:val="0"/>
          <w:marRight w:val="0"/>
          <w:marTop w:val="0"/>
          <w:marBottom w:val="0"/>
          <w:divBdr>
            <w:top w:val="none" w:sz="0" w:space="0" w:color="auto"/>
            <w:left w:val="none" w:sz="0" w:space="0" w:color="auto"/>
            <w:bottom w:val="none" w:sz="0" w:space="0" w:color="auto"/>
            <w:right w:val="none" w:sz="0" w:space="0" w:color="auto"/>
          </w:divBdr>
        </w:div>
        <w:div w:id="1583293002">
          <w:marLeft w:val="0"/>
          <w:marRight w:val="0"/>
          <w:marTop w:val="0"/>
          <w:marBottom w:val="0"/>
          <w:divBdr>
            <w:top w:val="none" w:sz="0" w:space="0" w:color="auto"/>
            <w:left w:val="none" w:sz="0" w:space="0" w:color="auto"/>
            <w:bottom w:val="none" w:sz="0" w:space="0" w:color="auto"/>
            <w:right w:val="none" w:sz="0" w:space="0" w:color="auto"/>
          </w:divBdr>
        </w:div>
        <w:div w:id="1598828151">
          <w:marLeft w:val="0"/>
          <w:marRight w:val="0"/>
          <w:marTop w:val="0"/>
          <w:marBottom w:val="0"/>
          <w:divBdr>
            <w:top w:val="none" w:sz="0" w:space="0" w:color="auto"/>
            <w:left w:val="none" w:sz="0" w:space="0" w:color="auto"/>
            <w:bottom w:val="none" w:sz="0" w:space="0" w:color="auto"/>
            <w:right w:val="none" w:sz="0" w:space="0" w:color="auto"/>
          </w:divBdr>
        </w:div>
        <w:div w:id="1999842606">
          <w:marLeft w:val="0"/>
          <w:marRight w:val="0"/>
          <w:marTop w:val="0"/>
          <w:marBottom w:val="0"/>
          <w:divBdr>
            <w:top w:val="none" w:sz="0" w:space="0" w:color="auto"/>
            <w:left w:val="none" w:sz="0" w:space="0" w:color="auto"/>
            <w:bottom w:val="none" w:sz="0" w:space="0" w:color="auto"/>
            <w:right w:val="none" w:sz="0" w:space="0" w:color="auto"/>
          </w:divBdr>
        </w:div>
      </w:divsChild>
    </w:div>
    <w:div w:id="909509709">
      <w:bodyDiv w:val="1"/>
      <w:marLeft w:val="0"/>
      <w:marRight w:val="0"/>
      <w:marTop w:val="0"/>
      <w:marBottom w:val="0"/>
      <w:divBdr>
        <w:top w:val="none" w:sz="0" w:space="0" w:color="auto"/>
        <w:left w:val="none" w:sz="0" w:space="0" w:color="auto"/>
        <w:bottom w:val="none" w:sz="0" w:space="0" w:color="auto"/>
        <w:right w:val="none" w:sz="0" w:space="0" w:color="auto"/>
      </w:divBdr>
    </w:div>
    <w:div w:id="942886149">
      <w:bodyDiv w:val="1"/>
      <w:marLeft w:val="0"/>
      <w:marRight w:val="0"/>
      <w:marTop w:val="0"/>
      <w:marBottom w:val="0"/>
      <w:divBdr>
        <w:top w:val="none" w:sz="0" w:space="0" w:color="auto"/>
        <w:left w:val="none" w:sz="0" w:space="0" w:color="auto"/>
        <w:bottom w:val="none" w:sz="0" w:space="0" w:color="auto"/>
        <w:right w:val="none" w:sz="0" w:space="0" w:color="auto"/>
      </w:divBdr>
    </w:div>
    <w:div w:id="951009324">
      <w:bodyDiv w:val="1"/>
      <w:marLeft w:val="0"/>
      <w:marRight w:val="0"/>
      <w:marTop w:val="0"/>
      <w:marBottom w:val="0"/>
      <w:divBdr>
        <w:top w:val="none" w:sz="0" w:space="0" w:color="auto"/>
        <w:left w:val="none" w:sz="0" w:space="0" w:color="auto"/>
        <w:bottom w:val="none" w:sz="0" w:space="0" w:color="auto"/>
        <w:right w:val="none" w:sz="0" w:space="0" w:color="auto"/>
      </w:divBdr>
    </w:div>
    <w:div w:id="987395929">
      <w:bodyDiv w:val="1"/>
      <w:marLeft w:val="0"/>
      <w:marRight w:val="0"/>
      <w:marTop w:val="0"/>
      <w:marBottom w:val="0"/>
      <w:divBdr>
        <w:top w:val="none" w:sz="0" w:space="0" w:color="auto"/>
        <w:left w:val="none" w:sz="0" w:space="0" w:color="auto"/>
        <w:bottom w:val="none" w:sz="0" w:space="0" w:color="auto"/>
        <w:right w:val="none" w:sz="0" w:space="0" w:color="auto"/>
      </w:divBdr>
    </w:div>
    <w:div w:id="992836393">
      <w:bodyDiv w:val="1"/>
      <w:marLeft w:val="0"/>
      <w:marRight w:val="0"/>
      <w:marTop w:val="0"/>
      <w:marBottom w:val="0"/>
      <w:divBdr>
        <w:top w:val="none" w:sz="0" w:space="0" w:color="auto"/>
        <w:left w:val="none" w:sz="0" w:space="0" w:color="auto"/>
        <w:bottom w:val="none" w:sz="0" w:space="0" w:color="auto"/>
        <w:right w:val="none" w:sz="0" w:space="0" w:color="auto"/>
      </w:divBdr>
    </w:div>
    <w:div w:id="1045714342">
      <w:bodyDiv w:val="1"/>
      <w:marLeft w:val="0"/>
      <w:marRight w:val="0"/>
      <w:marTop w:val="0"/>
      <w:marBottom w:val="0"/>
      <w:divBdr>
        <w:top w:val="none" w:sz="0" w:space="0" w:color="auto"/>
        <w:left w:val="none" w:sz="0" w:space="0" w:color="auto"/>
        <w:bottom w:val="none" w:sz="0" w:space="0" w:color="auto"/>
        <w:right w:val="none" w:sz="0" w:space="0" w:color="auto"/>
      </w:divBdr>
    </w:div>
    <w:div w:id="1058748380">
      <w:bodyDiv w:val="1"/>
      <w:marLeft w:val="0"/>
      <w:marRight w:val="0"/>
      <w:marTop w:val="0"/>
      <w:marBottom w:val="0"/>
      <w:divBdr>
        <w:top w:val="none" w:sz="0" w:space="0" w:color="auto"/>
        <w:left w:val="none" w:sz="0" w:space="0" w:color="auto"/>
        <w:bottom w:val="none" w:sz="0" w:space="0" w:color="auto"/>
        <w:right w:val="none" w:sz="0" w:space="0" w:color="auto"/>
      </w:divBdr>
    </w:div>
    <w:div w:id="1073695307">
      <w:bodyDiv w:val="1"/>
      <w:marLeft w:val="0"/>
      <w:marRight w:val="0"/>
      <w:marTop w:val="0"/>
      <w:marBottom w:val="0"/>
      <w:divBdr>
        <w:top w:val="none" w:sz="0" w:space="0" w:color="auto"/>
        <w:left w:val="none" w:sz="0" w:space="0" w:color="auto"/>
        <w:bottom w:val="none" w:sz="0" w:space="0" w:color="auto"/>
        <w:right w:val="none" w:sz="0" w:space="0" w:color="auto"/>
      </w:divBdr>
    </w:div>
    <w:div w:id="1076779478">
      <w:bodyDiv w:val="1"/>
      <w:marLeft w:val="0"/>
      <w:marRight w:val="0"/>
      <w:marTop w:val="0"/>
      <w:marBottom w:val="0"/>
      <w:divBdr>
        <w:top w:val="none" w:sz="0" w:space="0" w:color="auto"/>
        <w:left w:val="none" w:sz="0" w:space="0" w:color="auto"/>
        <w:bottom w:val="none" w:sz="0" w:space="0" w:color="auto"/>
        <w:right w:val="none" w:sz="0" w:space="0" w:color="auto"/>
      </w:divBdr>
    </w:div>
    <w:div w:id="1089816238">
      <w:bodyDiv w:val="1"/>
      <w:marLeft w:val="0"/>
      <w:marRight w:val="0"/>
      <w:marTop w:val="0"/>
      <w:marBottom w:val="0"/>
      <w:divBdr>
        <w:top w:val="none" w:sz="0" w:space="0" w:color="auto"/>
        <w:left w:val="none" w:sz="0" w:space="0" w:color="auto"/>
        <w:bottom w:val="none" w:sz="0" w:space="0" w:color="auto"/>
        <w:right w:val="none" w:sz="0" w:space="0" w:color="auto"/>
      </w:divBdr>
      <w:divsChild>
        <w:div w:id="198396427">
          <w:marLeft w:val="0"/>
          <w:marRight w:val="0"/>
          <w:marTop w:val="0"/>
          <w:marBottom w:val="0"/>
          <w:divBdr>
            <w:top w:val="none" w:sz="0" w:space="0" w:color="auto"/>
            <w:left w:val="none" w:sz="0" w:space="0" w:color="auto"/>
            <w:bottom w:val="none" w:sz="0" w:space="0" w:color="auto"/>
            <w:right w:val="none" w:sz="0" w:space="0" w:color="auto"/>
          </w:divBdr>
        </w:div>
        <w:div w:id="202404985">
          <w:marLeft w:val="0"/>
          <w:marRight w:val="0"/>
          <w:marTop w:val="0"/>
          <w:marBottom w:val="0"/>
          <w:divBdr>
            <w:top w:val="none" w:sz="0" w:space="0" w:color="auto"/>
            <w:left w:val="none" w:sz="0" w:space="0" w:color="auto"/>
            <w:bottom w:val="none" w:sz="0" w:space="0" w:color="auto"/>
            <w:right w:val="none" w:sz="0" w:space="0" w:color="auto"/>
          </w:divBdr>
        </w:div>
        <w:div w:id="471479946">
          <w:marLeft w:val="0"/>
          <w:marRight w:val="0"/>
          <w:marTop w:val="0"/>
          <w:marBottom w:val="0"/>
          <w:divBdr>
            <w:top w:val="none" w:sz="0" w:space="0" w:color="auto"/>
            <w:left w:val="none" w:sz="0" w:space="0" w:color="auto"/>
            <w:bottom w:val="none" w:sz="0" w:space="0" w:color="auto"/>
            <w:right w:val="none" w:sz="0" w:space="0" w:color="auto"/>
          </w:divBdr>
        </w:div>
        <w:div w:id="614096587">
          <w:marLeft w:val="0"/>
          <w:marRight w:val="0"/>
          <w:marTop w:val="0"/>
          <w:marBottom w:val="0"/>
          <w:divBdr>
            <w:top w:val="none" w:sz="0" w:space="0" w:color="auto"/>
            <w:left w:val="none" w:sz="0" w:space="0" w:color="auto"/>
            <w:bottom w:val="none" w:sz="0" w:space="0" w:color="auto"/>
            <w:right w:val="none" w:sz="0" w:space="0" w:color="auto"/>
          </w:divBdr>
        </w:div>
        <w:div w:id="831531926">
          <w:marLeft w:val="0"/>
          <w:marRight w:val="0"/>
          <w:marTop w:val="0"/>
          <w:marBottom w:val="0"/>
          <w:divBdr>
            <w:top w:val="none" w:sz="0" w:space="0" w:color="auto"/>
            <w:left w:val="none" w:sz="0" w:space="0" w:color="auto"/>
            <w:bottom w:val="none" w:sz="0" w:space="0" w:color="auto"/>
            <w:right w:val="none" w:sz="0" w:space="0" w:color="auto"/>
          </w:divBdr>
        </w:div>
        <w:div w:id="1019283062">
          <w:marLeft w:val="0"/>
          <w:marRight w:val="0"/>
          <w:marTop w:val="0"/>
          <w:marBottom w:val="0"/>
          <w:divBdr>
            <w:top w:val="none" w:sz="0" w:space="0" w:color="auto"/>
            <w:left w:val="none" w:sz="0" w:space="0" w:color="auto"/>
            <w:bottom w:val="none" w:sz="0" w:space="0" w:color="auto"/>
            <w:right w:val="none" w:sz="0" w:space="0" w:color="auto"/>
          </w:divBdr>
        </w:div>
        <w:div w:id="1453404444">
          <w:marLeft w:val="0"/>
          <w:marRight w:val="0"/>
          <w:marTop w:val="0"/>
          <w:marBottom w:val="0"/>
          <w:divBdr>
            <w:top w:val="none" w:sz="0" w:space="0" w:color="auto"/>
            <w:left w:val="none" w:sz="0" w:space="0" w:color="auto"/>
            <w:bottom w:val="none" w:sz="0" w:space="0" w:color="auto"/>
            <w:right w:val="none" w:sz="0" w:space="0" w:color="auto"/>
          </w:divBdr>
        </w:div>
        <w:div w:id="1602643242">
          <w:marLeft w:val="0"/>
          <w:marRight w:val="0"/>
          <w:marTop w:val="0"/>
          <w:marBottom w:val="0"/>
          <w:divBdr>
            <w:top w:val="none" w:sz="0" w:space="0" w:color="auto"/>
            <w:left w:val="none" w:sz="0" w:space="0" w:color="auto"/>
            <w:bottom w:val="none" w:sz="0" w:space="0" w:color="auto"/>
            <w:right w:val="none" w:sz="0" w:space="0" w:color="auto"/>
          </w:divBdr>
        </w:div>
        <w:div w:id="2034113285">
          <w:marLeft w:val="0"/>
          <w:marRight w:val="0"/>
          <w:marTop w:val="0"/>
          <w:marBottom w:val="0"/>
          <w:divBdr>
            <w:top w:val="none" w:sz="0" w:space="0" w:color="auto"/>
            <w:left w:val="none" w:sz="0" w:space="0" w:color="auto"/>
            <w:bottom w:val="none" w:sz="0" w:space="0" w:color="auto"/>
            <w:right w:val="none" w:sz="0" w:space="0" w:color="auto"/>
          </w:divBdr>
        </w:div>
        <w:div w:id="2131778623">
          <w:marLeft w:val="0"/>
          <w:marRight w:val="0"/>
          <w:marTop w:val="0"/>
          <w:marBottom w:val="0"/>
          <w:divBdr>
            <w:top w:val="none" w:sz="0" w:space="0" w:color="auto"/>
            <w:left w:val="none" w:sz="0" w:space="0" w:color="auto"/>
            <w:bottom w:val="none" w:sz="0" w:space="0" w:color="auto"/>
            <w:right w:val="none" w:sz="0" w:space="0" w:color="auto"/>
          </w:divBdr>
        </w:div>
      </w:divsChild>
    </w:div>
    <w:div w:id="1094477066">
      <w:bodyDiv w:val="1"/>
      <w:marLeft w:val="0"/>
      <w:marRight w:val="0"/>
      <w:marTop w:val="0"/>
      <w:marBottom w:val="0"/>
      <w:divBdr>
        <w:top w:val="none" w:sz="0" w:space="0" w:color="auto"/>
        <w:left w:val="none" w:sz="0" w:space="0" w:color="auto"/>
        <w:bottom w:val="none" w:sz="0" w:space="0" w:color="auto"/>
        <w:right w:val="none" w:sz="0" w:space="0" w:color="auto"/>
      </w:divBdr>
    </w:div>
    <w:div w:id="1133400008">
      <w:bodyDiv w:val="1"/>
      <w:marLeft w:val="0"/>
      <w:marRight w:val="0"/>
      <w:marTop w:val="0"/>
      <w:marBottom w:val="0"/>
      <w:divBdr>
        <w:top w:val="none" w:sz="0" w:space="0" w:color="auto"/>
        <w:left w:val="none" w:sz="0" w:space="0" w:color="auto"/>
        <w:bottom w:val="none" w:sz="0" w:space="0" w:color="auto"/>
        <w:right w:val="none" w:sz="0" w:space="0" w:color="auto"/>
      </w:divBdr>
    </w:div>
    <w:div w:id="1140734365">
      <w:bodyDiv w:val="1"/>
      <w:marLeft w:val="0"/>
      <w:marRight w:val="0"/>
      <w:marTop w:val="0"/>
      <w:marBottom w:val="0"/>
      <w:divBdr>
        <w:top w:val="none" w:sz="0" w:space="0" w:color="auto"/>
        <w:left w:val="none" w:sz="0" w:space="0" w:color="auto"/>
        <w:bottom w:val="none" w:sz="0" w:space="0" w:color="auto"/>
        <w:right w:val="none" w:sz="0" w:space="0" w:color="auto"/>
      </w:divBdr>
    </w:div>
    <w:div w:id="1177885318">
      <w:bodyDiv w:val="1"/>
      <w:marLeft w:val="0"/>
      <w:marRight w:val="0"/>
      <w:marTop w:val="0"/>
      <w:marBottom w:val="0"/>
      <w:divBdr>
        <w:top w:val="none" w:sz="0" w:space="0" w:color="auto"/>
        <w:left w:val="none" w:sz="0" w:space="0" w:color="auto"/>
        <w:bottom w:val="none" w:sz="0" w:space="0" w:color="auto"/>
        <w:right w:val="none" w:sz="0" w:space="0" w:color="auto"/>
      </w:divBdr>
    </w:div>
    <w:div w:id="1185023869">
      <w:bodyDiv w:val="1"/>
      <w:marLeft w:val="0"/>
      <w:marRight w:val="0"/>
      <w:marTop w:val="0"/>
      <w:marBottom w:val="0"/>
      <w:divBdr>
        <w:top w:val="none" w:sz="0" w:space="0" w:color="auto"/>
        <w:left w:val="none" w:sz="0" w:space="0" w:color="auto"/>
        <w:bottom w:val="none" w:sz="0" w:space="0" w:color="auto"/>
        <w:right w:val="none" w:sz="0" w:space="0" w:color="auto"/>
      </w:divBdr>
    </w:div>
    <w:div w:id="1228615511">
      <w:bodyDiv w:val="1"/>
      <w:marLeft w:val="0"/>
      <w:marRight w:val="0"/>
      <w:marTop w:val="0"/>
      <w:marBottom w:val="0"/>
      <w:divBdr>
        <w:top w:val="none" w:sz="0" w:space="0" w:color="auto"/>
        <w:left w:val="none" w:sz="0" w:space="0" w:color="auto"/>
        <w:bottom w:val="none" w:sz="0" w:space="0" w:color="auto"/>
        <w:right w:val="none" w:sz="0" w:space="0" w:color="auto"/>
      </w:divBdr>
      <w:divsChild>
        <w:div w:id="1686126669">
          <w:marLeft w:val="0"/>
          <w:marRight w:val="0"/>
          <w:marTop w:val="0"/>
          <w:marBottom w:val="0"/>
          <w:divBdr>
            <w:top w:val="none" w:sz="0" w:space="0" w:color="auto"/>
            <w:left w:val="none" w:sz="0" w:space="0" w:color="auto"/>
            <w:bottom w:val="none" w:sz="0" w:space="0" w:color="auto"/>
            <w:right w:val="none" w:sz="0" w:space="0" w:color="auto"/>
          </w:divBdr>
        </w:div>
        <w:div w:id="1983196629">
          <w:marLeft w:val="0"/>
          <w:marRight w:val="0"/>
          <w:marTop w:val="0"/>
          <w:marBottom w:val="0"/>
          <w:divBdr>
            <w:top w:val="none" w:sz="0" w:space="0" w:color="auto"/>
            <w:left w:val="none" w:sz="0" w:space="0" w:color="auto"/>
            <w:bottom w:val="none" w:sz="0" w:space="0" w:color="auto"/>
            <w:right w:val="none" w:sz="0" w:space="0" w:color="auto"/>
          </w:divBdr>
        </w:div>
      </w:divsChild>
    </w:div>
    <w:div w:id="1247568268">
      <w:bodyDiv w:val="1"/>
      <w:marLeft w:val="0"/>
      <w:marRight w:val="0"/>
      <w:marTop w:val="0"/>
      <w:marBottom w:val="0"/>
      <w:divBdr>
        <w:top w:val="none" w:sz="0" w:space="0" w:color="auto"/>
        <w:left w:val="none" w:sz="0" w:space="0" w:color="auto"/>
        <w:bottom w:val="none" w:sz="0" w:space="0" w:color="auto"/>
        <w:right w:val="none" w:sz="0" w:space="0" w:color="auto"/>
      </w:divBdr>
    </w:div>
    <w:div w:id="1253127730">
      <w:bodyDiv w:val="1"/>
      <w:marLeft w:val="0"/>
      <w:marRight w:val="0"/>
      <w:marTop w:val="0"/>
      <w:marBottom w:val="0"/>
      <w:divBdr>
        <w:top w:val="none" w:sz="0" w:space="0" w:color="auto"/>
        <w:left w:val="none" w:sz="0" w:space="0" w:color="auto"/>
        <w:bottom w:val="none" w:sz="0" w:space="0" w:color="auto"/>
        <w:right w:val="none" w:sz="0" w:space="0" w:color="auto"/>
      </w:divBdr>
    </w:div>
    <w:div w:id="1442989041">
      <w:bodyDiv w:val="1"/>
      <w:marLeft w:val="0"/>
      <w:marRight w:val="0"/>
      <w:marTop w:val="0"/>
      <w:marBottom w:val="0"/>
      <w:divBdr>
        <w:top w:val="none" w:sz="0" w:space="0" w:color="auto"/>
        <w:left w:val="none" w:sz="0" w:space="0" w:color="auto"/>
        <w:bottom w:val="none" w:sz="0" w:space="0" w:color="auto"/>
        <w:right w:val="none" w:sz="0" w:space="0" w:color="auto"/>
      </w:divBdr>
    </w:div>
    <w:div w:id="1526938111">
      <w:bodyDiv w:val="1"/>
      <w:marLeft w:val="0"/>
      <w:marRight w:val="0"/>
      <w:marTop w:val="0"/>
      <w:marBottom w:val="0"/>
      <w:divBdr>
        <w:top w:val="none" w:sz="0" w:space="0" w:color="auto"/>
        <w:left w:val="none" w:sz="0" w:space="0" w:color="auto"/>
        <w:bottom w:val="none" w:sz="0" w:space="0" w:color="auto"/>
        <w:right w:val="none" w:sz="0" w:space="0" w:color="auto"/>
      </w:divBdr>
    </w:div>
    <w:div w:id="1613634244">
      <w:bodyDiv w:val="1"/>
      <w:marLeft w:val="0"/>
      <w:marRight w:val="0"/>
      <w:marTop w:val="0"/>
      <w:marBottom w:val="0"/>
      <w:divBdr>
        <w:top w:val="none" w:sz="0" w:space="0" w:color="auto"/>
        <w:left w:val="none" w:sz="0" w:space="0" w:color="auto"/>
        <w:bottom w:val="none" w:sz="0" w:space="0" w:color="auto"/>
        <w:right w:val="none" w:sz="0" w:space="0" w:color="auto"/>
      </w:divBdr>
    </w:div>
    <w:div w:id="1625694151">
      <w:bodyDiv w:val="1"/>
      <w:marLeft w:val="0"/>
      <w:marRight w:val="0"/>
      <w:marTop w:val="0"/>
      <w:marBottom w:val="0"/>
      <w:divBdr>
        <w:top w:val="none" w:sz="0" w:space="0" w:color="auto"/>
        <w:left w:val="none" w:sz="0" w:space="0" w:color="auto"/>
        <w:bottom w:val="none" w:sz="0" w:space="0" w:color="auto"/>
        <w:right w:val="none" w:sz="0" w:space="0" w:color="auto"/>
      </w:divBdr>
    </w:div>
    <w:div w:id="1649630952">
      <w:bodyDiv w:val="1"/>
      <w:marLeft w:val="0"/>
      <w:marRight w:val="0"/>
      <w:marTop w:val="0"/>
      <w:marBottom w:val="0"/>
      <w:divBdr>
        <w:top w:val="none" w:sz="0" w:space="0" w:color="auto"/>
        <w:left w:val="none" w:sz="0" w:space="0" w:color="auto"/>
        <w:bottom w:val="none" w:sz="0" w:space="0" w:color="auto"/>
        <w:right w:val="none" w:sz="0" w:space="0" w:color="auto"/>
      </w:divBdr>
    </w:div>
    <w:div w:id="1709991611">
      <w:bodyDiv w:val="1"/>
      <w:marLeft w:val="0"/>
      <w:marRight w:val="0"/>
      <w:marTop w:val="0"/>
      <w:marBottom w:val="0"/>
      <w:divBdr>
        <w:top w:val="none" w:sz="0" w:space="0" w:color="auto"/>
        <w:left w:val="none" w:sz="0" w:space="0" w:color="auto"/>
        <w:bottom w:val="none" w:sz="0" w:space="0" w:color="auto"/>
        <w:right w:val="none" w:sz="0" w:space="0" w:color="auto"/>
      </w:divBdr>
      <w:divsChild>
        <w:div w:id="501047065">
          <w:marLeft w:val="0"/>
          <w:marRight w:val="0"/>
          <w:marTop w:val="0"/>
          <w:marBottom w:val="0"/>
          <w:divBdr>
            <w:top w:val="none" w:sz="0" w:space="0" w:color="auto"/>
            <w:left w:val="none" w:sz="0" w:space="0" w:color="auto"/>
            <w:bottom w:val="none" w:sz="0" w:space="0" w:color="auto"/>
            <w:right w:val="none" w:sz="0" w:space="0" w:color="auto"/>
          </w:divBdr>
        </w:div>
        <w:div w:id="1710035449">
          <w:marLeft w:val="0"/>
          <w:marRight w:val="0"/>
          <w:marTop w:val="0"/>
          <w:marBottom w:val="0"/>
          <w:divBdr>
            <w:top w:val="none" w:sz="0" w:space="0" w:color="auto"/>
            <w:left w:val="none" w:sz="0" w:space="0" w:color="auto"/>
            <w:bottom w:val="none" w:sz="0" w:space="0" w:color="auto"/>
            <w:right w:val="none" w:sz="0" w:space="0" w:color="auto"/>
          </w:divBdr>
          <w:divsChild>
            <w:div w:id="912544299">
              <w:marLeft w:val="-75"/>
              <w:marRight w:val="0"/>
              <w:marTop w:val="30"/>
              <w:marBottom w:val="30"/>
              <w:divBdr>
                <w:top w:val="none" w:sz="0" w:space="0" w:color="auto"/>
                <w:left w:val="none" w:sz="0" w:space="0" w:color="auto"/>
                <w:bottom w:val="none" w:sz="0" w:space="0" w:color="auto"/>
                <w:right w:val="none" w:sz="0" w:space="0" w:color="auto"/>
              </w:divBdr>
              <w:divsChild>
                <w:div w:id="473984732">
                  <w:marLeft w:val="0"/>
                  <w:marRight w:val="0"/>
                  <w:marTop w:val="0"/>
                  <w:marBottom w:val="0"/>
                  <w:divBdr>
                    <w:top w:val="none" w:sz="0" w:space="0" w:color="auto"/>
                    <w:left w:val="none" w:sz="0" w:space="0" w:color="auto"/>
                    <w:bottom w:val="none" w:sz="0" w:space="0" w:color="auto"/>
                    <w:right w:val="none" w:sz="0" w:space="0" w:color="auto"/>
                  </w:divBdr>
                  <w:divsChild>
                    <w:div w:id="426848777">
                      <w:marLeft w:val="0"/>
                      <w:marRight w:val="0"/>
                      <w:marTop w:val="0"/>
                      <w:marBottom w:val="0"/>
                      <w:divBdr>
                        <w:top w:val="none" w:sz="0" w:space="0" w:color="auto"/>
                        <w:left w:val="none" w:sz="0" w:space="0" w:color="auto"/>
                        <w:bottom w:val="none" w:sz="0" w:space="0" w:color="auto"/>
                        <w:right w:val="none" w:sz="0" w:space="0" w:color="auto"/>
                      </w:divBdr>
                    </w:div>
                  </w:divsChild>
                </w:div>
                <w:div w:id="1067846679">
                  <w:marLeft w:val="0"/>
                  <w:marRight w:val="0"/>
                  <w:marTop w:val="0"/>
                  <w:marBottom w:val="0"/>
                  <w:divBdr>
                    <w:top w:val="none" w:sz="0" w:space="0" w:color="auto"/>
                    <w:left w:val="none" w:sz="0" w:space="0" w:color="auto"/>
                    <w:bottom w:val="none" w:sz="0" w:space="0" w:color="auto"/>
                    <w:right w:val="none" w:sz="0" w:space="0" w:color="auto"/>
                  </w:divBdr>
                  <w:divsChild>
                    <w:div w:id="1481310793">
                      <w:marLeft w:val="0"/>
                      <w:marRight w:val="0"/>
                      <w:marTop w:val="0"/>
                      <w:marBottom w:val="0"/>
                      <w:divBdr>
                        <w:top w:val="none" w:sz="0" w:space="0" w:color="auto"/>
                        <w:left w:val="none" w:sz="0" w:space="0" w:color="auto"/>
                        <w:bottom w:val="none" w:sz="0" w:space="0" w:color="auto"/>
                        <w:right w:val="none" w:sz="0" w:space="0" w:color="auto"/>
                      </w:divBdr>
                    </w:div>
                  </w:divsChild>
                </w:div>
                <w:div w:id="1160658573">
                  <w:marLeft w:val="0"/>
                  <w:marRight w:val="0"/>
                  <w:marTop w:val="0"/>
                  <w:marBottom w:val="0"/>
                  <w:divBdr>
                    <w:top w:val="none" w:sz="0" w:space="0" w:color="auto"/>
                    <w:left w:val="none" w:sz="0" w:space="0" w:color="auto"/>
                    <w:bottom w:val="none" w:sz="0" w:space="0" w:color="auto"/>
                    <w:right w:val="none" w:sz="0" w:space="0" w:color="auto"/>
                  </w:divBdr>
                  <w:divsChild>
                    <w:div w:id="404959461">
                      <w:marLeft w:val="0"/>
                      <w:marRight w:val="0"/>
                      <w:marTop w:val="0"/>
                      <w:marBottom w:val="0"/>
                      <w:divBdr>
                        <w:top w:val="none" w:sz="0" w:space="0" w:color="auto"/>
                        <w:left w:val="none" w:sz="0" w:space="0" w:color="auto"/>
                        <w:bottom w:val="none" w:sz="0" w:space="0" w:color="auto"/>
                        <w:right w:val="none" w:sz="0" w:space="0" w:color="auto"/>
                      </w:divBdr>
                    </w:div>
                  </w:divsChild>
                </w:div>
                <w:div w:id="1211459882">
                  <w:marLeft w:val="0"/>
                  <w:marRight w:val="0"/>
                  <w:marTop w:val="0"/>
                  <w:marBottom w:val="0"/>
                  <w:divBdr>
                    <w:top w:val="none" w:sz="0" w:space="0" w:color="auto"/>
                    <w:left w:val="none" w:sz="0" w:space="0" w:color="auto"/>
                    <w:bottom w:val="none" w:sz="0" w:space="0" w:color="auto"/>
                    <w:right w:val="none" w:sz="0" w:space="0" w:color="auto"/>
                  </w:divBdr>
                  <w:divsChild>
                    <w:div w:id="1734230709">
                      <w:marLeft w:val="0"/>
                      <w:marRight w:val="0"/>
                      <w:marTop w:val="0"/>
                      <w:marBottom w:val="0"/>
                      <w:divBdr>
                        <w:top w:val="none" w:sz="0" w:space="0" w:color="auto"/>
                        <w:left w:val="none" w:sz="0" w:space="0" w:color="auto"/>
                        <w:bottom w:val="none" w:sz="0" w:space="0" w:color="auto"/>
                        <w:right w:val="none" w:sz="0" w:space="0" w:color="auto"/>
                      </w:divBdr>
                    </w:div>
                  </w:divsChild>
                </w:div>
                <w:div w:id="1265655695">
                  <w:marLeft w:val="0"/>
                  <w:marRight w:val="0"/>
                  <w:marTop w:val="0"/>
                  <w:marBottom w:val="0"/>
                  <w:divBdr>
                    <w:top w:val="none" w:sz="0" w:space="0" w:color="auto"/>
                    <w:left w:val="none" w:sz="0" w:space="0" w:color="auto"/>
                    <w:bottom w:val="none" w:sz="0" w:space="0" w:color="auto"/>
                    <w:right w:val="none" w:sz="0" w:space="0" w:color="auto"/>
                  </w:divBdr>
                  <w:divsChild>
                    <w:div w:id="1404066324">
                      <w:marLeft w:val="0"/>
                      <w:marRight w:val="0"/>
                      <w:marTop w:val="0"/>
                      <w:marBottom w:val="0"/>
                      <w:divBdr>
                        <w:top w:val="none" w:sz="0" w:space="0" w:color="auto"/>
                        <w:left w:val="none" w:sz="0" w:space="0" w:color="auto"/>
                        <w:bottom w:val="none" w:sz="0" w:space="0" w:color="auto"/>
                        <w:right w:val="none" w:sz="0" w:space="0" w:color="auto"/>
                      </w:divBdr>
                    </w:div>
                  </w:divsChild>
                </w:div>
                <w:div w:id="1282885152">
                  <w:marLeft w:val="0"/>
                  <w:marRight w:val="0"/>
                  <w:marTop w:val="0"/>
                  <w:marBottom w:val="0"/>
                  <w:divBdr>
                    <w:top w:val="none" w:sz="0" w:space="0" w:color="auto"/>
                    <w:left w:val="none" w:sz="0" w:space="0" w:color="auto"/>
                    <w:bottom w:val="none" w:sz="0" w:space="0" w:color="auto"/>
                    <w:right w:val="none" w:sz="0" w:space="0" w:color="auto"/>
                  </w:divBdr>
                  <w:divsChild>
                    <w:div w:id="1230532444">
                      <w:marLeft w:val="0"/>
                      <w:marRight w:val="0"/>
                      <w:marTop w:val="0"/>
                      <w:marBottom w:val="0"/>
                      <w:divBdr>
                        <w:top w:val="none" w:sz="0" w:space="0" w:color="auto"/>
                        <w:left w:val="none" w:sz="0" w:space="0" w:color="auto"/>
                        <w:bottom w:val="none" w:sz="0" w:space="0" w:color="auto"/>
                        <w:right w:val="none" w:sz="0" w:space="0" w:color="auto"/>
                      </w:divBdr>
                    </w:div>
                  </w:divsChild>
                </w:div>
                <w:div w:id="1341078745">
                  <w:marLeft w:val="0"/>
                  <w:marRight w:val="0"/>
                  <w:marTop w:val="0"/>
                  <w:marBottom w:val="0"/>
                  <w:divBdr>
                    <w:top w:val="none" w:sz="0" w:space="0" w:color="auto"/>
                    <w:left w:val="none" w:sz="0" w:space="0" w:color="auto"/>
                    <w:bottom w:val="none" w:sz="0" w:space="0" w:color="auto"/>
                    <w:right w:val="none" w:sz="0" w:space="0" w:color="auto"/>
                  </w:divBdr>
                  <w:divsChild>
                    <w:div w:id="426848949">
                      <w:marLeft w:val="0"/>
                      <w:marRight w:val="0"/>
                      <w:marTop w:val="0"/>
                      <w:marBottom w:val="0"/>
                      <w:divBdr>
                        <w:top w:val="none" w:sz="0" w:space="0" w:color="auto"/>
                        <w:left w:val="none" w:sz="0" w:space="0" w:color="auto"/>
                        <w:bottom w:val="none" w:sz="0" w:space="0" w:color="auto"/>
                        <w:right w:val="none" w:sz="0" w:space="0" w:color="auto"/>
                      </w:divBdr>
                    </w:div>
                  </w:divsChild>
                </w:div>
                <w:div w:id="1398431408">
                  <w:marLeft w:val="0"/>
                  <w:marRight w:val="0"/>
                  <w:marTop w:val="0"/>
                  <w:marBottom w:val="0"/>
                  <w:divBdr>
                    <w:top w:val="none" w:sz="0" w:space="0" w:color="auto"/>
                    <w:left w:val="none" w:sz="0" w:space="0" w:color="auto"/>
                    <w:bottom w:val="none" w:sz="0" w:space="0" w:color="auto"/>
                    <w:right w:val="none" w:sz="0" w:space="0" w:color="auto"/>
                  </w:divBdr>
                  <w:divsChild>
                    <w:div w:id="1478454395">
                      <w:marLeft w:val="0"/>
                      <w:marRight w:val="0"/>
                      <w:marTop w:val="0"/>
                      <w:marBottom w:val="0"/>
                      <w:divBdr>
                        <w:top w:val="none" w:sz="0" w:space="0" w:color="auto"/>
                        <w:left w:val="none" w:sz="0" w:space="0" w:color="auto"/>
                        <w:bottom w:val="none" w:sz="0" w:space="0" w:color="auto"/>
                        <w:right w:val="none" w:sz="0" w:space="0" w:color="auto"/>
                      </w:divBdr>
                    </w:div>
                  </w:divsChild>
                </w:div>
                <w:div w:id="1522622710">
                  <w:marLeft w:val="0"/>
                  <w:marRight w:val="0"/>
                  <w:marTop w:val="0"/>
                  <w:marBottom w:val="0"/>
                  <w:divBdr>
                    <w:top w:val="none" w:sz="0" w:space="0" w:color="auto"/>
                    <w:left w:val="none" w:sz="0" w:space="0" w:color="auto"/>
                    <w:bottom w:val="none" w:sz="0" w:space="0" w:color="auto"/>
                    <w:right w:val="none" w:sz="0" w:space="0" w:color="auto"/>
                  </w:divBdr>
                  <w:divsChild>
                    <w:div w:id="1840853848">
                      <w:marLeft w:val="0"/>
                      <w:marRight w:val="0"/>
                      <w:marTop w:val="0"/>
                      <w:marBottom w:val="0"/>
                      <w:divBdr>
                        <w:top w:val="none" w:sz="0" w:space="0" w:color="auto"/>
                        <w:left w:val="none" w:sz="0" w:space="0" w:color="auto"/>
                        <w:bottom w:val="none" w:sz="0" w:space="0" w:color="auto"/>
                        <w:right w:val="none" w:sz="0" w:space="0" w:color="auto"/>
                      </w:divBdr>
                    </w:div>
                  </w:divsChild>
                </w:div>
                <w:div w:id="1724059064">
                  <w:marLeft w:val="0"/>
                  <w:marRight w:val="0"/>
                  <w:marTop w:val="0"/>
                  <w:marBottom w:val="0"/>
                  <w:divBdr>
                    <w:top w:val="none" w:sz="0" w:space="0" w:color="auto"/>
                    <w:left w:val="none" w:sz="0" w:space="0" w:color="auto"/>
                    <w:bottom w:val="none" w:sz="0" w:space="0" w:color="auto"/>
                    <w:right w:val="none" w:sz="0" w:space="0" w:color="auto"/>
                  </w:divBdr>
                  <w:divsChild>
                    <w:div w:id="409087252">
                      <w:marLeft w:val="0"/>
                      <w:marRight w:val="0"/>
                      <w:marTop w:val="0"/>
                      <w:marBottom w:val="0"/>
                      <w:divBdr>
                        <w:top w:val="none" w:sz="0" w:space="0" w:color="auto"/>
                        <w:left w:val="none" w:sz="0" w:space="0" w:color="auto"/>
                        <w:bottom w:val="none" w:sz="0" w:space="0" w:color="auto"/>
                        <w:right w:val="none" w:sz="0" w:space="0" w:color="auto"/>
                      </w:divBdr>
                    </w:div>
                  </w:divsChild>
                </w:div>
                <w:div w:id="1880121740">
                  <w:marLeft w:val="0"/>
                  <w:marRight w:val="0"/>
                  <w:marTop w:val="0"/>
                  <w:marBottom w:val="0"/>
                  <w:divBdr>
                    <w:top w:val="none" w:sz="0" w:space="0" w:color="auto"/>
                    <w:left w:val="none" w:sz="0" w:space="0" w:color="auto"/>
                    <w:bottom w:val="none" w:sz="0" w:space="0" w:color="auto"/>
                    <w:right w:val="none" w:sz="0" w:space="0" w:color="auto"/>
                  </w:divBdr>
                  <w:divsChild>
                    <w:div w:id="8633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18144">
      <w:bodyDiv w:val="1"/>
      <w:marLeft w:val="0"/>
      <w:marRight w:val="0"/>
      <w:marTop w:val="0"/>
      <w:marBottom w:val="0"/>
      <w:divBdr>
        <w:top w:val="none" w:sz="0" w:space="0" w:color="auto"/>
        <w:left w:val="none" w:sz="0" w:space="0" w:color="auto"/>
        <w:bottom w:val="none" w:sz="0" w:space="0" w:color="auto"/>
        <w:right w:val="none" w:sz="0" w:space="0" w:color="auto"/>
      </w:divBdr>
    </w:div>
    <w:div w:id="1711882283">
      <w:bodyDiv w:val="1"/>
      <w:marLeft w:val="0"/>
      <w:marRight w:val="0"/>
      <w:marTop w:val="0"/>
      <w:marBottom w:val="0"/>
      <w:divBdr>
        <w:top w:val="none" w:sz="0" w:space="0" w:color="auto"/>
        <w:left w:val="none" w:sz="0" w:space="0" w:color="auto"/>
        <w:bottom w:val="none" w:sz="0" w:space="0" w:color="auto"/>
        <w:right w:val="none" w:sz="0" w:space="0" w:color="auto"/>
      </w:divBdr>
    </w:div>
    <w:div w:id="1733501281">
      <w:bodyDiv w:val="1"/>
      <w:marLeft w:val="0"/>
      <w:marRight w:val="0"/>
      <w:marTop w:val="0"/>
      <w:marBottom w:val="0"/>
      <w:divBdr>
        <w:top w:val="none" w:sz="0" w:space="0" w:color="auto"/>
        <w:left w:val="none" w:sz="0" w:space="0" w:color="auto"/>
        <w:bottom w:val="none" w:sz="0" w:space="0" w:color="auto"/>
        <w:right w:val="none" w:sz="0" w:space="0" w:color="auto"/>
      </w:divBdr>
      <w:divsChild>
        <w:div w:id="358821441">
          <w:marLeft w:val="0"/>
          <w:marRight w:val="0"/>
          <w:marTop w:val="0"/>
          <w:marBottom w:val="0"/>
          <w:divBdr>
            <w:top w:val="none" w:sz="0" w:space="0" w:color="auto"/>
            <w:left w:val="none" w:sz="0" w:space="0" w:color="auto"/>
            <w:bottom w:val="none" w:sz="0" w:space="0" w:color="auto"/>
            <w:right w:val="none" w:sz="0" w:space="0" w:color="auto"/>
          </w:divBdr>
        </w:div>
        <w:div w:id="488253230">
          <w:marLeft w:val="0"/>
          <w:marRight w:val="0"/>
          <w:marTop w:val="0"/>
          <w:marBottom w:val="0"/>
          <w:divBdr>
            <w:top w:val="none" w:sz="0" w:space="0" w:color="auto"/>
            <w:left w:val="none" w:sz="0" w:space="0" w:color="auto"/>
            <w:bottom w:val="none" w:sz="0" w:space="0" w:color="auto"/>
            <w:right w:val="none" w:sz="0" w:space="0" w:color="auto"/>
          </w:divBdr>
        </w:div>
        <w:div w:id="2144887277">
          <w:marLeft w:val="0"/>
          <w:marRight w:val="0"/>
          <w:marTop w:val="0"/>
          <w:marBottom w:val="0"/>
          <w:divBdr>
            <w:top w:val="none" w:sz="0" w:space="0" w:color="auto"/>
            <w:left w:val="none" w:sz="0" w:space="0" w:color="auto"/>
            <w:bottom w:val="none" w:sz="0" w:space="0" w:color="auto"/>
            <w:right w:val="none" w:sz="0" w:space="0" w:color="auto"/>
          </w:divBdr>
        </w:div>
      </w:divsChild>
    </w:div>
    <w:div w:id="1772122499">
      <w:bodyDiv w:val="1"/>
      <w:marLeft w:val="0"/>
      <w:marRight w:val="0"/>
      <w:marTop w:val="0"/>
      <w:marBottom w:val="0"/>
      <w:divBdr>
        <w:top w:val="none" w:sz="0" w:space="0" w:color="auto"/>
        <w:left w:val="none" w:sz="0" w:space="0" w:color="auto"/>
        <w:bottom w:val="none" w:sz="0" w:space="0" w:color="auto"/>
        <w:right w:val="none" w:sz="0" w:space="0" w:color="auto"/>
      </w:divBdr>
    </w:div>
    <w:div w:id="1775592393">
      <w:bodyDiv w:val="1"/>
      <w:marLeft w:val="0"/>
      <w:marRight w:val="0"/>
      <w:marTop w:val="0"/>
      <w:marBottom w:val="0"/>
      <w:divBdr>
        <w:top w:val="none" w:sz="0" w:space="0" w:color="auto"/>
        <w:left w:val="none" w:sz="0" w:space="0" w:color="auto"/>
        <w:bottom w:val="none" w:sz="0" w:space="0" w:color="auto"/>
        <w:right w:val="none" w:sz="0" w:space="0" w:color="auto"/>
      </w:divBdr>
    </w:div>
    <w:div w:id="1790203936">
      <w:bodyDiv w:val="1"/>
      <w:marLeft w:val="0"/>
      <w:marRight w:val="0"/>
      <w:marTop w:val="0"/>
      <w:marBottom w:val="0"/>
      <w:divBdr>
        <w:top w:val="none" w:sz="0" w:space="0" w:color="auto"/>
        <w:left w:val="none" w:sz="0" w:space="0" w:color="auto"/>
        <w:bottom w:val="none" w:sz="0" w:space="0" w:color="auto"/>
        <w:right w:val="none" w:sz="0" w:space="0" w:color="auto"/>
      </w:divBdr>
      <w:divsChild>
        <w:div w:id="307591726">
          <w:marLeft w:val="0"/>
          <w:marRight w:val="0"/>
          <w:marTop w:val="0"/>
          <w:marBottom w:val="0"/>
          <w:divBdr>
            <w:top w:val="none" w:sz="0" w:space="0" w:color="auto"/>
            <w:left w:val="none" w:sz="0" w:space="0" w:color="auto"/>
            <w:bottom w:val="none" w:sz="0" w:space="0" w:color="auto"/>
            <w:right w:val="none" w:sz="0" w:space="0" w:color="auto"/>
          </w:divBdr>
          <w:divsChild>
            <w:div w:id="810512562">
              <w:marLeft w:val="0"/>
              <w:marRight w:val="0"/>
              <w:marTop w:val="0"/>
              <w:marBottom w:val="0"/>
              <w:divBdr>
                <w:top w:val="none" w:sz="0" w:space="0" w:color="auto"/>
                <w:left w:val="none" w:sz="0" w:space="0" w:color="auto"/>
                <w:bottom w:val="none" w:sz="0" w:space="0" w:color="auto"/>
                <w:right w:val="none" w:sz="0" w:space="0" w:color="auto"/>
              </w:divBdr>
            </w:div>
          </w:divsChild>
        </w:div>
        <w:div w:id="495851910">
          <w:marLeft w:val="0"/>
          <w:marRight w:val="0"/>
          <w:marTop w:val="0"/>
          <w:marBottom w:val="0"/>
          <w:divBdr>
            <w:top w:val="none" w:sz="0" w:space="0" w:color="auto"/>
            <w:left w:val="none" w:sz="0" w:space="0" w:color="auto"/>
            <w:bottom w:val="none" w:sz="0" w:space="0" w:color="auto"/>
            <w:right w:val="none" w:sz="0" w:space="0" w:color="auto"/>
          </w:divBdr>
          <w:divsChild>
            <w:div w:id="1889418602">
              <w:marLeft w:val="0"/>
              <w:marRight w:val="0"/>
              <w:marTop w:val="0"/>
              <w:marBottom w:val="0"/>
              <w:divBdr>
                <w:top w:val="none" w:sz="0" w:space="0" w:color="auto"/>
                <w:left w:val="none" w:sz="0" w:space="0" w:color="auto"/>
                <w:bottom w:val="none" w:sz="0" w:space="0" w:color="auto"/>
                <w:right w:val="none" w:sz="0" w:space="0" w:color="auto"/>
              </w:divBdr>
            </w:div>
          </w:divsChild>
        </w:div>
        <w:div w:id="529881411">
          <w:marLeft w:val="0"/>
          <w:marRight w:val="0"/>
          <w:marTop w:val="0"/>
          <w:marBottom w:val="0"/>
          <w:divBdr>
            <w:top w:val="none" w:sz="0" w:space="0" w:color="auto"/>
            <w:left w:val="none" w:sz="0" w:space="0" w:color="auto"/>
            <w:bottom w:val="none" w:sz="0" w:space="0" w:color="auto"/>
            <w:right w:val="none" w:sz="0" w:space="0" w:color="auto"/>
          </w:divBdr>
          <w:divsChild>
            <w:div w:id="1026446299">
              <w:marLeft w:val="0"/>
              <w:marRight w:val="0"/>
              <w:marTop w:val="0"/>
              <w:marBottom w:val="0"/>
              <w:divBdr>
                <w:top w:val="none" w:sz="0" w:space="0" w:color="auto"/>
                <w:left w:val="none" w:sz="0" w:space="0" w:color="auto"/>
                <w:bottom w:val="none" w:sz="0" w:space="0" w:color="auto"/>
                <w:right w:val="none" w:sz="0" w:space="0" w:color="auto"/>
              </w:divBdr>
            </w:div>
          </w:divsChild>
        </w:div>
        <w:div w:id="565840732">
          <w:marLeft w:val="0"/>
          <w:marRight w:val="0"/>
          <w:marTop w:val="0"/>
          <w:marBottom w:val="0"/>
          <w:divBdr>
            <w:top w:val="none" w:sz="0" w:space="0" w:color="auto"/>
            <w:left w:val="none" w:sz="0" w:space="0" w:color="auto"/>
            <w:bottom w:val="none" w:sz="0" w:space="0" w:color="auto"/>
            <w:right w:val="none" w:sz="0" w:space="0" w:color="auto"/>
          </w:divBdr>
          <w:divsChild>
            <w:div w:id="1698852516">
              <w:marLeft w:val="0"/>
              <w:marRight w:val="0"/>
              <w:marTop w:val="0"/>
              <w:marBottom w:val="0"/>
              <w:divBdr>
                <w:top w:val="none" w:sz="0" w:space="0" w:color="auto"/>
                <w:left w:val="none" w:sz="0" w:space="0" w:color="auto"/>
                <w:bottom w:val="none" w:sz="0" w:space="0" w:color="auto"/>
                <w:right w:val="none" w:sz="0" w:space="0" w:color="auto"/>
              </w:divBdr>
            </w:div>
          </w:divsChild>
        </w:div>
        <w:div w:id="644893570">
          <w:marLeft w:val="0"/>
          <w:marRight w:val="0"/>
          <w:marTop w:val="0"/>
          <w:marBottom w:val="0"/>
          <w:divBdr>
            <w:top w:val="none" w:sz="0" w:space="0" w:color="auto"/>
            <w:left w:val="none" w:sz="0" w:space="0" w:color="auto"/>
            <w:bottom w:val="none" w:sz="0" w:space="0" w:color="auto"/>
            <w:right w:val="none" w:sz="0" w:space="0" w:color="auto"/>
          </w:divBdr>
          <w:divsChild>
            <w:div w:id="1751386671">
              <w:marLeft w:val="0"/>
              <w:marRight w:val="0"/>
              <w:marTop w:val="0"/>
              <w:marBottom w:val="0"/>
              <w:divBdr>
                <w:top w:val="none" w:sz="0" w:space="0" w:color="auto"/>
                <w:left w:val="none" w:sz="0" w:space="0" w:color="auto"/>
                <w:bottom w:val="none" w:sz="0" w:space="0" w:color="auto"/>
                <w:right w:val="none" w:sz="0" w:space="0" w:color="auto"/>
              </w:divBdr>
            </w:div>
          </w:divsChild>
        </w:div>
        <w:div w:id="770664497">
          <w:marLeft w:val="0"/>
          <w:marRight w:val="0"/>
          <w:marTop w:val="0"/>
          <w:marBottom w:val="0"/>
          <w:divBdr>
            <w:top w:val="none" w:sz="0" w:space="0" w:color="auto"/>
            <w:left w:val="none" w:sz="0" w:space="0" w:color="auto"/>
            <w:bottom w:val="none" w:sz="0" w:space="0" w:color="auto"/>
            <w:right w:val="none" w:sz="0" w:space="0" w:color="auto"/>
          </w:divBdr>
          <w:divsChild>
            <w:div w:id="1356274834">
              <w:marLeft w:val="0"/>
              <w:marRight w:val="0"/>
              <w:marTop w:val="0"/>
              <w:marBottom w:val="0"/>
              <w:divBdr>
                <w:top w:val="none" w:sz="0" w:space="0" w:color="auto"/>
                <w:left w:val="none" w:sz="0" w:space="0" w:color="auto"/>
                <w:bottom w:val="none" w:sz="0" w:space="0" w:color="auto"/>
                <w:right w:val="none" w:sz="0" w:space="0" w:color="auto"/>
              </w:divBdr>
            </w:div>
          </w:divsChild>
        </w:div>
        <w:div w:id="786461225">
          <w:marLeft w:val="0"/>
          <w:marRight w:val="0"/>
          <w:marTop w:val="0"/>
          <w:marBottom w:val="0"/>
          <w:divBdr>
            <w:top w:val="none" w:sz="0" w:space="0" w:color="auto"/>
            <w:left w:val="none" w:sz="0" w:space="0" w:color="auto"/>
            <w:bottom w:val="none" w:sz="0" w:space="0" w:color="auto"/>
            <w:right w:val="none" w:sz="0" w:space="0" w:color="auto"/>
          </w:divBdr>
          <w:divsChild>
            <w:div w:id="2007584988">
              <w:marLeft w:val="0"/>
              <w:marRight w:val="0"/>
              <w:marTop w:val="0"/>
              <w:marBottom w:val="0"/>
              <w:divBdr>
                <w:top w:val="none" w:sz="0" w:space="0" w:color="auto"/>
                <w:left w:val="none" w:sz="0" w:space="0" w:color="auto"/>
                <w:bottom w:val="none" w:sz="0" w:space="0" w:color="auto"/>
                <w:right w:val="none" w:sz="0" w:space="0" w:color="auto"/>
              </w:divBdr>
            </w:div>
          </w:divsChild>
        </w:div>
        <w:div w:id="859245724">
          <w:marLeft w:val="0"/>
          <w:marRight w:val="0"/>
          <w:marTop w:val="0"/>
          <w:marBottom w:val="0"/>
          <w:divBdr>
            <w:top w:val="none" w:sz="0" w:space="0" w:color="auto"/>
            <w:left w:val="none" w:sz="0" w:space="0" w:color="auto"/>
            <w:bottom w:val="none" w:sz="0" w:space="0" w:color="auto"/>
            <w:right w:val="none" w:sz="0" w:space="0" w:color="auto"/>
          </w:divBdr>
          <w:divsChild>
            <w:div w:id="371003765">
              <w:marLeft w:val="0"/>
              <w:marRight w:val="0"/>
              <w:marTop w:val="0"/>
              <w:marBottom w:val="0"/>
              <w:divBdr>
                <w:top w:val="none" w:sz="0" w:space="0" w:color="auto"/>
                <w:left w:val="none" w:sz="0" w:space="0" w:color="auto"/>
                <w:bottom w:val="none" w:sz="0" w:space="0" w:color="auto"/>
                <w:right w:val="none" w:sz="0" w:space="0" w:color="auto"/>
              </w:divBdr>
            </w:div>
          </w:divsChild>
        </w:div>
        <w:div w:id="877087595">
          <w:marLeft w:val="0"/>
          <w:marRight w:val="0"/>
          <w:marTop w:val="0"/>
          <w:marBottom w:val="0"/>
          <w:divBdr>
            <w:top w:val="none" w:sz="0" w:space="0" w:color="auto"/>
            <w:left w:val="none" w:sz="0" w:space="0" w:color="auto"/>
            <w:bottom w:val="none" w:sz="0" w:space="0" w:color="auto"/>
            <w:right w:val="none" w:sz="0" w:space="0" w:color="auto"/>
          </w:divBdr>
          <w:divsChild>
            <w:div w:id="1470628929">
              <w:marLeft w:val="0"/>
              <w:marRight w:val="0"/>
              <w:marTop w:val="0"/>
              <w:marBottom w:val="0"/>
              <w:divBdr>
                <w:top w:val="none" w:sz="0" w:space="0" w:color="auto"/>
                <w:left w:val="none" w:sz="0" w:space="0" w:color="auto"/>
                <w:bottom w:val="none" w:sz="0" w:space="0" w:color="auto"/>
                <w:right w:val="none" w:sz="0" w:space="0" w:color="auto"/>
              </w:divBdr>
            </w:div>
          </w:divsChild>
        </w:div>
        <w:div w:id="993988378">
          <w:marLeft w:val="0"/>
          <w:marRight w:val="0"/>
          <w:marTop w:val="0"/>
          <w:marBottom w:val="0"/>
          <w:divBdr>
            <w:top w:val="none" w:sz="0" w:space="0" w:color="auto"/>
            <w:left w:val="none" w:sz="0" w:space="0" w:color="auto"/>
            <w:bottom w:val="none" w:sz="0" w:space="0" w:color="auto"/>
            <w:right w:val="none" w:sz="0" w:space="0" w:color="auto"/>
          </w:divBdr>
          <w:divsChild>
            <w:div w:id="213586380">
              <w:marLeft w:val="0"/>
              <w:marRight w:val="0"/>
              <w:marTop w:val="0"/>
              <w:marBottom w:val="0"/>
              <w:divBdr>
                <w:top w:val="none" w:sz="0" w:space="0" w:color="auto"/>
                <w:left w:val="none" w:sz="0" w:space="0" w:color="auto"/>
                <w:bottom w:val="none" w:sz="0" w:space="0" w:color="auto"/>
                <w:right w:val="none" w:sz="0" w:space="0" w:color="auto"/>
              </w:divBdr>
            </w:div>
          </w:divsChild>
        </w:div>
        <w:div w:id="1054936341">
          <w:marLeft w:val="0"/>
          <w:marRight w:val="0"/>
          <w:marTop w:val="0"/>
          <w:marBottom w:val="0"/>
          <w:divBdr>
            <w:top w:val="none" w:sz="0" w:space="0" w:color="auto"/>
            <w:left w:val="none" w:sz="0" w:space="0" w:color="auto"/>
            <w:bottom w:val="none" w:sz="0" w:space="0" w:color="auto"/>
            <w:right w:val="none" w:sz="0" w:space="0" w:color="auto"/>
          </w:divBdr>
          <w:divsChild>
            <w:div w:id="1780292298">
              <w:marLeft w:val="0"/>
              <w:marRight w:val="0"/>
              <w:marTop w:val="0"/>
              <w:marBottom w:val="0"/>
              <w:divBdr>
                <w:top w:val="none" w:sz="0" w:space="0" w:color="auto"/>
                <w:left w:val="none" w:sz="0" w:space="0" w:color="auto"/>
                <w:bottom w:val="none" w:sz="0" w:space="0" w:color="auto"/>
                <w:right w:val="none" w:sz="0" w:space="0" w:color="auto"/>
              </w:divBdr>
            </w:div>
          </w:divsChild>
        </w:div>
        <w:div w:id="1065952015">
          <w:marLeft w:val="0"/>
          <w:marRight w:val="0"/>
          <w:marTop w:val="0"/>
          <w:marBottom w:val="0"/>
          <w:divBdr>
            <w:top w:val="none" w:sz="0" w:space="0" w:color="auto"/>
            <w:left w:val="none" w:sz="0" w:space="0" w:color="auto"/>
            <w:bottom w:val="none" w:sz="0" w:space="0" w:color="auto"/>
            <w:right w:val="none" w:sz="0" w:space="0" w:color="auto"/>
          </w:divBdr>
          <w:divsChild>
            <w:div w:id="1508522567">
              <w:marLeft w:val="0"/>
              <w:marRight w:val="0"/>
              <w:marTop w:val="0"/>
              <w:marBottom w:val="0"/>
              <w:divBdr>
                <w:top w:val="none" w:sz="0" w:space="0" w:color="auto"/>
                <w:left w:val="none" w:sz="0" w:space="0" w:color="auto"/>
                <w:bottom w:val="none" w:sz="0" w:space="0" w:color="auto"/>
                <w:right w:val="none" w:sz="0" w:space="0" w:color="auto"/>
              </w:divBdr>
            </w:div>
          </w:divsChild>
        </w:div>
        <w:div w:id="1125612495">
          <w:marLeft w:val="0"/>
          <w:marRight w:val="0"/>
          <w:marTop w:val="0"/>
          <w:marBottom w:val="0"/>
          <w:divBdr>
            <w:top w:val="none" w:sz="0" w:space="0" w:color="auto"/>
            <w:left w:val="none" w:sz="0" w:space="0" w:color="auto"/>
            <w:bottom w:val="none" w:sz="0" w:space="0" w:color="auto"/>
            <w:right w:val="none" w:sz="0" w:space="0" w:color="auto"/>
          </w:divBdr>
          <w:divsChild>
            <w:div w:id="683826451">
              <w:marLeft w:val="0"/>
              <w:marRight w:val="0"/>
              <w:marTop w:val="0"/>
              <w:marBottom w:val="0"/>
              <w:divBdr>
                <w:top w:val="none" w:sz="0" w:space="0" w:color="auto"/>
                <w:left w:val="none" w:sz="0" w:space="0" w:color="auto"/>
                <w:bottom w:val="none" w:sz="0" w:space="0" w:color="auto"/>
                <w:right w:val="none" w:sz="0" w:space="0" w:color="auto"/>
              </w:divBdr>
            </w:div>
          </w:divsChild>
        </w:div>
        <w:div w:id="1139614623">
          <w:marLeft w:val="0"/>
          <w:marRight w:val="0"/>
          <w:marTop w:val="0"/>
          <w:marBottom w:val="0"/>
          <w:divBdr>
            <w:top w:val="none" w:sz="0" w:space="0" w:color="auto"/>
            <w:left w:val="none" w:sz="0" w:space="0" w:color="auto"/>
            <w:bottom w:val="none" w:sz="0" w:space="0" w:color="auto"/>
            <w:right w:val="none" w:sz="0" w:space="0" w:color="auto"/>
          </w:divBdr>
          <w:divsChild>
            <w:div w:id="1054890412">
              <w:marLeft w:val="0"/>
              <w:marRight w:val="0"/>
              <w:marTop w:val="0"/>
              <w:marBottom w:val="0"/>
              <w:divBdr>
                <w:top w:val="none" w:sz="0" w:space="0" w:color="auto"/>
                <w:left w:val="none" w:sz="0" w:space="0" w:color="auto"/>
                <w:bottom w:val="none" w:sz="0" w:space="0" w:color="auto"/>
                <w:right w:val="none" w:sz="0" w:space="0" w:color="auto"/>
              </w:divBdr>
            </w:div>
          </w:divsChild>
        </w:div>
        <w:div w:id="1366129485">
          <w:marLeft w:val="0"/>
          <w:marRight w:val="0"/>
          <w:marTop w:val="0"/>
          <w:marBottom w:val="0"/>
          <w:divBdr>
            <w:top w:val="none" w:sz="0" w:space="0" w:color="auto"/>
            <w:left w:val="none" w:sz="0" w:space="0" w:color="auto"/>
            <w:bottom w:val="none" w:sz="0" w:space="0" w:color="auto"/>
            <w:right w:val="none" w:sz="0" w:space="0" w:color="auto"/>
          </w:divBdr>
          <w:divsChild>
            <w:div w:id="38287486">
              <w:marLeft w:val="0"/>
              <w:marRight w:val="0"/>
              <w:marTop w:val="0"/>
              <w:marBottom w:val="0"/>
              <w:divBdr>
                <w:top w:val="none" w:sz="0" w:space="0" w:color="auto"/>
                <w:left w:val="none" w:sz="0" w:space="0" w:color="auto"/>
                <w:bottom w:val="none" w:sz="0" w:space="0" w:color="auto"/>
                <w:right w:val="none" w:sz="0" w:space="0" w:color="auto"/>
              </w:divBdr>
            </w:div>
          </w:divsChild>
        </w:div>
        <w:div w:id="1395473689">
          <w:marLeft w:val="0"/>
          <w:marRight w:val="0"/>
          <w:marTop w:val="0"/>
          <w:marBottom w:val="0"/>
          <w:divBdr>
            <w:top w:val="none" w:sz="0" w:space="0" w:color="auto"/>
            <w:left w:val="none" w:sz="0" w:space="0" w:color="auto"/>
            <w:bottom w:val="none" w:sz="0" w:space="0" w:color="auto"/>
            <w:right w:val="none" w:sz="0" w:space="0" w:color="auto"/>
          </w:divBdr>
          <w:divsChild>
            <w:div w:id="1265765989">
              <w:marLeft w:val="0"/>
              <w:marRight w:val="0"/>
              <w:marTop w:val="0"/>
              <w:marBottom w:val="0"/>
              <w:divBdr>
                <w:top w:val="none" w:sz="0" w:space="0" w:color="auto"/>
                <w:left w:val="none" w:sz="0" w:space="0" w:color="auto"/>
                <w:bottom w:val="none" w:sz="0" w:space="0" w:color="auto"/>
                <w:right w:val="none" w:sz="0" w:space="0" w:color="auto"/>
              </w:divBdr>
            </w:div>
          </w:divsChild>
        </w:div>
        <w:div w:id="1450317720">
          <w:marLeft w:val="0"/>
          <w:marRight w:val="0"/>
          <w:marTop w:val="0"/>
          <w:marBottom w:val="0"/>
          <w:divBdr>
            <w:top w:val="none" w:sz="0" w:space="0" w:color="auto"/>
            <w:left w:val="none" w:sz="0" w:space="0" w:color="auto"/>
            <w:bottom w:val="none" w:sz="0" w:space="0" w:color="auto"/>
            <w:right w:val="none" w:sz="0" w:space="0" w:color="auto"/>
          </w:divBdr>
          <w:divsChild>
            <w:div w:id="1702851294">
              <w:marLeft w:val="0"/>
              <w:marRight w:val="0"/>
              <w:marTop w:val="0"/>
              <w:marBottom w:val="0"/>
              <w:divBdr>
                <w:top w:val="none" w:sz="0" w:space="0" w:color="auto"/>
                <w:left w:val="none" w:sz="0" w:space="0" w:color="auto"/>
                <w:bottom w:val="none" w:sz="0" w:space="0" w:color="auto"/>
                <w:right w:val="none" w:sz="0" w:space="0" w:color="auto"/>
              </w:divBdr>
            </w:div>
          </w:divsChild>
        </w:div>
        <w:div w:id="1536576412">
          <w:marLeft w:val="0"/>
          <w:marRight w:val="0"/>
          <w:marTop w:val="0"/>
          <w:marBottom w:val="0"/>
          <w:divBdr>
            <w:top w:val="none" w:sz="0" w:space="0" w:color="auto"/>
            <w:left w:val="none" w:sz="0" w:space="0" w:color="auto"/>
            <w:bottom w:val="none" w:sz="0" w:space="0" w:color="auto"/>
            <w:right w:val="none" w:sz="0" w:space="0" w:color="auto"/>
          </w:divBdr>
          <w:divsChild>
            <w:div w:id="1906335906">
              <w:marLeft w:val="0"/>
              <w:marRight w:val="0"/>
              <w:marTop w:val="0"/>
              <w:marBottom w:val="0"/>
              <w:divBdr>
                <w:top w:val="none" w:sz="0" w:space="0" w:color="auto"/>
                <w:left w:val="none" w:sz="0" w:space="0" w:color="auto"/>
                <w:bottom w:val="none" w:sz="0" w:space="0" w:color="auto"/>
                <w:right w:val="none" w:sz="0" w:space="0" w:color="auto"/>
              </w:divBdr>
            </w:div>
          </w:divsChild>
        </w:div>
        <w:div w:id="1648167817">
          <w:marLeft w:val="0"/>
          <w:marRight w:val="0"/>
          <w:marTop w:val="0"/>
          <w:marBottom w:val="0"/>
          <w:divBdr>
            <w:top w:val="none" w:sz="0" w:space="0" w:color="auto"/>
            <w:left w:val="none" w:sz="0" w:space="0" w:color="auto"/>
            <w:bottom w:val="none" w:sz="0" w:space="0" w:color="auto"/>
            <w:right w:val="none" w:sz="0" w:space="0" w:color="auto"/>
          </w:divBdr>
          <w:divsChild>
            <w:div w:id="1975595598">
              <w:marLeft w:val="0"/>
              <w:marRight w:val="0"/>
              <w:marTop w:val="0"/>
              <w:marBottom w:val="0"/>
              <w:divBdr>
                <w:top w:val="none" w:sz="0" w:space="0" w:color="auto"/>
                <w:left w:val="none" w:sz="0" w:space="0" w:color="auto"/>
                <w:bottom w:val="none" w:sz="0" w:space="0" w:color="auto"/>
                <w:right w:val="none" w:sz="0" w:space="0" w:color="auto"/>
              </w:divBdr>
            </w:div>
          </w:divsChild>
        </w:div>
        <w:div w:id="1708329357">
          <w:marLeft w:val="0"/>
          <w:marRight w:val="0"/>
          <w:marTop w:val="0"/>
          <w:marBottom w:val="0"/>
          <w:divBdr>
            <w:top w:val="none" w:sz="0" w:space="0" w:color="auto"/>
            <w:left w:val="none" w:sz="0" w:space="0" w:color="auto"/>
            <w:bottom w:val="none" w:sz="0" w:space="0" w:color="auto"/>
            <w:right w:val="none" w:sz="0" w:space="0" w:color="auto"/>
          </w:divBdr>
          <w:divsChild>
            <w:div w:id="460656637">
              <w:marLeft w:val="0"/>
              <w:marRight w:val="0"/>
              <w:marTop w:val="0"/>
              <w:marBottom w:val="0"/>
              <w:divBdr>
                <w:top w:val="none" w:sz="0" w:space="0" w:color="auto"/>
                <w:left w:val="none" w:sz="0" w:space="0" w:color="auto"/>
                <w:bottom w:val="none" w:sz="0" w:space="0" w:color="auto"/>
                <w:right w:val="none" w:sz="0" w:space="0" w:color="auto"/>
              </w:divBdr>
            </w:div>
          </w:divsChild>
        </w:div>
        <w:div w:id="1798982784">
          <w:marLeft w:val="0"/>
          <w:marRight w:val="0"/>
          <w:marTop w:val="0"/>
          <w:marBottom w:val="0"/>
          <w:divBdr>
            <w:top w:val="none" w:sz="0" w:space="0" w:color="auto"/>
            <w:left w:val="none" w:sz="0" w:space="0" w:color="auto"/>
            <w:bottom w:val="none" w:sz="0" w:space="0" w:color="auto"/>
            <w:right w:val="none" w:sz="0" w:space="0" w:color="auto"/>
          </w:divBdr>
          <w:divsChild>
            <w:div w:id="8919858">
              <w:marLeft w:val="0"/>
              <w:marRight w:val="0"/>
              <w:marTop w:val="0"/>
              <w:marBottom w:val="0"/>
              <w:divBdr>
                <w:top w:val="none" w:sz="0" w:space="0" w:color="auto"/>
                <w:left w:val="none" w:sz="0" w:space="0" w:color="auto"/>
                <w:bottom w:val="none" w:sz="0" w:space="0" w:color="auto"/>
                <w:right w:val="none" w:sz="0" w:space="0" w:color="auto"/>
              </w:divBdr>
            </w:div>
          </w:divsChild>
        </w:div>
        <w:div w:id="1965454096">
          <w:marLeft w:val="0"/>
          <w:marRight w:val="0"/>
          <w:marTop w:val="0"/>
          <w:marBottom w:val="0"/>
          <w:divBdr>
            <w:top w:val="none" w:sz="0" w:space="0" w:color="auto"/>
            <w:left w:val="none" w:sz="0" w:space="0" w:color="auto"/>
            <w:bottom w:val="none" w:sz="0" w:space="0" w:color="auto"/>
            <w:right w:val="none" w:sz="0" w:space="0" w:color="auto"/>
          </w:divBdr>
          <w:divsChild>
            <w:div w:id="1926453904">
              <w:marLeft w:val="0"/>
              <w:marRight w:val="0"/>
              <w:marTop w:val="0"/>
              <w:marBottom w:val="0"/>
              <w:divBdr>
                <w:top w:val="none" w:sz="0" w:space="0" w:color="auto"/>
                <w:left w:val="none" w:sz="0" w:space="0" w:color="auto"/>
                <w:bottom w:val="none" w:sz="0" w:space="0" w:color="auto"/>
                <w:right w:val="none" w:sz="0" w:space="0" w:color="auto"/>
              </w:divBdr>
            </w:div>
          </w:divsChild>
        </w:div>
        <w:div w:id="2035688010">
          <w:marLeft w:val="0"/>
          <w:marRight w:val="0"/>
          <w:marTop w:val="0"/>
          <w:marBottom w:val="0"/>
          <w:divBdr>
            <w:top w:val="none" w:sz="0" w:space="0" w:color="auto"/>
            <w:left w:val="none" w:sz="0" w:space="0" w:color="auto"/>
            <w:bottom w:val="none" w:sz="0" w:space="0" w:color="auto"/>
            <w:right w:val="none" w:sz="0" w:space="0" w:color="auto"/>
          </w:divBdr>
          <w:divsChild>
            <w:div w:id="1853375359">
              <w:marLeft w:val="0"/>
              <w:marRight w:val="0"/>
              <w:marTop w:val="0"/>
              <w:marBottom w:val="0"/>
              <w:divBdr>
                <w:top w:val="none" w:sz="0" w:space="0" w:color="auto"/>
                <w:left w:val="none" w:sz="0" w:space="0" w:color="auto"/>
                <w:bottom w:val="none" w:sz="0" w:space="0" w:color="auto"/>
                <w:right w:val="none" w:sz="0" w:space="0" w:color="auto"/>
              </w:divBdr>
            </w:div>
          </w:divsChild>
        </w:div>
        <w:div w:id="2141216958">
          <w:marLeft w:val="0"/>
          <w:marRight w:val="0"/>
          <w:marTop w:val="0"/>
          <w:marBottom w:val="0"/>
          <w:divBdr>
            <w:top w:val="none" w:sz="0" w:space="0" w:color="auto"/>
            <w:left w:val="none" w:sz="0" w:space="0" w:color="auto"/>
            <w:bottom w:val="none" w:sz="0" w:space="0" w:color="auto"/>
            <w:right w:val="none" w:sz="0" w:space="0" w:color="auto"/>
          </w:divBdr>
          <w:divsChild>
            <w:div w:id="8949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66125">
      <w:bodyDiv w:val="1"/>
      <w:marLeft w:val="0"/>
      <w:marRight w:val="0"/>
      <w:marTop w:val="0"/>
      <w:marBottom w:val="0"/>
      <w:divBdr>
        <w:top w:val="none" w:sz="0" w:space="0" w:color="auto"/>
        <w:left w:val="none" w:sz="0" w:space="0" w:color="auto"/>
        <w:bottom w:val="none" w:sz="0" w:space="0" w:color="auto"/>
        <w:right w:val="none" w:sz="0" w:space="0" w:color="auto"/>
      </w:divBdr>
    </w:div>
    <w:div w:id="1957637082">
      <w:bodyDiv w:val="1"/>
      <w:marLeft w:val="0"/>
      <w:marRight w:val="0"/>
      <w:marTop w:val="0"/>
      <w:marBottom w:val="0"/>
      <w:divBdr>
        <w:top w:val="none" w:sz="0" w:space="0" w:color="auto"/>
        <w:left w:val="none" w:sz="0" w:space="0" w:color="auto"/>
        <w:bottom w:val="none" w:sz="0" w:space="0" w:color="auto"/>
        <w:right w:val="none" w:sz="0" w:space="0" w:color="auto"/>
      </w:divBdr>
    </w:div>
    <w:div w:id="1978073150">
      <w:bodyDiv w:val="1"/>
      <w:marLeft w:val="0"/>
      <w:marRight w:val="0"/>
      <w:marTop w:val="0"/>
      <w:marBottom w:val="0"/>
      <w:divBdr>
        <w:top w:val="none" w:sz="0" w:space="0" w:color="auto"/>
        <w:left w:val="none" w:sz="0" w:space="0" w:color="auto"/>
        <w:bottom w:val="none" w:sz="0" w:space="0" w:color="auto"/>
        <w:right w:val="none" w:sz="0" w:space="0" w:color="auto"/>
      </w:divBdr>
    </w:div>
    <w:div w:id="2034722730">
      <w:bodyDiv w:val="1"/>
      <w:marLeft w:val="0"/>
      <w:marRight w:val="0"/>
      <w:marTop w:val="0"/>
      <w:marBottom w:val="0"/>
      <w:divBdr>
        <w:top w:val="none" w:sz="0" w:space="0" w:color="auto"/>
        <w:left w:val="none" w:sz="0" w:space="0" w:color="auto"/>
        <w:bottom w:val="none" w:sz="0" w:space="0" w:color="auto"/>
        <w:right w:val="none" w:sz="0" w:space="0" w:color="auto"/>
      </w:divBdr>
    </w:div>
    <w:div w:id="2051950737">
      <w:bodyDiv w:val="1"/>
      <w:marLeft w:val="0"/>
      <w:marRight w:val="0"/>
      <w:marTop w:val="0"/>
      <w:marBottom w:val="0"/>
      <w:divBdr>
        <w:top w:val="none" w:sz="0" w:space="0" w:color="auto"/>
        <w:left w:val="none" w:sz="0" w:space="0" w:color="auto"/>
        <w:bottom w:val="none" w:sz="0" w:space="0" w:color="auto"/>
        <w:right w:val="none" w:sz="0" w:space="0" w:color="auto"/>
      </w:divBdr>
      <w:divsChild>
        <w:div w:id="181239733">
          <w:marLeft w:val="0"/>
          <w:marRight w:val="0"/>
          <w:marTop w:val="0"/>
          <w:marBottom w:val="0"/>
          <w:divBdr>
            <w:top w:val="none" w:sz="0" w:space="0" w:color="auto"/>
            <w:left w:val="none" w:sz="0" w:space="0" w:color="auto"/>
            <w:bottom w:val="none" w:sz="0" w:space="0" w:color="auto"/>
            <w:right w:val="none" w:sz="0" w:space="0" w:color="auto"/>
          </w:divBdr>
          <w:divsChild>
            <w:div w:id="18648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10990">
      <w:bodyDiv w:val="1"/>
      <w:marLeft w:val="0"/>
      <w:marRight w:val="0"/>
      <w:marTop w:val="0"/>
      <w:marBottom w:val="0"/>
      <w:divBdr>
        <w:top w:val="none" w:sz="0" w:space="0" w:color="auto"/>
        <w:left w:val="none" w:sz="0" w:space="0" w:color="auto"/>
        <w:bottom w:val="none" w:sz="0" w:space="0" w:color="auto"/>
        <w:right w:val="none" w:sz="0" w:space="0" w:color="auto"/>
      </w:divBdr>
    </w:div>
    <w:div w:id="210471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footer" Target="footer36.xml"/><Relationship Id="rId89" Type="http://schemas.openxmlformats.org/officeDocument/2006/relationships/header" Target="header40.xml"/><Relationship Id="rId112" Type="http://schemas.openxmlformats.org/officeDocument/2006/relationships/footer" Target="footer50.xml"/><Relationship Id="rId133" Type="http://schemas.openxmlformats.org/officeDocument/2006/relationships/theme" Target="theme/theme1.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footer" Target="footer34.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header" Target="header59.xml"/><Relationship Id="rId5" Type="http://schemas.openxmlformats.org/officeDocument/2006/relationships/numbering" Target="numbering.xml"/><Relationship Id="rId90" Type="http://schemas.openxmlformats.org/officeDocument/2006/relationships/footer" Target="footer39.xml"/><Relationship Id="rId95" Type="http://schemas.openxmlformats.org/officeDocument/2006/relationships/header" Target="header43.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header" Target="header27.xml"/><Relationship Id="rId69" Type="http://schemas.openxmlformats.org/officeDocument/2006/relationships/footer" Target="footer29.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13" Type="http://schemas.openxmlformats.org/officeDocument/2006/relationships/footer" Target="footer51.xml"/><Relationship Id="rId118" Type="http://schemas.openxmlformats.org/officeDocument/2006/relationships/header" Target="header54.xml"/><Relationship Id="rId126" Type="http://schemas.openxmlformats.org/officeDocument/2006/relationships/header" Target="header58.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80" Type="http://schemas.openxmlformats.org/officeDocument/2006/relationships/header" Target="header35.xml"/><Relationship Id="rId85" Type="http://schemas.openxmlformats.org/officeDocument/2006/relationships/footer" Target="footer37.xml"/><Relationship Id="rId93" Type="http://schemas.openxmlformats.org/officeDocument/2006/relationships/footer" Target="footer41.xml"/><Relationship Id="rId98" Type="http://schemas.openxmlformats.org/officeDocument/2006/relationships/header" Target="header44.xml"/><Relationship Id="rId121" Type="http://schemas.openxmlformats.org/officeDocument/2006/relationships/footer" Target="footer5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header" Target="header29.xml"/><Relationship Id="rId103" Type="http://schemas.openxmlformats.org/officeDocument/2006/relationships/footer" Target="footer46.xml"/><Relationship Id="rId108" Type="http://schemas.openxmlformats.org/officeDocument/2006/relationships/header" Target="header49.xml"/><Relationship Id="rId116" Type="http://schemas.openxmlformats.org/officeDocument/2006/relationships/header" Target="header53.xml"/><Relationship Id="rId124" Type="http://schemas.openxmlformats.org/officeDocument/2006/relationships/header" Target="header57.xml"/><Relationship Id="rId129" Type="http://schemas.openxmlformats.org/officeDocument/2006/relationships/footer" Target="footer59.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header" Target="header30.xml"/><Relationship Id="rId75" Type="http://schemas.openxmlformats.org/officeDocument/2006/relationships/footer" Target="footer32.xml"/><Relationship Id="rId83" Type="http://schemas.openxmlformats.org/officeDocument/2006/relationships/header" Target="header37.xml"/><Relationship Id="rId88" Type="http://schemas.openxmlformats.org/officeDocument/2006/relationships/header" Target="header39.xml"/><Relationship Id="rId91" Type="http://schemas.openxmlformats.org/officeDocument/2006/relationships/footer" Target="footer40.xml"/><Relationship Id="rId96" Type="http://schemas.openxmlformats.org/officeDocument/2006/relationships/footer" Target="footer42.xml"/><Relationship Id="rId111" Type="http://schemas.openxmlformats.org/officeDocument/2006/relationships/header" Target="header51.xml"/><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header" Target="header48.xml"/><Relationship Id="rId114" Type="http://schemas.openxmlformats.org/officeDocument/2006/relationships/header" Target="header52.xml"/><Relationship Id="rId119" Type="http://schemas.openxmlformats.org/officeDocument/2006/relationships/footer" Target="footer54.xml"/><Relationship Id="rId127" Type="http://schemas.openxmlformats.org/officeDocument/2006/relationships/footer" Target="footer58.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header" Target="header38.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130" Type="http://schemas.openxmlformats.org/officeDocument/2006/relationships/header" Target="header6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footer" Target="footer49.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footer" Target="footer43.xml"/><Relationship Id="rId104" Type="http://schemas.openxmlformats.org/officeDocument/2006/relationships/header" Target="header47.xml"/><Relationship Id="rId120" Type="http://schemas.openxmlformats.org/officeDocument/2006/relationships/header" Target="header55.xml"/><Relationship Id="rId125" Type="http://schemas.openxmlformats.org/officeDocument/2006/relationships/footer" Target="footer57.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header" Target="header41.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header" Target="header50.xml"/><Relationship Id="rId115" Type="http://schemas.openxmlformats.org/officeDocument/2006/relationships/footer" Target="footer52.xml"/><Relationship Id="rId131" Type="http://schemas.openxmlformats.org/officeDocument/2006/relationships/footer" Target="footer60.xml"/><Relationship Id="rId61" Type="http://schemas.openxmlformats.org/officeDocument/2006/relationships/header" Target="header26.xml"/><Relationship Id="rId82" Type="http://schemas.openxmlformats.org/officeDocument/2006/relationships/header" Target="header36.xml"/><Relationship Id="rId19"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6" ma:contentTypeDescription="Create a new document." ma:contentTypeScope="" ma:versionID="dd72b0324ba1bc46df9db2936d5e3f4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f650c50da735bfe429d6c471b96cda8"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B3A3C-6834-4398-A32D-2C6EDD04C92D}">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2.xml><?xml version="1.0" encoding="utf-8"?>
<ds:datastoreItem xmlns:ds="http://schemas.openxmlformats.org/officeDocument/2006/customXml" ds:itemID="{3C3F91A7-3617-4E71-8288-2C645E5841A9}">
  <ds:schemaRefs>
    <ds:schemaRef ds:uri="http://schemas.microsoft.com/sharepoint/v3/contenttype/forms"/>
  </ds:schemaRefs>
</ds:datastoreItem>
</file>

<file path=customXml/itemProps3.xml><?xml version="1.0" encoding="utf-8"?>
<ds:datastoreItem xmlns:ds="http://schemas.openxmlformats.org/officeDocument/2006/customXml" ds:itemID="{7C164D12-D13F-4DC2-8D5D-747A487C6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3E9049-2181-4766-A787-960B62252F84}">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253</TotalTime>
  <Pages>6</Pages>
  <Words>41106</Words>
  <Characters>234305</Characters>
  <Application>Microsoft Office Word</Application>
  <DocSecurity>0</DocSecurity>
  <Lines>1952</Lines>
  <Paragraphs>549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274862</CharactersWithSpaces>
  <SharedDoc>false</SharedDoc>
  <HLinks>
    <vt:vector size="48" baseType="variant">
      <vt:variant>
        <vt:i4>2097175</vt:i4>
      </vt:variant>
      <vt:variant>
        <vt:i4>21</vt:i4>
      </vt:variant>
      <vt:variant>
        <vt:i4>0</vt:i4>
      </vt:variant>
      <vt:variant>
        <vt:i4>5</vt:i4>
      </vt:variant>
      <vt:variant>
        <vt:lpwstr>mailto:Manuele.ZANNINI@ec.europa.eu</vt:lpwstr>
      </vt:variant>
      <vt:variant>
        <vt:lpwstr/>
      </vt:variant>
      <vt:variant>
        <vt:i4>2097175</vt:i4>
      </vt:variant>
      <vt:variant>
        <vt:i4>18</vt:i4>
      </vt:variant>
      <vt:variant>
        <vt:i4>0</vt:i4>
      </vt:variant>
      <vt:variant>
        <vt:i4>5</vt:i4>
      </vt:variant>
      <vt:variant>
        <vt:lpwstr>mailto:Manuele.ZANNINI@ec.europa.eu</vt:lpwstr>
      </vt:variant>
      <vt:variant>
        <vt:lpwstr/>
      </vt:variant>
      <vt:variant>
        <vt:i4>5308527</vt:i4>
      </vt:variant>
      <vt:variant>
        <vt:i4>15</vt:i4>
      </vt:variant>
      <vt:variant>
        <vt:i4>0</vt:i4>
      </vt:variant>
      <vt:variant>
        <vt:i4>5</vt:i4>
      </vt:variant>
      <vt:variant>
        <vt:lpwstr>mailto:Andrea.COLOMBO@ec.europa.eu</vt:lpwstr>
      </vt:variant>
      <vt:variant>
        <vt:lpwstr/>
      </vt:variant>
      <vt:variant>
        <vt:i4>6422528</vt:i4>
      </vt:variant>
      <vt:variant>
        <vt:i4>12</vt:i4>
      </vt:variant>
      <vt:variant>
        <vt:i4>0</vt:i4>
      </vt:variant>
      <vt:variant>
        <vt:i4>5</vt:i4>
      </vt:variant>
      <vt:variant>
        <vt:lpwstr>mailto:Gabriella.ELBERT-OLGYAY@ec.europa.eu</vt:lpwstr>
      </vt:variant>
      <vt:variant>
        <vt:lpwstr/>
      </vt:variant>
      <vt:variant>
        <vt:i4>6291525</vt:i4>
      </vt:variant>
      <vt:variant>
        <vt:i4>9</vt:i4>
      </vt:variant>
      <vt:variant>
        <vt:i4>0</vt:i4>
      </vt:variant>
      <vt:variant>
        <vt:i4>5</vt:i4>
      </vt:variant>
      <vt:variant>
        <vt:lpwstr>mailto:Liliana.ZUGO@ec.europa.eu</vt:lpwstr>
      </vt:variant>
      <vt:variant>
        <vt:lpwstr/>
      </vt:variant>
      <vt:variant>
        <vt:i4>6291525</vt:i4>
      </vt:variant>
      <vt:variant>
        <vt:i4>6</vt:i4>
      </vt:variant>
      <vt:variant>
        <vt:i4>0</vt:i4>
      </vt:variant>
      <vt:variant>
        <vt:i4>5</vt:i4>
      </vt:variant>
      <vt:variant>
        <vt:lpwstr>mailto:Liliana.ZUGO@ec.europa.eu</vt:lpwstr>
      </vt:variant>
      <vt:variant>
        <vt:lpwstr/>
      </vt:variant>
      <vt:variant>
        <vt:i4>6029419</vt:i4>
      </vt:variant>
      <vt:variant>
        <vt:i4>3</vt:i4>
      </vt:variant>
      <vt:variant>
        <vt:i4>0</vt:i4>
      </vt:variant>
      <vt:variant>
        <vt:i4>5</vt:i4>
      </vt:variant>
      <vt:variant>
        <vt:lpwstr>mailto:Ioana.CIUCANU@ec.europa.eu</vt:lpwstr>
      </vt:variant>
      <vt:variant>
        <vt:lpwstr/>
      </vt:variant>
      <vt:variant>
        <vt:i4>6029419</vt:i4>
      </vt:variant>
      <vt:variant>
        <vt:i4>0</vt:i4>
      </vt:variant>
      <vt:variant>
        <vt:i4>0</vt:i4>
      </vt:variant>
      <vt:variant>
        <vt:i4>5</vt:i4>
      </vt:variant>
      <vt:variant>
        <vt:lpwstr>mailto:Ioana.CIUCANU@ec.europa.eu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52</cp:revision>
  <cp:lastPrinted>2026-03-04T00:28:00Z</cp:lastPrinted>
  <dcterms:created xsi:type="dcterms:W3CDTF">2026-06-16T14:26:00Z</dcterms:created>
  <dcterms:modified xsi:type="dcterms:W3CDTF">2026-06-25T13:18:00Z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reated using">
    <vt:lpwstr>LW 9.2, Build 20250828</vt:lpwstr>
  </property>
  <property fmtid="{D5CDD505-2E9C-101B-9397-08002B2CF9AE}" pid="4" name="Category">
    <vt:lpwstr>DW/RECTIF/FINAL</vt:lpwstr>
  </property>
  <property fmtid="{D5CDD505-2E9C-101B-9397-08002B2CF9AE}" pid="5" name="MSIP_Label_af60b174-6478-47f9-866e-33f097bb6603_Enabled">
    <vt:lpwstr>true</vt:lpwstr>
  </property>
  <property fmtid="{D5CDD505-2E9C-101B-9397-08002B2CF9AE}" pid="6" name="MSIP_Label_af60b174-6478-47f9-866e-33f097bb6603_SetDate">
    <vt:lpwstr>2024-10-14T08:03:30Z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703e5db1-cfb1-4fa8-9264-c43daf6c0221</vt:lpwstr>
  </property>
  <property fmtid="{D5CDD505-2E9C-101B-9397-08002B2CF9AE}" pid="11" name="MSIP_Label_af60b174-6478-47f9-866e-33f097bb6603_ContentBits">
    <vt:lpwstr>0</vt:lpwstr>
  </property>
  <property fmtid="{D5CDD505-2E9C-101B-9397-08002B2CF9AE}" pid="12" name="MSIP_Label_6bd9ddd1-4d20-43f6-abfa-fc3c07406f94_Enabled">
    <vt:lpwstr>true</vt:lpwstr>
  </property>
  <property fmtid="{D5CDD505-2E9C-101B-9397-08002B2CF9AE}" pid="13" name="MSIP_Label_6bd9ddd1-4d20-43f6-abfa-fc3c07406f94_SetDate">
    <vt:lpwstr>2025-07-18T13:07:03Z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54c2d3b8-09b6-4201-9885-1c953b859d97</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0x0101001904E1EBFBC69D4E9F6EFDF5C754386E</vt:lpwstr>
  </property>
  <property fmtid="{D5CDD505-2E9C-101B-9397-08002B2CF9AE}" pid="21" name="MediaServiceImageTags">
    <vt:lpwstr/>
  </property>
  <property fmtid="{D5CDD505-2E9C-101B-9397-08002B2CF9AE}" pid="22" name="Level of sensitivity">
    <vt:lpwstr>Standard treatment</vt:lpwstr>
  </property>
  <property fmtid="{D5CDD505-2E9C-101B-9397-08002B2CF9AE}" pid="23" name="DocStatus">
    <vt:lpwstr>Green</vt:lpwstr>
  </property>
  <property fmtid="{D5CDD505-2E9C-101B-9397-08002B2CF9AE}" pid="24" name="First annex">
    <vt:lpwstr>1</vt:lpwstr>
  </property>
  <property fmtid="{D5CDD505-2E9C-101B-9397-08002B2CF9AE}" pid="25" name="Last annex">
    <vt:lpwstr>1</vt:lpwstr>
  </property>
  <property fmtid="{D5CDD505-2E9C-101B-9397-08002B2CF9AE}" pid="26" name="Unique annex">
    <vt:lpwstr>1</vt:lpwstr>
  </property>
  <property fmtid="{D5CDD505-2E9C-101B-9397-08002B2CF9AE}" pid="27" name="Part">
    <vt:lpwstr>1</vt:lpwstr>
  </property>
  <property fmtid="{D5CDD505-2E9C-101B-9397-08002B2CF9AE}" pid="28" name="Total parts">
    <vt:lpwstr>1</vt:lpwstr>
  </property>
  <property fmtid="{D5CDD505-2E9C-101B-9397-08002B2CF9AE}" pid="29" name="CPTemplateID">
    <vt:lpwstr>CP-036</vt:lpwstr>
  </property>
  <property fmtid="{D5CDD505-2E9C-101B-9397-08002B2CF9AE}" pid="30" name="MSIP_Label_b1df41d6-74a9-4a97-809c-213cd32520cc_Enabled">
    <vt:lpwstr>true</vt:lpwstr>
  </property>
  <property fmtid="{D5CDD505-2E9C-101B-9397-08002B2CF9AE}" pid="31" name="MSIP_Label_b1df41d6-74a9-4a97-809c-213cd32520cc_SetDate">
    <vt:lpwstr>2023-11-23T10:11:22Z</vt:lpwstr>
  </property>
  <property fmtid="{D5CDD505-2E9C-101B-9397-08002B2CF9AE}" pid="32" name="MSIP_Label_b1df41d6-74a9-4a97-809c-213cd32520cc_Method">
    <vt:lpwstr>Privileged</vt:lpwstr>
  </property>
  <property fmtid="{D5CDD505-2E9C-101B-9397-08002B2CF9AE}" pid="33" name="MSIP_Label_b1df41d6-74a9-4a97-809c-213cd32520cc_Name">
    <vt:lpwstr>GSCEU - NON PUBLIC Label</vt:lpwstr>
  </property>
  <property fmtid="{D5CDD505-2E9C-101B-9397-08002B2CF9AE}" pid="34" name="MSIP_Label_b1df41d6-74a9-4a97-809c-213cd32520cc_SiteId">
    <vt:lpwstr>03ad1c97-0a4d-4e82-8f93-27291a6a0767</vt:lpwstr>
  </property>
  <property fmtid="{D5CDD505-2E9C-101B-9397-08002B2CF9AE}" pid="35" name="MSIP_Label_b1df41d6-74a9-4a97-809c-213cd32520cc_ActionId">
    <vt:lpwstr>28c01988-2cd0-44a3-825d-25252de6429b</vt:lpwstr>
  </property>
  <property fmtid="{D5CDD505-2E9C-101B-9397-08002B2CF9AE}" pid="36" name="MSIP_Label_b1df41d6-74a9-4a97-809c-213cd32520cc_ContentBits">
    <vt:lpwstr>0</vt:lpwstr>
  </property>
</Properties>
</file>