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690DA93" w14:textId="2E22564E" w:rsidR="00DE18B7" w:rsidRPr="001C1175" w:rsidRDefault="00541425" w:rsidP="00541425">
      <w:pPr>
        <w:pStyle w:val="Pagedecouverture"/>
        <w:rPr>
          <w:noProof/>
        </w:rPr>
      </w:pPr>
      <w:bookmarkStart w:id="0" w:name="LW_BM_COVERPAGE"/>
      <w:r>
        <w:rPr>
          <w:noProof/>
        </w:rPr>
        <w:pict w14:anchorId="6E0A7D1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E4496A12-6ED2-4E67-AEF6-0D0D157EF953" style="width:455.25pt;height:271.5pt">
            <v:imagedata r:id="rId8" o:title=""/>
          </v:shape>
        </w:pict>
      </w:r>
    </w:p>
    <w:bookmarkEnd w:id="0"/>
    <w:p w14:paraId="4E1E02D5" w14:textId="77777777" w:rsidR="00681F80" w:rsidRPr="001C1175" w:rsidRDefault="00681F80" w:rsidP="00681F80">
      <w:pPr>
        <w:rPr>
          <w:noProof/>
        </w:rPr>
        <w:sectPr w:rsidR="00681F80" w:rsidRPr="001C1175" w:rsidSect="00541425">
          <w:headerReference w:type="even" r:id="rId9"/>
          <w:headerReference w:type="default" r:id="rId10"/>
          <w:footerReference w:type="even" r:id="rId11"/>
          <w:footerReference w:type="default" r:id="rId12"/>
          <w:headerReference w:type="first" r:id="rId13"/>
          <w:footerReference w:type="first" r:id="rId14"/>
          <w:pgSz w:w="11907" w:h="16839"/>
          <w:pgMar w:top="1134" w:right="1417" w:bottom="1134" w:left="1417" w:header="709" w:footer="709" w:gutter="0"/>
          <w:pgNumType w:start="0"/>
          <w:cols w:space="720"/>
          <w:docGrid w:linePitch="360"/>
        </w:sectPr>
      </w:pPr>
    </w:p>
    <w:p w14:paraId="705F7F84" w14:textId="04360985" w:rsidR="00681F80" w:rsidRPr="00B5354A" w:rsidRDefault="005F6429" w:rsidP="00681F80">
      <w:pPr>
        <w:pStyle w:val="TOCHeading"/>
        <w:rPr>
          <w:noProof/>
        </w:rPr>
      </w:pPr>
      <w:bookmarkStart w:id="1" w:name="_GoBack"/>
      <w:bookmarkEnd w:id="1"/>
      <w:r>
        <w:rPr>
          <w:noProof/>
        </w:rPr>
        <w:lastRenderedPageBreak/>
        <w:t>CUPRINS</w:t>
      </w:r>
    </w:p>
    <w:p w14:paraId="7085B860" w14:textId="01FAE8F1" w:rsidR="003C5741" w:rsidRDefault="00681F80">
      <w:pPr>
        <w:pStyle w:val="TOC1"/>
        <w:rPr>
          <w:rFonts w:asciiTheme="minorHAnsi" w:eastAsiaTheme="minorEastAsia" w:hAnsiTheme="minorHAnsi" w:cstheme="minorBidi"/>
          <w:noProof/>
          <w:kern w:val="2"/>
          <w:szCs w:val="24"/>
          <w:lang w:val="en-IE" w:eastAsia="en-IE"/>
          <w14:ligatures w14:val="standardContextual"/>
        </w:rPr>
      </w:pPr>
      <w:r>
        <w:rPr>
          <w:noProof/>
        </w:rPr>
        <w:fldChar w:fldCharType="begin"/>
      </w:r>
      <w:r>
        <w:rPr>
          <w:noProof/>
        </w:rPr>
        <w:instrText xml:space="preserve"> TOC \o "1-3" \h \z \u </w:instrText>
      </w:r>
      <w:r>
        <w:rPr>
          <w:noProof/>
        </w:rPr>
        <w:fldChar w:fldCharType="separate"/>
      </w:r>
      <w:hyperlink w:anchor="_Toc233039648" w:history="1">
        <w:r w:rsidR="003C5741" w:rsidRPr="007E7579">
          <w:rPr>
            <w:rStyle w:val="Hyperlink"/>
            <w:noProof/>
          </w:rPr>
          <w:t>Introducere</w:t>
        </w:r>
        <w:r w:rsidR="003C5741">
          <w:rPr>
            <w:noProof/>
            <w:webHidden/>
          </w:rPr>
          <w:tab/>
        </w:r>
        <w:r w:rsidR="003C5741">
          <w:rPr>
            <w:noProof/>
            <w:webHidden/>
          </w:rPr>
          <w:fldChar w:fldCharType="begin"/>
        </w:r>
        <w:r w:rsidR="003C5741">
          <w:rPr>
            <w:noProof/>
            <w:webHidden/>
          </w:rPr>
          <w:instrText xml:space="preserve"> PAGEREF _Toc233039648 \h </w:instrText>
        </w:r>
        <w:r w:rsidR="003C5741">
          <w:rPr>
            <w:noProof/>
            <w:webHidden/>
          </w:rPr>
        </w:r>
        <w:r w:rsidR="003C5741">
          <w:rPr>
            <w:noProof/>
            <w:webHidden/>
          </w:rPr>
          <w:fldChar w:fldCharType="separate"/>
        </w:r>
        <w:r w:rsidR="003C5741">
          <w:rPr>
            <w:noProof/>
            <w:webHidden/>
          </w:rPr>
          <w:t>2</w:t>
        </w:r>
        <w:r w:rsidR="003C5741">
          <w:rPr>
            <w:noProof/>
            <w:webHidden/>
          </w:rPr>
          <w:fldChar w:fldCharType="end"/>
        </w:r>
      </w:hyperlink>
    </w:p>
    <w:p w14:paraId="54FF3D2D" w14:textId="1C3508F2" w:rsidR="003C5741" w:rsidRDefault="00541425">
      <w:pPr>
        <w:pStyle w:val="TOC1"/>
        <w:rPr>
          <w:rFonts w:asciiTheme="minorHAnsi" w:eastAsiaTheme="minorEastAsia" w:hAnsiTheme="minorHAnsi" w:cstheme="minorBidi"/>
          <w:noProof/>
          <w:kern w:val="2"/>
          <w:szCs w:val="24"/>
          <w:lang w:val="en-IE" w:eastAsia="en-IE"/>
          <w14:ligatures w14:val="standardContextual"/>
        </w:rPr>
      </w:pPr>
      <w:hyperlink w:anchor="_Toc233039649" w:history="1">
        <w:r w:rsidR="003C5741" w:rsidRPr="007E7579">
          <w:rPr>
            <w:rStyle w:val="Hyperlink"/>
            <w:noProof/>
          </w:rPr>
          <w:t>Cereri primite în 2023:</w:t>
        </w:r>
        <w:r w:rsidR="003C5741">
          <w:rPr>
            <w:noProof/>
            <w:webHidden/>
          </w:rPr>
          <w:tab/>
        </w:r>
        <w:r w:rsidR="003C5741">
          <w:rPr>
            <w:noProof/>
            <w:webHidden/>
          </w:rPr>
          <w:fldChar w:fldCharType="begin"/>
        </w:r>
        <w:r w:rsidR="003C5741">
          <w:rPr>
            <w:noProof/>
            <w:webHidden/>
          </w:rPr>
          <w:instrText xml:space="preserve"> PAGEREF _Toc233039649 \h </w:instrText>
        </w:r>
        <w:r w:rsidR="003C5741">
          <w:rPr>
            <w:noProof/>
            <w:webHidden/>
          </w:rPr>
        </w:r>
        <w:r w:rsidR="003C5741">
          <w:rPr>
            <w:noProof/>
            <w:webHidden/>
          </w:rPr>
          <w:fldChar w:fldCharType="separate"/>
        </w:r>
        <w:r w:rsidR="003C5741">
          <w:rPr>
            <w:noProof/>
            <w:webHidden/>
          </w:rPr>
          <w:t>2</w:t>
        </w:r>
        <w:r w:rsidR="003C5741">
          <w:rPr>
            <w:noProof/>
            <w:webHidden/>
          </w:rPr>
          <w:fldChar w:fldCharType="end"/>
        </w:r>
      </w:hyperlink>
    </w:p>
    <w:p w14:paraId="5EDABC64" w14:textId="08C106F9" w:rsidR="003C5741" w:rsidRDefault="00541425">
      <w:pPr>
        <w:pStyle w:val="TOC1"/>
        <w:rPr>
          <w:rFonts w:asciiTheme="minorHAnsi" w:eastAsiaTheme="minorEastAsia" w:hAnsiTheme="minorHAnsi" w:cstheme="minorBidi"/>
          <w:noProof/>
          <w:kern w:val="2"/>
          <w:szCs w:val="24"/>
          <w:lang w:val="en-IE" w:eastAsia="en-IE"/>
          <w14:ligatures w14:val="standardContextual"/>
        </w:rPr>
      </w:pPr>
      <w:hyperlink w:anchor="_Toc233039650" w:history="1">
        <w:r w:rsidR="003C5741" w:rsidRPr="007E7579">
          <w:rPr>
            <w:rStyle w:val="Hyperlink"/>
            <w:noProof/>
          </w:rPr>
          <w:t>Finanțare</w:t>
        </w:r>
        <w:r w:rsidR="003C5741">
          <w:rPr>
            <w:noProof/>
            <w:webHidden/>
          </w:rPr>
          <w:tab/>
        </w:r>
        <w:r w:rsidR="003C5741">
          <w:rPr>
            <w:noProof/>
            <w:webHidden/>
          </w:rPr>
          <w:fldChar w:fldCharType="begin"/>
        </w:r>
        <w:r w:rsidR="003C5741">
          <w:rPr>
            <w:noProof/>
            <w:webHidden/>
          </w:rPr>
          <w:instrText xml:space="preserve"> PAGEREF _Toc233039650 \h </w:instrText>
        </w:r>
        <w:r w:rsidR="003C5741">
          <w:rPr>
            <w:noProof/>
            <w:webHidden/>
          </w:rPr>
        </w:r>
        <w:r w:rsidR="003C5741">
          <w:rPr>
            <w:noProof/>
            <w:webHidden/>
          </w:rPr>
          <w:fldChar w:fldCharType="separate"/>
        </w:r>
        <w:r w:rsidR="003C5741">
          <w:rPr>
            <w:noProof/>
            <w:webHidden/>
          </w:rPr>
          <w:t>6</w:t>
        </w:r>
        <w:r w:rsidR="003C5741">
          <w:rPr>
            <w:noProof/>
            <w:webHidden/>
          </w:rPr>
          <w:fldChar w:fldCharType="end"/>
        </w:r>
      </w:hyperlink>
    </w:p>
    <w:p w14:paraId="087A2864" w14:textId="44398A74" w:rsidR="003C5741" w:rsidRDefault="00541425">
      <w:pPr>
        <w:pStyle w:val="TOC1"/>
        <w:rPr>
          <w:rFonts w:asciiTheme="minorHAnsi" w:eastAsiaTheme="minorEastAsia" w:hAnsiTheme="minorHAnsi" w:cstheme="minorBidi"/>
          <w:noProof/>
          <w:kern w:val="2"/>
          <w:szCs w:val="24"/>
          <w:lang w:val="en-IE" w:eastAsia="en-IE"/>
          <w14:ligatures w14:val="standardContextual"/>
        </w:rPr>
      </w:pPr>
      <w:hyperlink w:anchor="_Toc233039651" w:history="1">
        <w:r w:rsidR="003C5741" w:rsidRPr="007E7579">
          <w:rPr>
            <w:rStyle w:val="Hyperlink"/>
            <w:noProof/>
          </w:rPr>
          <w:t>Revizuirea la jumătatea perioadei a cadrului financiar multianual 2021-2027</w:t>
        </w:r>
        <w:r w:rsidR="003C5741">
          <w:rPr>
            <w:noProof/>
            <w:webHidden/>
          </w:rPr>
          <w:tab/>
        </w:r>
        <w:r w:rsidR="003C5741">
          <w:rPr>
            <w:noProof/>
            <w:webHidden/>
          </w:rPr>
          <w:fldChar w:fldCharType="begin"/>
        </w:r>
        <w:r w:rsidR="003C5741">
          <w:rPr>
            <w:noProof/>
            <w:webHidden/>
          </w:rPr>
          <w:instrText xml:space="preserve"> PAGEREF _Toc233039651 \h </w:instrText>
        </w:r>
        <w:r w:rsidR="003C5741">
          <w:rPr>
            <w:noProof/>
            <w:webHidden/>
          </w:rPr>
        </w:r>
        <w:r w:rsidR="003C5741">
          <w:rPr>
            <w:noProof/>
            <w:webHidden/>
          </w:rPr>
          <w:fldChar w:fldCharType="separate"/>
        </w:r>
        <w:r w:rsidR="003C5741">
          <w:rPr>
            <w:noProof/>
            <w:webHidden/>
          </w:rPr>
          <w:t>6</w:t>
        </w:r>
        <w:r w:rsidR="003C5741">
          <w:rPr>
            <w:noProof/>
            <w:webHidden/>
          </w:rPr>
          <w:fldChar w:fldCharType="end"/>
        </w:r>
      </w:hyperlink>
    </w:p>
    <w:p w14:paraId="516C328F" w14:textId="72DA050B" w:rsidR="003C5741" w:rsidRDefault="00541425">
      <w:pPr>
        <w:pStyle w:val="TOC1"/>
        <w:rPr>
          <w:rFonts w:asciiTheme="minorHAnsi" w:eastAsiaTheme="minorEastAsia" w:hAnsiTheme="minorHAnsi" w:cstheme="minorBidi"/>
          <w:noProof/>
          <w:kern w:val="2"/>
          <w:szCs w:val="24"/>
          <w:lang w:val="en-IE" w:eastAsia="en-IE"/>
          <w14:ligatures w14:val="standardContextual"/>
        </w:rPr>
      </w:pPr>
      <w:hyperlink w:anchor="_Toc233039652" w:history="1">
        <w:r w:rsidR="003C5741" w:rsidRPr="007E7579">
          <w:rPr>
            <w:rStyle w:val="Hyperlink"/>
            <w:noProof/>
          </w:rPr>
          <w:t>Închideri</w:t>
        </w:r>
        <w:r w:rsidR="003C5741">
          <w:rPr>
            <w:noProof/>
            <w:webHidden/>
          </w:rPr>
          <w:tab/>
        </w:r>
        <w:r w:rsidR="003C5741">
          <w:rPr>
            <w:noProof/>
            <w:webHidden/>
          </w:rPr>
          <w:fldChar w:fldCharType="begin"/>
        </w:r>
        <w:r w:rsidR="003C5741">
          <w:rPr>
            <w:noProof/>
            <w:webHidden/>
          </w:rPr>
          <w:instrText xml:space="preserve"> PAGEREF _Toc233039652 \h </w:instrText>
        </w:r>
        <w:r w:rsidR="003C5741">
          <w:rPr>
            <w:noProof/>
            <w:webHidden/>
          </w:rPr>
        </w:r>
        <w:r w:rsidR="003C5741">
          <w:rPr>
            <w:noProof/>
            <w:webHidden/>
          </w:rPr>
          <w:fldChar w:fldCharType="separate"/>
        </w:r>
        <w:r w:rsidR="003C5741">
          <w:rPr>
            <w:noProof/>
            <w:webHidden/>
          </w:rPr>
          <w:t>7</w:t>
        </w:r>
        <w:r w:rsidR="003C5741">
          <w:rPr>
            <w:noProof/>
            <w:webHidden/>
          </w:rPr>
          <w:fldChar w:fldCharType="end"/>
        </w:r>
      </w:hyperlink>
    </w:p>
    <w:p w14:paraId="3EDC7490" w14:textId="799934E4" w:rsidR="003C5741" w:rsidRDefault="00541425">
      <w:pPr>
        <w:pStyle w:val="TOC1"/>
        <w:rPr>
          <w:rFonts w:asciiTheme="minorHAnsi" w:eastAsiaTheme="minorEastAsia" w:hAnsiTheme="minorHAnsi" w:cstheme="minorBidi"/>
          <w:noProof/>
          <w:kern w:val="2"/>
          <w:szCs w:val="24"/>
          <w:lang w:val="en-IE" w:eastAsia="en-IE"/>
          <w14:ligatures w14:val="standardContextual"/>
        </w:rPr>
      </w:pPr>
      <w:hyperlink w:anchor="_Toc233039653" w:history="1">
        <w:r w:rsidR="003C5741" w:rsidRPr="007E7579">
          <w:rPr>
            <w:rStyle w:val="Hyperlink"/>
            <w:noProof/>
          </w:rPr>
          <w:t>Concluzii</w:t>
        </w:r>
        <w:r w:rsidR="003C5741">
          <w:rPr>
            <w:noProof/>
            <w:webHidden/>
          </w:rPr>
          <w:tab/>
        </w:r>
        <w:r w:rsidR="003C5741">
          <w:rPr>
            <w:noProof/>
            <w:webHidden/>
          </w:rPr>
          <w:fldChar w:fldCharType="begin"/>
        </w:r>
        <w:r w:rsidR="003C5741">
          <w:rPr>
            <w:noProof/>
            <w:webHidden/>
          </w:rPr>
          <w:instrText xml:space="preserve"> PAGEREF _Toc233039653 \h </w:instrText>
        </w:r>
        <w:r w:rsidR="003C5741">
          <w:rPr>
            <w:noProof/>
            <w:webHidden/>
          </w:rPr>
        </w:r>
        <w:r w:rsidR="003C5741">
          <w:rPr>
            <w:noProof/>
            <w:webHidden/>
          </w:rPr>
          <w:fldChar w:fldCharType="separate"/>
        </w:r>
        <w:r w:rsidR="003C5741">
          <w:rPr>
            <w:noProof/>
            <w:webHidden/>
          </w:rPr>
          <w:t>7</w:t>
        </w:r>
        <w:r w:rsidR="003C5741">
          <w:rPr>
            <w:noProof/>
            <w:webHidden/>
          </w:rPr>
          <w:fldChar w:fldCharType="end"/>
        </w:r>
      </w:hyperlink>
    </w:p>
    <w:p w14:paraId="6E30A411" w14:textId="2A707F45" w:rsidR="00681F80" w:rsidRPr="00B5354A" w:rsidRDefault="00681F80" w:rsidP="00681F80">
      <w:pPr>
        <w:pStyle w:val="TOC1"/>
        <w:jc w:val="center"/>
        <w:rPr>
          <w:b/>
          <w:noProof/>
          <w:highlight w:val="yellow"/>
        </w:rPr>
        <w:sectPr w:rsidR="00681F80" w:rsidRPr="00B5354A" w:rsidSect="00E06B92">
          <w:headerReference w:type="even" r:id="rId15"/>
          <w:headerReference w:type="default" r:id="rId16"/>
          <w:footerReference w:type="even" r:id="rId17"/>
          <w:footerReference w:type="default" r:id="rId18"/>
          <w:headerReference w:type="first" r:id="rId19"/>
          <w:footerReference w:type="first" r:id="rId20"/>
          <w:pgSz w:w="11907" w:h="16839"/>
          <w:pgMar w:top="1134" w:right="1417" w:bottom="1134" w:left="1417" w:header="709" w:footer="709" w:gutter="0"/>
          <w:cols w:space="720"/>
          <w:docGrid w:linePitch="360"/>
        </w:sectPr>
      </w:pPr>
      <w:r>
        <w:rPr>
          <w:b/>
          <w:noProof/>
        </w:rPr>
        <w:fldChar w:fldCharType="end"/>
      </w:r>
    </w:p>
    <w:p w14:paraId="5B131E81" w14:textId="77777777" w:rsidR="00681F80" w:rsidRPr="00B5354A" w:rsidRDefault="00681F80" w:rsidP="00681F80">
      <w:pPr>
        <w:pStyle w:val="Heading1"/>
        <w:rPr>
          <w:noProof/>
        </w:rPr>
      </w:pPr>
      <w:bookmarkStart w:id="2" w:name="_Toc368320069"/>
      <w:bookmarkStart w:id="3" w:name="_Ref495658716"/>
      <w:bookmarkStart w:id="4" w:name="_Toc233039648"/>
      <w:r>
        <w:rPr>
          <w:noProof/>
        </w:rPr>
        <w:t>Introducere</w:t>
      </w:r>
      <w:bookmarkEnd w:id="2"/>
      <w:bookmarkEnd w:id="3"/>
      <w:bookmarkEnd w:id="4"/>
    </w:p>
    <w:p w14:paraId="07861E4C" w14:textId="650BAC88" w:rsidR="001A7937" w:rsidRPr="00B5354A" w:rsidRDefault="00684764" w:rsidP="00476A0A">
      <w:pPr>
        <w:pStyle w:val="Text1"/>
        <w:ind w:left="0"/>
        <w:rPr>
          <w:noProof/>
        </w:rPr>
      </w:pPr>
      <w:r>
        <w:rPr>
          <w:noProof/>
        </w:rPr>
        <w:t>Articolul 12 din Regulamentul (CE) 2012/2002 al Consiliului din 11 noiembrie 2002 de instituire a Fondului de Solidaritate al Uniunii Europene</w:t>
      </w:r>
      <w:r>
        <w:rPr>
          <w:rStyle w:val="FootnoteReference"/>
          <w:noProof/>
        </w:rPr>
        <w:footnoteReference w:id="1"/>
      </w:r>
      <w:r>
        <w:rPr>
          <w:noProof/>
        </w:rPr>
        <w:t xml:space="preserve"> („regulamentul”) prevede obligația Comisiei de a prezenta Parlamentului European și Consiliului un raport privind activitățile Fondului de solidaritate al UE („FSUE”) din anul precedent. Prin urmare, prezentul raport descrie activitățile FSUE din 2023. Acesta sintetizează (i) cererile primite, (ii) contribuțiile financiare propuse și aprobate și (iii) cazurile închise în cursul perioadei de raportare aferente anului calendaristic 2023. Comisia a evaluat toate cererile în conformitate cu criteriile prevăzute în regulament.</w:t>
      </w:r>
    </w:p>
    <w:p w14:paraId="50E9E6BA" w14:textId="7EF0ACF3" w:rsidR="00041DB3" w:rsidRPr="00B5354A" w:rsidRDefault="001A7937" w:rsidP="00476A0A">
      <w:pPr>
        <w:pStyle w:val="Text1"/>
        <w:ind w:left="0"/>
        <w:rPr>
          <w:noProof/>
        </w:rPr>
      </w:pPr>
      <w:r>
        <w:rPr>
          <w:noProof/>
        </w:rPr>
        <w:t xml:space="preserve">În </w:t>
      </w:r>
      <w:r>
        <w:rPr>
          <w:b/>
          <w:noProof/>
        </w:rPr>
        <w:t>2023</w:t>
      </w:r>
      <w:r>
        <w:rPr>
          <w:noProof/>
        </w:rPr>
        <w:t xml:space="preserve">, Comisia a primit </w:t>
      </w:r>
      <w:r>
        <w:rPr>
          <w:b/>
          <w:noProof/>
        </w:rPr>
        <w:t>cinci noi cereri</w:t>
      </w:r>
      <w:r>
        <w:rPr>
          <w:noProof/>
        </w:rPr>
        <w:t xml:space="preserve"> de contribuții financiare din FSUE, și anume din Grecia (inundații), Italia (inundații în regiunea Emilia-Romagna), Austria (inundații), Slovenia (inundații) și Turcia (cutremur). Patru cereri au vizat „catastrofe naturale majore”, iar una a vizat „o catastrofă naturală într-o țară învecinată”. Toate cererile au fost evaluate ca fiind eligibile în conformitate cu criteriile prevăzute în regulament. </w:t>
      </w:r>
    </w:p>
    <w:p w14:paraId="2B6EC426" w14:textId="13B7C3E2" w:rsidR="002724B2" w:rsidRPr="00B5354A" w:rsidRDefault="00DA1F4D" w:rsidP="00476A0A">
      <w:pPr>
        <w:pStyle w:val="Text1"/>
        <w:ind w:left="0"/>
        <w:rPr>
          <w:noProof/>
        </w:rPr>
      </w:pPr>
      <w:r>
        <w:rPr>
          <w:noProof/>
        </w:rPr>
        <w:t>Italia, Slovenia și Grecia au solicitat plăți în avans. În termen de câteva săptămâni de la primirea cererilor, Comisia a acordat toate plățile în avans și a plătit în total aproximativ 220,09 milioane EUR.</w:t>
      </w:r>
    </w:p>
    <w:p w14:paraId="5367B168" w14:textId="052BBABF" w:rsidR="00C8214F" w:rsidRPr="00B5354A" w:rsidRDefault="00D4682C" w:rsidP="00476A0A">
      <w:pPr>
        <w:pStyle w:val="Text1"/>
        <w:ind w:left="0"/>
        <w:rPr>
          <w:bCs/>
          <w:noProof/>
          <w:highlight w:val="yellow"/>
        </w:rPr>
      </w:pPr>
      <w:r>
        <w:rPr>
          <w:noProof/>
        </w:rPr>
        <w:t>În cazul cutremurului din Turcia, decizia de punere în aplicare a fost adoptată în noiembrie 2023, iar acordul de delegare a fost semnat în februarie 2024. Deciziile de punere în aplicare privind celelalte patru cereri acceptate în 2023 (Grecia, Italia, Austria, Slovenia) au fost adoptate în noiembrie și decembrie 2024. În plus, Comisia a închis două cazuri FSUE în 2023.</w:t>
      </w:r>
    </w:p>
    <w:p w14:paraId="43485B4C" w14:textId="38C56753" w:rsidR="00144F45" w:rsidRPr="00B5354A" w:rsidRDefault="00B25B2F" w:rsidP="00476A0A">
      <w:pPr>
        <w:pStyle w:val="Text1"/>
        <w:ind w:left="0"/>
        <w:rPr>
          <w:noProof/>
        </w:rPr>
      </w:pPr>
      <w:r>
        <w:rPr>
          <w:noProof/>
        </w:rPr>
        <w:t>Anexa I prezintă pragurile aplicabile în 2023 pentru daunele cauzate de „catastrofe naturale majore” în vederea mobilizării FSUE. Anexa II cuprinde o prezentare generală a cererilor primite în 2023, inclusiv informațiile financiare relevante.</w:t>
      </w:r>
    </w:p>
    <w:p w14:paraId="3065E489" w14:textId="16C0E85B" w:rsidR="00681F80" w:rsidRPr="00B5354A" w:rsidRDefault="00133D59" w:rsidP="001B7AF6">
      <w:pPr>
        <w:pStyle w:val="Heading1"/>
        <w:spacing w:before="120"/>
        <w:rPr>
          <w:noProof/>
        </w:rPr>
      </w:pPr>
      <w:bookmarkStart w:id="5" w:name="_Toc487119828"/>
      <w:bookmarkStart w:id="6" w:name="_Toc487123174"/>
      <w:bookmarkStart w:id="7" w:name="_Toc487119829"/>
      <w:bookmarkStart w:id="8" w:name="_Toc487123175"/>
      <w:bookmarkStart w:id="9" w:name="_Toc487119830"/>
      <w:bookmarkStart w:id="10" w:name="_Toc487123176"/>
      <w:bookmarkStart w:id="11" w:name="_Toc487119831"/>
      <w:bookmarkStart w:id="12" w:name="_Toc487123177"/>
      <w:bookmarkStart w:id="13" w:name="_Toc368320071"/>
      <w:bookmarkStart w:id="14" w:name="_Toc233039649"/>
      <w:bookmarkEnd w:id="5"/>
      <w:bookmarkEnd w:id="6"/>
      <w:bookmarkEnd w:id="7"/>
      <w:bookmarkEnd w:id="8"/>
      <w:bookmarkEnd w:id="9"/>
      <w:bookmarkEnd w:id="10"/>
      <w:bookmarkEnd w:id="11"/>
      <w:bookmarkEnd w:id="12"/>
      <w:r>
        <w:rPr>
          <w:noProof/>
        </w:rPr>
        <w:t>Cereri primite în 2023:</w:t>
      </w:r>
      <w:bookmarkEnd w:id="13"/>
      <w:bookmarkEnd w:id="14"/>
    </w:p>
    <w:p w14:paraId="24E441F5" w14:textId="6F6E8A0A" w:rsidR="00056E3D" w:rsidRDefault="001D071C" w:rsidP="00A14E19">
      <w:pPr>
        <w:pStyle w:val="Text1"/>
        <w:ind w:left="0"/>
        <w:rPr>
          <w:noProof/>
        </w:rPr>
      </w:pPr>
      <w:r>
        <w:rPr>
          <w:noProof/>
        </w:rPr>
        <w:t>În 2023, Comisia a primit cinci cereri pentru o contribuție financiară din FSUE. Toate au fost primite de Comisie în termenul legal, respectiv „cel târziu la douăsprezece săptămâni de la prima apariție a daunelor” [articolul 4 alineatul (1) din regulament]. Patru cereri au vizat „catastrofe naturale majore”, iar una a vizat „o catastrofă naturală într-o țară învecinată”.</w:t>
      </w:r>
    </w:p>
    <w:p w14:paraId="6FDE68D1" w14:textId="41C9E747" w:rsidR="00A14E19" w:rsidRPr="00B5354A" w:rsidRDefault="00A14E19" w:rsidP="002D3AD5">
      <w:pPr>
        <w:pStyle w:val="Text1"/>
        <w:ind w:left="0"/>
        <w:rPr>
          <w:noProof/>
        </w:rPr>
      </w:pPr>
      <w:r>
        <w:rPr>
          <w:noProof/>
        </w:rPr>
        <w:t>Tabelele financiare detaliate privind aceste cereri pot fi consultate în anexa II la prezentul raport.</w:t>
      </w:r>
    </w:p>
    <w:p w14:paraId="54DC41C1" w14:textId="77777777" w:rsidR="00AF19CC" w:rsidRPr="00B5354A" w:rsidRDefault="00AF19CC" w:rsidP="00AF19CC">
      <w:pPr>
        <w:pStyle w:val="Text1"/>
        <w:ind w:left="0"/>
        <w:rPr>
          <w:smallCaps/>
          <w:noProof/>
        </w:rPr>
      </w:pPr>
    </w:p>
    <w:p w14:paraId="4248D3A3" w14:textId="173E2481" w:rsidR="003652E1" w:rsidRPr="00B5354A" w:rsidRDefault="00BD150E" w:rsidP="00A14E19">
      <w:pPr>
        <w:pStyle w:val="Text1"/>
        <w:ind w:left="0"/>
        <w:rPr>
          <w:rFonts w:ascii="Times New Roman Bold" w:hAnsi="Times New Roman Bold"/>
          <w:smallCaps/>
          <w:noProof/>
        </w:rPr>
      </w:pPr>
      <w:r>
        <w:rPr>
          <w:rFonts w:ascii="Times New Roman Bold" w:hAnsi="Times New Roman Bold"/>
          <w:smallCaps/>
          <w:noProof/>
        </w:rPr>
        <w:t>Turcia – cutremure</w:t>
      </w:r>
    </w:p>
    <w:p w14:paraId="734A6436" w14:textId="12BA5C4F" w:rsidR="00AF19CC" w:rsidRPr="00B5354A" w:rsidRDefault="00CA2CCF" w:rsidP="002D3AD5">
      <w:pPr>
        <w:pStyle w:val="Text1"/>
        <w:ind w:left="0"/>
        <w:rPr>
          <w:noProof/>
        </w:rPr>
      </w:pPr>
      <w:r>
        <w:rPr>
          <w:noProof/>
        </w:rPr>
        <w:t>La 6 februarie 2023, două cutremure majore cu magnitudinea de 7,8 M</w:t>
      </w:r>
      <w:r>
        <w:rPr>
          <w:noProof/>
          <w:vertAlign w:val="subscript"/>
        </w:rPr>
        <w:t>W</w:t>
      </w:r>
      <w:r>
        <w:rPr>
          <w:noProof/>
        </w:rPr>
        <w:t xml:space="preserve"> și 7,5 M</w:t>
      </w:r>
      <w:r>
        <w:rPr>
          <w:noProof/>
          <w:vertAlign w:val="subscript"/>
        </w:rPr>
        <w:t>W</w:t>
      </w:r>
      <w:r>
        <w:rPr>
          <w:rStyle w:val="FootnoteReference"/>
          <w:noProof/>
        </w:rPr>
        <w:footnoteReference w:id="2"/>
      </w:r>
      <w:r>
        <w:rPr>
          <w:noProof/>
        </w:rPr>
        <w:t xml:space="preserve"> au lovit regiunea Kahramanmaraş din sudul Turciei, în apropierea graniței cu nordul Siriei. La 20 februarie 2023, un alt cutremur puternic, cu magnitudinea de 6,3 M</w:t>
      </w:r>
      <w:r>
        <w:rPr>
          <w:noProof/>
          <w:vertAlign w:val="subscript"/>
        </w:rPr>
        <w:t>W</w:t>
      </w:r>
      <w:r>
        <w:rPr>
          <w:noProof/>
        </w:rPr>
        <w:t>, a lovit provincia Hatay. Aceste cutremure majore au provocat daune pe scară largă și au dus la pierderea a zeci de mii de vieți omenești. În primele trei săptămâni care au urmat catastrofei, s-au înregistrat peste 10 000 de replici. S-au înregistrat pierderi materiale semnificative în 11 provincii. Potrivit evaluării daunelor, aproape 1 milion de clădiri au fost avariate, dintre care aproximativ 280 000 s-au prăbușit sau au suferit daune grave. Cutremurele au afectat grav drumurile, căile ferate, comunicațiile, rețelele de energie și de alimentare cu gaze naturale, precum și infrastructura de alimentare cu apă. Se estimează că au fost afectate 14 milioane de persoane, adică 16 % din populația Turciei.</w:t>
      </w:r>
    </w:p>
    <w:p w14:paraId="5C84B5AA" w14:textId="70F9E20C" w:rsidR="00302957" w:rsidRPr="00B5354A" w:rsidRDefault="00302957" w:rsidP="002D3AD5">
      <w:pPr>
        <w:pStyle w:val="Text1"/>
        <w:ind w:left="0"/>
        <w:rPr>
          <w:noProof/>
        </w:rPr>
      </w:pPr>
      <w:r>
        <w:rPr>
          <w:noProof/>
        </w:rPr>
        <w:t>În lunile care au urmat dezastrului, în regiunea afectată au fost amenajate 332 de tabere de corturi și 189 de tabere de containere. Aproape 1,6 milioane de persoane au beneficiat de adăpost de urgență în regiunea afectată de cutremur. În alte provincii, 330 000 de persoane afectate de catastrofă au beneficiat de cazare. În plus, din cei aproximativ 3,5 milioane de sirieni care beneficiau de protecție temporară în Turcia, peste 1,7 milioane locuiau în regiunea afectată.</w:t>
      </w:r>
    </w:p>
    <w:p w14:paraId="65F4011C" w14:textId="57586832" w:rsidR="00A119D0" w:rsidRPr="00B5354A" w:rsidRDefault="00604027" w:rsidP="002D3AD5">
      <w:pPr>
        <w:pStyle w:val="Text1"/>
        <w:ind w:left="0"/>
        <w:rPr>
          <w:noProof/>
        </w:rPr>
      </w:pPr>
      <w:r>
        <w:rPr>
          <w:noProof/>
        </w:rPr>
        <w:t>La 20 aprilie 2023, Turcia a depus o cerere pentru o contribuție din FSUE în vederea finanțării operațiunilor de urgență și de recuperare în urma cutremurelor. Întrucât Turcia este implicată în negocierile de aderare cu UE, aceasta a fost eligibilă pentru a solicita asistență din FSUE în conformitate cu articolul 2 alineatul (1) din regulament.</w:t>
      </w:r>
    </w:p>
    <w:p w14:paraId="05A369D8" w14:textId="66E0D6C3" w:rsidR="00302957" w:rsidRPr="00B5354A" w:rsidRDefault="00A119D0" w:rsidP="002D3AD5">
      <w:pPr>
        <w:pStyle w:val="Text1"/>
        <w:ind w:left="0"/>
        <w:rPr>
          <w:noProof/>
          <w:highlight w:val="yellow"/>
        </w:rPr>
      </w:pPr>
      <w:r>
        <w:rPr>
          <w:noProof/>
        </w:rPr>
        <w:t>Autoritățile turce au estimat daunele directe totale la 81,7 miliarde EUR, din care Comisia a acceptat 78,8 miliarde EUR ca daune directe totale eligibile. Această sumă a depășit pragul absolut aplicabil pentru „catastrofe naturale majore” de 3 miliarde EUR la prețurile din 2011, echivalentul a 3,804 miliarde EUR la prețurile din 2023. Prin urmare, catastrofa a fost calificată drept „catastrofă naturală majoră”.</w:t>
      </w:r>
    </w:p>
    <w:p w14:paraId="6D6918C3" w14:textId="43958F67" w:rsidR="00142A3E" w:rsidRPr="00B5354A" w:rsidRDefault="00604027" w:rsidP="002D3AD5">
      <w:pPr>
        <w:pStyle w:val="Text1"/>
        <w:ind w:left="0"/>
        <w:rPr>
          <w:bCs/>
          <w:noProof/>
        </w:rPr>
      </w:pPr>
      <w:r>
        <w:rPr>
          <w:noProof/>
        </w:rPr>
        <w:t>În urma propunerii Comisiei COM(2023) 381 din 23 august 2023, autoritatea bugetară a aprobat, la 4 octombrie 2023, o plată în valoare de 400 de milioane EUR din FSUE către Turcia. La data de 17 noiembrie 2023, Comisia a adoptat Decizia de punere în aplicare C(2023) 7975 de acordare a unei contribuții financiare din FSUE.</w:t>
      </w:r>
    </w:p>
    <w:p w14:paraId="045A2318" w14:textId="1E1FE242" w:rsidR="00604027" w:rsidRPr="00B5354A" w:rsidRDefault="00EE6D71" w:rsidP="002D3AD5">
      <w:pPr>
        <w:pStyle w:val="Text1"/>
        <w:ind w:left="0"/>
        <w:rPr>
          <w:b/>
          <w:bCs/>
          <w:noProof/>
          <w:highlight w:val="yellow"/>
        </w:rPr>
      </w:pPr>
      <w:r>
        <w:rPr>
          <w:noProof/>
        </w:rPr>
        <w:t>Statutul Turciei de țară care negociază aderarea la UE impunea ca aceasta să semneze un acord de delegare cu Comisia Europeană. Acordul respectiv a fost semnat în februarie 2024, iar ulterior, la 19 aprilie 2024, a fost plătită suma de 400 de milioane EUR.</w:t>
      </w:r>
    </w:p>
    <w:p w14:paraId="69AB7D7A" w14:textId="5FB55A1D" w:rsidR="00010CA7" w:rsidRPr="00B5354A" w:rsidRDefault="00010CA7" w:rsidP="002D3AD5">
      <w:pPr>
        <w:pStyle w:val="Text1"/>
        <w:ind w:left="0"/>
        <w:rPr>
          <w:noProof/>
          <w:highlight w:val="yellow"/>
        </w:rPr>
      </w:pPr>
    </w:p>
    <w:p w14:paraId="4B4F05F1" w14:textId="3D9FDF74" w:rsidR="00010CA7" w:rsidRPr="00B5354A" w:rsidRDefault="002D1156" w:rsidP="002D3AD5">
      <w:pPr>
        <w:pStyle w:val="Text1"/>
        <w:ind w:left="0"/>
        <w:rPr>
          <w:b/>
          <w:bCs/>
          <w:smallCaps/>
          <w:noProof/>
        </w:rPr>
      </w:pPr>
      <w:r>
        <w:rPr>
          <w:b/>
          <w:smallCaps/>
          <w:noProof/>
        </w:rPr>
        <w:t>Italia – inundațiile din regiunea Emilia-Romagna</w:t>
      </w:r>
    </w:p>
    <w:p w14:paraId="7CC9195B" w14:textId="32192E8C" w:rsidR="002D1156" w:rsidRPr="00B5354A" w:rsidRDefault="002D1156" w:rsidP="002D3AD5">
      <w:pPr>
        <w:pStyle w:val="Text1"/>
        <w:ind w:left="0"/>
        <w:rPr>
          <w:noProof/>
        </w:rPr>
      </w:pPr>
      <w:r>
        <w:rPr>
          <w:noProof/>
        </w:rPr>
        <w:t>În perioada 1-17 mai 2023, regiunea Emilia-Romagna din Italia a fost afectată de ploi abundente și inundații. Au fost afectate șapte provincii din sectorul central-estic al regiunii, în special zonele deluroase și montane, unde s-au înregistrat ploi torențiale extrem de abundente și cantități cumulate ridicate de precipitații. Cantitățile totale cumulate de precipitații s-au situat între 200 și 500 mm. Consecințele inundațiilor ulterioare au fost grave. Pe lângă pierderile economice considerabile cauzate de daunele aduse infrastructurii și bunurilor publice și private, 14 persoane și-au pierdut viața. Peste 1 500 de alunecări de teren au fost declanșate de condițiile meteorologice extreme, afectând grav drumurile, clădirile, utilitățile publice și cursurile de apă.</w:t>
      </w:r>
    </w:p>
    <w:p w14:paraId="48A84C86" w14:textId="5A9BF04C" w:rsidR="002D1156" w:rsidRPr="00B5354A" w:rsidRDefault="002D1156" w:rsidP="002D3AD5">
      <w:pPr>
        <w:pStyle w:val="Text1"/>
        <w:ind w:left="0"/>
        <w:rPr>
          <w:noProof/>
        </w:rPr>
      </w:pPr>
      <w:r>
        <w:rPr>
          <w:noProof/>
        </w:rPr>
        <w:t>Autoritățile italiene au estimat daunele directe totale la 8,53 miliarde EUR, sumă pe care Comisia a acceptat-o integral. Această sumă a depășit pragul de „catastrofă naturală majoră” pentru Italia, de 0,6 % din venitul său național brut, ceea ce a corespuns unei sume de 3,8 miliarde EUR în 2023. Prin urmare, catastrofa a fost calificată drept „catastrofă naturală majoră”.</w:t>
      </w:r>
    </w:p>
    <w:p w14:paraId="7EFF2565" w14:textId="18DBC91D" w:rsidR="002D1156" w:rsidRPr="00B5354A" w:rsidRDefault="002D1156" w:rsidP="002D3AD5">
      <w:pPr>
        <w:pStyle w:val="Text1"/>
        <w:ind w:left="0"/>
        <w:rPr>
          <w:noProof/>
        </w:rPr>
      </w:pPr>
      <w:r>
        <w:rPr>
          <w:noProof/>
        </w:rPr>
        <w:t>La 24 iulie 2023, Italia a depus o cerere pentru o contribuție financiară din partea FSUE pentru a finanța operațiunile de urgență și de recuperare în urma inundațiilor din mai 2023. Italia a solicitat o plată în avans.</w:t>
      </w:r>
    </w:p>
    <w:p w14:paraId="0620747D" w14:textId="071E7E43" w:rsidR="00D96E00" w:rsidRPr="00B5354A" w:rsidRDefault="00900CB8" w:rsidP="002D3AD5">
      <w:pPr>
        <w:pStyle w:val="Text1"/>
        <w:ind w:left="0"/>
        <w:rPr>
          <w:noProof/>
        </w:rPr>
      </w:pPr>
      <w:r>
        <w:rPr>
          <w:noProof/>
          <w:color w:val="000000"/>
        </w:rPr>
        <w:t>Comisia a acordat Italiei un avans de 94 708 385 EUR prin Decizia de punere în aplicare C(2023) 7823 din 13 noiembrie 2023. Această sumă a fost plătită în noiembrie 2023.</w:t>
      </w:r>
    </w:p>
    <w:p w14:paraId="31043798" w14:textId="056CD8C6" w:rsidR="00010CA7" w:rsidRPr="00B5354A" w:rsidRDefault="00D96E00" w:rsidP="002D3AD5">
      <w:pPr>
        <w:spacing w:before="120" w:after="120"/>
        <w:jc w:val="both"/>
        <w:rPr>
          <w:rFonts w:ascii="Times New Roman" w:hAnsi="Times New Roman"/>
          <w:noProof/>
          <w:color w:val="000000"/>
          <w:sz w:val="24"/>
          <w:szCs w:val="24"/>
        </w:rPr>
      </w:pPr>
      <w:r>
        <w:rPr>
          <w:rFonts w:ascii="Times New Roman" w:hAnsi="Times New Roman"/>
          <w:noProof/>
          <w:color w:val="000000"/>
          <w:sz w:val="24"/>
        </w:rPr>
        <w:t>În urma propunerii COM(2024) 325 a Comisiei din 27 august 2024, autoritatea bugetară a aprobat plata a 378 833 540 EUR din FSUE către Italia. La data de 18 decembrie 2024, Comisia a adoptat Decizia de punere în aplicare C(2024) 9259 de acordare a unei contribuții financiare din FSUE. Soldul de 284 125 155 EUR a fost plătit în decembrie 2024.</w:t>
      </w:r>
    </w:p>
    <w:p w14:paraId="3CCDB04D" w14:textId="77777777" w:rsidR="005A695D" w:rsidRPr="00B5354A" w:rsidRDefault="005A695D" w:rsidP="002D3AD5">
      <w:pPr>
        <w:pStyle w:val="Text1"/>
        <w:ind w:left="0"/>
        <w:rPr>
          <w:rFonts w:eastAsia="Calibri"/>
          <w:noProof/>
          <w:szCs w:val="24"/>
          <w:highlight w:val="yellow"/>
          <w:lang w:eastAsia="en-US"/>
        </w:rPr>
      </w:pPr>
    </w:p>
    <w:p w14:paraId="5AB83EA0" w14:textId="7C970B51" w:rsidR="005A695D" w:rsidRPr="00B5354A" w:rsidRDefault="00E269BF" w:rsidP="002D3AD5">
      <w:pPr>
        <w:pStyle w:val="Text1"/>
        <w:ind w:left="0"/>
        <w:rPr>
          <w:b/>
          <w:bCs/>
          <w:smallCaps/>
          <w:noProof/>
        </w:rPr>
      </w:pPr>
      <w:r>
        <w:rPr>
          <w:b/>
          <w:smallCaps/>
          <w:noProof/>
        </w:rPr>
        <w:t>Slovenia – inundații</w:t>
      </w:r>
    </w:p>
    <w:p w14:paraId="73A34FC2" w14:textId="638FE32B" w:rsidR="005A695D" w:rsidRPr="00B5354A" w:rsidRDefault="00E269BF" w:rsidP="002D3AD5">
      <w:pPr>
        <w:pStyle w:val="Text1"/>
        <w:ind w:left="0"/>
        <w:rPr>
          <w:rFonts w:eastAsia="Calibri"/>
          <w:noProof/>
          <w:szCs w:val="24"/>
        </w:rPr>
      </w:pPr>
      <w:r>
        <w:rPr>
          <w:noProof/>
        </w:rPr>
        <w:t>Între 3 și 6 august 2023, un sistem puternic de joasă presiune a provocat precipitații abundente în Slovenia. Ploile torențiale au produs inundații, alunecări de teren și curgeri de noroi de proporții. Cele mai mari cantități de precipitații s-au înregistrat în jumătatea de nord a Sloveniei, unde s-au înregistrat până la 150-200 mm de precipitații. Amploarea inundațiilor a fost fără precedent și a afectat cele mai mari râuri din Slovenia. Apele mari au distrus drumuri, poduri, infrastructura de apă potabilă și de ape uzate, infrastructura energetică, spații urbane, terenuri agricole și numeroase locuințe.</w:t>
      </w:r>
    </w:p>
    <w:p w14:paraId="5A62BDDE" w14:textId="2B5E7E4F" w:rsidR="00E269BF" w:rsidRPr="00B5354A" w:rsidRDefault="00E269BF" w:rsidP="002D3AD5">
      <w:pPr>
        <w:spacing w:before="120" w:after="120"/>
        <w:jc w:val="both"/>
        <w:rPr>
          <w:rFonts w:ascii="Times New Roman" w:hAnsi="Times New Roman"/>
          <w:noProof/>
          <w:color w:val="000000"/>
          <w:sz w:val="24"/>
          <w:szCs w:val="24"/>
        </w:rPr>
      </w:pPr>
      <w:r>
        <w:rPr>
          <w:rFonts w:ascii="Times New Roman" w:hAnsi="Times New Roman"/>
          <w:noProof/>
          <w:color w:val="000000"/>
          <w:sz w:val="24"/>
        </w:rPr>
        <w:t>Autoritățile slovene au estimat daunele directe totale la aproape 10 miliarde EUR, din care Comisia a acceptat 7,32 miliarde EUR ca daune directe totale eligibile. Această sumă a depășit pragul de „catastrofă naturală majoră” pentru Slovenia, de 0,6 % din venitul său național brut, ceea ce a corespuns unei sume de 308,8 milioane EUR în 2023. Prin urmare, catastrofa a fost calificată drept „catastrofă naturală majoră”.</w:t>
      </w:r>
    </w:p>
    <w:p w14:paraId="7EAD5354" w14:textId="7028C796" w:rsidR="00E269BF" w:rsidRPr="00B5354A" w:rsidRDefault="0055254A" w:rsidP="002D3AD5">
      <w:pPr>
        <w:pStyle w:val="Text1"/>
        <w:ind w:left="0"/>
        <w:rPr>
          <w:rFonts w:eastAsia="Calibri"/>
          <w:noProof/>
          <w:szCs w:val="24"/>
        </w:rPr>
      </w:pPr>
      <w:r>
        <w:rPr>
          <w:noProof/>
        </w:rPr>
        <w:t>La 20 octombrie 2023, Slovenia a depus o cerere pentru o contribuție financiară din partea FSUE pentru a finanța operațiunile de urgență și de recuperare în urma inundațiilor din august 2023. Slovenia a solicitat o plată în avans.</w:t>
      </w:r>
    </w:p>
    <w:p w14:paraId="2EA0E552" w14:textId="56DFB640" w:rsidR="00ED135A" w:rsidRPr="00B5354A" w:rsidRDefault="00C26C28" w:rsidP="002D3AD5">
      <w:pPr>
        <w:pStyle w:val="Text1"/>
        <w:ind w:left="0"/>
        <w:rPr>
          <w:noProof/>
        </w:rPr>
      </w:pPr>
      <w:r>
        <w:rPr>
          <w:noProof/>
          <w:color w:val="000000"/>
        </w:rPr>
        <w:t>Comisia a acordat Sloveniei un avans de 100 000 000 EUR prin Decizia de punere în aplicare C(2023) 8168 din 23 noiembrie 2023. Această sumă a fost plătită în decembrie 2023.</w:t>
      </w:r>
    </w:p>
    <w:p w14:paraId="6D8A38C1" w14:textId="735EFCC0" w:rsidR="00ED135A" w:rsidRPr="00B5354A" w:rsidRDefault="00ED135A" w:rsidP="002D3AD5">
      <w:pPr>
        <w:spacing w:before="120" w:after="120"/>
        <w:jc w:val="both"/>
        <w:rPr>
          <w:rFonts w:ascii="Times New Roman" w:hAnsi="Times New Roman"/>
          <w:noProof/>
          <w:color w:val="000000"/>
          <w:sz w:val="24"/>
          <w:szCs w:val="24"/>
        </w:rPr>
      </w:pPr>
      <w:r>
        <w:rPr>
          <w:rFonts w:ascii="Times New Roman" w:hAnsi="Times New Roman"/>
          <w:noProof/>
          <w:color w:val="000000"/>
          <w:sz w:val="24"/>
        </w:rPr>
        <w:t>În urma propunerii COM(2024) 325 a Comisiei din 27 august 2024, autoritatea bugetară a aprobat plata a 428 405 059 EUR din FSUE către Slovenia. La data de 20 noiembrie 2024, Comisia a adoptat Decizia de punere în aplicare C(2024) 8331 de acordare a unei contribuții financiare din FSUE. Soldul de 328 405 059 EUR a fost plătit în decembrie 2024.</w:t>
      </w:r>
    </w:p>
    <w:p w14:paraId="436D8E8B" w14:textId="77777777" w:rsidR="00AD43F1" w:rsidRPr="00B5354A" w:rsidRDefault="00AD43F1" w:rsidP="002D3AD5">
      <w:pPr>
        <w:spacing w:before="120" w:after="120"/>
        <w:jc w:val="both"/>
        <w:rPr>
          <w:rFonts w:ascii="Times New Roman" w:hAnsi="Times New Roman"/>
          <w:noProof/>
          <w:color w:val="000000"/>
          <w:sz w:val="24"/>
          <w:szCs w:val="24"/>
        </w:rPr>
      </w:pPr>
    </w:p>
    <w:p w14:paraId="299BF0ED" w14:textId="72B887D2" w:rsidR="00ED135A" w:rsidRPr="00B5354A" w:rsidRDefault="00ED135A" w:rsidP="002D3AD5">
      <w:pPr>
        <w:pStyle w:val="Text1"/>
        <w:ind w:left="0"/>
        <w:rPr>
          <w:b/>
          <w:bCs/>
          <w:smallCaps/>
          <w:noProof/>
        </w:rPr>
      </w:pPr>
      <w:r>
        <w:rPr>
          <w:b/>
          <w:smallCaps/>
          <w:noProof/>
        </w:rPr>
        <w:t>Austria – inundații</w:t>
      </w:r>
    </w:p>
    <w:p w14:paraId="3AAE22BE" w14:textId="55B52276" w:rsidR="00ED135A" w:rsidRPr="00B5354A" w:rsidRDefault="00ED135A" w:rsidP="002D3AD5">
      <w:pPr>
        <w:spacing w:before="120" w:after="120"/>
        <w:jc w:val="both"/>
        <w:rPr>
          <w:rFonts w:ascii="Times New Roman" w:hAnsi="Times New Roman"/>
          <w:noProof/>
          <w:sz w:val="24"/>
          <w:szCs w:val="24"/>
        </w:rPr>
      </w:pPr>
      <w:r>
        <w:rPr>
          <w:rFonts w:ascii="Times New Roman" w:hAnsi="Times New Roman"/>
          <w:noProof/>
          <w:sz w:val="24"/>
        </w:rPr>
        <w:t>Între 3 și 6 august 2023, ploile abundente au cauzat daune diverselor infrastructuri publice și private în sudul Austriei, în special în sudul Carintiei și în Stiria. Precipitațiile au inundat clădiri, pivnițe, garaje, păduri și câmpuri și au declanșat peste 900 de curgeri de noroi și alunecări de teren. Peste 120 de municipalități au suferit daune cauzate de furtuni, inclusiv întreruperi izolate ale alimentării cu energie electrică din cauza nivelului ridicat al apelor subterane. De asemenea, au fost raportate daune în provinciile învecinate, cum ar fi Salzburg și Burgenland.</w:t>
      </w:r>
    </w:p>
    <w:p w14:paraId="02DFDC81" w14:textId="77CC8330" w:rsidR="00ED135A" w:rsidRPr="00B5354A" w:rsidRDefault="00ED135A" w:rsidP="002D3AD5">
      <w:pPr>
        <w:spacing w:before="120" w:after="120"/>
        <w:jc w:val="both"/>
        <w:rPr>
          <w:rFonts w:ascii="Times New Roman" w:hAnsi="Times New Roman"/>
          <w:noProof/>
          <w:color w:val="000000"/>
          <w:sz w:val="24"/>
          <w:szCs w:val="24"/>
        </w:rPr>
      </w:pPr>
      <w:r>
        <w:rPr>
          <w:rFonts w:ascii="Times New Roman" w:hAnsi="Times New Roman"/>
          <w:noProof/>
          <w:color w:val="000000"/>
          <w:sz w:val="24"/>
        </w:rPr>
        <w:t>Autoritățile austriece au estimat daunele directe totale la 208 milioane EUR, sumă pe care Comisia a acceptat-o. Acestea au depus o cerere în temeiul criteriului privind producerea unei „catastrofe naturale într-o țară învecinată”, conform căruia asistența din FSUE poate fi mobilizată și pentru orice catastrofă naturală dintr-un stat eligibil care constituie, de asemenea, o „catastrofă naturală majoră” într-un stat eligibil învecinat. Întrucât aceeași catastrofă naturală a fost calificată drept „catastrofă naturală majoră” în Slovenia, cererea Austriei a fost eligibilă pentru o contribuție din FSUE fără un prag specific.</w:t>
      </w:r>
    </w:p>
    <w:p w14:paraId="611AF8D5" w14:textId="28123AA5" w:rsidR="00ED135A" w:rsidRPr="00B5354A" w:rsidRDefault="00ED135A" w:rsidP="002D3AD5">
      <w:pPr>
        <w:pStyle w:val="Text1"/>
        <w:ind w:left="0"/>
        <w:rPr>
          <w:rFonts w:eastAsia="Calibri"/>
          <w:noProof/>
          <w:szCs w:val="24"/>
        </w:rPr>
      </w:pPr>
      <w:r>
        <w:rPr>
          <w:noProof/>
        </w:rPr>
        <w:t>La 19 octombrie 2023, Austria a depus o cerere pentru o contribuție financiară din FSUE pentru a finanța operațiunile de urgență și de recuperare în urma inundațiilor din august 2023.</w:t>
      </w:r>
    </w:p>
    <w:p w14:paraId="52CC88A0" w14:textId="4A94BAC8" w:rsidR="00ED135A" w:rsidRPr="00B5354A" w:rsidRDefault="00ED135A" w:rsidP="002D3AD5">
      <w:pPr>
        <w:spacing w:before="120" w:after="120"/>
        <w:jc w:val="both"/>
        <w:rPr>
          <w:rFonts w:ascii="Times New Roman" w:hAnsi="Times New Roman"/>
          <w:noProof/>
          <w:color w:val="000000"/>
          <w:sz w:val="24"/>
          <w:szCs w:val="24"/>
        </w:rPr>
      </w:pPr>
      <w:r>
        <w:rPr>
          <w:rFonts w:ascii="Times New Roman" w:hAnsi="Times New Roman"/>
          <w:noProof/>
          <w:color w:val="000000"/>
          <w:sz w:val="24"/>
        </w:rPr>
        <w:t>În urma propunerii COM(2024) 325 a Comisiei din 27 august 2024, autoritatea bugetară a aprobat plata a 5 199 245 EUR din FSUE către Austria. La data de 16 decembrie 2024, Comisia a adoptat Decizia de punere în aplicare C(2024) 8860 de acordare a unei contribuții financiare din FSUE. Contribuția a fost plătită în decembrie 2024.</w:t>
      </w:r>
    </w:p>
    <w:p w14:paraId="7F129E26" w14:textId="458408D0" w:rsidR="00ED135A" w:rsidRPr="00B5354A" w:rsidRDefault="00ED135A" w:rsidP="002D3AD5">
      <w:pPr>
        <w:spacing w:before="120" w:after="120"/>
        <w:jc w:val="both"/>
        <w:rPr>
          <w:rFonts w:ascii="Times New Roman" w:hAnsi="Times New Roman"/>
          <w:noProof/>
          <w:color w:val="000000"/>
          <w:sz w:val="24"/>
          <w:szCs w:val="24"/>
        </w:rPr>
      </w:pPr>
    </w:p>
    <w:p w14:paraId="012BF014" w14:textId="3BFF8522" w:rsidR="00AD43F1" w:rsidRPr="00B5354A" w:rsidRDefault="00AD43F1" w:rsidP="002D3AD5">
      <w:pPr>
        <w:pStyle w:val="Text1"/>
        <w:ind w:left="0"/>
        <w:rPr>
          <w:b/>
          <w:bCs/>
          <w:smallCaps/>
          <w:noProof/>
        </w:rPr>
      </w:pPr>
      <w:r>
        <w:rPr>
          <w:b/>
          <w:smallCaps/>
          <w:noProof/>
        </w:rPr>
        <w:t>Grecia – inundațiile din regiunea Tesalia</w:t>
      </w:r>
    </w:p>
    <w:p w14:paraId="31103EA3" w14:textId="3319C7EC" w:rsidR="00AD43F1" w:rsidRPr="00B5354A" w:rsidRDefault="00AD43F1" w:rsidP="002D3AD5">
      <w:pPr>
        <w:spacing w:before="120" w:after="120"/>
        <w:jc w:val="both"/>
        <w:rPr>
          <w:rFonts w:ascii="Times New Roman" w:hAnsi="Times New Roman"/>
          <w:noProof/>
          <w:sz w:val="24"/>
          <w:szCs w:val="24"/>
        </w:rPr>
      </w:pPr>
      <w:r>
        <w:rPr>
          <w:rFonts w:ascii="Times New Roman" w:hAnsi="Times New Roman"/>
          <w:noProof/>
          <w:sz w:val="24"/>
        </w:rPr>
        <w:t>În perioada 4-11 septembrie 2023, o furtună puternică și extinsă, care a produs cantități extreme de precipitații, a traversat unele părți ale Greciei, provocând inundații catastrofale în mai multe locuri din centrul țării, în special în Tesalia. Cantitățile totale cumulate de precipitații s-au situat între 400 și 1 000 mm în regiunile afectate. În timpul furtunii, cea mai mare parte a regiunii a primit echivalentul unei cantități medii anuale de precipitații. Ploile torențiale au provocat inundații majore în centrul Greciei, lăsând zone vaste sub apă. Inundațiile au provocat daune grave infrastructurii, au transformat străzile în râuri, au dărâmat clădiri și poduri și au lăsat sate întregi sub ape. Pe lângă pierderile economice considerabile cauzate de daunele aduse infrastructurii și bunurilor publice și private, 17 persoane și-au pierdut viața.</w:t>
      </w:r>
    </w:p>
    <w:p w14:paraId="30BEBBC6" w14:textId="08B6E64D" w:rsidR="00AD43F1" w:rsidRPr="00B5354A" w:rsidRDefault="00AD43F1" w:rsidP="002D3AD5">
      <w:pPr>
        <w:spacing w:before="120" w:after="120"/>
        <w:jc w:val="both"/>
        <w:rPr>
          <w:rFonts w:ascii="Times New Roman" w:hAnsi="Times New Roman"/>
          <w:noProof/>
          <w:color w:val="000000"/>
          <w:sz w:val="24"/>
          <w:szCs w:val="24"/>
        </w:rPr>
      </w:pPr>
      <w:r>
        <w:rPr>
          <w:rFonts w:ascii="Times New Roman" w:hAnsi="Times New Roman"/>
          <w:noProof/>
          <w:color w:val="000000"/>
          <w:sz w:val="24"/>
        </w:rPr>
        <w:t>Autoritățile elene au estimat daunele directe totale la 2,33 miliarde EUR, sumă pe care Comisia a acceptat-o. Această sumă a depășit pragul de „catastrofă naturală majoră” pentru Grecia, de 0,6 % din venitul său național brut, ceea ce a corespuns unei sume de 1,09 miliarde EUR în 2023. Prin urmare, catastrofa a fost calificată drept „catastrofă naturală majoră”.</w:t>
      </w:r>
    </w:p>
    <w:p w14:paraId="20367003" w14:textId="4F76DBF9" w:rsidR="00AD43F1" w:rsidRPr="00B5354A" w:rsidRDefault="00AD43F1" w:rsidP="002D3AD5">
      <w:pPr>
        <w:pStyle w:val="Text1"/>
        <w:ind w:left="0"/>
        <w:rPr>
          <w:rFonts w:eastAsia="Calibri"/>
          <w:noProof/>
          <w:szCs w:val="24"/>
        </w:rPr>
      </w:pPr>
      <w:r>
        <w:rPr>
          <w:noProof/>
        </w:rPr>
        <w:t>La 20 noiembrie 2023, Grecia a depus o cerere pentru o contribuție financiară din FSUE pentru finanțarea operațiunilor de urgență și de recuperare în urma inundațiilor din Tesalia din septembrie 2023. Grecia a solicitat o plată în avans.</w:t>
      </w:r>
    </w:p>
    <w:p w14:paraId="6373F373" w14:textId="347AA379" w:rsidR="00AD43F1" w:rsidRPr="00B5354A" w:rsidRDefault="00904085" w:rsidP="002D3AD5">
      <w:pPr>
        <w:pStyle w:val="Text1"/>
        <w:ind w:left="0"/>
        <w:rPr>
          <w:noProof/>
        </w:rPr>
      </w:pPr>
      <w:r>
        <w:rPr>
          <w:noProof/>
          <w:color w:val="000000"/>
        </w:rPr>
        <w:t>Comisia a acordat Greciei un avans de 25 382 237 EUR prin Decizia de punere în aplicare C(2024) 505 din 23 ianuarie 2024. Această sumă a fost plătită în februarie 2024.</w:t>
      </w:r>
    </w:p>
    <w:p w14:paraId="724F687D" w14:textId="63C30A30" w:rsidR="00AD43F1" w:rsidRPr="00B5354A" w:rsidRDefault="00AD43F1" w:rsidP="002D3AD5">
      <w:pPr>
        <w:spacing w:before="120" w:after="120"/>
        <w:jc w:val="both"/>
        <w:rPr>
          <w:rFonts w:ascii="Times New Roman" w:hAnsi="Times New Roman"/>
          <w:noProof/>
          <w:color w:val="000000"/>
          <w:sz w:val="24"/>
          <w:szCs w:val="24"/>
        </w:rPr>
      </w:pPr>
      <w:r>
        <w:rPr>
          <w:rFonts w:ascii="Times New Roman" w:hAnsi="Times New Roman"/>
          <w:noProof/>
          <w:color w:val="000000"/>
          <w:sz w:val="24"/>
        </w:rPr>
        <w:t>În urma propunerii COM(2024) 325 a Comisiei din 27 august 2024, autoritatea bugetară a aprobat plata a 101 528 949 EUR din FSUE către Grecia. La data de 22 noiembrie 2024, Comisia a adoptat Decizia de punere în aplicare C(2024) 8417 de acordare a unei contribuții financiare din FSUE. Soldul de 76 146 712 EUR a fost plătit în decembrie 2024.</w:t>
      </w:r>
    </w:p>
    <w:p w14:paraId="194F6D48" w14:textId="77777777" w:rsidR="00ED135A" w:rsidRPr="00B5354A" w:rsidRDefault="00ED135A" w:rsidP="002D3AD5">
      <w:pPr>
        <w:pStyle w:val="Text1"/>
        <w:ind w:left="0"/>
        <w:rPr>
          <w:rFonts w:eastAsia="Calibri"/>
          <w:noProof/>
          <w:szCs w:val="24"/>
          <w:highlight w:val="yellow"/>
          <w:lang w:eastAsia="en-US"/>
        </w:rPr>
      </w:pPr>
    </w:p>
    <w:p w14:paraId="3646AD5F" w14:textId="77777777" w:rsidR="00681F80" w:rsidRPr="00B5354A" w:rsidRDefault="00681F80" w:rsidP="00944B63">
      <w:pPr>
        <w:pStyle w:val="Heading1"/>
        <w:rPr>
          <w:noProof/>
        </w:rPr>
      </w:pPr>
      <w:bookmarkStart w:id="15" w:name="_Toc368320072"/>
      <w:bookmarkStart w:id="16" w:name="_Toc233039650"/>
      <w:r>
        <w:rPr>
          <w:noProof/>
        </w:rPr>
        <w:t>Finanțare</w:t>
      </w:r>
      <w:bookmarkEnd w:id="15"/>
      <w:bookmarkEnd w:id="16"/>
    </w:p>
    <w:p w14:paraId="6B255A20" w14:textId="076CF4B3" w:rsidR="006142B7" w:rsidRPr="00B5354A" w:rsidRDefault="006142B7" w:rsidP="002D3AD5">
      <w:pPr>
        <w:spacing w:before="120" w:after="120" w:line="240" w:lineRule="auto"/>
        <w:jc w:val="both"/>
        <w:rPr>
          <w:rFonts w:ascii="Times New Roman" w:hAnsi="Times New Roman"/>
          <w:noProof/>
          <w:sz w:val="24"/>
          <w:szCs w:val="24"/>
        </w:rPr>
      </w:pPr>
      <w:r>
        <w:rPr>
          <w:rFonts w:ascii="Times New Roman" w:hAnsi="Times New Roman"/>
          <w:noProof/>
          <w:sz w:val="24"/>
        </w:rPr>
        <w:t>Cuantumurile individuale ale asistenței propuse de Comisie au fost calculate în conformitate cu metoda stabilită în 2002 și aplicată în toate cazurile ulterioare. Aceasta se bazează pe raportul dintre daunele directe totale acceptate cauzate de catastrofă și prosperitatea relativă a statului afectat, astfel cum este reflectată de pragul de catastrofă majoră (a se vedea anexa I).</w:t>
      </w:r>
    </w:p>
    <w:p w14:paraId="12FF6434" w14:textId="02C0189C" w:rsidR="006142B7" w:rsidRPr="00B5354A" w:rsidRDefault="006142B7" w:rsidP="002D3AD5">
      <w:pPr>
        <w:spacing w:before="120" w:after="120" w:line="240" w:lineRule="auto"/>
        <w:jc w:val="both"/>
        <w:rPr>
          <w:rFonts w:ascii="Times New Roman" w:hAnsi="Times New Roman"/>
          <w:noProof/>
          <w:sz w:val="24"/>
          <w:szCs w:val="24"/>
        </w:rPr>
      </w:pPr>
      <w:r>
        <w:rPr>
          <w:rFonts w:ascii="Times New Roman" w:hAnsi="Times New Roman"/>
          <w:noProof/>
          <w:sz w:val="24"/>
        </w:rPr>
        <w:t>În consecință, în cazul „catastrofelor naturale majore”, se aplică un sistem progresiv, în două etape, potrivit căruia țara primește o rată mai mică a ajutorului, și anume 2,5 % din daunele directe totale, pentru partea de daune care se situează sub prag și o rată mai mare a ajutorului, și anume 6 %, pentru partea de daune care depășește pragul. Cele două sume se adună. În cazul „catastrofelor naturale regionale” și al „catastrofelor naturale într-o țară învecinată” se acordă 2,5 % din daunele directe totale.</w:t>
      </w:r>
    </w:p>
    <w:p w14:paraId="6AB3EBFD" w14:textId="75CF9B22" w:rsidR="006142B7" w:rsidRPr="00B5354A" w:rsidRDefault="006142B7" w:rsidP="002D3AD5">
      <w:pPr>
        <w:spacing w:before="120" w:after="120" w:line="240" w:lineRule="auto"/>
        <w:jc w:val="both"/>
        <w:rPr>
          <w:rFonts w:ascii="Times New Roman" w:hAnsi="Times New Roman"/>
          <w:noProof/>
          <w:sz w:val="24"/>
          <w:szCs w:val="24"/>
        </w:rPr>
      </w:pPr>
      <w:r>
        <w:rPr>
          <w:rFonts w:ascii="Times New Roman" w:hAnsi="Times New Roman"/>
          <w:noProof/>
          <w:sz w:val="24"/>
        </w:rPr>
        <w:t>După ce Parlamentul European și Consiliul au aprobat mobilizarea FSUE și au pus la dispoziție creditele bugetare necesare în bugetul UE, Comisia a adoptat decizii de punere în aplicare privind acordarea de asistență fiecărei țări în parte și a plătit apoi întreaga sumă. În cazurile în care fusese acordat un avans, a fost plătit numai soldul contribuției integrale.</w:t>
      </w:r>
    </w:p>
    <w:p w14:paraId="7AB33AD1" w14:textId="70BF05F7" w:rsidR="006142B7" w:rsidRPr="00B5354A" w:rsidRDefault="006142B7" w:rsidP="002D3AD5">
      <w:pPr>
        <w:spacing w:before="120" w:after="120" w:line="240" w:lineRule="auto"/>
        <w:jc w:val="both"/>
        <w:rPr>
          <w:rFonts w:ascii="Times New Roman" w:hAnsi="Times New Roman"/>
          <w:noProof/>
          <w:sz w:val="24"/>
          <w:szCs w:val="24"/>
        </w:rPr>
      </w:pPr>
      <w:r>
        <w:rPr>
          <w:rFonts w:ascii="Times New Roman" w:hAnsi="Times New Roman"/>
          <w:noProof/>
          <w:sz w:val="24"/>
        </w:rPr>
        <w:t>Anexele la deciziile de punere în aplicare au inclus o descriere generică a utilizării preconizate a fondurilor, au enumerat autoritățile desemnate de statele beneficiare pentru a gestiona contribuția FSUE și au precizat autoritatea independentă responsabilă pentru audit și control.</w:t>
      </w:r>
    </w:p>
    <w:p w14:paraId="37DFEF1E" w14:textId="677BEF6F" w:rsidR="006251FA" w:rsidRPr="00B5354A" w:rsidRDefault="004A5CF5" w:rsidP="002D3AD5">
      <w:pPr>
        <w:spacing w:before="120" w:after="120" w:line="240" w:lineRule="auto"/>
        <w:jc w:val="both"/>
        <w:rPr>
          <w:rFonts w:ascii="Times New Roman" w:hAnsi="Times New Roman"/>
          <w:noProof/>
          <w:sz w:val="24"/>
          <w:szCs w:val="24"/>
        </w:rPr>
      </w:pPr>
      <w:r>
        <w:rPr>
          <w:rFonts w:ascii="Times New Roman" w:hAnsi="Times New Roman"/>
          <w:noProof/>
          <w:sz w:val="24"/>
        </w:rPr>
        <w:t>În cursul perioadei de raportare, Parlamentul European și Consiliul, în calitate de autoritate bugetară, au aprobat trei contribuții financiare din FSUE, astfel cum au fost propuse de către Comisie. Comisia și-a prezentat propunerea de mobilizare a FSUE într-un singur grup:</w:t>
      </w:r>
    </w:p>
    <w:p w14:paraId="55A1B75C" w14:textId="1F31E50C" w:rsidR="00747999" w:rsidRPr="00B5354A" w:rsidRDefault="00747999" w:rsidP="002D3AD5">
      <w:pPr>
        <w:pStyle w:val="ListParagraph"/>
        <w:numPr>
          <w:ilvl w:val="0"/>
          <w:numId w:val="18"/>
        </w:numPr>
        <w:spacing w:before="120" w:after="120" w:line="240" w:lineRule="auto"/>
        <w:ind w:left="0" w:firstLine="0"/>
        <w:jc w:val="both"/>
        <w:rPr>
          <w:rFonts w:ascii="Times New Roman" w:hAnsi="Times New Roman"/>
          <w:noProof/>
          <w:sz w:val="24"/>
          <w:szCs w:val="24"/>
        </w:rPr>
      </w:pPr>
      <w:r>
        <w:rPr>
          <w:rFonts w:ascii="Times New Roman" w:hAnsi="Times New Roman"/>
          <w:noProof/>
          <w:sz w:val="24"/>
        </w:rPr>
        <w:t>La 28 august 2023, Comisia a prezentat o propunere</w:t>
      </w:r>
      <w:r>
        <w:rPr>
          <w:rStyle w:val="FootnoteReference"/>
          <w:rFonts w:ascii="Times New Roman" w:hAnsi="Times New Roman"/>
          <w:noProof/>
          <w:sz w:val="24"/>
          <w:szCs w:val="24"/>
        </w:rPr>
        <w:footnoteReference w:id="3"/>
      </w:r>
      <w:r>
        <w:rPr>
          <w:rFonts w:ascii="Times New Roman" w:hAnsi="Times New Roman"/>
          <w:noProof/>
          <w:sz w:val="24"/>
        </w:rPr>
        <w:t xml:space="preserve"> de decizie a Parlamentului European și a Consiliului privind mobilizarea FSUE în vederea furnizării de asistență României, Italiei și Turciei în urma catastrofelor naturale din 2022 și 2023. Această propunere a fost însoțită de Decizia nr. 10/2023, care propunea transferul unei sume de 446 836 375 EUR de la linia de rezervă pentru Rezerva pentru solidaritate și ajutoare de urgență („SEAR”) către linia bugetară operațională a FSUE, atât în credite de angajament, cât și în credite de plată.</w:t>
      </w:r>
    </w:p>
    <w:p w14:paraId="77CDD8B0" w14:textId="77777777" w:rsidR="004A4E28" w:rsidRPr="00B5354A" w:rsidRDefault="004A4E28" w:rsidP="002D3AD5">
      <w:pPr>
        <w:pStyle w:val="ListParagraph"/>
        <w:spacing w:before="120" w:after="120" w:line="240" w:lineRule="auto"/>
        <w:ind w:left="0"/>
        <w:jc w:val="both"/>
        <w:rPr>
          <w:rFonts w:ascii="Times New Roman" w:hAnsi="Times New Roman"/>
          <w:noProof/>
          <w:sz w:val="24"/>
          <w:szCs w:val="24"/>
        </w:rPr>
      </w:pPr>
    </w:p>
    <w:p w14:paraId="0E742D0A" w14:textId="2AE47F0A" w:rsidR="00B021C1" w:rsidRPr="00B5354A" w:rsidRDefault="00B021C1" w:rsidP="002D3AD5">
      <w:pPr>
        <w:pStyle w:val="ListParagraph"/>
        <w:spacing w:before="120" w:after="120" w:line="240" w:lineRule="auto"/>
        <w:ind w:left="0"/>
        <w:jc w:val="both"/>
        <w:rPr>
          <w:rFonts w:ascii="Times New Roman" w:hAnsi="Times New Roman"/>
          <w:noProof/>
          <w:sz w:val="24"/>
          <w:szCs w:val="24"/>
        </w:rPr>
      </w:pPr>
      <w:r>
        <w:rPr>
          <w:rFonts w:ascii="Times New Roman" w:hAnsi="Times New Roman"/>
          <w:noProof/>
          <w:sz w:val="24"/>
        </w:rPr>
        <w:t>Propunerea de mobilizare a fost adoptată de autoritatea bugetară la 4 octombrie 2023, acordându-se asistență în valoare de 454 835 030 EUR din FSUE pentru: (i) România, în legătură cu seceta din vara anului 2022; (ii) Italia, în legătură cu inundațiile din regiunea Marche din septembrie 2022; și (iii) Turcia în legătură cu cutremurele din februarie 2023. În urma adoptării deciziilor de punere în aplicare respective de acordare a asistenței, suma de 33 895 935 EUR a fost plătită României la 14 decembrie 2023, suma de 20 939 095 EUR a fost plătită Italiei la 14 decembrie 2023, iar suma de 400 000 000 EUR a fost plătită Turciei la 19 aprilie 2024.</w:t>
      </w:r>
    </w:p>
    <w:p w14:paraId="03EE9C5A" w14:textId="77777777" w:rsidR="000644A8" w:rsidRPr="001B7AF6" w:rsidRDefault="000644A8" w:rsidP="001B7AF6">
      <w:pPr>
        <w:spacing w:before="120" w:after="120" w:line="240" w:lineRule="auto"/>
        <w:jc w:val="both"/>
        <w:rPr>
          <w:rFonts w:ascii="Times New Roman" w:hAnsi="Times New Roman"/>
          <w:noProof/>
          <w:sz w:val="24"/>
          <w:szCs w:val="24"/>
        </w:rPr>
      </w:pPr>
    </w:p>
    <w:p w14:paraId="2B55D4EF" w14:textId="4453E27A" w:rsidR="000644A8" w:rsidRPr="00B5354A" w:rsidRDefault="000644A8" w:rsidP="00944B63">
      <w:pPr>
        <w:pStyle w:val="Heading1"/>
        <w:rPr>
          <w:rStyle w:val="Emphasis"/>
          <w:rFonts w:ascii="Times New Roman Bold" w:hAnsi="Times New Roman Bold"/>
          <w:i w:val="0"/>
          <w:iCs w:val="0"/>
          <w:smallCaps w:val="0"/>
          <w:noProof/>
        </w:rPr>
      </w:pPr>
      <w:bookmarkStart w:id="17" w:name="_Toc233039651"/>
      <w:r>
        <w:rPr>
          <w:noProof/>
        </w:rPr>
        <w:t>Revizuirea la jumătatea perioadei a cadrului financiar multianual 2021-2027</w:t>
      </w:r>
      <w:bookmarkEnd w:id="17"/>
    </w:p>
    <w:p w14:paraId="7E2C86F0" w14:textId="09056A83" w:rsidR="000644A8" w:rsidRPr="00B5354A" w:rsidRDefault="000644A8" w:rsidP="000644A8">
      <w:pPr>
        <w:pStyle w:val="Text1"/>
        <w:ind w:left="0"/>
        <w:rPr>
          <w:noProof/>
        </w:rPr>
      </w:pPr>
      <w:r>
        <w:rPr>
          <w:noProof/>
        </w:rPr>
        <w:t>În iunie 2023, ca urmare a presiunii tot mai mari asupra FSUE, Comisia a propus, în cadrul revizuirii la jumătatea perioadei a cadrului financiar multianual (CFM), majorarea plafonului rezervei pentru solidaritate și ajutoare de urgență (SEAR), inclusiv al FSUE, cu 2,5 miliarde EUR (la prețurile din 2023) pentru ultimii patru ani ai CFM 2021-2027. Scopul acestei propuneri a fost de a consolida capacitatea UE de a răspunde la crize și situații de urgență. Revizuirea la jumătatea perioadei a fost finalizată în 2024, iar rezultatul acesteia va fi analizat în raportul anual privind FSUE pentru 2024.</w:t>
      </w:r>
    </w:p>
    <w:p w14:paraId="599C10C1" w14:textId="77777777" w:rsidR="009C0CEE" w:rsidRPr="00B5354A" w:rsidRDefault="009C0CEE" w:rsidP="00CA0D71">
      <w:pPr>
        <w:rPr>
          <w:noProof/>
          <w:highlight w:val="yellow"/>
        </w:rPr>
      </w:pPr>
    </w:p>
    <w:p w14:paraId="533B9102" w14:textId="77777777" w:rsidR="00495D2A" w:rsidRPr="00B5354A" w:rsidRDefault="00681F80" w:rsidP="00944B63">
      <w:pPr>
        <w:pStyle w:val="Heading1"/>
        <w:rPr>
          <w:noProof/>
        </w:rPr>
      </w:pPr>
      <w:bookmarkStart w:id="18" w:name="_Toc368320074"/>
      <w:bookmarkStart w:id="19" w:name="_Ref495658662"/>
      <w:bookmarkStart w:id="20" w:name="_Ref495658676"/>
      <w:bookmarkStart w:id="21" w:name="_Ref495658684"/>
      <w:bookmarkStart w:id="22" w:name="_Ref495658733"/>
      <w:bookmarkStart w:id="23" w:name="_Toc233039652"/>
      <w:r>
        <w:rPr>
          <w:noProof/>
        </w:rPr>
        <w:t>Închideri</w:t>
      </w:r>
      <w:bookmarkEnd w:id="18"/>
      <w:bookmarkEnd w:id="19"/>
      <w:bookmarkEnd w:id="20"/>
      <w:bookmarkEnd w:id="21"/>
      <w:bookmarkEnd w:id="22"/>
      <w:bookmarkEnd w:id="23"/>
    </w:p>
    <w:p w14:paraId="06C5806A" w14:textId="4B4F05AE" w:rsidR="006142B7" w:rsidRPr="00B5354A" w:rsidRDefault="006142B7" w:rsidP="006142B7">
      <w:pPr>
        <w:spacing w:before="120" w:after="120" w:line="240" w:lineRule="auto"/>
        <w:jc w:val="both"/>
        <w:rPr>
          <w:rFonts w:ascii="Times New Roman" w:hAnsi="Times New Roman"/>
          <w:noProof/>
          <w:sz w:val="24"/>
          <w:szCs w:val="24"/>
        </w:rPr>
      </w:pPr>
      <w:r>
        <w:rPr>
          <w:rFonts w:ascii="Times New Roman" w:hAnsi="Times New Roman"/>
          <w:noProof/>
          <w:sz w:val="24"/>
        </w:rPr>
        <w:t>Articolul 8 alineatul (3) din regulament prevede că, în termen de 24 de luni de la data plății contribuției financiare, statul beneficiar trebuie să prezinte un raport privind execuția contribuției financiare („raport privind execuția”), împreună cu o declarație care justifică cheltuielile („declarație de validitate”).</w:t>
      </w:r>
    </w:p>
    <w:p w14:paraId="7A28F076" w14:textId="0C464884" w:rsidR="00C45020" w:rsidRPr="00B5354A" w:rsidRDefault="00C45020" w:rsidP="00476A0A">
      <w:pPr>
        <w:spacing w:before="120" w:after="120" w:line="240" w:lineRule="auto"/>
        <w:jc w:val="both"/>
        <w:rPr>
          <w:rFonts w:ascii="Times New Roman" w:hAnsi="Times New Roman"/>
          <w:noProof/>
          <w:sz w:val="24"/>
          <w:szCs w:val="24"/>
        </w:rPr>
      </w:pPr>
      <w:r>
        <w:rPr>
          <w:rFonts w:ascii="Times New Roman" w:hAnsi="Times New Roman"/>
          <w:noProof/>
          <w:sz w:val="24"/>
        </w:rPr>
        <w:t>Comisia a închis două cazuri FSUE în 2023.</w:t>
      </w:r>
    </w:p>
    <w:p w14:paraId="17C3B456" w14:textId="7080186F" w:rsidR="009C63A6" w:rsidRPr="00B5354A" w:rsidRDefault="009C63A6" w:rsidP="00476A0A">
      <w:pPr>
        <w:pStyle w:val="Text1"/>
        <w:ind w:left="0"/>
        <w:rPr>
          <w:noProof/>
        </w:rPr>
      </w:pPr>
      <w:r>
        <w:rPr>
          <w:b/>
          <w:noProof/>
        </w:rPr>
        <w:t>Ungaria, pandemia de COVID-19 în 2020</w:t>
      </w:r>
      <w:r>
        <w:rPr>
          <w:noProof/>
        </w:rPr>
        <w:t>: contribuția financiară din FSUE s-a ridicat la 39 723 926 EUR. Autoritățile maghiare au prezentat raportul privind execuția și declarația de validitate în iunie 2022. Pe baza informațiilor furnizate de Ungaria, cheltuielile eligibile s-au ridicat la 39 723 926 EUR și nu s-au constatat nereguli. Comisia a constatat că nu era necesară nicio corecție financiară, iar dosarul a fost închis în octombrie 2023.</w:t>
      </w:r>
    </w:p>
    <w:p w14:paraId="3B187711" w14:textId="4CB8BE09" w:rsidR="007064C5" w:rsidRPr="00B5354A" w:rsidRDefault="009C63A6" w:rsidP="007064C5">
      <w:pPr>
        <w:pStyle w:val="Text1"/>
        <w:ind w:left="0"/>
        <w:rPr>
          <w:noProof/>
        </w:rPr>
      </w:pPr>
      <w:r>
        <w:rPr>
          <w:b/>
          <w:noProof/>
        </w:rPr>
        <w:t>Italia, condiții meteorologice severe în 2019</w:t>
      </w:r>
      <w:r>
        <w:rPr>
          <w:noProof/>
        </w:rPr>
        <w:t>: contribuția financiară din FSUE s-a ridicat la 211 707 982 EUR. Autoritățile italiene au prezentat raportul privind execuția și declarația de validitate în februarie 2023. Pe baza informațiilor furnizate de Italia, cheltuielile eligibile s-au ridicat la 213 626 902,82 EUR, ceea ce depășea contribuția din FSUE. Comisia a constatat că nu era necesară nicio corecție financiară, iar dosarul a fost închis în decembrie 2023.</w:t>
      </w:r>
    </w:p>
    <w:p w14:paraId="3600F84B" w14:textId="77777777" w:rsidR="007F19B8" w:rsidRPr="00B5354A" w:rsidRDefault="007F19B8" w:rsidP="007064C5">
      <w:pPr>
        <w:pStyle w:val="Text1"/>
        <w:ind w:left="0"/>
        <w:rPr>
          <w:noProof/>
          <w:highlight w:val="yellow"/>
        </w:rPr>
      </w:pPr>
    </w:p>
    <w:p w14:paraId="49229A8E" w14:textId="28D09A12" w:rsidR="008E01EB" w:rsidRPr="00B5354A" w:rsidRDefault="00A03794" w:rsidP="00944B63">
      <w:pPr>
        <w:pStyle w:val="Heading1"/>
        <w:rPr>
          <w:noProof/>
        </w:rPr>
      </w:pPr>
      <w:bookmarkStart w:id="24" w:name="_Toc233039653"/>
      <w:bookmarkStart w:id="25" w:name="_Toc368320075"/>
      <w:r>
        <w:rPr>
          <w:noProof/>
        </w:rPr>
        <w:t>Concluzii</w:t>
      </w:r>
      <w:bookmarkEnd w:id="24"/>
    </w:p>
    <w:p w14:paraId="5B1FEBBA" w14:textId="73C80E88" w:rsidR="0022279B" w:rsidRDefault="00BD150E" w:rsidP="00BD150E">
      <w:pPr>
        <w:pStyle w:val="Text1"/>
        <w:ind w:left="0"/>
        <w:rPr>
          <w:noProof/>
        </w:rPr>
      </w:pPr>
      <w:r>
        <w:rPr>
          <w:noProof/>
        </w:rPr>
        <w:t>În 2023, tendința către dezastre naturale grave a continuat, de la inundații fără precedent în Uniune la un cutremur catastrofal în Turcia.</w:t>
      </w:r>
    </w:p>
    <w:p w14:paraId="600205A4" w14:textId="46BB5B77" w:rsidR="00BD150E" w:rsidRPr="00B5354A" w:rsidRDefault="00BD150E" w:rsidP="00BD150E">
      <w:pPr>
        <w:pStyle w:val="Text1"/>
        <w:ind w:left="0"/>
        <w:rPr>
          <w:noProof/>
        </w:rPr>
      </w:pPr>
      <w:r>
        <w:rPr>
          <w:noProof/>
        </w:rPr>
        <w:t>Aceste evenimente nu numai că au dus la pierderea de vieți omenești, ci au exercitat și o presiune imensă asupra economiilor și ecosistemelor Uniunii și ale țărilor candidate, evidențiind necesitatea urgentă a unor acțiuni coordonate de combatere a schimbărilor climatice și de consolidare a rezilienței pentru viitor.</w:t>
      </w:r>
    </w:p>
    <w:p w14:paraId="5C543D30" w14:textId="11F57488" w:rsidR="00B325C7" w:rsidRPr="00B5354A" w:rsidRDefault="009B21FB" w:rsidP="00B325C7">
      <w:pPr>
        <w:pStyle w:val="Text1"/>
        <w:ind w:left="0"/>
        <w:rPr>
          <w:noProof/>
        </w:rPr>
      </w:pPr>
      <w:r>
        <w:rPr>
          <w:noProof/>
        </w:rPr>
        <w:t>Aceste dezastre au exercitat, totodată, o presiune asupra bugetului FSUE, deja suprasolicitat. Suma de 400 de milioane EUR plătită Turciei este cea mai mare sumă de asistență plătită vreodată unei țări care negociază aderarea la UE. Această sumă plătită de FSUE este semnificativă în raport cu bugetul total al FSUE pentru 2023, care a fost de numai 500 de milioane EUR la prețurile din 2011 și de 662,45 milioane EUR la prețurile din 2023. În același timp, plata în avans în valoare de 100 de milioane EUR către Slovenia în urma inundațiilor din august 2023 a reprezentat, de asemenea, un nivel-record pentru FSUE.</w:t>
      </w:r>
    </w:p>
    <w:bookmarkEnd w:id="25"/>
    <w:p w14:paraId="2B5FB084" w14:textId="0A39A0E4" w:rsidR="00735E95" w:rsidRPr="00B5354A" w:rsidRDefault="00411C78" w:rsidP="00474392">
      <w:pPr>
        <w:pStyle w:val="Text1"/>
        <w:ind w:left="0"/>
        <w:rPr>
          <w:noProof/>
        </w:rPr>
      </w:pPr>
      <w:r>
        <w:rPr>
          <w:noProof/>
        </w:rPr>
        <w:t>În concluzie, dimensiunea cererilor de asistență primite în 2023 și presiunea sporită asupra bugetului FSUE au confirmat nevoia semnificativă de sprijin din partea fondului.</w:t>
      </w:r>
    </w:p>
    <w:sectPr w:rsidR="00735E95" w:rsidRPr="00B5354A">
      <w:headerReference w:type="even" r:id="rId21"/>
      <w:headerReference w:type="default" r:id="rId22"/>
      <w:footerReference w:type="even" r:id="rId23"/>
      <w:footerReference w:type="default" r:id="rId24"/>
      <w:headerReference w:type="first" r:id="rId25"/>
      <w:footerReference w:type="first" r:id="rId2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2A7A8E9" w14:textId="77777777" w:rsidR="00173AD9" w:rsidRPr="00B5354A" w:rsidRDefault="00173AD9" w:rsidP="00681F80">
      <w:pPr>
        <w:spacing w:after="0" w:line="240" w:lineRule="auto"/>
      </w:pPr>
      <w:r>
        <w:separator/>
      </w:r>
    </w:p>
  </w:endnote>
  <w:endnote w:type="continuationSeparator" w:id="0">
    <w:p w14:paraId="5189B45A" w14:textId="77777777" w:rsidR="00173AD9" w:rsidRPr="00B5354A" w:rsidRDefault="00173AD9" w:rsidP="00681F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Bold">
    <w:panose1 w:val="020208030705050203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C939FE" w14:textId="0E23AA71" w:rsidR="00541425" w:rsidRPr="00541425" w:rsidRDefault="00541425" w:rsidP="00541425">
    <w:pPr>
      <w:pStyle w:val="FooterCoverPage"/>
      <w:rPr>
        <w:rFonts w:ascii="Arial" w:hAnsi="Arial" w:cs="Arial"/>
        <w:b/>
        <w:sz w:val="48"/>
      </w:rPr>
    </w:pPr>
    <w:r w:rsidRPr="00541425">
      <w:rPr>
        <w:rFonts w:ascii="Arial" w:hAnsi="Arial" w:cs="Arial"/>
        <w:b/>
        <w:sz w:val="48"/>
      </w:rPr>
      <w:t>RO</w:t>
    </w:r>
    <w:r w:rsidRPr="00541425">
      <w:rPr>
        <w:rFonts w:ascii="Arial" w:hAnsi="Arial" w:cs="Arial"/>
        <w:b/>
        <w:sz w:val="48"/>
      </w:rPr>
      <w:tab/>
    </w:r>
    <w:r w:rsidRPr="00541425">
      <w:rPr>
        <w:rFonts w:ascii="Arial" w:hAnsi="Arial" w:cs="Arial"/>
        <w:b/>
        <w:sz w:val="48"/>
      </w:rPr>
      <w:tab/>
    </w:r>
    <w:r w:rsidRPr="00541425">
      <w:tab/>
    </w:r>
    <w:r w:rsidRPr="00541425">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9301E6" w14:textId="1C91D99B" w:rsidR="00541425" w:rsidRPr="00541425" w:rsidRDefault="00541425" w:rsidP="00541425">
    <w:pPr>
      <w:pStyle w:val="FooterCoverPage"/>
      <w:rPr>
        <w:rFonts w:ascii="Arial" w:hAnsi="Arial" w:cs="Arial"/>
        <w:b/>
        <w:sz w:val="48"/>
      </w:rPr>
    </w:pPr>
    <w:r w:rsidRPr="00541425">
      <w:rPr>
        <w:rFonts w:ascii="Arial" w:hAnsi="Arial" w:cs="Arial"/>
        <w:b/>
        <w:sz w:val="48"/>
      </w:rPr>
      <w:t>RO</w:t>
    </w:r>
    <w:r w:rsidRPr="00541425">
      <w:rPr>
        <w:rFonts w:ascii="Arial" w:hAnsi="Arial" w:cs="Arial"/>
        <w:b/>
        <w:sz w:val="48"/>
      </w:rPr>
      <w:tab/>
    </w:r>
    <w:r w:rsidRPr="00541425">
      <w:rPr>
        <w:rFonts w:ascii="Arial" w:hAnsi="Arial" w:cs="Arial"/>
        <w:b/>
        <w:sz w:val="48"/>
      </w:rPr>
      <w:tab/>
    </w:r>
    <w:r w:rsidRPr="00541425">
      <w:tab/>
    </w:r>
    <w:r w:rsidRPr="00541425">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2EBDE6" w14:textId="77777777" w:rsidR="00541425" w:rsidRPr="00541425" w:rsidRDefault="00541425" w:rsidP="00541425">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B1A746" w14:textId="77777777" w:rsidR="00D83001" w:rsidRPr="00B5354A" w:rsidRDefault="00D83001">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F1614E" w14:textId="7398E163" w:rsidR="00D83001" w:rsidRPr="00B5354A" w:rsidRDefault="00D83001">
    <w:pPr>
      <w:pStyle w:val="Footer"/>
      <w:jc w:val="center"/>
    </w:pPr>
    <w:r>
      <w:fldChar w:fldCharType="begin"/>
    </w:r>
    <w:r>
      <w:instrText xml:space="preserve"> PAGE   \* MERGEFORMAT </w:instrText>
    </w:r>
    <w:r>
      <w:fldChar w:fldCharType="separate"/>
    </w:r>
    <w:r w:rsidR="00541425">
      <w:rPr>
        <w:noProof/>
      </w:rPr>
      <w:t>1</w:t>
    </w:r>
    <w:r>
      <w:fldChar w:fldCharType="end"/>
    </w:r>
  </w:p>
  <w:p w14:paraId="2F2E92BA" w14:textId="77777777" w:rsidR="00D83001" w:rsidRPr="00B5354A" w:rsidRDefault="00D83001" w:rsidP="00681F80">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FB1F25" w14:textId="77777777" w:rsidR="00D83001" w:rsidRPr="00B5354A" w:rsidRDefault="00D83001">
    <w:pPr>
      <w:pStyle w:val="Footer"/>
      <w:jc w:val="center"/>
    </w:pPr>
    <w:r>
      <w:fldChar w:fldCharType="begin"/>
    </w:r>
    <w:r>
      <w:instrText xml:space="preserve"> PAGE   \* MERGEFORMAT </w:instrText>
    </w:r>
    <w:r>
      <w:fldChar w:fldCharType="separate"/>
    </w:r>
    <w:r>
      <w:t>1</w:t>
    </w:r>
    <w:r>
      <w:fldChar w:fldCharType="end"/>
    </w:r>
  </w:p>
  <w:p w14:paraId="3BE67328" w14:textId="77777777" w:rsidR="00D83001" w:rsidRPr="00B5354A" w:rsidRDefault="00D83001">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03C9C4" w14:textId="77777777" w:rsidR="009E211F" w:rsidRPr="00B5354A" w:rsidRDefault="009E211F">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D6EB0B" w14:textId="0B1CA960" w:rsidR="009E211F" w:rsidRPr="00B5354A" w:rsidRDefault="009E211F" w:rsidP="00E06B92">
    <w:pPr>
      <w:pStyle w:val="Footer"/>
      <w:jc w:val="center"/>
    </w:pPr>
    <w:r>
      <w:fldChar w:fldCharType="begin"/>
    </w:r>
    <w:r>
      <w:instrText xml:space="preserve"> PAGE   \* MERGEFORMAT </w:instrText>
    </w:r>
    <w:r>
      <w:fldChar w:fldCharType="separate"/>
    </w:r>
    <w:r w:rsidR="00541425">
      <w:rPr>
        <w:noProof/>
      </w:rPr>
      <w:t>7</w:t>
    </w:r>
    <w: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4B859C" w14:textId="77777777" w:rsidR="009E211F" w:rsidRPr="00B5354A" w:rsidRDefault="009E211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73044DA" w14:textId="77777777" w:rsidR="00173AD9" w:rsidRPr="00B5354A" w:rsidRDefault="00173AD9" w:rsidP="00681F80">
      <w:pPr>
        <w:spacing w:after="0" w:line="240" w:lineRule="auto"/>
      </w:pPr>
      <w:r>
        <w:separator/>
      </w:r>
    </w:p>
  </w:footnote>
  <w:footnote w:type="continuationSeparator" w:id="0">
    <w:p w14:paraId="00C4F08E" w14:textId="77777777" w:rsidR="00173AD9" w:rsidRPr="00B5354A" w:rsidRDefault="00173AD9" w:rsidP="00681F80">
      <w:pPr>
        <w:spacing w:after="0" w:line="240" w:lineRule="auto"/>
      </w:pPr>
      <w:r>
        <w:continuationSeparator/>
      </w:r>
    </w:p>
  </w:footnote>
  <w:footnote w:id="1">
    <w:p w14:paraId="7127F2DF" w14:textId="71C862B5" w:rsidR="00684764" w:rsidRPr="00B5354A" w:rsidRDefault="00684764" w:rsidP="00684764">
      <w:pPr>
        <w:pStyle w:val="FootnoteText"/>
        <w:ind w:left="0" w:hanging="11"/>
      </w:pPr>
      <w:r>
        <w:rPr>
          <w:rStyle w:val="FootnoteReference"/>
        </w:rPr>
        <w:footnoteRef/>
      </w:r>
      <w:r>
        <w:t xml:space="preserve"> Regulamentul (CE) 2012/2002 al Consiliului din 11 noiembrie 2002 de instituire a Fondului de Solidaritate al Uniunii Europene (JO L 311, 14.11.2002, p. 3) astfel cum a fost modificat prin Regulamentul (UE) nr. 661/2014 al Parlamentului European și al Consiliului din 15 mai 2014 (JO L 189, 27.6.2014, p. 143) și prin Regulamentul (UE) 2020/461 al Parlamentului European și al Consiliului din 30 martie 2020 (JO L 99, 31.3.2020, p. 9).</w:t>
      </w:r>
    </w:p>
  </w:footnote>
  <w:footnote w:id="2">
    <w:p w14:paraId="74945CCE" w14:textId="18560461" w:rsidR="00CA2CCF" w:rsidRPr="00B5354A" w:rsidRDefault="00CA2CCF">
      <w:pPr>
        <w:pStyle w:val="FootnoteText"/>
      </w:pPr>
      <w:r>
        <w:rPr>
          <w:rStyle w:val="FootnoteReference"/>
        </w:rPr>
        <w:footnoteRef/>
      </w:r>
      <w:r>
        <w:tab/>
        <w:t>M</w:t>
      </w:r>
      <w:r>
        <w:rPr>
          <w:vertAlign w:val="subscript"/>
        </w:rPr>
        <w:t>W</w:t>
      </w:r>
      <w:r>
        <w:t xml:space="preserve"> – scara magnitudinii seismice „Richter” sau scara magnitudinii momentului.</w:t>
      </w:r>
    </w:p>
  </w:footnote>
  <w:footnote w:id="3">
    <w:p w14:paraId="393B9BD1" w14:textId="21ADB4C7" w:rsidR="00747999" w:rsidRPr="00B5354A" w:rsidRDefault="00747999">
      <w:pPr>
        <w:pStyle w:val="FootnoteText"/>
      </w:pPr>
      <w:r>
        <w:rPr>
          <w:rStyle w:val="FootnoteReference"/>
        </w:rPr>
        <w:footnoteRef/>
      </w:r>
      <w:r>
        <w:t xml:space="preserve"> COM(2023) 381 din 23.8.2023.</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416DD2" w14:textId="77777777" w:rsidR="00541425" w:rsidRPr="00541425" w:rsidRDefault="00541425" w:rsidP="00541425">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57B7DE" w14:textId="77777777" w:rsidR="00541425" w:rsidRPr="00541425" w:rsidRDefault="00541425" w:rsidP="00541425">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7DDEB9" w14:textId="77777777" w:rsidR="00541425" w:rsidRPr="00541425" w:rsidRDefault="00541425" w:rsidP="00541425">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7B7136" w14:textId="77777777" w:rsidR="00D83001" w:rsidRPr="00B5354A" w:rsidRDefault="00D83001">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3FC480" w14:textId="77777777" w:rsidR="00D83001" w:rsidRPr="00B5354A" w:rsidRDefault="00D83001">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A49CBD" w14:textId="77777777" w:rsidR="00D83001" w:rsidRPr="00B5354A" w:rsidRDefault="00D83001">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E090ED" w14:textId="77777777" w:rsidR="009E211F" w:rsidRPr="00B5354A" w:rsidRDefault="009E211F">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E430DC" w14:textId="77777777" w:rsidR="009E211F" w:rsidRPr="00B5354A" w:rsidRDefault="009E211F" w:rsidP="00175A30">
    <w:pPr>
      <w:pStyle w:val="Header"/>
      <w:jc w:val="right"/>
      <w:rPr>
        <w:color w:val="C00000"/>
      </w:rPr>
    </w:pP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852717" w14:textId="77777777" w:rsidR="009E211F" w:rsidRPr="00B5354A" w:rsidRDefault="009E211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DE273A"/>
    <w:multiLevelType w:val="multilevel"/>
    <w:tmpl w:val="0ABC33F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2" w15:restartNumberingAfterBreak="0">
    <w:nsid w:val="1B704A39"/>
    <w:multiLevelType w:val="hybridMultilevel"/>
    <w:tmpl w:val="A9A81584"/>
    <w:lvl w:ilvl="0" w:tplc="3A983DD6">
      <w:start w:val="1"/>
      <w:numFmt w:val="upperLetter"/>
      <w:lvlText w:val="%1)"/>
      <w:lvlJc w:val="left"/>
      <w:pPr>
        <w:ind w:left="1211" w:hanging="36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3" w15:restartNumberingAfterBreak="0">
    <w:nsid w:val="2ABD56D8"/>
    <w:multiLevelType w:val="hybridMultilevel"/>
    <w:tmpl w:val="ED78B80C"/>
    <w:lvl w:ilvl="0" w:tplc="18090001">
      <w:start w:val="1"/>
      <w:numFmt w:val="bullet"/>
      <w:lvlText w:val=""/>
      <w:lvlJc w:val="left"/>
      <w:pPr>
        <w:ind w:left="1571" w:hanging="360"/>
      </w:pPr>
      <w:rPr>
        <w:rFonts w:ascii="Symbol" w:hAnsi="Symbol" w:hint="default"/>
      </w:rPr>
    </w:lvl>
    <w:lvl w:ilvl="1" w:tplc="18090003" w:tentative="1">
      <w:start w:val="1"/>
      <w:numFmt w:val="bullet"/>
      <w:lvlText w:val="o"/>
      <w:lvlJc w:val="left"/>
      <w:pPr>
        <w:ind w:left="2291" w:hanging="360"/>
      </w:pPr>
      <w:rPr>
        <w:rFonts w:ascii="Courier New" w:hAnsi="Courier New" w:cs="Courier New" w:hint="default"/>
      </w:rPr>
    </w:lvl>
    <w:lvl w:ilvl="2" w:tplc="18090005" w:tentative="1">
      <w:start w:val="1"/>
      <w:numFmt w:val="bullet"/>
      <w:lvlText w:val=""/>
      <w:lvlJc w:val="left"/>
      <w:pPr>
        <w:ind w:left="3011" w:hanging="360"/>
      </w:pPr>
      <w:rPr>
        <w:rFonts w:ascii="Wingdings" w:hAnsi="Wingdings" w:hint="default"/>
      </w:rPr>
    </w:lvl>
    <w:lvl w:ilvl="3" w:tplc="18090001" w:tentative="1">
      <w:start w:val="1"/>
      <w:numFmt w:val="bullet"/>
      <w:lvlText w:val=""/>
      <w:lvlJc w:val="left"/>
      <w:pPr>
        <w:ind w:left="3731" w:hanging="360"/>
      </w:pPr>
      <w:rPr>
        <w:rFonts w:ascii="Symbol" w:hAnsi="Symbol" w:hint="default"/>
      </w:rPr>
    </w:lvl>
    <w:lvl w:ilvl="4" w:tplc="18090003" w:tentative="1">
      <w:start w:val="1"/>
      <w:numFmt w:val="bullet"/>
      <w:lvlText w:val="o"/>
      <w:lvlJc w:val="left"/>
      <w:pPr>
        <w:ind w:left="4451" w:hanging="360"/>
      </w:pPr>
      <w:rPr>
        <w:rFonts w:ascii="Courier New" w:hAnsi="Courier New" w:cs="Courier New" w:hint="default"/>
      </w:rPr>
    </w:lvl>
    <w:lvl w:ilvl="5" w:tplc="18090005" w:tentative="1">
      <w:start w:val="1"/>
      <w:numFmt w:val="bullet"/>
      <w:lvlText w:val=""/>
      <w:lvlJc w:val="left"/>
      <w:pPr>
        <w:ind w:left="5171" w:hanging="360"/>
      </w:pPr>
      <w:rPr>
        <w:rFonts w:ascii="Wingdings" w:hAnsi="Wingdings" w:hint="default"/>
      </w:rPr>
    </w:lvl>
    <w:lvl w:ilvl="6" w:tplc="18090001" w:tentative="1">
      <w:start w:val="1"/>
      <w:numFmt w:val="bullet"/>
      <w:lvlText w:val=""/>
      <w:lvlJc w:val="left"/>
      <w:pPr>
        <w:ind w:left="5891" w:hanging="360"/>
      </w:pPr>
      <w:rPr>
        <w:rFonts w:ascii="Symbol" w:hAnsi="Symbol" w:hint="default"/>
      </w:rPr>
    </w:lvl>
    <w:lvl w:ilvl="7" w:tplc="18090003" w:tentative="1">
      <w:start w:val="1"/>
      <w:numFmt w:val="bullet"/>
      <w:lvlText w:val="o"/>
      <w:lvlJc w:val="left"/>
      <w:pPr>
        <w:ind w:left="6611" w:hanging="360"/>
      </w:pPr>
      <w:rPr>
        <w:rFonts w:ascii="Courier New" w:hAnsi="Courier New" w:cs="Courier New" w:hint="default"/>
      </w:rPr>
    </w:lvl>
    <w:lvl w:ilvl="8" w:tplc="18090005" w:tentative="1">
      <w:start w:val="1"/>
      <w:numFmt w:val="bullet"/>
      <w:lvlText w:val=""/>
      <w:lvlJc w:val="left"/>
      <w:pPr>
        <w:ind w:left="7331" w:hanging="360"/>
      </w:pPr>
      <w:rPr>
        <w:rFonts w:ascii="Wingdings" w:hAnsi="Wingdings" w:hint="default"/>
      </w:rPr>
    </w:lvl>
  </w:abstractNum>
  <w:abstractNum w:abstractNumId="4" w15:restartNumberingAfterBreak="0">
    <w:nsid w:val="2D4569BF"/>
    <w:multiLevelType w:val="hybridMultilevel"/>
    <w:tmpl w:val="2BE20414"/>
    <w:lvl w:ilvl="0" w:tplc="18090001">
      <w:start w:val="1"/>
      <w:numFmt w:val="bullet"/>
      <w:lvlText w:val=""/>
      <w:lvlJc w:val="left"/>
      <w:pPr>
        <w:ind w:left="1571" w:hanging="360"/>
      </w:pPr>
      <w:rPr>
        <w:rFonts w:ascii="Symbol" w:hAnsi="Symbol" w:hint="default"/>
      </w:rPr>
    </w:lvl>
    <w:lvl w:ilvl="1" w:tplc="FFFFFFFF" w:tentative="1">
      <w:start w:val="1"/>
      <w:numFmt w:val="bullet"/>
      <w:lvlText w:val="o"/>
      <w:lvlJc w:val="left"/>
      <w:pPr>
        <w:ind w:left="2291" w:hanging="360"/>
      </w:pPr>
      <w:rPr>
        <w:rFonts w:ascii="Courier New" w:hAnsi="Courier New" w:cs="Courier New" w:hint="default"/>
      </w:rPr>
    </w:lvl>
    <w:lvl w:ilvl="2" w:tplc="FFFFFFFF" w:tentative="1">
      <w:start w:val="1"/>
      <w:numFmt w:val="bullet"/>
      <w:lvlText w:val=""/>
      <w:lvlJc w:val="left"/>
      <w:pPr>
        <w:ind w:left="3011" w:hanging="360"/>
      </w:pPr>
      <w:rPr>
        <w:rFonts w:ascii="Wingdings" w:hAnsi="Wingdings" w:hint="default"/>
      </w:rPr>
    </w:lvl>
    <w:lvl w:ilvl="3" w:tplc="FFFFFFFF" w:tentative="1">
      <w:start w:val="1"/>
      <w:numFmt w:val="bullet"/>
      <w:lvlText w:val=""/>
      <w:lvlJc w:val="left"/>
      <w:pPr>
        <w:ind w:left="3731" w:hanging="360"/>
      </w:pPr>
      <w:rPr>
        <w:rFonts w:ascii="Symbol" w:hAnsi="Symbol" w:hint="default"/>
      </w:rPr>
    </w:lvl>
    <w:lvl w:ilvl="4" w:tplc="FFFFFFFF" w:tentative="1">
      <w:start w:val="1"/>
      <w:numFmt w:val="bullet"/>
      <w:lvlText w:val="o"/>
      <w:lvlJc w:val="left"/>
      <w:pPr>
        <w:ind w:left="4451" w:hanging="360"/>
      </w:pPr>
      <w:rPr>
        <w:rFonts w:ascii="Courier New" w:hAnsi="Courier New" w:cs="Courier New" w:hint="default"/>
      </w:rPr>
    </w:lvl>
    <w:lvl w:ilvl="5" w:tplc="FFFFFFFF" w:tentative="1">
      <w:start w:val="1"/>
      <w:numFmt w:val="bullet"/>
      <w:lvlText w:val=""/>
      <w:lvlJc w:val="left"/>
      <w:pPr>
        <w:ind w:left="5171" w:hanging="360"/>
      </w:pPr>
      <w:rPr>
        <w:rFonts w:ascii="Wingdings" w:hAnsi="Wingdings" w:hint="default"/>
      </w:rPr>
    </w:lvl>
    <w:lvl w:ilvl="6" w:tplc="FFFFFFFF" w:tentative="1">
      <w:start w:val="1"/>
      <w:numFmt w:val="bullet"/>
      <w:lvlText w:val=""/>
      <w:lvlJc w:val="left"/>
      <w:pPr>
        <w:ind w:left="5891" w:hanging="360"/>
      </w:pPr>
      <w:rPr>
        <w:rFonts w:ascii="Symbol" w:hAnsi="Symbol" w:hint="default"/>
      </w:rPr>
    </w:lvl>
    <w:lvl w:ilvl="7" w:tplc="FFFFFFFF" w:tentative="1">
      <w:start w:val="1"/>
      <w:numFmt w:val="bullet"/>
      <w:lvlText w:val="o"/>
      <w:lvlJc w:val="left"/>
      <w:pPr>
        <w:ind w:left="6611" w:hanging="360"/>
      </w:pPr>
      <w:rPr>
        <w:rFonts w:ascii="Courier New" w:hAnsi="Courier New" w:cs="Courier New" w:hint="default"/>
      </w:rPr>
    </w:lvl>
    <w:lvl w:ilvl="8" w:tplc="FFFFFFFF" w:tentative="1">
      <w:start w:val="1"/>
      <w:numFmt w:val="bullet"/>
      <w:lvlText w:val=""/>
      <w:lvlJc w:val="left"/>
      <w:pPr>
        <w:ind w:left="7331" w:hanging="360"/>
      </w:pPr>
      <w:rPr>
        <w:rFonts w:ascii="Wingdings" w:hAnsi="Wingdings" w:hint="default"/>
      </w:rPr>
    </w:lvl>
  </w:abstractNum>
  <w:abstractNum w:abstractNumId="5"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6" w15:restartNumberingAfterBreak="0">
    <w:nsid w:val="431827B1"/>
    <w:multiLevelType w:val="hybridMultilevel"/>
    <w:tmpl w:val="BBECDD10"/>
    <w:lvl w:ilvl="0" w:tplc="5B88E3D8">
      <w:start w:val="1"/>
      <w:numFmt w:val="decimal"/>
      <w:lvlText w:val="%1)"/>
      <w:lvlJc w:val="left"/>
      <w:pPr>
        <w:ind w:left="1020" w:hanging="360"/>
      </w:pPr>
    </w:lvl>
    <w:lvl w:ilvl="1" w:tplc="542CAD66">
      <w:start w:val="1"/>
      <w:numFmt w:val="decimal"/>
      <w:lvlText w:val="%2)"/>
      <w:lvlJc w:val="left"/>
      <w:pPr>
        <w:ind w:left="1020" w:hanging="360"/>
      </w:pPr>
    </w:lvl>
    <w:lvl w:ilvl="2" w:tplc="CBFABE52">
      <w:start w:val="1"/>
      <w:numFmt w:val="decimal"/>
      <w:lvlText w:val="%3)"/>
      <w:lvlJc w:val="left"/>
      <w:pPr>
        <w:ind w:left="1020" w:hanging="360"/>
      </w:pPr>
    </w:lvl>
    <w:lvl w:ilvl="3" w:tplc="D2E2AF62">
      <w:start w:val="1"/>
      <w:numFmt w:val="decimal"/>
      <w:lvlText w:val="%4)"/>
      <w:lvlJc w:val="left"/>
      <w:pPr>
        <w:ind w:left="1020" w:hanging="360"/>
      </w:pPr>
    </w:lvl>
    <w:lvl w:ilvl="4" w:tplc="C3B6A83A">
      <w:start w:val="1"/>
      <w:numFmt w:val="decimal"/>
      <w:lvlText w:val="%5)"/>
      <w:lvlJc w:val="left"/>
      <w:pPr>
        <w:ind w:left="1020" w:hanging="360"/>
      </w:pPr>
    </w:lvl>
    <w:lvl w:ilvl="5" w:tplc="3F4CC9D4">
      <w:start w:val="1"/>
      <w:numFmt w:val="decimal"/>
      <w:lvlText w:val="%6)"/>
      <w:lvlJc w:val="left"/>
      <w:pPr>
        <w:ind w:left="1020" w:hanging="360"/>
      </w:pPr>
    </w:lvl>
    <w:lvl w:ilvl="6" w:tplc="6EF8BB68">
      <w:start w:val="1"/>
      <w:numFmt w:val="decimal"/>
      <w:lvlText w:val="%7)"/>
      <w:lvlJc w:val="left"/>
      <w:pPr>
        <w:ind w:left="1020" w:hanging="360"/>
      </w:pPr>
    </w:lvl>
    <w:lvl w:ilvl="7" w:tplc="1FA67278">
      <w:start w:val="1"/>
      <w:numFmt w:val="decimal"/>
      <w:lvlText w:val="%8)"/>
      <w:lvlJc w:val="left"/>
      <w:pPr>
        <w:ind w:left="1020" w:hanging="360"/>
      </w:pPr>
    </w:lvl>
    <w:lvl w:ilvl="8" w:tplc="EB329FC2">
      <w:start w:val="1"/>
      <w:numFmt w:val="decimal"/>
      <w:lvlText w:val="%9)"/>
      <w:lvlJc w:val="left"/>
      <w:pPr>
        <w:ind w:left="1020" w:hanging="360"/>
      </w:pPr>
    </w:lvl>
  </w:abstractNum>
  <w:abstractNum w:abstractNumId="7" w15:restartNumberingAfterBreak="0">
    <w:nsid w:val="4759676B"/>
    <w:multiLevelType w:val="hybridMultilevel"/>
    <w:tmpl w:val="396E9A0C"/>
    <w:lvl w:ilvl="0" w:tplc="18090003">
      <w:start w:val="1"/>
      <w:numFmt w:val="bullet"/>
      <w:lvlText w:val="o"/>
      <w:lvlJc w:val="left"/>
      <w:pPr>
        <w:ind w:left="720" w:hanging="360"/>
      </w:pPr>
      <w:rPr>
        <w:rFonts w:ascii="Courier New" w:hAnsi="Courier New" w:cs="Courier New"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48B2142D"/>
    <w:multiLevelType w:val="hybridMultilevel"/>
    <w:tmpl w:val="75F6FB62"/>
    <w:lvl w:ilvl="0" w:tplc="08090001">
      <w:start w:val="1"/>
      <w:numFmt w:val="bullet"/>
      <w:lvlText w:val=""/>
      <w:lvlJc w:val="left"/>
      <w:pPr>
        <w:ind w:left="1211" w:hanging="360"/>
      </w:pPr>
      <w:rPr>
        <w:rFonts w:ascii="Symbol" w:hAnsi="Symbol" w:hint="default"/>
      </w:rPr>
    </w:lvl>
    <w:lvl w:ilvl="1" w:tplc="08090003">
      <w:start w:val="1"/>
      <w:numFmt w:val="bullet"/>
      <w:lvlText w:val="o"/>
      <w:lvlJc w:val="left"/>
      <w:pPr>
        <w:ind w:left="1931" w:hanging="360"/>
      </w:pPr>
      <w:rPr>
        <w:rFonts w:ascii="Courier New" w:hAnsi="Courier New" w:cs="Courier New" w:hint="default"/>
      </w:rPr>
    </w:lvl>
    <w:lvl w:ilvl="2" w:tplc="08090005" w:tentative="1">
      <w:start w:val="1"/>
      <w:numFmt w:val="bullet"/>
      <w:lvlText w:val=""/>
      <w:lvlJc w:val="left"/>
      <w:pPr>
        <w:ind w:left="2651" w:hanging="360"/>
      </w:pPr>
      <w:rPr>
        <w:rFonts w:ascii="Wingdings" w:hAnsi="Wingdings" w:hint="default"/>
      </w:rPr>
    </w:lvl>
    <w:lvl w:ilvl="3" w:tplc="08090001" w:tentative="1">
      <w:start w:val="1"/>
      <w:numFmt w:val="bullet"/>
      <w:lvlText w:val=""/>
      <w:lvlJc w:val="left"/>
      <w:pPr>
        <w:ind w:left="3371" w:hanging="360"/>
      </w:pPr>
      <w:rPr>
        <w:rFonts w:ascii="Symbol" w:hAnsi="Symbol" w:hint="default"/>
      </w:rPr>
    </w:lvl>
    <w:lvl w:ilvl="4" w:tplc="08090003" w:tentative="1">
      <w:start w:val="1"/>
      <w:numFmt w:val="bullet"/>
      <w:lvlText w:val="o"/>
      <w:lvlJc w:val="left"/>
      <w:pPr>
        <w:ind w:left="4091" w:hanging="360"/>
      </w:pPr>
      <w:rPr>
        <w:rFonts w:ascii="Courier New" w:hAnsi="Courier New" w:cs="Courier New" w:hint="default"/>
      </w:rPr>
    </w:lvl>
    <w:lvl w:ilvl="5" w:tplc="08090005" w:tentative="1">
      <w:start w:val="1"/>
      <w:numFmt w:val="bullet"/>
      <w:lvlText w:val=""/>
      <w:lvlJc w:val="left"/>
      <w:pPr>
        <w:ind w:left="4811" w:hanging="360"/>
      </w:pPr>
      <w:rPr>
        <w:rFonts w:ascii="Wingdings" w:hAnsi="Wingdings" w:hint="default"/>
      </w:rPr>
    </w:lvl>
    <w:lvl w:ilvl="6" w:tplc="08090001" w:tentative="1">
      <w:start w:val="1"/>
      <w:numFmt w:val="bullet"/>
      <w:lvlText w:val=""/>
      <w:lvlJc w:val="left"/>
      <w:pPr>
        <w:ind w:left="5531" w:hanging="360"/>
      </w:pPr>
      <w:rPr>
        <w:rFonts w:ascii="Symbol" w:hAnsi="Symbol" w:hint="default"/>
      </w:rPr>
    </w:lvl>
    <w:lvl w:ilvl="7" w:tplc="08090003" w:tentative="1">
      <w:start w:val="1"/>
      <w:numFmt w:val="bullet"/>
      <w:lvlText w:val="o"/>
      <w:lvlJc w:val="left"/>
      <w:pPr>
        <w:ind w:left="6251" w:hanging="360"/>
      </w:pPr>
      <w:rPr>
        <w:rFonts w:ascii="Courier New" w:hAnsi="Courier New" w:cs="Courier New" w:hint="default"/>
      </w:rPr>
    </w:lvl>
    <w:lvl w:ilvl="8" w:tplc="08090005" w:tentative="1">
      <w:start w:val="1"/>
      <w:numFmt w:val="bullet"/>
      <w:lvlText w:val=""/>
      <w:lvlJc w:val="left"/>
      <w:pPr>
        <w:ind w:left="6971" w:hanging="360"/>
      </w:pPr>
      <w:rPr>
        <w:rFonts w:ascii="Wingdings" w:hAnsi="Wingdings" w:hint="default"/>
      </w:rPr>
    </w:lvl>
  </w:abstractNum>
  <w:abstractNum w:abstractNumId="9" w15:restartNumberingAfterBreak="0">
    <w:nsid w:val="4D847634"/>
    <w:multiLevelType w:val="hybridMultilevel"/>
    <w:tmpl w:val="81FAEEAC"/>
    <w:lvl w:ilvl="0" w:tplc="18090001">
      <w:start w:val="1"/>
      <w:numFmt w:val="bullet"/>
      <w:lvlText w:val=""/>
      <w:lvlJc w:val="left"/>
      <w:pPr>
        <w:ind w:left="1571" w:hanging="360"/>
      </w:pPr>
      <w:rPr>
        <w:rFonts w:ascii="Symbol" w:hAnsi="Symbol" w:hint="default"/>
      </w:rPr>
    </w:lvl>
    <w:lvl w:ilvl="1" w:tplc="18090003" w:tentative="1">
      <w:start w:val="1"/>
      <w:numFmt w:val="bullet"/>
      <w:lvlText w:val="o"/>
      <w:lvlJc w:val="left"/>
      <w:pPr>
        <w:ind w:left="2291" w:hanging="360"/>
      </w:pPr>
      <w:rPr>
        <w:rFonts w:ascii="Courier New" w:hAnsi="Courier New" w:cs="Courier New" w:hint="default"/>
      </w:rPr>
    </w:lvl>
    <w:lvl w:ilvl="2" w:tplc="18090005" w:tentative="1">
      <w:start w:val="1"/>
      <w:numFmt w:val="bullet"/>
      <w:lvlText w:val=""/>
      <w:lvlJc w:val="left"/>
      <w:pPr>
        <w:ind w:left="3011" w:hanging="360"/>
      </w:pPr>
      <w:rPr>
        <w:rFonts w:ascii="Wingdings" w:hAnsi="Wingdings" w:hint="default"/>
      </w:rPr>
    </w:lvl>
    <w:lvl w:ilvl="3" w:tplc="18090001" w:tentative="1">
      <w:start w:val="1"/>
      <w:numFmt w:val="bullet"/>
      <w:lvlText w:val=""/>
      <w:lvlJc w:val="left"/>
      <w:pPr>
        <w:ind w:left="3731" w:hanging="360"/>
      </w:pPr>
      <w:rPr>
        <w:rFonts w:ascii="Symbol" w:hAnsi="Symbol" w:hint="default"/>
      </w:rPr>
    </w:lvl>
    <w:lvl w:ilvl="4" w:tplc="18090003" w:tentative="1">
      <w:start w:val="1"/>
      <w:numFmt w:val="bullet"/>
      <w:lvlText w:val="o"/>
      <w:lvlJc w:val="left"/>
      <w:pPr>
        <w:ind w:left="4451" w:hanging="360"/>
      </w:pPr>
      <w:rPr>
        <w:rFonts w:ascii="Courier New" w:hAnsi="Courier New" w:cs="Courier New" w:hint="default"/>
      </w:rPr>
    </w:lvl>
    <w:lvl w:ilvl="5" w:tplc="18090005" w:tentative="1">
      <w:start w:val="1"/>
      <w:numFmt w:val="bullet"/>
      <w:lvlText w:val=""/>
      <w:lvlJc w:val="left"/>
      <w:pPr>
        <w:ind w:left="5171" w:hanging="360"/>
      </w:pPr>
      <w:rPr>
        <w:rFonts w:ascii="Wingdings" w:hAnsi="Wingdings" w:hint="default"/>
      </w:rPr>
    </w:lvl>
    <w:lvl w:ilvl="6" w:tplc="18090001" w:tentative="1">
      <w:start w:val="1"/>
      <w:numFmt w:val="bullet"/>
      <w:lvlText w:val=""/>
      <w:lvlJc w:val="left"/>
      <w:pPr>
        <w:ind w:left="5891" w:hanging="360"/>
      </w:pPr>
      <w:rPr>
        <w:rFonts w:ascii="Symbol" w:hAnsi="Symbol" w:hint="default"/>
      </w:rPr>
    </w:lvl>
    <w:lvl w:ilvl="7" w:tplc="18090003" w:tentative="1">
      <w:start w:val="1"/>
      <w:numFmt w:val="bullet"/>
      <w:lvlText w:val="o"/>
      <w:lvlJc w:val="left"/>
      <w:pPr>
        <w:ind w:left="6611" w:hanging="360"/>
      </w:pPr>
      <w:rPr>
        <w:rFonts w:ascii="Courier New" w:hAnsi="Courier New" w:cs="Courier New" w:hint="default"/>
      </w:rPr>
    </w:lvl>
    <w:lvl w:ilvl="8" w:tplc="18090005" w:tentative="1">
      <w:start w:val="1"/>
      <w:numFmt w:val="bullet"/>
      <w:lvlText w:val=""/>
      <w:lvlJc w:val="left"/>
      <w:pPr>
        <w:ind w:left="7331" w:hanging="360"/>
      </w:pPr>
      <w:rPr>
        <w:rFonts w:ascii="Wingdings" w:hAnsi="Wingdings" w:hint="default"/>
      </w:rPr>
    </w:lvl>
  </w:abstractNum>
  <w:abstractNum w:abstractNumId="10" w15:restartNumberingAfterBreak="0">
    <w:nsid w:val="4DED33DB"/>
    <w:multiLevelType w:val="hybridMultilevel"/>
    <w:tmpl w:val="8AA67B24"/>
    <w:lvl w:ilvl="0" w:tplc="18090001">
      <w:start w:val="1"/>
      <w:numFmt w:val="bullet"/>
      <w:lvlText w:val=""/>
      <w:lvlJc w:val="left"/>
      <w:pPr>
        <w:ind w:left="862" w:hanging="360"/>
      </w:pPr>
      <w:rPr>
        <w:rFonts w:ascii="Symbol" w:hAnsi="Symbol" w:hint="default"/>
      </w:rPr>
    </w:lvl>
    <w:lvl w:ilvl="1" w:tplc="18090003" w:tentative="1">
      <w:start w:val="1"/>
      <w:numFmt w:val="bullet"/>
      <w:lvlText w:val="o"/>
      <w:lvlJc w:val="left"/>
      <w:pPr>
        <w:ind w:left="1582" w:hanging="360"/>
      </w:pPr>
      <w:rPr>
        <w:rFonts w:ascii="Courier New" w:hAnsi="Courier New" w:cs="Courier New" w:hint="default"/>
      </w:rPr>
    </w:lvl>
    <w:lvl w:ilvl="2" w:tplc="18090005" w:tentative="1">
      <w:start w:val="1"/>
      <w:numFmt w:val="bullet"/>
      <w:lvlText w:val=""/>
      <w:lvlJc w:val="left"/>
      <w:pPr>
        <w:ind w:left="2302" w:hanging="360"/>
      </w:pPr>
      <w:rPr>
        <w:rFonts w:ascii="Wingdings" w:hAnsi="Wingdings" w:hint="default"/>
      </w:rPr>
    </w:lvl>
    <w:lvl w:ilvl="3" w:tplc="18090001" w:tentative="1">
      <w:start w:val="1"/>
      <w:numFmt w:val="bullet"/>
      <w:lvlText w:val=""/>
      <w:lvlJc w:val="left"/>
      <w:pPr>
        <w:ind w:left="3022" w:hanging="360"/>
      </w:pPr>
      <w:rPr>
        <w:rFonts w:ascii="Symbol" w:hAnsi="Symbol" w:hint="default"/>
      </w:rPr>
    </w:lvl>
    <w:lvl w:ilvl="4" w:tplc="18090003" w:tentative="1">
      <w:start w:val="1"/>
      <w:numFmt w:val="bullet"/>
      <w:lvlText w:val="o"/>
      <w:lvlJc w:val="left"/>
      <w:pPr>
        <w:ind w:left="3742" w:hanging="360"/>
      </w:pPr>
      <w:rPr>
        <w:rFonts w:ascii="Courier New" w:hAnsi="Courier New" w:cs="Courier New" w:hint="default"/>
      </w:rPr>
    </w:lvl>
    <w:lvl w:ilvl="5" w:tplc="18090005" w:tentative="1">
      <w:start w:val="1"/>
      <w:numFmt w:val="bullet"/>
      <w:lvlText w:val=""/>
      <w:lvlJc w:val="left"/>
      <w:pPr>
        <w:ind w:left="4462" w:hanging="360"/>
      </w:pPr>
      <w:rPr>
        <w:rFonts w:ascii="Wingdings" w:hAnsi="Wingdings" w:hint="default"/>
      </w:rPr>
    </w:lvl>
    <w:lvl w:ilvl="6" w:tplc="18090001" w:tentative="1">
      <w:start w:val="1"/>
      <w:numFmt w:val="bullet"/>
      <w:lvlText w:val=""/>
      <w:lvlJc w:val="left"/>
      <w:pPr>
        <w:ind w:left="5182" w:hanging="360"/>
      </w:pPr>
      <w:rPr>
        <w:rFonts w:ascii="Symbol" w:hAnsi="Symbol" w:hint="default"/>
      </w:rPr>
    </w:lvl>
    <w:lvl w:ilvl="7" w:tplc="18090003" w:tentative="1">
      <w:start w:val="1"/>
      <w:numFmt w:val="bullet"/>
      <w:lvlText w:val="o"/>
      <w:lvlJc w:val="left"/>
      <w:pPr>
        <w:ind w:left="5902" w:hanging="360"/>
      </w:pPr>
      <w:rPr>
        <w:rFonts w:ascii="Courier New" w:hAnsi="Courier New" w:cs="Courier New" w:hint="default"/>
      </w:rPr>
    </w:lvl>
    <w:lvl w:ilvl="8" w:tplc="18090005" w:tentative="1">
      <w:start w:val="1"/>
      <w:numFmt w:val="bullet"/>
      <w:lvlText w:val=""/>
      <w:lvlJc w:val="left"/>
      <w:pPr>
        <w:ind w:left="6622" w:hanging="360"/>
      </w:pPr>
      <w:rPr>
        <w:rFonts w:ascii="Wingdings" w:hAnsi="Wingdings" w:hint="default"/>
      </w:rPr>
    </w:lvl>
  </w:abstractNum>
  <w:abstractNum w:abstractNumId="11" w15:restartNumberingAfterBreak="0">
    <w:nsid w:val="5C433811"/>
    <w:multiLevelType w:val="hybridMultilevel"/>
    <w:tmpl w:val="472A9FB4"/>
    <w:lvl w:ilvl="0" w:tplc="1809000B">
      <w:start w:val="1"/>
      <w:numFmt w:val="bullet"/>
      <w:lvlText w:val=""/>
      <w:lvlJc w:val="left"/>
      <w:pPr>
        <w:ind w:left="1571" w:hanging="360"/>
      </w:pPr>
      <w:rPr>
        <w:rFonts w:ascii="Wingdings" w:hAnsi="Wingdings" w:hint="default"/>
      </w:rPr>
    </w:lvl>
    <w:lvl w:ilvl="1" w:tplc="18090003" w:tentative="1">
      <w:start w:val="1"/>
      <w:numFmt w:val="bullet"/>
      <w:lvlText w:val="o"/>
      <w:lvlJc w:val="left"/>
      <w:pPr>
        <w:ind w:left="2291" w:hanging="360"/>
      </w:pPr>
      <w:rPr>
        <w:rFonts w:ascii="Courier New" w:hAnsi="Courier New" w:cs="Courier New" w:hint="default"/>
      </w:rPr>
    </w:lvl>
    <w:lvl w:ilvl="2" w:tplc="18090005" w:tentative="1">
      <w:start w:val="1"/>
      <w:numFmt w:val="bullet"/>
      <w:lvlText w:val=""/>
      <w:lvlJc w:val="left"/>
      <w:pPr>
        <w:ind w:left="3011" w:hanging="360"/>
      </w:pPr>
      <w:rPr>
        <w:rFonts w:ascii="Wingdings" w:hAnsi="Wingdings" w:hint="default"/>
      </w:rPr>
    </w:lvl>
    <w:lvl w:ilvl="3" w:tplc="18090001" w:tentative="1">
      <w:start w:val="1"/>
      <w:numFmt w:val="bullet"/>
      <w:lvlText w:val=""/>
      <w:lvlJc w:val="left"/>
      <w:pPr>
        <w:ind w:left="3731" w:hanging="360"/>
      </w:pPr>
      <w:rPr>
        <w:rFonts w:ascii="Symbol" w:hAnsi="Symbol" w:hint="default"/>
      </w:rPr>
    </w:lvl>
    <w:lvl w:ilvl="4" w:tplc="18090003" w:tentative="1">
      <w:start w:val="1"/>
      <w:numFmt w:val="bullet"/>
      <w:lvlText w:val="o"/>
      <w:lvlJc w:val="left"/>
      <w:pPr>
        <w:ind w:left="4451" w:hanging="360"/>
      </w:pPr>
      <w:rPr>
        <w:rFonts w:ascii="Courier New" w:hAnsi="Courier New" w:cs="Courier New" w:hint="default"/>
      </w:rPr>
    </w:lvl>
    <w:lvl w:ilvl="5" w:tplc="18090005" w:tentative="1">
      <w:start w:val="1"/>
      <w:numFmt w:val="bullet"/>
      <w:lvlText w:val=""/>
      <w:lvlJc w:val="left"/>
      <w:pPr>
        <w:ind w:left="5171" w:hanging="360"/>
      </w:pPr>
      <w:rPr>
        <w:rFonts w:ascii="Wingdings" w:hAnsi="Wingdings" w:hint="default"/>
      </w:rPr>
    </w:lvl>
    <w:lvl w:ilvl="6" w:tplc="18090001" w:tentative="1">
      <w:start w:val="1"/>
      <w:numFmt w:val="bullet"/>
      <w:lvlText w:val=""/>
      <w:lvlJc w:val="left"/>
      <w:pPr>
        <w:ind w:left="5891" w:hanging="360"/>
      </w:pPr>
      <w:rPr>
        <w:rFonts w:ascii="Symbol" w:hAnsi="Symbol" w:hint="default"/>
      </w:rPr>
    </w:lvl>
    <w:lvl w:ilvl="7" w:tplc="18090003" w:tentative="1">
      <w:start w:val="1"/>
      <w:numFmt w:val="bullet"/>
      <w:lvlText w:val="o"/>
      <w:lvlJc w:val="left"/>
      <w:pPr>
        <w:ind w:left="6611" w:hanging="360"/>
      </w:pPr>
      <w:rPr>
        <w:rFonts w:ascii="Courier New" w:hAnsi="Courier New" w:cs="Courier New" w:hint="default"/>
      </w:rPr>
    </w:lvl>
    <w:lvl w:ilvl="8" w:tplc="18090005" w:tentative="1">
      <w:start w:val="1"/>
      <w:numFmt w:val="bullet"/>
      <w:lvlText w:val=""/>
      <w:lvlJc w:val="left"/>
      <w:pPr>
        <w:ind w:left="7331" w:hanging="360"/>
      </w:pPr>
      <w:rPr>
        <w:rFonts w:ascii="Wingdings" w:hAnsi="Wingdings" w:hint="default"/>
      </w:rPr>
    </w:lvl>
  </w:abstractNum>
  <w:abstractNum w:abstractNumId="12" w15:restartNumberingAfterBreak="0">
    <w:nsid w:val="5E7B688C"/>
    <w:multiLevelType w:val="hybridMultilevel"/>
    <w:tmpl w:val="1E063DF4"/>
    <w:lvl w:ilvl="0" w:tplc="0809000B">
      <w:start w:val="1"/>
      <w:numFmt w:val="bullet"/>
      <w:lvlText w:val=""/>
      <w:lvlJc w:val="left"/>
      <w:pPr>
        <w:ind w:left="1931" w:hanging="360"/>
      </w:pPr>
      <w:rPr>
        <w:rFonts w:ascii="Wingdings" w:hAnsi="Wingdings" w:hint="default"/>
      </w:rPr>
    </w:lvl>
    <w:lvl w:ilvl="1" w:tplc="08090003" w:tentative="1">
      <w:start w:val="1"/>
      <w:numFmt w:val="bullet"/>
      <w:lvlText w:val="o"/>
      <w:lvlJc w:val="left"/>
      <w:pPr>
        <w:ind w:left="2651" w:hanging="360"/>
      </w:pPr>
      <w:rPr>
        <w:rFonts w:ascii="Courier New" w:hAnsi="Courier New" w:cs="Courier New" w:hint="default"/>
      </w:rPr>
    </w:lvl>
    <w:lvl w:ilvl="2" w:tplc="08090005" w:tentative="1">
      <w:start w:val="1"/>
      <w:numFmt w:val="bullet"/>
      <w:lvlText w:val=""/>
      <w:lvlJc w:val="left"/>
      <w:pPr>
        <w:ind w:left="3371" w:hanging="360"/>
      </w:pPr>
      <w:rPr>
        <w:rFonts w:ascii="Wingdings" w:hAnsi="Wingdings" w:hint="default"/>
      </w:rPr>
    </w:lvl>
    <w:lvl w:ilvl="3" w:tplc="08090001" w:tentative="1">
      <w:start w:val="1"/>
      <w:numFmt w:val="bullet"/>
      <w:lvlText w:val=""/>
      <w:lvlJc w:val="left"/>
      <w:pPr>
        <w:ind w:left="4091" w:hanging="360"/>
      </w:pPr>
      <w:rPr>
        <w:rFonts w:ascii="Symbol" w:hAnsi="Symbol" w:hint="default"/>
      </w:rPr>
    </w:lvl>
    <w:lvl w:ilvl="4" w:tplc="08090003" w:tentative="1">
      <w:start w:val="1"/>
      <w:numFmt w:val="bullet"/>
      <w:lvlText w:val="o"/>
      <w:lvlJc w:val="left"/>
      <w:pPr>
        <w:ind w:left="4811" w:hanging="360"/>
      </w:pPr>
      <w:rPr>
        <w:rFonts w:ascii="Courier New" w:hAnsi="Courier New" w:cs="Courier New" w:hint="default"/>
      </w:rPr>
    </w:lvl>
    <w:lvl w:ilvl="5" w:tplc="08090005" w:tentative="1">
      <w:start w:val="1"/>
      <w:numFmt w:val="bullet"/>
      <w:lvlText w:val=""/>
      <w:lvlJc w:val="left"/>
      <w:pPr>
        <w:ind w:left="5531" w:hanging="360"/>
      </w:pPr>
      <w:rPr>
        <w:rFonts w:ascii="Wingdings" w:hAnsi="Wingdings" w:hint="default"/>
      </w:rPr>
    </w:lvl>
    <w:lvl w:ilvl="6" w:tplc="08090001" w:tentative="1">
      <w:start w:val="1"/>
      <w:numFmt w:val="bullet"/>
      <w:lvlText w:val=""/>
      <w:lvlJc w:val="left"/>
      <w:pPr>
        <w:ind w:left="6251" w:hanging="360"/>
      </w:pPr>
      <w:rPr>
        <w:rFonts w:ascii="Symbol" w:hAnsi="Symbol" w:hint="default"/>
      </w:rPr>
    </w:lvl>
    <w:lvl w:ilvl="7" w:tplc="08090003" w:tentative="1">
      <w:start w:val="1"/>
      <w:numFmt w:val="bullet"/>
      <w:lvlText w:val="o"/>
      <w:lvlJc w:val="left"/>
      <w:pPr>
        <w:ind w:left="6971" w:hanging="360"/>
      </w:pPr>
      <w:rPr>
        <w:rFonts w:ascii="Courier New" w:hAnsi="Courier New" w:cs="Courier New" w:hint="default"/>
      </w:rPr>
    </w:lvl>
    <w:lvl w:ilvl="8" w:tplc="08090005" w:tentative="1">
      <w:start w:val="1"/>
      <w:numFmt w:val="bullet"/>
      <w:lvlText w:val=""/>
      <w:lvlJc w:val="left"/>
      <w:pPr>
        <w:ind w:left="7691" w:hanging="360"/>
      </w:pPr>
      <w:rPr>
        <w:rFonts w:ascii="Wingdings" w:hAnsi="Wingdings" w:hint="default"/>
      </w:rPr>
    </w:lvl>
  </w:abstractNum>
  <w:abstractNum w:abstractNumId="13" w15:restartNumberingAfterBreak="0">
    <w:nsid w:val="61181525"/>
    <w:multiLevelType w:val="hybridMultilevel"/>
    <w:tmpl w:val="C38E94E2"/>
    <w:lvl w:ilvl="0" w:tplc="1809000B">
      <w:start w:val="1"/>
      <w:numFmt w:val="bullet"/>
      <w:lvlText w:val=""/>
      <w:lvlJc w:val="left"/>
      <w:pPr>
        <w:ind w:left="1570" w:hanging="360"/>
      </w:pPr>
      <w:rPr>
        <w:rFonts w:ascii="Wingdings" w:hAnsi="Wingdings" w:hint="default"/>
      </w:rPr>
    </w:lvl>
    <w:lvl w:ilvl="1" w:tplc="18090003" w:tentative="1">
      <w:start w:val="1"/>
      <w:numFmt w:val="bullet"/>
      <w:lvlText w:val="o"/>
      <w:lvlJc w:val="left"/>
      <w:pPr>
        <w:ind w:left="2290" w:hanging="360"/>
      </w:pPr>
      <w:rPr>
        <w:rFonts w:ascii="Courier New" w:hAnsi="Courier New" w:cs="Courier New" w:hint="default"/>
      </w:rPr>
    </w:lvl>
    <w:lvl w:ilvl="2" w:tplc="18090005" w:tentative="1">
      <w:start w:val="1"/>
      <w:numFmt w:val="bullet"/>
      <w:lvlText w:val=""/>
      <w:lvlJc w:val="left"/>
      <w:pPr>
        <w:ind w:left="3010" w:hanging="360"/>
      </w:pPr>
      <w:rPr>
        <w:rFonts w:ascii="Wingdings" w:hAnsi="Wingdings" w:hint="default"/>
      </w:rPr>
    </w:lvl>
    <w:lvl w:ilvl="3" w:tplc="18090001" w:tentative="1">
      <w:start w:val="1"/>
      <w:numFmt w:val="bullet"/>
      <w:lvlText w:val=""/>
      <w:lvlJc w:val="left"/>
      <w:pPr>
        <w:ind w:left="3730" w:hanging="360"/>
      </w:pPr>
      <w:rPr>
        <w:rFonts w:ascii="Symbol" w:hAnsi="Symbol" w:hint="default"/>
      </w:rPr>
    </w:lvl>
    <w:lvl w:ilvl="4" w:tplc="18090003" w:tentative="1">
      <w:start w:val="1"/>
      <w:numFmt w:val="bullet"/>
      <w:lvlText w:val="o"/>
      <w:lvlJc w:val="left"/>
      <w:pPr>
        <w:ind w:left="4450" w:hanging="360"/>
      </w:pPr>
      <w:rPr>
        <w:rFonts w:ascii="Courier New" w:hAnsi="Courier New" w:cs="Courier New" w:hint="default"/>
      </w:rPr>
    </w:lvl>
    <w:lvl w:ilvl="5" w:tplc="18090005" w:tentative="1">
      <w:start w:val="1"/>
      <w:numFmt w:val="bullet"/>
      <w:lvlText w:val=""/>
      <w:lvlJc w:val="left"/>
      <w:pPr>
        <w:ind w:left="5170" w:hanging="360"/>
      </w:pPr>
      <w:rPr>
        <w:rFonts w:ascii="Wingdings" w:hAnsi="Wingdings" w:hint="default"/>
      </w:rPr>
    </w:lvl>
    <w:lvl w:ilvl="6" w:tplc="18090001" w:tentative="1">
      <w:start w:val="1"/>
      <w:numFmt w:val="bullet"/>
      <w:lvlText w:val=""/>
      <w:lvlJc w:val="left"/>
      <w:pPr>
        <w:ind w:left="5890" w:hanging="360"/>
      </w:pPr>
      <w:rPr>
        <w:rFonts w:ascii="Symbol" w:hAnsi="Symbol" w:hint="default"/>
      </w:rPr>
    </w:lvl>
    <w:lvl w:ilvl="7" w:tplc="18090003" w:tentative="1">
      <w:start w:val="1"/>
      <w:numFmt w:val="bullet"/>
      <w:lvlText w:val="o"/>
      <w:lvlJc w:val="left"/>
      <w:pPr>
        <w:ind w:left="6610" w:hanging="360"/>
      </w:pPr>
      <w:rPr>
        <w:rFonts w:ascii="Courier New" w:hAnsi="Courier New" w:cs="Courier New" w:hint="default"/>
      </w:rPr>
    </w:lvl>
    <w:lvl w:ilvl="8" w:tplc="18090005" w:tentative="1">
      <w:start w:val="1"/>
      <w:numFmt w:val="bullet"/>
      <w:lvlText w:val=""/>
      <w:lvlJc w:val="left"/>
      <w:pPr>
        <w:ind w:left="7330" w:hanging="360"/>
      </w:pPr>
      <w:rPr>
        <w:rFonts w:ascii="Wingdings" w:hAnsi="Wingdings" w:hint="default"/>
      </w:rPr>
    </w:lvl>
  </w:abstractNum>
  <w:abstractNum w:abstractNumId="14" w15:restartNumberingAfterBreak="0">
    <w:nsid w:val="64A12FA4"/>
    <w:multiLevelType w:val="multilevel"/>
    <w:tmpl w:val="428ECF3E"/>
    <w:name w:val="Heading"/>
    <w:lvl w:ilvl="0">
      <w:start w:val="1"/>
      <w:numFmt w:val="decimal"/>
      <w:lvlRestart w:val="0"/>
      <w:lvlText w:val="%1."/>
      <w:lvlJc w:val="left"/>
      <w:pPr>
        <w:tabs>
          <w:tab w:val="num" w:pos="850"/>
        </w:tabs>
        <w:ind w:left="850" w:hanging="850"/>
      </w:pPr>
    </w:lvl>
    <w:lvl w:ilvl="1">
      <w:start w:val="1"/>
      <w:numFmt w:val="decimal"/>
      <w:lvlText w:val="%1.%2."/>
      <w:lvlJc w:val="left"/>
      <w:pPr>
        <w:tabs>
          <w:tab w:val="num" w:pos="850"/>
        </w:tabs>
        <w:ind w:left="850" w:hanging="850"/>
      </w:pPr>
    </w:lvl>
    <w:lvl w:ilvl="2">
      <w:start w:val="1"/>
      <w:numFmt w:val="decimal"/>
      <w:lvlText w:val="%1.%2.%3."/>
      <w:lvlJc w:val="left"/>
      <w:pPr>
        <w:tabs>
          <w:tab w:val="num" w:pos="850"/>
        </w:tabs>
        <w:ind w:left="850" w:hanging="850"/>
      </w:pPr>
    </w:lvl>
    <w:lvl w:ilvl="3">
      <w:start w:val="1"/>
      <w:numFmt w:val="decimal"/>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5"/>
    <w:lvlOverride w:ilvl="0">
      <w:startOverride w:val="1"/>
    </w:lvlOverride>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2"/>
  </w:num>
  <w:num w:numId="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8"/>
  </w:num>
  <w:num w:numId="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
  </w:num>
  <w:num w:numId="11">
    <w:abstractNumId w:val="3"/>
  </w:num>
  <w:num w:numId="12">
    <w:abstractNumId w:val="11"/>
  </w:num>
  <w:num w:numId="13">
    <w:abstractNumId w:val="13"/>
  </w:num>
  <w:num w:numId="14">
    <w:abstractNumId w:val="0"/>
  </w:num>
  <w:num w:numId="15">
    <w:abstractNumId w:val="4"/>
  </w:num>
  <w:num w:numId="16">
    <w:abstractNumId w:val="9"/>
  </w:num>
  <w:num w:numId="17">
    <w:abstractNumId w:val="7"/>
  </w:num>
  <w:num w:numId="18">
    <w:abstractNumId w:val="10"/>
  </w:num>
  <w:num w:numId="19">
    <w:abstractNumId w:val="6"/>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CORRIGENDUM" w:val="&lt;UNUSED&gt;"/>
    <w:docVar w:name="LW_COVERPAGE_EXISTS" w:val="True"/>
    <w:docVar w:name="LW_COVERPAGE_GUID" w:val="E4496A12-6ED2-4E67-AEF6-0D0D157EF953"/>
    <w:docVar w:name="LW_COVERPAGE_TYPE" w:val="1"/>
    <w:docVar w:name="LW_CROSSREFERENCE" w:val="&lt;UNUSED&gt;"/>
    <w:docVar w:name="LW_DocType" w:val="NORMAL"/>
    <w:docVar w:name="LW_EMISSION" w:val="30.6.2026"/>
    <w:docVar w:name="LW_EMISSION_ISODATE" w:val="2026-06-30"/>
    <w:docVar w:name="LW_EMISSION_LOCATION" w:val="BRX"/>
    <w:docVar w:name="LW_EMISSION_PREFIX" w:val="Bruxelles, "/>
    <w:docVar w:name="LW_EMISSION_SUFFIX" w:val=" "/>
    <w:docVar w:name="LW_ID_DOCTYPE_NONLW" w:val="CP-006"/>
    <w:docVar w:name="LW_LANGUE" w:val="RO"/>
    <w:docVar w:name="LW_LEVEL_OF_SENSITIVITY" w:val="Standard treatment"/>
    <w:docVar w:name="LW_NOM.INST" w:val="COMISIA EUROPEAN\u258?"/>
    <w:docVar w:name="LW_NOM.INST_JOINTDOC" w:val="&lt;EMPTY&gt;"/>
    <w:docVar w:name="LW_PART_NBR" w:val="1"/>
    <w:docVar w:name="LW_PART_NBR_TOTAL" w:val="1"/>
    <w:docVar w:name="LW_REF.INST.NEW" w:val="COM"/>
    <w:docVar w:name="LW_REF.INST.NEW_ADOPTED" w:val="final"/>
    <w:docVar w:name="LW_REF.INST.NEW_TEXT" w:val="(2026) 317"/>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OUS.TITRE.OBJ.CP" w:val="&lt;UNUSED&gt;"/>
    <w:docVar w:name="LW_SUPERTITRE" w:val="&lt;UNUSED&gt;"/>
    <w:docVar w:name="LW_TITRE.OBJ.CP" w:val="Raport anual privind Fondul de solidaritate al Uniunii Europene pentru 2023"/>
    <w:docVar w:name="LW_TYPE.DOC.CP" w:val="RAPORT AL COMISIEI C\u258?TRE PARLAMENTUL EUROPEAN \u536?I CONSILIU"/>
    <w:docVar w:name="LwApiVersions" w:val="LW4CoDe 1.24.5.0; LW 9.2, Build 20251112"/>
  </w:docVars>
  <w:rsids>
    <w:rsidRoot w:val="00681F80"/>
    <w:rsid w:val="0000057F"/>
    <w:rsid w:val="000006CC"/>
    <w:rsid w:val="00000FF2"/>
    <w:rsid w:val="00007D78"/>
    <w:rsid w:val="00010CA7"/>
    <w:rsid w:val="00011D8C"/>
    <w:rsid w:val="00012295"/>
    <w:rsid w:val="00012C4D"/>
    <w:rsid w:val="000150ED"/>
    <w:rsid w:val="00015E07"/>
    <w:rsid w:val="00016898"/>
    <w:rsid w:val="000172C7"/>
    <w:rsid w:val="00021BD2"/>
    <w:rsid w:val="0002234C"/>
    <w:rsid w:val="00023136"/>
    <w:rsid w:val="00023B02"/>
    <w:rsid w:val="00024902"/>
    <w:rsid w:val="0002568A"/>
    <w:rsid w:val="00027BD9"/>
    <w:rsid w:val="000303F1"/>
    <w:rsid w:val="0003148F"/>
    <w:rsid w:val="0003175D"/>
    <w:rsid w:val="00031DB6"/>
    <w:rsid w:val="0003259F"/>
    <w:rsid w:val="00035461"/>
    <w:rsid w:val="0003585F"/>
    <w:rsid w:val="000370D2"/>
    <w:rsid w:val="00040642"/>
    <w:rsid w:val="000409AE"/>
    <w:rsid w:val="00041DB3"/>
    <w:rsid w:val="000436F5"/>
    <w:rsid w:val="0004467B"/>
    <w:rsid w:val="0004469F"/>
    <w:rsid w:val="00044F19"/>
    <w:rsid w:val="00046DBC"/>
    <w:rsid w:val="00047897"/>
    <w:rsid w:val="00050192"/>
    <w:rsid w:val="000504EA"/>
    <w:rsid w:val="00051B50"/>
    <w:rsid w:val="0005364C"/>
    <w:rsid w:val="000537F1"/>
    <w:rsid w:val="00055BBC"/>
    <w:rsid w:val="00055FB3"/>
    <w:rsid w:val="0005611B"/>
    <w:rsid w:val="00056E3D"/>
    <w:rsid w:val="00060877"/>
    <w:rsid w:val="0006326F"/>
    <w:rsid w:val="00063288"/>
    <w:rsid w:val="000644A8"/>
    <w:rsid w:val="0006737C"/>
    <w:rsid w:val="000675E3"/>
    <w:rsid w:val="000729EB"/>
    <w:rsid w:val="00072F6A"/>
    <w:rsid w:val="0007503B"/>
    <w:rsid w:val="00076AFE"/>
    <w:rsid w:val="00076DA6"/>
    <w:rsid w:val="00077DCB"/>
    <w:rsid w:val="00080D1E"/>
    <w:rsid w:val="00082004"/>
    <w:rsid w:val="00082315"/>
    <w:rsid w:val="00084B91"/>
    <w:rsid w:val="0008755A"/>
    <w:rsid w:val="0009522E"/>
    <w:rsid w:val="00095D21"/>
    <w:rsid w:val="000968B2"/>
    <w:rsid w:val="000976B7"/>
    <w:rsid w:val="000A291E"/>
    <w:rsid w:val="000B0C79"/>
    <w:rsid w:val="000B1A0D"/>
    <w:rsid w:val="000B1D56"/>
    <w:rsid w:val="000B3F62"/>
    <w:rsid w:val="000B5B2D"/>
    <w:rsid w:val="000B5B4D"/>
    <w:rsid w:val="000B7DF7"/>
    <w:rsid w:val="000C28AA"/>
    <w:rsid w:val="000C2BE1"/>
    <w:rsid w:val="000C2F8C"/>
    <w:rsid w:val="000C316A"/>
    <w:rsid w:val="000C40D8"/>
    <w:rsid w:val="000C47DF"/>
    <w:rsid w:val="000C4A28"/>
    <w:rsid w:val="000C5CBB"/>
    <w:rsid w:val="000C6141"/>
    <w:rsid w:val="000C6253"/>
    <w:rsid w:val="000D1AC5"/>
    <w:rsid w:val="000D1D47"/>
    <w:rsid w:val="000D2391"/>
    <w:rsid w:val="000D28A1"/>
    <w:rsid w:val="000D33E2"/>
    <w:rsid w:val="000D498C"/>
    <w:rsid w:val="000D57F9"/>
    <w:rsid w:val="000D61DA"/>
    <w:rsid w:val="000D647D"/>
    <w:rsid w:val="000E1752"/>
    <w:rsid w:val="000E2839"/>
    <w:rsid w:val="000E3A4F"/>
    <w:rsid w:val="000E3DD1"/>
    <w:rsid w:val="000E499F"/>
    <w:rsid w:val="000E59B5"/>
    <w:rsid w:val="000E61B8"/>
    <w:rsid w:val="000F11D5"/>
    <w:rsid w:val="000F6608"/>
    <w:rsid w:val="000F772C"/>
    <w:rsid w:val="0010236F"/>
    <w:rsid w:val="00102F81"/>
    <w:rsid w:val="0010468B"/>
    <w:rsid w:val="0010574C"/>
    <w:rsid w:val="001079A0"/>
    <w:rsid w:val="00107B99"/>
    <w:rsid w:val="0011198B"/>
    <w:rsid w:val="0011226B"/>
    <w:rsid w:val="00113278"/>
    <w:rsid w:val="00113E31"/>
    <w:rsid w:val="001177D2"/>
    <w:rsid w:val="00120E1B"/>
    <w:rsid w:val="00122029"/>
    <w:rsid w:val="00123C65"/>
    <w:rsid w:val="001243B2"/>
    <w:rsid w:val="001263E5"/>
    <w:rsid w:val="00126DAF"/>
    <w:rsid w:val="001270E6"/>
    <w:rsid w:val="00127365"/>
    <w:rsid w:val="001279E0"/>
    <w:rsid w:val="00131493"/>
    <w:rsid w:val="0013187B"/>
    <w:rsid w:val="0013333F"/>
    <w:rsid w:val="0013335E"/>
    <w:rsid w:val="00133BCC"/>
    <w:rsid w:val="00133D59"/>
    <w:rsid w:val="00134986"/>
    <w:rsid w:val="0013519B"/>
    <w:rsid w:val="00135608"/>
    <w:rsid w:val="00137578"/>
    <w:rsid w:val="0013780E"/>
    <w:rsid w:val="00141B12"/>
    <w:rsid w:val="00142A3E"/>
    <w:rsid w:val="00142F13"/>
    <w:rsid w:val="00143213"/>
    <w:rsid w:val="00144DA1"/>
    <w:rsid w:val="00144F45"/>
    <w:rsid w:val="00145516"/>
    <w:rsid w:val="00145E9B"/>
    <w:rsid w:val="00150889"/>
    <w:rsid w:val="00151EF9"/>
    <w:rsid w:val="00153242"/>
    <w:rsid w:val="001537C7"/>
    <w:rsid w:val="00155827"/>
    <w:rsid w:val="00157BB9"/>
    <w:rsid w:val="00160C54"/>
    <w:rsid w:val="00161514"/>
    <w:rsid w:val="00162A11"/>
    <w:rsid w:val="001661EE"/>
    <w:rsid w:val="00166776"/>
    <w:rsid w:val="00166795"/>
    <w:rsid w:val="00166C0B"/>
    <w:rsid w:val="00166EC5"/>
    <w:rsid w:val="00167400"/>
    <w:rsid w:val="00171A6D"/>
    <w:rsid w:val="00173AD9"/>
    <w:rsid w:val="00175485"/>
    <w:rsid w:val="00175A30"/>
    <w:rsid w:val="0018036F"/>
    <w:rsid w:val="00180B0A"/>
    <w:rsid w:val="001817B6"/>
    <w:rsid w:val="00183050"/>
    <w:rsid w:val="00184329"/>
    <w:rsid w:val="00184440"/>
    <w:rsid w:val="0018501D"/>
    <w:rsid w:val="00185B07"/>
    <w:rsid w:val="001874BA"/>
    <w:rsid w:val="001875E4"/>
    <w:rsid w:val="0019129A"/>
    <w:rsid w:val="00191BA8"/>
    <w:rsid w:val="00192778"/>
    <w:rsid w:val="00192AD4"/>
    <w:rsid w:val="00192BC0"/>
    <w:rsid w:val="001936CF"/>
    <w:rsid w:val="00195560"/>
    <w:rsid w:val="001956A6"/>
    <w:rsid w:val="001958ED"/>
    <w:rsid w:val="001966DB"/>
    <w:rsid w:val="001A055F"/>
    <w:rsid w:val="001A08A6"/>
    <w:rsid w:val="001A0D0E"/>
    <w:rsid w:val="001A187F"/>
    <w:rsid w:val="001A4282"/>
    <w:rsid w:val="001A676F"/>
    <w:rsid w:val="001A6850"/>
    <w:rsid w:val="001A6968"/>
    <w:rsid w:val="001A7937"/>
    <w:rsid w:val="001B0316"/>
    <w:rsid w:val="001B092E"/>
    <w:rsid w:val="001B0D8B"/>
    <w:rsid w:val="001B1B3B"/>
    <w:rsid w:val="001B2EB9"/>
    <w:rsid w:val="001B328B"/>
    <w:rsid w:val="001B3430"/>
    <w:rsid w:val="001B46F0"/>
    <w:rsid w:val="001B4B36"/>
    <w:rsid w:val="001B5ECC"/>
    <w:rsid w:val="001B7A0C"/>
    <w:rsid w:val="001B7AF6"/>
    <w:rsid w:val="001C1175"/>
    <w:rsid w:val="001C2677"/>
    <w:rsid w:val="001C2A1A"/>
    <w:rsid w:val="001C4367"/>
    <w:rsid w:val="001C520C"/>
    <w:rsid w:val="001C7FAD"/>
    <w:rsid w:val="001D071C"/>
    <w:rsid w:val="001D14DA"/>
    <w:rsid w:val="001D3F18"/>
    <w:rsid w:val="001D4DCA"/>
    <w:rsid w:val="001D5162"/>
    <w:rsid w:val="001D5915"/>
    <w:rsid w:val="001D7CD1"/>
    <w:rsid w:val="001E04FE"/>
    <w:rsid w:val="001E0612"/>
    <w:rsid w:val="001E0F8E"/>
    <w:rsid w:val="001E18CD"/>
    <w:rsid w:val="001E2E0B"/>
    <w:rsid w:val="001E368F"/>
    <w:rsid w:val="001E42E3"/>
    <w:rsid w:val="001E50FE"/>
    <w:rsid w:val="001E63B2"/>
    <w:rsid w:val="001E668D"/>
    <w:rsid w:val="001E725D"/>
    <w:rsid w:val="001F12CC"/>
    <w:rsid w:val="001F12D0"/>
    <w:rsid w:val="001F27D5"/>
    <w:rsid w:val="001F2848"/>
    <w:rsid w:val="002013BC"/>
    <w:rsid w:val="00201499"/>
    <w:rsid w:val="00202642"/>
    <w:rsid w:val="0020453E"/>
    <w:rsid w:val="00206189"/>
    <w:rsid w:val="002071DE"/>
    <w:rsid w:val="0020752C"/>
    <w:rsid w:val="00207855"/>
    <w:rsid w:val="00210EDE"/>
    <w:rsid w:val="002115B9"/>
    <w:rsid w:val="00214F70"/>
    <w:rsid w:val="00221398"/>
    <w:rsid w:val="0022279B"/>
    <w:rsid w:val="00222D77"/>
    <w:rsid w:val="0022310A"/>
    <w:rsid w:val="00223C3D"/>
    <w:rsid w:val="00225A6F"/>
    <w:rsid w:val="002271A6"/>
    <w:rsid w:val="00231FEA"/>
    <w:rsid w:val="00232AF4"/>
    <w:rsid w:val="00235609"/>
    <w:rsid w:val="0023629C"/>
    <w:rsid w:val="002369B5"/>
    <w:rsid w:val="00236E54"/>
    <w:rsid w:val="00237767"/>
    <w:rsid w:val="0024019E"/>
    <w:rsid w:val="0024027D"/>
    <w:rsid w:val="002432D5"/>
    <w:rsid w:val="002445C9"/>
    <w:rsid w:val="002447FF"/>
    <w:rsid w:val="002473F3"/>
    <w:rsid w:val="00247B35"/>
    <w:rsid w:val="00250CDC"/>
    <w:rsid w:val="00251109"/>
    <w:rsid w:val="00255C96"/>
    <w:rsid w:val="0025656D"/>
    <w:rsid w:val="002568AE"/>
    <w:rsid w:val="00260344"/>
    <w:rsid w:val="002603A2"/>
    <w:rsid w:val="0026056E"/>
    <w:rsid w:val="002651CE"/>
    <w:rsid w:val="002657D2"/>
    <w:rsid w:val="00265D6E"/>
    <w:rsid w:val="00265E6E"/>
    <w:rsid w:val="0026685E"/>
    <w:rsid w:val="0027083D"/>
    <w:rsid w:val="002724B2"/>
    <w:rsid w:val="00272BBB"/>
    <w:rsid w:val="002738BA"/>
    <w:rsid w:val="00274129"/>
    <w:rsid w:val="00276B58"/>
    <w:rsid w:val="00276F17"/>
    <w:rsid w:val="00277123"/>
    <w:rsid w:val="00277803"/>
    <w:rsid w:val="00277D7B"/>
    <w:rsid w:val="0028158E"/>
    <w:rsid w:val="002829AE"/>
    <w:rsid w:val="00283DA8"/>
    <w:rsid w:val="002850F6"/>
    <w:rsid w:val="002865D8"/>
    <w:rsid w:val="00286BEB"/>
    <w:rsid w:val="00286FF0"/>
    <w:rsid w:val="002913D6"/>
    <w:rsid w:val="0029315F"/>
    <w:rsid w:val="00295F17"/>
    <w:rsid w:val="0029615B"/>
    <w:rsid w:val="00296BC8"/>
    <w:rsid w:val="002A0F43"/>
    <w:rsid w:val="002A3E39"/>
    <w:rsid w:val="002A71BA"/>
    <w:rsid w:val="002B0B2E"/>
    <w:rsid w:val="002B12A2"/>
    <w:rsid w:val="002B1BD3"/>
    <w:rsid w:val="002B2CFB"/>
    <w:rsid w:val="002B416C"/>
    <w:rsid w:val="002B4973"/>
    <w:rsid w:val="002B4F32"/>
    <w:rsid w:val="002B53A9"/>
    <w:rsid w:val="002B5784"/>
    <w:rsid w:val="002B5B0F"/>
    <w:rsid w:val="002B6665"/>
    <w:rsid w:val="002B6DE4"/>
    <w:rsid w:val="002B793E"/>
    <w:rsid w:val="002C1EA8"/>
    <w:rsid w:val="002C2012"/>
    <w:rsid w:val="002C2A6A"/>
    <w:rsid w:val="002C3793"/>
    <w:rsid w:val="002C3B30"/>
    <w:rsid w:val="002C47F7"/>
    <w:rsid w:val="002C6FBD"/>
    <w:rsid w:val="002D1156"/>
    <w:rsid w:val="002D1DC8"/>
    <w:rsid w:val="002D2568"/>
    <w:rsid w:val="002D2E57"/>
    <w:rsid w:val="002D2E81"/>
    <w:rsid w:val="002D3AD5"/>
    <w:rsid w:val="002D3E52"/>
    <w:rsid w:val="002D42B5"/>
    <w:rsid w:val="002D4B70"/>
    <w:rsid w:val="002D5B07"/>
    <w:rsid w:val="002D642B"/>
    <w:rsid w:val="002E0926"/>
    <w:rsid w:val="002E19C1"/>
    <w:rsid w:val="002E2653"/>
    <w:rsid w:val="002E2C74"/>
    <w:rsid w:val="002E5202"/>
    <w:rsid w:val="002E5A98"/>
    <w:rsid w:val="002E5D9D"/>
    <w:rsid w:val="002F0D6B"/>
    <w:rsid w:val="002F23F3"/>
    <w:rsid w:val="002F4DDF"/>
    <w:rsid w:val="002F5FE3"/>
    <w:rsid w:val="00301E4B"/>
    <w:rsid w:val="00302957"/>
    <w:rsid w:val="00303E70"/>
    <w:rsid w:val="003041C2"/>
    <w:rsid w:val="00310559"/>
    <w:rsid w:val="0031090A"/>
    <w:rsid w:val="00311B08"/>
    <w:rsid w:val="0031259D"/>
    <w:rsid w:val="00312ADE"/>
    <w:rsid w:val="00314652"/>
    <w:rsid w:val="00314C71"/>
    <w:rsid w:val="00314DA3"/>
    <w:rsid w:val="00316B98"/>
    <w:rsid w:val="003217C7"/>
    <w:rsid w:val="00322B15"/>
    <w:rsid w:val="00324548"/>
    <w:rsid w:val="00325155"/>
    <w:rsid w:val="00331703"/>
    <w:rsid w:val="0033232F"/>
    <w:rsid w:val="0033240C"/>
    <w:rsid w:val="00332735"/>
    <w:rsid w:val="003369D2"/>
    <w:rsid w:val="00341491"/>
    <w:rsid w:val="0034279D"/>
    <w:rsid w:val="00342DE4"/>
    <w:rsid w:val="003432E5"/>
    <w:rsid w:val="003437A5"/>
    <w:rsid w:val="00343E27"/>
    <w:rsid w:val="0034735F"/>
    <w:rsid w:val="00347C4E"/>
    <w:rsid w:val="00351A36"/>
    <w:rsid w:val="00351D5A"/>
    <w:rsid w:val="00352EB0"/>
    <w:rsid w:val="00353D4C"/>
    <w:rsid w:val="0036044A"/>
    <w:rsid w:val="00362A23"/>
    <w:rsid w:val="003630D9"/>
    <w:rsid w:val="00363D96"/>
    <w:rsid w:val="003652E1"/>
    <w:rsid w:val="00370000"/>
    <w:rsid w:val="00371085"/>
    <w:rsid w:val="00371F2D"/>
    <w:rsid w:val="00372E77"/>
    <w:rsid w:val="0037423B"/>
    <w:rsid w:val="003754A9"/>
    <w:rsid w:val="0037588F"/>
    <w:rsid w:val="00375BE5"/>
    <w:rsid w:val="0037765F"/>
    <w:rsid w:val="00377A44"/>
    <w:rsid w:val="0038034B"/>
    <w:rsid w:val="00383895"/>
    <w:rsid w:val="00384174"/>
    <w:rsid w:val="003849B5"/>
    <w:rsid w:val="00384A3F"/>
    <w:rsid w:val="0038622C"/>
    <w:rsid w:val="00387493"/>
    <w:rsid w:val="003901B5"/>
    <w:rsid w:val="00390B07"/>
    <w:rsid w:val="00390B6F"/>
    <w:rsid w:val="00390B83"/>
    <w:rsid w:val="00391337"/>
    <w:rsid w:val="00392F19"/>
    <w:rsid w:val="00393FA9"/>
    <w:rsid w:val="0039487E"/>
    <w:rsid w:val="00394FF4"/>
    <w:rsid w:val="00396C2E"/>
    <w:rsid w:val="00397AEA"/>
    <w:rsid w:val="003A070F"/>
    <w:rsid w:val="003A0B4F"/>
    <w:rsid w:val="003A1088"/>
    <w:rsid w:val="003A11DD"/>
    <w:rsid w:val="003A1B79"/>
    <w:rsid w:val="003A3E6A"/>
    <w:rsid w:val="003A5407"/>
    <w:rsid w:val="003A6145"/>
    <w:rsid w:val="003B0302"/>
    <w:rsid w:val="003B50C1"/>
    <w:rsid w:val="003B673F"/>
    <w:rsid w:val="003C0FD1"/>
    <w:rsid w:val="003C1D14"/>
    <w:rsid w:val="003C276D"/>
    <w:rsid w:val="003C5741"/>
    <w:rsid w:val="003C5BA8"/>
    <w:rsid w:val="003C5E80"/>
    <w:rsid w:val="003C62FA"/>
    <w:rsid w:val="003C6B53"/>
    <w:rsid w:val="003C79D7"/>
    <w:rsid w:val="003D0F2F"/>
    <w:rsid w:val="003D10F6"/>
    <w:rsid w:val="003D162D"/>
    <w:rsid w:val="003D2221"/>
    <w:rsid w:val="003D381B"/>
    <w:rsid w:val="003D3CB9"/>
    <w:rsid w:val="003D4A5A"/>
    <w:rsid w:val="003D58AF"/>
    <w:rsid w:val="003E0E6D"/>
    <w:rsid w:val="003E2D97"/>
    <w:rsid w:val="003E2EEB"/>
    <w:rsid w:val="003E40AB"/>
    <w:rsid w:val="003E4BB8"/>
    <w:rsid w:val="003E4F33"/>
    <w:rsid w:val="003E64BE"/>
    <w:rsid w:val="003E72CC"/>
    <w:rsid w:val="003F0FBB"/>
    <w:rsid w:val="003F20BF"/>
    <w:rsid w:val="003F2168"/>
    <w:rsid w:val="003F2C63"/>
    <w:rsid w:val="003F545F"/>
    <w:rsid w:val="003F6300"/>
    <w:rsid w:val="003F65D2"/>
    <w:rsid w:val="003F6602"/>
    <w:rsid w:val="003F6ABD"/>
    <w:rsid w:val="003F6B55"/>
    <w:rsid w:val="003F7C09"/>
    <w:rsid w:val="00401B87"/>
    <w:rsid w:val="004020B1"/>
    <w:rsid w:val="00403035"/>
    <w:rsid w:val="00403E7D"/>
    <w:rsid w:val="004047A3"/>
    <w:rsid w:val="0040668E"/>
    <w:rsid w:val="00406FCA"/>
    <w:rsid w:val="00407E39"/>
    <w:rsid w:val="00411662"/>
    <w:rsid w:val="00411C78"/>
    <w:rsid w:val="0041214C"/>
    <w:rsid w:val="0041266F"/>
    <w:rsid w:val="0041387C"/>
    <w:rsid w:val="00413F48"/>
    <w:rsid w:val="00415991"/>
    <w:rsid w:val="00415BB1"/>
    <w:rsid w:val="004216D1"/>
    <w:rsid w:val="00421ED1"/>
    <w:rsid w:val="00424ED8"/>
    <w:rsid w:val="00426058"/>
    <w:rsid w:val="004276A4"/>
    <w:rsid w:val="004304E9"/>
    <w:rsid w:val="004325A9"/>
    <w:rsid w:val="00433DE6"/>
    <w:rsid w:val="00435A00"/>
    <w:rsid w:val="00435DE6"/>
    <w:rsid w:val="00436566"/>
    <w:rsid w:val="00437377"/>
    <w:rsid w:val="00437668"/>
    <w:rsid w:val="00437D08"/>
    <w:rsid w:val="0044073C"/>
    <w:rsid w:val="00440BF4"/>
    <w:rsid w:val="0044212F"/>
    <w:rsid w:val="00442598"/>
    <w:rsid w:val="00443359"/>
    <w:rsid w:val="00445762"/>
    <w:rsid w:val="004505E6"/>
    <w:rsid w:val="0045278E"/>
    <w:rsid w:val="0045315D"/>
    <w:rsid w:val="00453E17"/>
    <w:rsid w:val="00454071"/>
    <w:rsid w:val="00454D74"/>
    <w:rsid w:val="00455BA3"/>
    <w:rsid w:val="00463588"/>
    <w:rsid w:val="00464F46"/>
    <w:rsid w:val="00466725"/>
    <w:rsid w:val="004677F1"/>
    <w:rsid w:val="004679AC"/>
    <w:rsid w:val="004717F5"/>
    <w:rsid w:val="004719C8"/>
    <w:rsid w:val="00472D5A"/>
    <w:rsid w:val="00474392"/>
    <w:rsid w:val="00475889"/>
    <w:rsid w:val="00475A2B"/>
    <w:rsid w:val="00475B4C"/>
    <w:rsid w:val="004766C1"/>
    <w:rsid w:val="00476A0A"/>
    <w:rsid w:val="00477626"/>
    <w:rsid w:val="00483103"/>
    <w:rsid w:val="004859B5"/>
    <w:rsid w:val="004859D2"/>
    <w:rsid w:val="00491989"/>
    <w:rsid w:val="00491D6D"/>
    <w:rsid w:val="00495C09"/>
    <w:rsid w:val="00495D2A"/>
    <w:rsid w:val="00496560"/>
    <w:rsid w:val="004A1D9E"/>
    <w:rsid w:val="004A47EA"/>
    <w:rsid w:val="004A4E28"/>
    <w:rsid w:val="004A5290"/>
    <w:rsid w:val="004A5CF5"/>
    <w:rsid w:val="004A67E3"/>
    <w:rsid w:val="004B4D87"/>
    <w:rsid w:val="004B7129"/>
    <w:rsid w:val="004C0243"/>
    <w:rsid w:val="004C1617"/>
    <w:rsid w:val="004C37F4"/>
    <w:rsid w:val="004C39F9"/>
    <w:rsid w:val="004C5A60"/>
    <w:rsid w:val="004C63AA"/>
    <w:rsid w:val="004C66B5"/>
    <w:rsid w:val="004D0AEF"/>
    <w:rsid w:val="004D0B38"/>
    <w:rsid w:val="004D2033"/>
    <w:rsid w:val="004D41B4"/>
    <w:rsid w:val="004D43E0"/>
    <w:rsid w:val="004D7544"/>
    <w:rsid w:val="004E0FEF"/>
    <w:rsid w:val="004E226E"/>
    <w:rsid w:val="004E22C0"/>
    <w:rsid w:val="004E4187"/>
    <w:rsid w:val="004E4F7E"/>
    <w:rsid w:val="004E524D"/>
    <w:rsid w:val="004E529D"/>
    <w:rsid w:val="004E7691"/>
    <w:rsid w:val="004E7E3C"/>
    <w:rsid w:val="004F11BE"/>
    <w:rsid w:val="004F31E6"/>
    <w:rsid w:val="004F34CE"/>
    <w:rsid w:val="004F5624"/>
    <w:rsid w:val="004F5AB0"/>
    <w:rsid w:val="004F6C8D"/>
    <w:rsid w:val="004F7A39"/>
    <w:rsid w:val="004F7B4B"/>
    <w:rsid w:val="0050083C"/>
    <w:rsid w:val="00501AB5"/>
    <w:rsid w:val="0050213F"/>
    <w:rsid w:val="005046DB"/>
    <w:rsid w:val="00504FA2"/>
    <w:rsid w:val="005070F5"/>
    <w:rsid w:val="0051007D"/>
    <w:rsid w:val="0051477A"/>
    <w:rsid w:val="005156FC"/>
    <w:rsid w:val="00520342"/>
    <w:rsid w:val="005203BE"/>
    <w:rsid w:val="00520F2D"/>
    <w:rsid w:val="005241FD"/>
    <w:rsid w:val="005249B6"/>
    <w:rsid w:val="00525EEF"/>
    <w:rsid w:val="0053018A"/>
    <w:rsid w:val="005318F0"/>
    <w:rsid w:val="005321BA"/>
    <w:rsid w:val="00532B5A"/>
    <w:rsid w:val="00532F8A"/>
    <w:rsid w:val="005355DD"/>
    <w:rsid w:val="00535F5E"/>
    <w:rsid w:val="00535FF9"/>
    <w:rsid w:val="0053669E"/>
    <w:rsid w:val="00536FDE"/>
    <w:rsid w:val="00537227"/>
    <w:rsid w:val="00537631"/>
    <w:rsid w:val="00540283"/>
    <w:rsid w:val="00541425"/>
    <w:rsid w:val="005447CE"/>
    <w:rsid w:val="00544FAF"/>
    <w:rsid w:val="00546340"/>
    <w:rsid w:val="00547958"/>
    <w:rsid w:val="00547D05"/>
    <w:rsid w:val="0055078D"/>
    <w:rsid w:val="00550FF9"/>
    <w:rsid w:val="00551B2C"/>
    <w:rsid w:val="00551C73"/>
    <w:rsid w:val="0055254A"/>
    <w:rsid w:val="0055289B"/>
    <w:rsid w:val="005543D3"/>
    <w:rsid w:val="00555515"/>
    <w:rsid w:val="005568EC"/>
    <w:rsid w:val="00556FD0"/>
    <w:rsid w:val="00557B6A"/>
    <w:rsid w:val="00557EC0"/>
    <w:rsid w:val="00560144"/>
    <w:rsid w:val="00560892"/>
    <w:rsid w:val="00560C8E"/>
    <w:rsid w:val="00560D6C"/>
    <w:rsid w:val="00562B96"/>
    <w:rsid w:val="00562CD4"/>
    <w:rsid w:val="0056340C"/>
    <w:rsid w:val="00563C48"/>
    <w:rsid w:val="00563CAD"/>
    <w:rsid w:val="005655E5"/>
    <w:rsid w:val="00567E03"/>
    <w:rsid w:val="005740FF"/>
    <w:rsid w:val="005743A4"/>
    <w:rsid w:val="00574D22"/>
    <w:rsid w:val="00575033"/>
    <w:rsid w:val="00576BF8"/>
    <w:rsid w:val="00576DF6"/>
    <w:rsid w:val="00576FBA"/>
    <w:rsid w:val="00577489"/>
    <w:rsid w:val="00577D96"/>
    <w:rsid w:val="00580180"/>
    <w:rsid w:val="005805A7"/>
    <w:rsid w:val="0058105E"/>
    <w:rsid w:val="00581E88"/>
    <w:rsid w:val="00582357"/>
    <w:rsid w:val="00583370"/>
    <w:rsid w:val="00584037"/>
    <w:rsid w:val="00584229"/>
    <w:rsid w:val="005854F9"/>
    <w:rsid w:val="00585B65"/>
    <w:rsid w:val="005909EC"/>
    <w:rsid w:val="005912F3"/>
    <w:rsid w:val="00591955"/>
    <w:rsid w:val="005923B2"/>
    <w:rsid w:val="0059284D"/>
    <w:rsid w:val="00592C4E"/>
    <w:rsid w:val="0059349D"/>
    <w:rsid w:val="00595535"/>
    <w:rsid w:val="005958F3"/>
    <w:rsid w:val="00595AF8"/>
    <w:rsid w:val="00596CDE"/>
    <w:rsid w:val="00596EEF"/>
    <w:rsid w:val="005A0301"/>
    <w:rsid w:val="005A0582"/>
    <w:rsid w:val="005A09C7"/>
    <w:rsid w:val="005A1EBE"/>
    <w:rsid w:val="005A205D"/>
    <w:rsid w:val="005A45BE"/>
    <w:rsid w:val="005A5A85"/>
    <w:rsid w:val="005A695D"/>
    <w:rsid w:val="005B00D8"/>
    <w:rsid w:val="005B0AC2"/>
    <w:rsid w:val="005B2DD5"/>
    <w:rsid w:val="005B664B"/>
    <w:rsid w:val="005B7485"/>
    <w:rsid w:val="005C0085"/>
    <w:rsid w:val="005C131A"/>
    <w:rsid w:val="005C2B80"/>
    <w:rsid w:val="005C7F62"/>
    <w:rsid w:val="005D02EC"/>
    <w:rsid w:val="005D0E58"/>
    <w:rsid w:val="005D24A2"/>
    <w:rsid w:val="005D46DE"/>
    <w:rsid w:val="005D5392"/>
    <w:rsid w:val="005E0C6D"/>
    <w:rsid w:val="005E1E51"/>
    <w:rsid w:val="005E36B7"/>
    <w:rsid w:val="005E571E"/>
    <w:rsid w:val="005E7A88"/>
    <w:rsid w:val="005E7BA1"/>
    <w:rsid w:val="005F0AAA"/>
    <w:rsid w:val="005F107C"/>
    <w:rsid w:val="005F118A"/>
    <w:rsid w:val="005F18E1"/>
    <w:rsid w:val="005F4C36"/>
    <w:rsid w:val="005F6429"/>
    <w:rsid w:val="005F7B96"/>
    <w:rsid w:val="00601723"/>
    <w:rsid w:val="006023ED"/>
    <w:rsid w:val="00604027"/>
    <w:rsid w:val="0060584D"/>
    <w:rsid w:val="0060598B"/>
    <w:rsid w:val="00605B86"/>
    <w:rsid w:val="006068B7"/>
    <w:rsid w:val="006074F1"/>
    <w:rsid w:val="00607E9F"/>
    <w:rsid w:val="00610129"/>
    <w:rsid w:val="00612459"/>
    <w:rsid w:val="006142B7"/>
    <w:rsid w:val="006148AA"/>
    <w:rsid w:val="00616A1E"/>
    <w:rsid w:val="00616D26"/>
    <w:rsid w:val="006178CF"/>
    <w:rsid w:val="006200A6"/>
    <w:rsid w:val="0062062C"/>
    <w:rsid w:val="006230AA"/>
    <w:rsid w:val="00623792"/>
    <w:rsid w:val="00624A0C"/>
    <w:rsid w:val="006251FA"/>
    <w:rsid w:val="006259C8"/>
    <w:rsid w:val="00626079"/>
    <w:rsid w:val="00626D69"/>
    <w:rsid w:val="00631AF8"/>
    <w:rsid w:val="00633921"/>
    <w:rsid w:val="00633D49"/>
    <w:rsid w:val="00633DF1"/>
    <w:rsid w:val="00635E74"/>
    <w:rsid w:val="00636D4A"/>
    <w:rsid w:val="00636DA1"/>
    <w:rsid w:val="00640245"/>
    <w:rsid w:val="00641FD0"/>
    <w:rsid w:val="00642B20"/>
    <w:rsid w:val="00643D01"/>
    <w:rsid w:val="006473F1"/>
    <w:rsid w:val="006479C6"/>
    <w:rsid w:val="006501BA"/>
    <w:rsid w:val="00652007"/>
    <w:rsid w:val="00652689"/>
    <w:rsid w:val="00652DAF"/>
    <w:rsid w:val="006540BA"/>
    <w:rsid w:val="00654E6F"/>
    <w:rsid w:val="006553B9"/>
    <w:rsid w:val="006553BB"/>
    <w:rsid w:val="006559AE"/>
    <w:rsid w:val="00657E68"/>
    <w:rsid w:val="00657FD3"/>
    <w:rsid w:val="006609D9"/>
    <w:rsid w:val="00660A62"/>
    <w:rsid w:val="00661173"/>
    <w:rsid w:val="006618DB"/>
    <w:rsid w:val="0066357D"/>
    <w:rsid w:val="00664A5D"/>
    <w:rsid w:val="00665952"/>
    <w:rsid w:val="00667C42"/>
    <w:rsid w:val="006726F5"/>
    <w:rsid w:val="00673DE6"/>
    <w:rsid w:val="00676E27"/>
    <w:rsid w:val="0067746F"/>
    <w:rsid w:val="006807B6"/>
    <w:rsid w:val="00681F80"/>
    <w:rsid w:val="00683867"/>
    <w:rsid w:val="0068397D"/>
    <w:rsid w:val="00684764"/>
    <w:rsid w:val="006859B0"/>
    <w:rsid w:val="006875EE"/>
    <w:rsid w:val="006903C2"/>
    <w:rsid w:val="00694B71"/>
    <w:rsid w:val="00696961"/>
    <w:rsid w:val="00696F01"/>
    <w:rsid w:val="006A08C3"/>
    <w:rsid w:val="006A18E6"/>
    <w:rsid w:val="006A1D36"/>
    <w:rsid w:val="006A20FF"/>
    <w:rsid w:val="006A3FF3"/>
    <w:rsid w:val="006A4718"/>
    <w:rsid w:val="006A4C8B"/>
    <w:rsid w:val="006A4D25"/>
    <w:rsid w:val="006B0E94"/>
    <w:rsid w:val="006B20CF"/>
    <w:rsid w:val="006B2FEE"/>
    <w:rsid w:val="006B3ED5"/>
    <w:rsid w:val="006B3F49"/>
    <w:rsid w:val="006B5659"/>
    <w:rsid w:val="006B631F"/>
    <w:rsid w:val="006B685E"/>
    <w:rsid w:val="006B782A"/>
    <w:rsid w:val="006B7868"/>
    <w:rsid w:val="006B7BB4"/>
    <w:rsid w:val="006C04F2"/>
    <w:rsid w:val="006C0A49"/>
    <w:rsid w:val="006C1F37"/>
    <w:rsid w:val="006C2919"/>
    <w:rsid w:val="006C402B"/>
    <w:rsid w:val="006D0164"/>
    <w:rsid w:val="006D230B"/>
    <w:rsid w:val="006D2643"/>
    <w:rsid w:val="006D2CC7"/>
    <w:rsid w:val="006D2FF3"/>
    <w:rsid w:val="006D37A6"/>
    <w:rsid w:val="006D66F0"/>
    <w:rsid w:val="006D6D6D"/>
    <w:rsid w:val="006D79D5"/>
    <w:rsid w:val="006E0A8D"/>
    <w:rsid w:val="006E2976"/>
    <w:rsid w:val="006E3174"/>
    <w:rsid w:val="006E66DB"/>
    <w:rsid w:val="006E6F25"/>
    <w:rsid w:val="006F1912"/>
    <w:rsid w:val="006F3209"/>
    <w:rsid w:val="006F40EE"/>
    <w:rsid w:val="006F49F0"/>
    <w:rsid w:val="006F5250"/>
    <w:rsid w:val="006F5EA8"/>
    <w:rsid w:val="006F60CB"/>
    <w:rsid w:val="006F6A63"/>
    <w:rsid w:val="006F75BE"/>
    <w:rsid w:val="006F7B51"/>
    <w:rsid w:val="007008F8"/>
    <w:rsid w:val="0070110E"/>
    <w:rsid w:val="00701B04"/>
    <w:rsid w:val="00702658"/>
    <w:rsid w:val="007031BE"/>
    <w:rsid w:val="0070394E"/>
    <w:rsid w:val="00704074"/>
    <w:rsid w:val="0070551B"/>
    <w:rsid w:val="00705BBC"/>
    <w:rsid w:val="007064C5"/>
    <w:rsid w:val="007079E8"/>
    <w:rsid w:val="00710EE2"/>
    <w:rsid w:val="007116AC"/>
    <w:rsid w:val="00713432"/>
    <w:rsid w:val="00713611"/>
    <w:rsid w:val="00713E82"/>
    <w:rsid w:val="00713EE0"/>
    <w:rsid w:val="007165A3"/>
    <w:rsid w:val="00717D29"/>
    <w:rsid w:val="007203CD"/>
    <w:rsid w:val="00720AA6"/>
    <w:rsid w:val="00726FBF"/>
    <w:rsid w:val="0072785C"/>
    <w:rsid w:val="007307E1"/>
    <w:rsid w:val="007329BC"/>
    <w:rsid w:val="007335F5"/>
    <w:rsid w:val="007336FC"/>
    <w:rsid w:val="00734710"/>
    <w:rsid w:val="00734734"/>
    <w:rsid w:val="00735E95"/>
    <w:rsid w:val="00737D4C"/>
    <w:rsid w:val="0074201F"/>
    <w:rsid w:val="0074280D"/>
    <w:rsid w:val="0074419A"/>
    <w:rsid w:val="00746A9F"/>
    <w:rsid w:val="00747999"/>
    <w:rsid w:val="00747BE0"/>
    <w:rsid w:val="00750ABD"/>
    <w:rsid w:val="00752584"/>
    <w:rsid w:val="007527DD"/>
    <w:rsid w:val="00752975"/>
    <w:rsid w:val="00752B9C"/>
    <w:rsid w:val="0075355C"/>
    <w:rsid w:val="00754101"/>
    <w:rsid w:val="00755BF7"/>
    <w:rsid w:val="007561ED"/>
    <w:rsid w:val="00756823"/>
    <w:rsid w:val="00756C63"/>
    <w:rsid w:val="00757CF3"/>
    <w:rsid w:val="00761A55"/>
    <w:rsid w:val="00762147"/>
    <w:rsid w:val="00764408"/>
    <w:rsid w:val="00764D56"/>
    <w:rsid w:val="00765AA1"/>
    <w:rsid w:val="00765BDF"/>
    <w:rsid w:val="007661CC"/>
    <w:rsid w:val="00766229"/>
    <w:rsid w:val="007665F9"/>
    <w:rsid w:val="00766BD6"/>
    <w:rsid w:val="00767CBD"/>
    <w:rsid w:val="00771386"/>
    <w:rsid w:val="00772822"/>
    <w:rsid w:val="00772B20"/>
    <w:rsid w:val="00772DD1"/>
    <w:rsid w:val="007733B2"/>
    <w:rsid w:val="00775A29"/>
    <w:rsid w:val="007760F4"/>
    <w:rsid w:val="00776FCA"/>
    <w:rsid w:val="007807A8"/>
    <w:rsid w:val="00780EDD"/>
    <w:rsid w:val="007824C0"/>
    <w:rsid w:val="00783306"/>
    <w:rsid w:val="00784CBC"/>
    <w:rsid w:val="00786483"/>
    <w:rsid w:val="00790272"/>
    <w:rsid w:val="007904D9"/>
    <w:rsid w:val="00793F09"/>
    <w:rsid w:val="00795F59"/>
    <w:rsid w:val="0079641D"/>
    <w:rsid w:val="007A0078"/>
    <w:rsid w:val="007A03EF"/>
    <w:rsid w:val="007A1BB6"/>
    <w:rsid w:val="007A1E94"/>
    <w:rsid w:val="007A239A"/>
    <w:rsid w:val="007A2607"/>
    <w:rsid w:val="007A315E"/>
    <w:rsid w:val="007A3A68"/>
    <w:rsid w:val="007A3B85"/>
    <w:rsid w:val="007A442D"/>
    <w:rsid w:val="007A4B1F"/>
    <w:rsid w:val="007A5DCD"/>
    <w:rsid w:val="007B1112"/>
    <w:rsid w:val="007B27AA"/>
    <w:rsid w:val="007B4569"/>
    <w:rsid w:val="007B528B"/>
    <w:rsid w:val="007B5B0F"/>
    <w:rsid w:val="007B5CE1"/>
    <w:rsid w:val="007B78F7"/>
    <w:rsid w:val="007C1BB3"/>
    <w:rsid w:val="007C21EC"/>
    <w:rsid w:val="007C4193"/>
    <w:rsid w:val="007C52F3"/>
    <w:rsid w:val="007C60AA"/>
    <w:rsid w:val="007C6CF7"/>
    <w:rsid w:val="007D0826"/>
    <w:rsid w:val="007D097F"/>
    <w:rsid w:val="007D09C9"/>
    <w:rsid w:val="007D0B9E"/>
    <w:rsid w:val="007D2EB0"/>
    <w:rsid w:val="007D40F1"/>
    <w:rsid w:val="007D4285"/>
    <w:rsid w:val="007D5A05"/>
    <w:rsid w:val="007D6ED0"/>
    <w:rsid w:val="007D794D"/>
    <w:rsid w:val="007E0ED9"/>
    <w:rsid w:val="007E14EB"/>
    <w:rsid w:val="007E1706"/>
    <w:rsid w:val="007E18AA"/>
    <w:rsid w:val="007E2C83"/>
    <w:rsid w:val="007E465A"/>
    <w:rsid w:val="007E6149"/>
    <w:rsid w:val="007E6435"/>
    <w:rsid w:val="007E6AA1"/>
    <w:rsid w:val="007E7156"/>
    <w:rsid w:val="007E7A59"/>
    <w:rsid w:val="007F19B8"/>
    <w:rsid w:val="007F2D4B"/>
    <w:rsid w:val="007F35DF"/>
    <w:rsid w:val="007F39E7"/>
    <w:rsid w:val="007F54D4"/>
    <w:rsid w:val="007F62E5"/>
    <w:rsid w:val="00801AC8"/>
    <w:rsid w:val="00801F46"/>
    <w:rsid w:val="008040A5"/>
    <w:rsid w:val="008043CA"/>
    <w:rsid w:val="0080566E"/>
    <w:rsid w:val="00805A3B"/>
    <w:rsid w:val="00810F23"/>
    <w:rsid w:val="008131ED"/>
    <w:rsid w:val="008150FA"/>
    <w:rsid w:val="00817E76"/>
    <w:rsid w:val="00820C10"/>
    <w:rsid w:val="00821587"/>
    <w:rsid w:val="00823B38"/>
    <w:rsid w:val="00824877"/>
    <w:rsid w:val="00824E12"/>
    <w:rsid w:val="0082516A"/>
    <w:rsid w:val="00825E79"/>
    <w:rsid w:val="00827352"/>
    <w:rsid w:val="00827408"/>
    <w:rsid w:val="00827CA8"/>
    <w:rsid w:val="008306F5"/>
    <w:rsid w:val="00831080"/>
    <w:rsid w:val="00833FA1"/>
    <w:rsid w:val="00834670"/>
    <w:rsid w:val="00834C6A"/>
    <w:rsid w:val="00835707"/>
    <w:rsid w:val="008359AB"/>
    <w:rsid w:val="008401A3"/>
    <w:rsid w:val="0084090B"/>
    <w:rsid w:val="008414B6"/>
    <w:rsid w:val="0084202B"/>
    <w:rsid w:val="00842432"/>
    <w:rsid w:val="00843131"/>
    <w:rsid w:val="00843375"/>
    <w:rsid w:val="0084425D"/>
    <w:rsid w:val="008452FF"/>
    <w:rsid w:val="00845499"/>
    <w:rsid w:val="00845A5E"/>
    <w:rsid w:val="008471FD"/>
    <w:rsid w:val="008473B2"/>
    <w:rsid w:val="00847C1A"/>
    <w:rsid w:val="00850BF5"/>
    <w:rsid w:val="0085116B"/>
    <w:rsid w:val="00851981"/>
    <w:rsid w:val="00852C3A"/>
    <w:rsid w:val="00854E5B"/>
    <w:rsid w:val="00855673"/>
    <w:rsid w:val="0085628F"/>
    <w:rsid w:val="008572EB"/>
    <w:rsid w:val="0085758D"/>
    <w:rsid w:val="00857B1F"/>
    <w:rsid w:val="00864047"/>
    <w:rsid w:val="008710B2"/>
    <w:rsid w:val="00871C48"/>
    <w:rsid w:val="008725E7"/>
    <w:rsid w:val="008740F9"/>
    <w:rsid w:val="00874BAB"/>
    <w:rsid w:val="0087624E"/>
    <w:rsid w:val="00877D55"/>
    <w:rsid w:val="00882B29"/>
    <w:rsid w:val="00884585"/>
    <w:rsid w:val="00884593"/>
    <w:rsid w:val="00884710"/>
    <w:rsid w:val="00887290"/>
    <w:rsid w:val="00887FFE"/>
    <w:rsid w:val="00891299"/>
    <w:rsid w:val="00892D09"/>
    <w:rsid w:val="00894B4C"/>
    <w:rsid w:val="00895433"/>
    <w:rsid w:val="008955F5"/>
    <w:rsid w:val="008976CA"/>
    <w:rsid w:val="008A09D6"/>
    <w:rsid w:val="008A1D76"/>
    <w:rsid w:val="008A2C4A"/>
    <w:rsid w:val="008A3A37"/>
    <w:rsid w:val="008A6458"/>
    <w:rsid w:val="008B0DAC"/>
    <w:rsid w:val="008B18B6"/>
    <w:rsid w:val="008B5E60"/>
    <w:rsid w:val="008C042C"/>
    <w:rsid w:val="008C1177"/>
    <w:rsid w:val="008C3197"/>
    <w:rsid w:val="008C47B7"/>
    <w:rsid w:val="008C6AC3"/>
    <w:rsid w:val="008C7772"/>
    <w:rsid w:val="008C7B65"/>
    <w:rsid w:val="008C7FCE"/>
    <w:rsid w:val="008D2976"/>
    <w:rsid w:val="008D2A03"/>
    <w:rsid w:val="008D2BC4"/>
    <w:rsid w:val="008D4684"/>
    <w:rsid w:val="008D5ADC"/>
    <w:rsid w:val="008D638B"/>
    <w:rsid w:val="008E01EB"/>
    <w:rsid w:val="008E092B"/>
    <w:rsid w:val="008E16C7"/>
    <w:rsid w:val="008E1CB0"/>
    <w:rsid w:val="008E35E1"/>
    <w:rsid w:val="008E3AD8"/>
    <w:rsid w:val="008E67EF"/>
    <w:rsid w:val="008E7345"/>
    <w:rsid w:val="008F18FF"/>
    <w:rsid w:val="008F1912"/>
    <w:rsid w:val="008F26B2"/>
    <w:rsid w:val="008F483A"/>
    <w:rsid w:val="008F6B88"/>
    <w:rsid w:val="008F7089"/>
    <w:rsid w:val="008F77B6"/>
    <w:rsid w:val="008F78FD"/>
    <w:rsid w:val="008F7B58"/>
    <w:rsid w:val="00900CB8"/>
    <w:rsid w:val="00904085"/>
    <w:rsid w:val="009046AB"/>
    <w:rsid w:val="0090677B"/>
    <w:rsid w:val="00907707"/>
    <w:rsid w:val="00911C8E"/>
    <w:rsid w:val="0091227B"/>
    <w:rsid w:val="00912656"/>
    <w:rsid w:val="009144E4"/>
    <w:rsid w:val="00916EB2"/>
    <w:rsid w:val="00916ED6"/>
    <w:rsid w:val="00917890"/>
    <w:rsid w:val="00917AEF"/>
    <w:rsid w:val="00920224"/>
    <w:rsid w:val="00921F3A"/>
    <w:rsid w:val="009239ED"/>
    <w:rsid w:val="00923CAC"/>
    <w:rsid w:val="00923FF9"/>
    <w:rsid w:val="00924C12"/>
    <w:rsid w:val="00924D94"/>
    <w:rsid w:val="00925047"/>
    <w:rsid w:val="00925A52"/>
    <w:rsid w:val="009260CF"/>
    <w:rsid w:val="00926C6E"/>
    <w:rsid w:val="00926EC3"/>
    <w:rsid w:val="00930086"/>
    <w:rsid w:val="009301B8"/>
    <w:rsid w:val="0093036D"/>
    <w:rsid w:val="00930AB1"/>
    <w:rsid w:val="009340D5"/>
    <w:rsid w:val="009359C2"/>
    <w:rsid w:val="00935A83"/>
    <w:rsid w:val="00942A72"/>
    <w:rsid w:val="00942BC8"/>
    <w:rsid w:val="009430F2"/>
    <w:rsid w:val="009434FC"/>
    <w:rsid w:val="00944136"/>
    <w:rsid w:val="00944B63"/>
    <w:rsid w:val="00945BD0"/>
    <w:rsid w:val="00947CFA"/>
    <w:rsid w:val="0095047E"/>
    <w:rsid w:val="0095079E"/>
    <w:rsid w:val="009509DD"/>
    <w:rsid w:val="00950CBC"/>
    <w:rsid w:val="00951047"/>
    <w:rsid w:val="009519EB"/>
    <w:rsid w:val="00951EED"/>
    <w:rsid w:val="009524CC"/>
    <w:rsid w:val="00952FEF"/>
    <w:rsid w:val="0095455C"/>
    <w:rsid w:val="009557CC"/>
    <w:rsid w:val="00955D0A"/>
    <w:rsid w:val="00960695"/>
    <w:rsid w:val="009608D5"/>
    <w:rsid w:val="0096439C"/>
    <w:rsid w:val="00964B73"/>
    <w:rsid w:val="00964F27"/>
    <w:rsid w:val="0096541E"/>
    <w:rsid w:val="009655FA"/>
    <w:rsid w:val="00965909"/>
    <w:rsid w:val="00965FB1"/>
    <w:rsid w:val="0096792C"/>
    <w:rsid w:val="00967AC3"/>
    <w:rsid w:val="00967CCB"/>
    <w:rsid w:val="009714BF"/>
    <w:rsid w:val="00972FAE"/>
    <w:rsid w:val="0097446E"/>
    <w:rsid w:val="009757D4"/>
    <w:rsid w:val="00975810"/>
    <w:rsid w:val="00975AC9"/>
    <w:rsid w:val="00975E8C"/>
    <w:rsid w:val="00976153"/>
    <w:rsid w:val="00976E7A"/>
    <w:rsid w:val="00982D54"/>
    <w:rsid w:val="00984A92"/>
    <w:rsid w:val="009861F5"/>
    <w:rsid w:val="00986409"/>
    <w:rsid w:val="00987001"/>
    <w:rsid w:val="009870E4"/>
    <w:rsid w:val="0098741B"/>
    <w:rsid w:val="009879D1"/>
    <w:rsid w:val="00987BD4"/>
    <w:rsid w:val="009914A0"/>
    <w:rsid w:val="00991F41"/>
    <w:rsid w:val="00992A57"/>
    <w:rsid w:val="0099570C"/>
    <w:rsid w:val="00995B1F"/>
    <w:rsid w:val="00997079"/>
    <w:rsid w:val="009A014B"/>
    <w:rsid w:val="009A1218"/>
    <w:rsid w:val="009A1525"/>
    <w:rsid w:val="009A31A4"/>
    <w:rsid w:val="009A722F"/>
    <w:rsid w:val="009A7E42"/>
    <w:rsid w:val="009A7F72"/>
    <w:rsid w:val="009B0A53"/>
    <w:rsid w:val="009B13A1"/>
    <w:rsid w:val="009B21FB"/>
    <w:rsid w:val="009B2AA9"/>
    <w:rsid w:val="009B34AC"/>
    <w:rsid w:val="009B34CC"/>
    <w:rsid w:val="009B3961"/>
    <w:rsid w:val="009B4CB9"/>
    <w:rsid w:val="009B5FBC"/>
    <w:rsid w:val="009B61A3"/>
    <w:rsid w:val="009B720B"/>
    <w:rsid w:val="009C025A"/>
    <w:rsid w:val="009C02BC"/>
    <w:rsid w:val="009C038B"/>
    <w:rsid w:val="009C0CEE"/>
    <w:rsid w:val="009C24D5"/>
    <w:rsid w:val="009C301F"/>
    <w:rsid w:val="009C35F5"/>
    <w:rsid w:val="009C48B4"/>
    <w:rsid w:val="009C550F"/>
    <w:rsid w:val="009C63A6"/>
    <w:rsid w:val="009C7219"/>
    <w:rsid w:val="009D3A06"/>
    <w:rsid w:val="009D4434"/>
    <w:rsid w:val="009D45F5"/>
    <w:rsid w:val="009D4FE1"/>
    <w:rsid w:val="009D548F"/>
    <w:rsid w:val="009D66FC"/>
    <w:rsid w:val="009E211F"/>
    <w:rsid w:val="009E4C07"/>
    <w:rsid w:val="009E5441"/>
    <w:rsid w:val="009E5455"/>
    <w:rsid w:val="009E5CE5"/>
    <w:rsid w:val="009E765A"/>
    <w:rsid w:val="009F021E"/>
    <w:rsid w:val="009F090E"/>
    <w:rsid w:val="009F1674"/>
    <w:rsid w:val="009F6804"/>
    <w:rsid w:val="00A005BD"/>
    <w:rsid w:val="00A01036"/>
    <w:rsid w:val="00A01B0D"/>
    <w:rsid w:val="00A033D0"/>
    <w:rsid w:val="00A03794"/>
    <w:rsid w:val="00A03F8D"/>
    <w:rsid w:val="00A0535C"/>
    <w:rsid w:val="00A056B9"/>
    <w:rsid w:val="00A06CC5"/>
    <w:rsid w:val="00A119D0"/>
    <w:rsid w:val="00A14CA7"/>
    <w:rsid w:val="00A14DC1"/>
    <w:rsid w:val="00A14E19"/>
    <w:rsid w:val="00A15C46"/>
    <w:rsid w:val="00A16E3E"/>
    <w:rsid w:val="00A226D4"/>
    <w:rsid w:val="00A22BBE"/>
    <w:rsid w:val="00A30965"/>
    <w:rsid w:val="00A30FE9"/>
    <w:rsid w:val="00A31326"/>
    <w:rsid w:val="00A3169A"/>
    <w:rsid w:val="00A328E5"/>
    <w:rsid w:val="00A32D14"/>
    <w:rsid w:val="00A352B8"/>
    <w:rsid w:val="00A35D9B"/>
    <w:rsid w:val="00A37F62"/>
    <w:rsid w:val="00A40DB0"/>
    <w:rsid w:val="00A41255"/>
    <w:rsid w:val="00A42534"/>
    <w:rsid w:val="00A45538"/>
    <w:rsid w:val="00A46487"/>
    <w:rsid w:val="00A4695D"/>
    <w:rsid w:val="00A47688"/>
    <w:rsid w:val="00A50077"/>
    <w:rsid w:val="00A53C83"/>
    <w:rsid w:val="00A53DDC"/>
    <w:rsid w:val="00A54C34"/>
    <w:rsid w:val="00A55F71"/>
    <w:rsid w:val="00A56217"/>
    <w:rsid w:val="00A57BAD"/>
    <w:rsid w:val="00A57F3F"/>
    <w:rsid w:val="00A6121D"/>
    <w:rsid w:val="00A65054"/>
    <w:rsid w:val="00A66D5A"/>
    <w:rsid w:val="00A6700A"/>
    <w:rsid w:val="00A67061"/>
    <w:rsid w:val="00A679EE"/>
    <w:rsid w:val="00A71512"/>
    <w:rsid w:val="00A71664"/>
    <w:rsid w:val="00A728EA"/>
    <w:rsid w:val="00A750A2"/>
    <w:rsid w:val="00A76515"/>
    <w:rsid w:val="00A80844"/>
    <w:rsid w:val="00A80AFE"/>
    <w:rsid w:val="00A822B5"/>
    <w:rsid w:val="00A86C70"/>
    <w:rsid w:val="00A87514"/>
    <w:rsid w:val="00A902BE"/>
    <w:rsid w:val="00A91751"/>
    <w:rsid w:val="00A921CE"/>
    <w:rsid w:val="00A92A38"/>
    <w:rsid w:val="00A94792"/>
    <w:rsid w:val="00AA005A"/>
    <w:rsid w:val="00AA0B1C"/>
    <w:rsid w:val="00AA1745"/>
    <w:rsid w:val="00AA4627"/>
    <w:rsid w:val="00AA4A66"/>
    <w:rsid w:val="00AA5299"/>
    <w:rsid w:val="00AA5457"/>
    <w:rsid w:val="00AB1109"/>
    <w:rsid w:val="00AB26E4"/>
    <w:rsid w:val="00AB2883"/>
    <w:rsid w:val="00AB4350"/>
    <w:rsid w:val="00AB50CE"/>
    <w:rsid w:val="00AB6837"/>
    <w:rsid w:val="00AB6988"/>
    <w:rsid w:val="00AC05A6"/>
    <w:rsid w:val="00AC3551"/>
    <w:rsid w:val="00AC4E81"/>
    <w:rsid w:val="00AC5539"/>
    <w:rsid w:val="00AC6B24"/>
    <w:rsid w:val="00AC7BAB"/>
    <w:rsid w:val="00AD43F1"/>
    <w:rsid w:val="00AD51CE"/>
    <w:rsid w:val="00AD63E7"/>
    <w:rsid w:val="00AE1615"/>
    <w:rsid w:val="00AE2A13"/>
    <w:rsid w:val="00AE2D43"/>
    <w:rsid w:val="00AF19CC"/>
    <w:rsid w:val="00AF1A4D"/>
    <w:rsid w:val="00AF1E0A"/>
    <w:rsid w:val="00AF204C"/>
    <w:rsid w:val="00AF3977"/>
    <w:rsid w:val="00AF4636"/>
    <w:rsid w:val="00AF4EEC"/>
    <w:rsid w:val="00B02001"/>
    <w:rsid w:val="00B021C1"/>
    <w:rsid w:val="00B03DCB"/>
    <w:rsid w:val="00B04846"/>
    <w:rsid w:val="00B06778"/>
    <w:rsid w:val="00B11660"/>
    <w:rsid w:val="00B13693"/>
    <w:rsid w:val="00B1389F"/>
    <w:rsid w:val="00B13BA9"/>
    <w:rsid w:val="00B157D4"/>
    <w:rsid w:val="00B205CF"/>
    <w:rsid w:val="00B23B63"/>
    <w:rsid w:val="00B25B2F"/>
    <w:rsid w:val="00B25E55"/>
    <w:rsid w:val="00B264EA"/>
    <w:rsid w:val="00B26F16"/>
    <w:rsid w:val="00B31BE0"/>
    <w:rsid w:val="00B325C7"/>
    <w:rsid w:val="00B33407"/>
    <w:rsid w:val="00B35227"/>
    <w:rsid w:val="00B35DC6"/>
    <w:rsid w:val="00B367A1"/>
    <w:rsid w:val="00B4060B"/>
    <w:rsid w:val="00B407F6"/>
    <w:rsid w:val="00B41031"/>
    <w:rsid w:val="00B42058"/>
    <w:rsid w:val="00B42C6A"/>
    <w:rsid w:val="00B45720"/>
    <w:rsid w:val="00B46008"/>
    <w:rsid w:val="00B4721E"/>
    <w:rsid w:val="00B473B7"/>
    <w:rsid w:val="00B47BCB"/>
    <w:rsid w:val="00B50D0C"/>
    <w:rsid w:val="00B50FF1"/>
    <w:rsid w:val="00B526A4"/>
    <w:rsid w:val="00B5354A"/>
    <w:rsid w:val="00B5782F"/>
    <w:rsid w:val="00B60094"/>
    <w:rsid w:val="00B61BB0"/>
    <w:rsid w:val="00B6229F"/>
    <w:rsid w:val="00B66E71"/>
    <w:rsid w:val="00B7060F"/>
    <w:rsid w:val="00B71795"/>
    <w:rsid w:val="00B71E77"/>
    <w:rsid w:val="00B74736"/>
    <w:rsid w:val="00B74826"/>
    <w:rsid w:val="00B74FC1"/>
    <w:rsid w:val="00B75C11"/>
    <w:rsid w:val="00B75CA0"/>
    <w:rsid w:val="00B76A1A"/>
    <w:rsid w:val="00B771DA"/>
    <w:rsid w:val="00B772CB"/>
    <w:rsid w:val="00B77B91"/>
    <w:rsid w:val="00B810A1"/>
    <w:rsid w:val="00B83331"/>
    <w:rsid w:val="00B84664"/>
    <w:rsid w:val="00B84675"/>
    <w:rsid w:val="00B85DAC"/>
    <w:rsid w:val="00B908C1"/>
    <w:rsid w:val="00B924D6"/>
    <w:rsid w:val="00B95F9A"/>
    <w:rsid w:val="00B963F6"/>
    <w:rsid w:val="00B9672D"/>
    <w:rsid w:val="00BA029B"/>
    <w:rsid w:val="00BA0C86"/>
    <w:rsid w:val="00BA1E46"/>
    <w:rsid w:val="00BA1EC4"/>
    <w:rsid w:val="00BA2837"/>
    <w:rsid w:val="00BA3887"/>
    <w:rsid w:val="00BA40CC"/>
    <w:rsid w:val="00BA4AED"/>
    <w:rsid w:val="00BA4EAE"/>
    <w:rsid w:val="00BA610E"/>
    <w:rsid w:val="00BA63E5"/>
    <w:rsid w:val="00BB0CA1"/>
    <w:rsid w:val="00BB0E46"/>
    <w:rsid w:val="00BB2347"/>
    <w:rsid w:val="00BB362F"/>
    <w:rsid w:val="00BB36B4"/>
    <w:rsid w:val="00BB3CDD"/>
    <w:rsid w:val="00BB4A13"/>
    <w:rsid w:val="00BB526B"/>
    <w:rsid w:val="00BB62A7"/>
    <w:rsid w:val="00BB67D9"/>
    <w:rsid w:val="00BB72BE"/>
    <w:rsid w:val="00BC10B7"/>
    <w:rsid w:val="00BC1D16"/>
    <w:rsid w:val="00BC1F13"/>
    <w:rsid w:val="00BC2F58"/>
    <w:rsid w:val="00BC3C47"/>
    <w:rsid w:val="00BC3E7C"/>
    <w:rsid w:val="00BC4494"/>
    <w:rsid w:val="00BC53C3"/>
    <w:rsid w:val="00BC565E"/>
    <w:rsid w:val="00BC70CD"/>
    <w:rsid w:val="00BD135B"/>
    <w:rsid w:val="00BD150E"/>
    <w:rsid w:val="00BD578E"/>
    <w:rsid w:val="00BD6649"/>
    <w:rsid w:val="00BE1863"/>
    <w:rsid w:val="00BE21BF"/>
    <w:rsid w:val="00BE3E08"/>
    <w:rsid w:val="00BE645D"/>
    <w:rsid w:val="00BE65A2"/>
    <w:rsid w:val="00BE65A5"/>
    <w:rsid w:val="00BE7192"/>
    <w:rsid w:val="00BE7A65"/>
    <w:rsid w:val="00BF134C"/>
    <w:rsid w:val="00BF5917"/>
    <w:rsid w:val="00BF633D"/>
    <w:rsid w:val="00C009DD"/>
    <w:rsid w:val="00C02B50"/>
    <w:rsid w:val="00C03739"/>
    <w:rsid w:val="00C0563A"/>
    <w:rsid w:val="00C1024E"/>
    <w:rsid w:val="00C1035A"/>
    <w:rsid w:val="00C10B01"/>
    <w:rsid w:val="00C1107C"/>
    <w:rsid w:val="00C12BDA"/>
    <w:rsid w:val="00C13172"/>
    <w:rsid w:val="00C142DD"/>
    <w:rsid w:val="00C1522A"/>
    <w:rsid w:val="00C15C9B"/>
    <w:rsid w:val="00C1735C"/>
    <w:rsid w:val="00C20099"/>
    <w:rsid w:val="00C22774"/>
    <w:rsid w:val="00C22DC8"/>
    <w:rsid w:val="00C2350E"/>
    <w:rsid w:val="00C2355F"/>
    <w:rsid w:val="00C23F9D"/>
    <w:rsid w:val="00C25FAD"/>
    <w:rsid w:val="00C26C28"/>
    <w:rsid w:val="00C270F3"/>
    <w:rsid w:val="00C300BA"/>
    <w:rsid w:val="00C30586"/>
    <w:rsid w:val="00C30837"/>
    <w:rsid w:val="00C31B10"/>
    <w:rsid w:val="00C324A6"/>
    <w:rsid w:val="00C33055"/>
    <w:rsid w:val="00C33D87"/>
    <w:rsid w:val="00C33F99"/>
    <w:rsid w:val="00C35289"/>
    <w:rsid w:val="00C445FB"/>
    <w:rsid w:val="00C449D7"/>
    <w:rsid w:val="00C44DF8"/>
    <w:rsid w:val="00C45020"/>
    <w:rsid w:val="00C46209"/>
    <w:rsid w:val="00C5000B"/>
    <w:rsid w:val="00C51CFA"/>
    <w:rsid w:val="00C52C26"/>
    <w:rsid w:val="00C557F2"/>
    <w:rsid w:val="00C5669B"/>
    <w:rsid w:val="00C566A6"/>
    <w:rsid w:val="00C569B2"/>
    <w:rsid w:val="00C6127D"/>
    <w:rsid w:val="00C622F8"/>
    <w:rsid w:val="00C64C7A"/>
    <w:rsid w:val="00C65CFE"/>
    <w:rsid w:val="00C66016"/>
    <w:rsid w:val="00C661FF"/>
    <w:rsid w:val="00C67327"/>
    <w:rsid w:val="00C67F45"/>
    <w:rsid w:val="00C75256"/>
    <w:rsid w:val="00C76856"/>
    <w:rsid w:val="00C77399"/>
    <w:rsid w:val="00C77A75"/>
    <w:rsid w:val="00C808BF"/>
    <w:rsid w:val="00C80F50"/>
    <w:rsid w:val="00C81061"/>
    <w:rsid w:val="00C817D9"/>
    <w:rsid w:val="00C819F1"/>
    <w:rsid w:val="00C8214F"/>
    <w:rsid w:val="00C82A31"/>
    <w:rsid w:val="00C86173"/>
    <w:rsid w:val="00C92634"/>
    <w:rsid w:val="00C93C39"/>
    <w:rsid w:val="00C94DF7"/>
    <w:rsid w:val="00CA0D71"/>
    <w:rsid w:val="00CA265B"/>
    <w:rsid w:val="00CA2CCF"/>
    <w:rsid w:val="00CA2D12"/>
    <w:rsid w:val="00CA3732"/>
    <w:rsid w:val="00CA5778"/>
    <w:rsid w:val="00CA6405"/>
    <w:rsid w:val="00CA69FB"/>
    <w:rsid w:val="00CA7065"/>
    <w:rsid w:val="00CA7969"/>
    <w:rsid w:val="00CB10A8"/>
    <w:rsid w:val="00CB22D7"/>
    <w:rsid w:val="00CB2743"/>
    <w:rsid w:val="00CB2FFF"/>
    <w:rsid w:val="00CB3322"/>
    <w:rsid w:val="00CB34C5"/>
    <w:rsid w:val="00CB3515"/>
    <w:rsid w:val="00CB3D83"/>
    <w:rsid w:val="00CB671A"/>
    <w:rsid w:val="00CB7068"/>
    <w:rsid w:val="00CB783E"/>
    <w:rsid w:val="00CB7C66"/>
    <w:rsid w:val="00CB7F4C"/>
    <w:rsid w:val="00CC083B"/>
    <w:rsid w:val="00CC345D"/>
    <w:rsid w:val="00CC40D5"/>
    <w:rsid w:val="00CD007A"/>
    <w:rsid w:val="00CD0600"/>
    <w:rsid w:val="00CD1CA0"/>
    <w:rsid w:val="00CD2307"/>
    <w:rsid w:val="00CD25CF"/>
    <w:rsid w:val="00CD2F9D"/>
    <w:rsid w:val="00CD6644"/>
    <w:rsid w:val="00CE0528"/>
    <w:rsid w:val="00CE151C"/>
    <w:rsid w:val="00CE1F06"/>
    <w:rsid w:val="00CE3774"/>
    <w:rsid w:val="00CE42D6"/>
    <w:rsid w:val="00CE6FE4"/>
    <w:rsid w:val="00CF1B9D"/>
    <w:rsid w:val="00CF31C2"/>
    <w:rsid w:val="00CF474C"/>
    <w:rsid w:val="00CF60AD"/>
    <w:rsid w:val="00CF7E82"/>
    <w:rsid w:val="00D01CDC"/>
    <w:rsid w:val="00D030EC"/>
    <w:rsid w:val="00D04686"/>
    <w:rsid w:val="00D047A5"/>
    <w:rsid w:val="00D0745A"/>
    <w:rsid w:val="00D07532"/>
    <w:rsid w:val="00D077C5"/>
    <w:rsid w:val="00D115CF"/>
    <w:rsid w:val="00D12264"/>
    <w:rsid w:val="00D1280A"/>
    <w:rsid w:val="00D13097"/>
    <w:rsid w:val="00D13220"/>
    <w:rsid w:val="00D14BE3"/>
    <w:rsid w:val="00D14EEF"/>
    <w:rsid w:val="00D152F9"/>
    <w:rsid w:val="00D17076"/>
    <w:rsid w:val="00D20874"/>
    <w:rsid w:val="00D217B0"/>
    <w:rsid w:val="00D22898"/>
    <w:rsid w:val="00D23089"/>
    <w:rsid w:val="00D23184"/>
    <w:rsid w:val="00D25AC9"/>
    <w:rsid w:val="00D262E9"/>
    <w:rsid w:val="00D26F8B"/>
    <w:rsid w:val="00D27B70"/>
    <w:rsid w:val="00D3203D"/>
    <w:rsid w:val="00D32C4B"/>
    <w:rsid w:val="00D337F0"/>
    <w:rsid w:val="00D3602F"/>
    <w:rsid w:val="00D43255"/>
    <w:rsid w:val="00D444F7"/>
    <w:rsid w:val="00D44BBF"/>
    <w:rsid w:val="00D463BD"/>
    <w:rsid w:val="00D4682C"/>
    <w:rsid w:val="00D46DFB"/>
    <w:rsid w:val="00D50516"/>
    <w:rsid w:val="00D50753"/>
    <w:rsid w:val="00D52AEB"/>
    <w:rsid w:val="00D5306B"/>
    <w:rsid w:val="00D539E8"/>
    <w:rsid w:val="00D54583"/>
    <w:rsid w:val="00D554BF"/>
    <w:rsid w:val="00D56E10"/>
    <w:rsid w:val="00D57933"/>
    <w:rsid w:val="00D60B48"/>
    <w:rsid w:val="00D618A5"/>
    <w:rsid w:val="00D64280"/>
    <w:rsid w:val="00D6667A"/>
    <w:rsid w:val="00D67639"/>
    <w:rsid w:val="00D72252"/>
    <w:rsid w:val="00D72DE9"/>
    <w:rsid w:val="00D753F7"/>
    <w:rsid w:val="00D75717"/>
    <w:rsid w:val="00D75D16"/>
    <w:rsid w:val="00D8032D"/>
    <w:rsid w:val="00D8238F"/>
    <w:rsid w:val="00D83001"/>
    <w:rsid w:val="00D8579D"/>
    <w:rsid w:val="00D87E4B"/>
    <w:rsid w:val="00D922B0"/>
    <w:rsid w:val="00D92DD9"/>
    <w:rsid w:val="00D93E27"/>
    <w:rsid w:val="00D94641"/>
    <w:rsid w:val="00D956D3"/>
    <w:rsid w:val="00D96E00"/>
    <w:rsid w:val="00DA0BF2"/>
    <w:rsid w:val="00DA0D91"/>
    <w:rsid w:val="00DA1DD7"/>
    <w:rsid w:val="00DA1F4D"/>
    <w:rsid w:val="00DA2FCF"/>
    <w:rsid w:val="00DA7F27"/>
    <w:rsid w:val="00DB0329"/>
    <w:rsid w:val="00DB246F"/>
    <w:rsid w:val="00DB30D8"/>
    <w:rsid w:val="00DB5844"/>
    <w:rsid w:val="00DB59A4"/>
    <w:rsid w:val="00DB5A25"/>
    <w:rsid w:val="00DB6C6B"/>
    <w:rsid w:val="00DC2C44"/>
    <w:rsid w:val="00DC44CA"/>
    <w:rsid w:val="00DC47FA"/>
    <w:rsid w:val="00DC4802"/>
    <w:rsid w:val="00DC593F"/>
    <w:rsid w:val="00DC6506"/>
    <w:rsid w:val="00DC6EC3"/>
    <w:rsid w:val="00DD25A3"/>
    <w:rsid w:val="00DD778E"/>
    <w:rsid w:val="00DE18B7"/>
    <w:rsid w:val="00DE22DA"/>
    <w:rsid w:val="00DE3307"/>
    <w:rsid w:val="00DE47A8"/>
    <w:rsid w:val="00DE5E6A"/>
    <w:rsid w:val="00DE5F0B"/>
    <w:rsid w:val="00DF168D"/>
    <w:rsid w:val="00DF2A72"/>
    <w:rsid w:val="00DF3867"/>
    <w:rsid w:val="00DF3C79"/>
    <w:rsid w:val="00DF3F4E"/>
    <w:rsid w:val="00DF40AD"/>
    <w:rsid w:val="00DF445D"/>
    <w:rsid w:val="00DF4C5C"/>
    <w:rsid w:val="00DF4C9F"/>
    <w:rsid w:val="00DF5CB4"/>
    <w:rsid w:val="00DF616E"/>
    <w:rsid w:val="00DF648A"/>
    <w:rsid w:val="00DF772B"/>
    <w:rsid w:val="00DF7BA1"/>
    <w:rsid w:val="00E007D7"/>
    <w:rsid w:val="00E01538"/>
    <w:rsid w:val="00E016A1"/>
    <w:rsid w:val="00E01713"/>
    <w:rsid w:val="00E01CD2"/>
    <w:rsid w:val="00E027E0"/>
    <w:rsid w:val="00E03388"/>
    <w:rsid w:val="00E0356F"/>
    <w:rsid w:val="00E06B92"/>
    <w:rsid w:val="00E07A28"/>
    <w:rsid w:val="00E07E61"/>
    <w:rsid w:val="00E07EA9"/>
    <w:rsid w:val="00E10A81"/>
    <w:rsid w:val="00E10B14"/>
    <w:rsid w:val="00E1259C"/>
    <w:rsid w:val="00E12980"/>
    <w:rsid w:val="00E16BE0"/>
    <w:rsid w:val="00E21870"/>
    <w:rsid w:val="00E220CC"/>
    <w:rsid w:val="00E2225A"/>
    <w:rsid w:val="00E22850"/>
    <w:rsid w:val="00E22ACD"/>
    <w:rsid w:val="00E22E86"/>
    <w:rsid w:val="00E23464"/>
    <w:rsid w:val="00E23AAF"/>
    <w:rsid w:val="00E24D9A"/>
    <w:rsid w:val="00E26039"/>
    <w:rsid w:val="00E264E3"/>
    <w:rsid w:val="00E269BF"/>
    <w:rsid w:val="00E31028"/>
    <w:rsid w:val="00E32868"/>
    <w:rsid w:val="00E336E1"/>
    <w:rsid w:val="00E34E50"/>
    <w:rsid w:val="00E37A1B"/>
    <w:rsid w:val="00E40C63"/>
    <w:rsid w:val="00E41296"/>
    <w:rsid w:val="00E41BD4"/>
    <w:rsid w:val="00E43711"/>
    <w:rsid w:val="00E4384E"/>
    <w:rsid w:val="00E43C7D"/>
    <w:rsid w:val="00E449C0"/>
    <w:rsid w:val="00E473DE"/>
    <w:rsid w:val="00E47548"/>
    <w:rsid w:val="00E47BE3"/>
    <w:rsid w:val="00E47F7B"/>
    <w:rsid w:val="00E51794"/>
    <w:rsid w:val="00E523E0"/>
    <w:rsid w:val="00E52536"/>
    <w:rsid w:val="00E5287E"/>
    <w:rsid w:val="00E5487F"/>
    <w:rsid w:val="00E54A3D"/>
    <w:rsid w:val="00E54D91"/>
    <w:rsid w:val="00E573BE"/>
    <w:rsid w:val="00E574F0"/>
    <w:rsid w:val="00E61345"/>
    <w:rsid w:val="00E632D7"/>
    <w:rsid w:val="00E63B11"/>
    <w:rsid w:val="00E63FB1"/>
    <w:rsid w:val="00E654BE"/>
    <w:rsid w:val="00E6559C"/>
    <w:rsid w:val="00E65AAF"/>
    <w:rsid w:val="00E669AE"/>
    <w:rsid w:val="00E670B8"/>
    <w:rsid w:val="00E67D87"/>
    <w:rsid w:val="00E719EB"/>
    <w:rsid w:val="00E72429"/>
    <w:rsid w:val="00E730A9"/>
    <w:rsid w:val="00E730D2"/>
    <w:rsid w:val="00E739EA"/>
    <w:rsid w:val="00E7556F"/>
    <w:rsid w:val="00E75BC3"/>
    <w:rsid w:val="00E76E7A"/>
    <w:rsid w:val="00E827F4"/>
    <w:rsid w:val="00E84B5F"/>
    <w:rsid w:val="00E84F76"/>
    <w:rsid w:val="00E85462"/>
    <w:rsid w:val="00E856AE"/>
    <w:rsid w:val="00E86F50"/>
    <w:rsid w:val="00E86FF2"/>
    <w:rsid w:val="00E87C67"/>
    <w:rsid w:val="00E90D56"/>
    <w:rsid w:val="00E93BF4"/>
    <w:rsid w:val="00E97289"/>
    <w:rsid w:val="00E97F70"/>
    <w:rsid w:val="00EA141F"/>
    <w:rsid w:val="00EA1A91"/>
    <w:rsid w:val="00EA4F04"/>
    <w:rsid w:val="00EA5099"/>
    <w:rsid w:val="00EA55A1"/>
    <w:rsid w:val="00EA5EBB"/>
    <w:rsid w:val="00EA62C7"/>
    <w:rsid w:val="00EA684A"/>
    <w:rsid w:val="00EA6B8C"/>
    <w:rsid w:val="00EA70F7"/>
    <w:rsid w:val="00EB0C4A"/>
    <w:rsid w:val="00EB354E"/>
    <w:rsid w:val="00EB39A2"/>
    <w:rsid w:val="00EB6602"/>
    <w:rsid w:val="00EB7458"/>
    <w:rsid w:val="00EB7A2B"/>
    <w:rsid w:val="00EC6504"/>
    <w:rsid w:val="00EC7514"/>
    <w:rsid w:val="00ED03BB"/>
    <w:rsid w:val="00ED073E"/>
    <w:rsid w:val="00ED135A"/>
    <w:rsid w:val="00ED4BD8"/>
    <w:rsid w:val="00ED5DE2"/>
    <w:rsid w:val="00EE2FC0"/>
    <w:rsid w:val="00EE34AF"/>
    <w:rsid w:val="00EE3CDE"/>
    <w:rsid w:val="00EE3E30"/>
    <w:rsid w:val="00EE4427"/>
    <w:rsid w:val="00EE4779"/>
    <w:rsid w:val="00EE54E5"/>
    <w:rsid w:val="00EE5668"/>
    <w:rsid w:val="00EE6274"/>
    <w:rsid w:val="00EE6AFD"/>
    <w:rsid w:val="00EE6D71"/>
    <w:rsid w:val="00EF0B0E"/>
    <w:rsid w:val="00EF2F6C"/>
    <w:rsid w:val="00EF6C54"/>
    <w:rsid w:val="00EF7BCA"/>
    <w:rsid w:val="00F0343F"/>
    <w:rsid w:val="00F04940"/>
    <w:rsid w:val="00F065D1"/>
    <w:rsid w:val="00F06D07"/>
    <w:rsid w:val="00F10117"/>
    <w:rsid w:val="00F1086F"/>
    <w:rsid w:val="00F13B89"/>
    <w:rsid w:val="00F160A4"/>
    <w:rsid w:val="00F1683C"/>
    <w:rsid w:val="00F179E6"/>
    <w:rsid w:val="00F22BEB"/>
    <w:rsid w:val="00F26AF0"/>
    <w:rsid w:val="00F33077"/>
    <w:rsid w:val="00F33666"/>
    <w:rsid w:val="00F3366D"/>
    <w:rsid w:val="00F34AF8"/>
    <w:rsid w:val="00F35265"/>
    <w:rsid w:val="00F3688C"/>
    <w:rsid w:val="00F37142"/>
    <w:rsid w:val="00F37E5D"/>
    <w:rsid w:val="00F4063D"/>
    <w:rsid w:val="00F41DA6"/>
    <w:rsid w:val="00F433E8"/>
    <w:rsid w:val="00F459F9"/>
    <w:rsid w:val="00F468A0"/>
    <w:rsid w:val="00F4699C"/>
    <w:rsid w:val="00F47268"/>
    <w:rsid w:val="00F47A24"/>
    <w:rsid w:val="00F47DA4"/>
    <w:rsid w:val="00F511DE"/>
    <w:rsid w:val="00F5127D"/>
    <w:rsid w:val="00F5237F"/>
    <w:rsid w:val="00F52E0D"/>
    <w:rsid w:val="00F60D95"/>
    <w:rsid w:val="00F61679"/>
    <w:rsid w:val="00F61BBB"/>
    <w:rsid w:val="00F63A25"/>
    <w:rsid w:val="00F64C51"/>
    <w:rsid w:val="00F65A14"/>
    <w:rsid w:val="00F6605D"/>
    <w:rsid w:val="00F6694B"/>
    <w:rsid w:val="00F66A97"/>
    <w:rsid w:val="00F66AA3"/>
    <w:rsid w:val="00F670D7"/>
    <w:rsid w:val="00F67900"/>
    <w:rsid w:val="00F70D3D"/>
    <w:rsid w:val="00F71DD4"/>
    <w:rsid w:val="00F72D30"/>
    <w:rsid w:val="00F732D4"/>
    <w:rsid w:val="00F74060"/>
    <w:rsid w:val="00F761D5"/>
    <w:rsid w:val="00F76849"/>
    <w:rsid w:val="00F76FC2"/>
    <w:rsid w:val="00F80A60"/>
    <w:rsid w:val="00F82B70"/>
    <w:rsid w:val="00F8326B"/>
    <w:rsid w:val="00F83AC1"/>
    <w:rsid w:val="00F84AD3"/>
    <w:rsid w:val="00F854CF"/>
    <w:rsid w:val="00F866E7"/>
    <w:rsid w:val="00F878D9"/>
    <w:rsid w:val="00F91EDA"/>
    <w:rsid w:val="00F9222B"/>
    <w:rsid w:val="00F92E55"/>
    <w:rsid w:val="00F9412D"/>
    <w:rsid w:val="00F954F3"/>
    <w:rsid w:val="00F954F8"/>
    <w:rsid w:val="00F95C89"/>
    <w:rsid w:val="00FA098D"/>
    <w:rsid w:val="00FA0B2C"/>
    <w:rsid w:val="00FA2491"/>
    <w:rsid w:val="00FA2CBD"/>
    <w:rsid w:val="00FA3086"/>
    <w:rsid w:val="00FA737B"/>
    <w:rsid w:val="00FA7635"/>
    <w:rsid w:val="00FA7A31"/>
    <w:rsid w:val="00FB1655"/>
    <w:rsid w:val="00FB19A1"/>
    <w:rsid w:val="00FB3A6C"/>
    <w:rsid w:val="00FB43E1"/>
    <w:rsid w:val="00FB4CD3"/>
    <w:rsid w:val="00FB5966"/>
    <w:rsid w:val="00FB65D9"/>
    <w:rsid w:val="00FB6763"/>
    <w:rsid w:val="00FB6DB7"/>
    <w:rsid w:val="00FB7F2D"/>
    <w:rsid w:val="00FC0CCD"/>
    <w:rsid w:val="00FC13F0"/>
    <w:rsid w:val="00FC2D00"/>
    <w:rsid w:val="00FC4480"/>
    <w:rsid w:val="00FC6275"/>
    <w:rsid w:val="00FC64B1"/>
    <w:rsid w:val="00FC6AC2"/>
    <w:rsid w:val="00FC7EC8"/>
    <w:rsid w:val="00FD0532"/>
    <w:rsid w:val="00FD246E"/>
    <w:rsid w:val="00FD3671"/>
    <w:rsid w:val="00FD431D"/>
    <w:rsid w:val="00FD49B2"/>
    <w:rsid w:val="00FD5006"/>
    <w:rsid w:val="00FD54BE"/>
    <w:rsid w:val="00FD6A62"/>
    <w:rsid w:val="00FE0A6A"/>
    <w:rsid w:val="00FE1C80"/>
    <w:rsid w:val="00FE4EB8"/>
    <w:rsid w:val="00FE5558"/>
    <w:rsid w:val="00FE5639"/>
    <w:rsid w:val="00FE6409"/>
    <w:rsid w:val="00FF48CF"/>
    <w:rsid w:val="00FF5C3A"/>
    <w:rsid w:val="00FF71ED"/>
    <w:rsid w:val="00FF78DB"/>
    <w:rsid w:val="00FF7F3B"/>
  </w:rsids>
  <m:mathPr>
    <m:mathFont m:val="Cambria Math"/>
    <m:brkBin m:val="before"/>
    <m:brkBinSub m:val="--"/>
    <m:smallFrac m:val="0"/>
    <m:dispDef/>
    <m:lMargin m:val="0"/>
    <m:rMargin m:val="0"/>
    <m:defJc m:val="centerGroup"/>
    <m:wrapIndent m:val="1440"/>
    <m:intLim m:val="subSup"/>
    <m:naryLim m:val="undOvr"/>
  </m:mathPr>
  <w:themeFontLang w:val="en-GB" w:bidi="hi-IN"/>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36051AB8"/>
  <w15:docId w15:val="{B1E2EDAC-9DAF-49A7-B5A2-972E8BDDEA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o-RO" w:eastAsia="en-GB" w:bidi="hi-IN"/>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00" w:line="276" w:lineRule="auto"/>
    </w:pPr>
    <w:rPr>
      <w:sz w:val="22"/>
      <w:szCs w:val="22"/>
      <w:lang w:eastAsia="en-US" w:bidi="ar-SA"/>
    </w:rPr>
  </w:style>
  <w:style w:type="paragraph" w:styleId="Heading1">
    <w:name w:val="heading 1"/>
    <w:basedOn w:val="Normal"/>
    <w:next w:val="Text1"/>
    <w:link w:val="Heading1Char"/>
    <w:uiPriority w:val="9"/>
    <w:qFormat/>
    <w:rsid w:val="00681F80"/>
    <w:pPr>
      <w:keepNext/>
      <w:spacing w:before="360" w:after="120" w:line="240" w:lineRule="auto"/>
      <w:jc w:val="both"/>
      <w:outlineLvl w:val="0"/>
    </w:pPr>
    <w:rPr>
      <w:rFonts w:ascii="Times New Roman" w:eastAsia="Times New Roman" w:hAnsi="Times New Roman"/>
      <w:b/>
      <w:bCs/>
      <w:smallCaps/>
      <w:sz w:val="24"/>
      <w:szCs w:val="28"/>
      <w:lang w:eastAsia="en-GB"/>
    </w:rPr>
  </w:style>
  <w:style w:type="paragraph" w:styleId="Heading2">
    <w:name w:val="heading 2"/>
    <w:basedOn w:val="Normal"/>
    <w:next w:val="Text1"/>
    <w:link w:val="Heading2Char"/>
    <w:uiPriority w:val="9"/>
    <w:unhideWhenUsed/>
    <w:qFormat/>
    <w:rsid w:val="00681F80"/>
    <w:pPr>
      <w:keepNext/>
      <w:spacing w:before="120" w:after="120" w:line="240" w:lineRule="auto"/>
      <w:jc w:val="both"/>
      <w:outlineLvl w:val="1"/>
    </w:pPr>
    <w:rPr>
      <w:rFonts w:ascii="Times New Roman" w:eastAsia="Times New Roman" w:hAnsi="Times New Roman"/>
      <w:b/>
      <w:bCs/>
      <w:sz w:val="24"/>
      <w:szCs w:val="26"/>
      <w:lang w:eastAsia="en-GB"/>
    </w:rPr>
  </w:style>
  <w:style w:type="paragraph" w:styleId="Heading3">
    <w:name w:val="heading 3"/>
    <w:basedOn w:val="Normal"/>
    <w:next w:val="Text1"/>
    <w:link w:val="Heading3Char"/>
    <w:uiPriority w:val="9"/>
    <w:semiHidden/>
    <w:unhideWhenUsed/>
    <w:qFormat/>
    <w:rsid w:val="00681F80"/>
    <w:pPr>
      <w:keepNext/>
      <w:spacing w:before="120" w:after="120" w:line="240" w:lineRule="auto"/>
      <w:jc w:val="both"/>
      <w:outlineLvl w:val="2"/>
    </w:pPr>
    <w:rPr>
      <w:rFonts w:ascii="Times New Roman" w:eastAsia="Times New Roman" w:hAnsi="Times New Roman"/>
      <w:bCs/>
      <w:i/>
      <w:sz w:val="24"/>
      <w:lang w:eastAsia="en-GB"/>
    </w:rPr>
  </w:style>
  <w:style w:type="paragraph" w:styleId="Heading4">
    <w:name w:val="heading 4"/>
    <w:basedOn w:val="Normal"/>
    <w:next w:val="Text1"/>
    <w:link w:val="Heading4Char"/>
    <w:uiPriority w:val="9"/>
    <w:semiHidden/>
    <w:unhideWhenUsed/>
    <w:qFormat/>
    <w:rsid w:val="00681F80"/>
    <w:pPr>
      <w:keepNext/>
      <w:spacing w:before="120" w:after="120" w:line="240" w:lineRule="auto"/>
      <w:jc w:val="both"/>
      <w:outlineLvl w:val="3"/>
    </w:pPr>
    <w:rPr>
      <w:rFonts w:ascii="Times New Roman" w:eastAsia="Times New Roman" w:hAnsi="Times New Roman"/>
      <w:bCs/>
      <w:iCs/>
      <w:sz w:val="24"/>
      <w:lang w:eastAsia="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681F80"/>
    <w:rPr>
      <w:rFonts w:ascii="Times New Roman" w:eastAsia="Times New Roman" w:hAnsi="Times New Roman"/>
      <w:b/>
      <w:bCs/>
      <w:smallCaps/>
      <w:sz w:val="24"/>
      <w:szCs w:val="28"/>
      <w:lang w:bidi="ar-SA"/>
    </w:rPr>
  </w:style>
  <w:style w:type="character" w:customStyle="1" w:styleId="Heading2Char">
    <w:name w:val="Heading 2 Char"/>
    <w:link w:val="Heading2"/>
    <w:uiPriority w:val="9"/>
    <w:rsid w:val="00681F80"/>
    <w:rPr>
      <w:rFonts w:ascii="Times New Roman" w:eastAsia="Times New Roman" w:hAnsi="Times New Roman"/>
      <w:b/>
      <w:bCs/>
      <w:sz w:val="24"/>
      <w:szCs w:val="26"/>
      <w:lang w:bidi="ar-SA"/>
    </w:rPr>
  </w:style>
  <w:style w:type="character" w:customStyle="1" w:styleId="Heading3Char">
    <w:name w:val="Heading 3 Char"/>
    <w:link w:val="Heading3"/>
    <w:uiPriority w:val="9"/>
    <w:semiHidden/>
    <w:rsid w:val="00681F80"/>
    <w:rPr>
      <w:rFonts w:ascii="Times New Roman" w:eastAsia="Times New Roman" w:hAnsi="Times New Roman"/>
      <w:bCs/>
      <w:i/>
      <w:sz w:val="24"/>
      <w:szCs w:val="22"/>
      <w:lang w:bidi="ar-SA"/>
    </w:rPr>
  </w:style>
  <w:style w:type="character" w:customStyle="1" w:styleId="Heading4Char">
    <w:name w:val="Heading 4 Char"/>
    <w:link w:val="Heading4"/>
    <w:uiPriority w:val="9"/>
    <w:semiHidden/>
    <w:rsid w:val="00681F80"/>
    <w:rPr>
      <w:rFonts w:ascii="Times New Roman" w:eastAsia="Times New Roman" w:hAnsi="Times New Roman"/>
      <w:bCs/>
      <w:iCs/>
      <w:sz w:val="24"/>
      <w:szCs w:val="22"/>
      <w:lang w:bidi="ar-SA"/>
    </w:rPr>
  </w:style>
  <w:style w:type="character" w:styleId="Hyperlink">
    <w:name w:val="Hyperlink"/>
    <w:uiPriority w:val="99"/>
    <w:rsid w:val="00681F80"/>
    <w:rPr>
      <w:color w:val="0000FF"/>
      <w:u w:val="single"/>
      <w:shd w:val="clear" w:color="auto" w:fill="auto"/>
    </w:rPr>
  </w:style>
  <w:style w:type="paragraph" w:styleId="Footer">
    <w:name w:val="footer"/>
    <w:basedOn w:val="Normal"/>
    <w:link w:val="FooterChar"/>
    <w:uiPriority w:val="99"/>
    <w:unhideWhenUsed/>
    <w:rsid w:val="00D8238F"/>
    <w:pPr>
      <w:tabs>
        <w:tab w:val="center" w:pos="4535"/>
        <w:tab w:val="right" w:pos="9071"/>
        <w:tab w:val="right" w:pos="9921"/>
      </w:tabs>
      <w:spacing w:before="360" w:after="0" w:line="240" w:lineRule="auto"/>
      <w:ind w:left="-850" w:right="-850"/>
    </w:pPr>
    <w:rPr>
      <w:rFonts w:ascii="Times New Roman" w:hAnsi="Times New Roman"/>
      <w:sz w:val="24"/>
    </w:rPr>
  </w:style>
  <w:style w:type="character" w:customStyle="1" w:styleId="FooterChar">
    <w:name w:val="Footer Char"/>
    <w:link w:val="Footer"/>
    <w:uiPriority w:val="99"/>
    <w:rsid w:val="00D8238F"/>
    <w:rPr>
      <w:rFonts w:ascii="Times New Roman" w:hAnsi="Times New Roman"/>
      <w:sz w:val="24"/>
      <w:szCs w:val="22"/>
      <w:lang w:eastAsia="en-US" w:bidi="ar-SA"/>
    </w:rPr>
  </w:style>
  <w:style w:type="paragraph" w:styleId="FootnoteText">
    <w:name w:val="footnote text"/>
    <w:basedOn w:val="Normal"/>
    <w:uiPriority w:val="99"/>
    <w:unhideWhenUsed/>
    <w:qFormat/>
    <w:rsid w:val="00681F80"/>
    <w:pPr>
      <w:spacing w:after="0" w:line="240" w:lineRule="auto"/>
      <w:ind w:left="720" w:hanging="720"/>
      <w:jc w:val="both"/>
    </w:pPr>
    <w:rPr>
      <w:rFonts w:ascii="Times New Roman" w:eastAsia="Times New Roman" w:hAnsi="Times New Roman"/>
      <w:sz w:val="20"/>
      <w:szCs w:val="20"/>
      <w:lang w:eastAsia="en-GB"/>
    </w:rPr>
  </w:style>
  <w:style w:type="character" w:customStyle="1" w:styleId="FootnoteTextChar">
    <w:name w:val="Footnote Text Char"/>
    <w:aliases w:val="Footnote Text Char1 Char,Footnote Text Char Char Char,Footnote Text Char3 Char Char Char,Footnote Text Char2 Char Char Char Char,Footnote Text Char1 Char Char Char Char Char,Footnote Text Char Char Char Char Char Char Char,fn Char"/>
    <w:uiPriority w:val="99"/>
    <w:rsid w:val="00681F80"/>
    <w:rPr>
      <w:rFonts w:ascii="Times New Roman" w:eastAsia="Times New Roman" w:hAnsi="Times New Roman"/>
    </w:rPr>
  </w:style>
  <w:style w:type="paragraph" w:styleId="TOCHeading">
    <w:name w:val="TOC Heading"/>
    <w:basedOn w:val="Normal"/>
    <w:next w:val="Normal"/>
    <w:link w:val="TOCHeadingChar"/>
    <w:uiPriority w:val="39"/>
    <w:semiHidden/>
    <w:unhideWhenUsed/>
    <w:qFormat/>
    <w:rsid w:val="00681F80"/>
    <w:pPr>
      <w:spacing w:before="120" w:after="240" w:line="240" w:lineRule="auto"/>
      <w:jc w:val="center"/>
    </w:pPr>
    <w:rPr>
      <w:rFonts w:ascii="Times New Roman" w:eastAsia="Times New Roman" w:hAnsi="Times New Roman"/>
      <w:b/>
      <w:sz w:val="28"/>
      <w:lang w:eastAsia="en-GB"/>
    </w:rPr>
  </w:style>
  <w:style w:type="paragraph" w:styleId="TOC1">
    <w:name w:val="toc 1"/>
    <w:basedOn w:val="Normal"/>
    <w:next w:val="Normal"/>
    <w:uiPriority w:val="39"/>
    <w:unhideWhenUsed/>
    <w:rsid w:val="00681F80"/>
    <w:pPr>
      <w:tabs>
        <w:tab w:val="right" w:leader="dot" w:pos="9071"/>
      </w:tabs>
      <w:spacing w:before="60" w:after="120" w:line="240" w:lineRule="auto"/>
      <w:ind w:left="850" w:hanging="850"/>
    </w:pPr>
    <w:rPr>
      <w:rFonts w:ascii="Times New Roman" w:eastAsia="Times New Roman" w:hAnsi="Times New Roman"/>
      <w:sz w:val="24"/>
      <w:lang w:eastAsia="en-GB"/>
    </w:rPr>
  </w:style>
  <w:style w:type="character" w:styleId="FootnoteReference">
    <w:name w:val="footnote reference"/>
    <w:aliases w:val="Footnote,Footnote symbol,EN Footnote Reference,-E Fußnotenzeichen, BVI fnr,Footnote number,Footnote Reference Number,Footnote reference number,Times 10 Point,Exposant 3 Point,Footnote Reference Superscript, Exposant 3 Point,note TESI"/>
    <w:uiPriority w:val="99"/>
    <w:unhideWhenUsed/>
    <w:rsid w:val="00681F80"/>
    <w:rPr>
      <w:shd w:val="clear" w:color="auto" w:fill="auto"/>
      <w:vertAlign w:val="superscript"/>
    </w:rPr>
  </w:style>
  <w:style w:type="paragraph" w:customStyle="1" w:styleId="Text1">
    <w:name w:val="Text 1"/>
    <w:basedOn w:val="Normal"/>
    <w:link w:val="Text1Char"/>
    <w:rsid w:val="00681F80"/>
    <w:pPr>
      <w:spacing w:before="120" w:after="120" w:line="240" w:lineRule="auto"/>
      <w:ind w:left="850"/>
      <w:jc w:val="both"/>
    </w:pPr>
    <w:rPr>
      <w:rFonts w:ascii="Times New Roman" w:eastAsia="Times New Roman" w:hAnsi="Times New Roman"/>
      <w:sz w:val="24"/>
      <w:lang w:eastAsia="en-GB"/>
    </w:rPr>
  </w:style>
  <w:style w:type="paragraph" w:customStyle="1" w:styleId="Text2">
    <w:name w:val="Text 2"/>
    <w:basedOn w:val="Normal"/>
    <w:rsid w:val="00681F80"/>
    <w:pPr>
      <w:spacing w:before="120" w:after="120" w:line="240" w:lineRule="auto"/>
      <w:ind w:left="1417"/>
      <w:jc w:val="both"/>
    </w:pPr>
    <w:rPr>
      <w:rFonts w:ascii="Times New Roman" w:eastAsia="Times New Roman" w:hAnsi="Times New Roman"/>
      <w:sz w:val="24"/>
      <w:lang w:eastAsia="en-GB"/>
    </w:rPr>
  </w:style>
  <w:style w:type="paragraph" w:customStyle="1" w:styleId="Tiret1">
    <w:name w:val="Tiret 1"/>
    <w:basedOn w:val="Normal"/>
    <w:rsid w:val="00681F80"/>
    <w:pPr>
      <w:numPr>
        <w:numId w:val="2"/>
      </w:numPr>
      <w:spacing w:before="120" w:after="120" w:line="240" w:lineRule="auto"/>
      <w:jc w:val="both"/>
    </w:pPr>
    <w:rPr>
      <w:rFonts w:ascii="Times New Roman" w:eastAsia="Times New Roman" w:hAnsi="Times New Roman"/>
      <w:sz w:val="24"/>
      <w:lang w:eastAsia="en-GB"/>
    </w:rPr>
  </w:style>
  <w:style w:type="paragraph" w:customStyle="1" w:styleId="Point0number">
    <w:name w:val="Point 0 (number)"/>
    <w:basedOn w:val="Normal"/>
    <w:uiPriority w:val="99"/>
    <w:rsid w:val="00681F80"/>
    <w:pPr>
      <w:numPr>
        <w:numId w:val="3"/>
      </w:numPr>
      <w:spacing w:before="120" w:after="120" w:line="240" w:lineRule="auto"/>
      <w:jc w:val="both"/>
    </w:pPr>
    <w:rPr>
      <w:rFonts w:ascii="Times New Roman" w:eastAsia="Times New Roman" w:hAnsi="Times New Roman"/>
      <w:sz w:val="24"/>
      <w:lang w:eastAsia="en-GB"/>
    </w:rPr>
  </w:style>
  <w:style w:type="paragraph" w:customStyle="1" w:styleId="Point1number">
    <w:name w:val="Point 1 (number)"/>
    <w:basedOn w:val="Normal"/>
    <w:uiPriority w:val="99"/>
    <w:rsid w:val="00681F80"/>
    <w:pPr>
      <w:numPr>
        <w:ilvl w:val="2"/>
        <w:numId w:val="3"/>
      </w:numPr>
      <w:spacing w:before="120" w:after="120" w:line="240" w:lineRule="auto"/>
      <w:jc w:val="both"/>
    </w:pPr>
    <w:rPr>
      <w:rFonts w:ascii="Times New Roman" w:eastAsia="Times New Roman" w:hAnsi="Times New Roman"/>
      <w:sz w:val="24"/>
      <w:lang w:eastAsia="en-GB"/>
    </w:rPr>
  </w:style>
  <w:style w:type="paragraph" w:customStyle="1" w:styleId="Point2number">
    <w:name w:val="Point 2 (number)"/>
    <w:basedOn w:val="Normal"/>
    <w:uiPriority w:val="99"/>
    <w:rsid w:val="00681F80"/>
    <w:pPr>
      <w:numPr>
        <w:ilvl w:val="4"/>
        <w:numId w:val="3"/>
      </w:numPr>
      <w:spacing w:before="120" w:after="120" w:line="240" w:lineRule="auto"/>
      <w:jc w:val="both"/>
    </w:pPr>
    <w:rPr>
      <w:rFonts w:ascii="Times New Roman" w:eastAsia="Times New Roman" w:hAnsi="Times New Roman"/>
      <w:sz w:val="24"/>
      <w:lang w:eastAsia="en-GB"/>
    </w:rPr>
  </w:style>
  <w:style w:type="paragraph" w:customStyle="1" w:styleId="Point3number">
    <w:name w:val="Point 3 (number)"/>
    <w:basedOn w:val="Normal"/>
    <w:uiPriority w:val="99"/>
    <w:rsid w:val="00681F80"/>
    <w:pPr>
      <w:numPr>
        <w:ilvl w:val="6"/>
        <w:numId w:val="3"/>
      </w:numPr>
      <w:spacing w:before="120" w:after="120" w:line="240" w:lineRule="auto"/>
      <w:jc w:val="both"/>
    </w:pPr>
    <w:rPr>
      <w:rFonts w:ascii="Times New Roman" w:eastAsia="Times New Roman" w:hAnsi="Times New Roman"/>
      <w:sz w:val="24"/>
      <w:lang w:eastAsia="en-GB"/>
    </w:rPr>
  </w:style>
  <w:style w:type="paragraph" w:customStyle="1" w:styleId="Point0letter">
    <w:name w:val="Point 0 (letter)"/>
    <w:basedOn w:val="Normal"/>
    <w:uiPriority w:val="99"/>
    <w:rsid w:val="00681F80"/>
    <w:pPr>
      <w:numPr>
        <w:ilvl w:val="1"/>
        <w:numId w:val="3"/>
      </w:numPr>
      <w:spacing w:before="120" w:after="120" w:line="240" w:lineRule="auto"/>
      <w:jc w:val="both"/>
    </w:pPr>
    <w:rPr>
      <w:rFonts w:ascii="Times New Roman" w:eastAsia="Times New Roman" w:hAnsi="Times New Roman"/>
      <w:sz w:val="24"/>
      <w:lang w:eastAsia="en-GB"/>
    </w:rPr>
  </w:style>
  <w:style w:type="paragraph" w:customStyle="1" w:styleId="Point1letter">
    <w:name w:val="Point 1 (letter)"/>
    <w:basedOn w:val="Normal"/>
    <w:uiPriority w:val="99"/>
    <w:rsid w:val="00681F80"/>
    <w:pPr>
      <w:numPr>
        <w:ilvl w:val="3"/>
        <w:numId w:val="3"/>
      </w:numPr>
      <w:spacing w:before="120" w:after="120" w:line="240" w:lineRule="auto"/>
      <w:jc w:val="both"/>
    </w:pPr>
    <w:rPr>
      <w:rFonts w:ascii="Times New Roman" w:eastAsia="Times New Roman" w:hAnsi="Times New Roman"/>
      <w:sz w:val="24"/>
      <w:lang w:eastAsia="en-GB"/>
    </w:rPr>
  </w:style>
  <w:style w:type="paragraph" w:customStyle="1" w:styleId="Point2letter">
    <w:name w:val="Point 2 (letter)"/>
    <w:basedOn w:val="Normal"/>
    <w:uiPriority w:val="99"/>
    <w:rsid w:val="00681F80"/>
    <w:pPr>
      <w:numPr>
        <w:ilvl w:val="5"/>
        <w:numId w:val="3"/>
      </w:numPr>
      <w:spacing w:before="120" w:after="120" w:line="240" w:lineRule="auto"/>
      <w:jc w:val="both"/>
    </w:pPr>
    <w:rPr>
      <w:rFonts w:ascii="Times New Roman" w:eastAsia="Times New Roman" w:hAnsi="Times New Roman"/>
      <w:sz w:val="24"/>
      <w:lang w:eastAsia="en-GB"/>
    </w:rPr>
  </w:style>
  <w:style w:type="paragraph" w:customStyle="1" w:styleId="Point3letter">
    <w:name w:val="Point 3 (letter)"/>
    <w:basedOn w:val="Normal"/>
    <w:uiPriority w:val="99"/>
    <w:rsid w:val="00681F80"/>
    <w:pPr>
      <w:numPr>
        <w:ilvl w:val="7"/>
        <w:numId w:val="3"/>
      </w:numPr>
      <w:spacing w:before="120" w:after="120" w:line="240" w:lineRule="auto"/>
      <w:jc w:val="both"/>
    </w:pPr>
    <w:rPr>
      <w:rFonts w:ascii="Times New Roman" w:eastAsia="Times New Roman" w:hAnsi="Times New Roman"/>
      <w:sz w:val="24"/>
      <w:lang w:eastAsia="en-GB"/>
    </w:rPr>
  </w:style>
  <w:style w:type="paragraph" w:customStyle="1" w:styleId="Point4letter">
    <w:name w:val="Point 4 (letter)"/>
    <w:basedOn w:val="Normal"/>
    <w:uiPriority w:val="99"/>
    <w:rsid w:val="00681F80"/>
    <w:pPr>
      <w:numPr>
        <w:ilvl w:val="8"/>
        <w:numId w:val="3"/>
      </w:numPr>
      <w:spacing w:before="120" w:after="120" w:line="240" w:lineRule="auto"/>
      <w:jc w:val="both"/>
    </w:pPr>
    <w:rPr>
      <w:rFonts w:ascii="Times New Roman" w:eastAsia="Times New Roman" w:hAnsi="Times New Roman"/>
      <w:sz w:val="24"/>
      <w:lang w:eastAsia="en-GB"/>
    </w:rPr>
  </w:style>
  <w:style w:type="paragraph" w:customStyle="1" w:styleId="Titreobjet">
    <w:name w:val="Titre objet"/>
    <w:basedOn w:val="Normal"/>
    <w:next w:val="Normal"/>
    <w:rsid w:val="00681F80"/>
    <w:pPr>
      <w:spacing w:before="360" w:after="360" w:line="240" w:lineRule="auto"/>
      <w:jc w:val="center"/>
    </w:pPr>
    <w:rPr>
      <w:rFonts w:ascii="Times New Roman" w:eastAsia="Times New Roman" w:hAnsi="Times New Roman"/>
      <w:b/>
      <w:sz w:val="24"/>
      <w:lang w:eastAsia="en-GB"/>
    </w:rPr>
  </w:style>
  <w:style w:type="paragraph" w:customStyle="1" w:styleId="Typedudocument">
    <w:name w:val="Type du document"/>
    <w:basedOn w:val="Normal"/>
    <w:next w:val="Titreobjet"/>
    <w:rsid w:val="00681F80"/>
    <w:pPr>
      <w:spacing w:before="360" w:after="0" w:line="240" w:lineRule="auto"/>
      <w:jc w:val="center"/>
    </w:pPr>
    <w:rPr>
      <w:rFonts w:ascii="Times New Roman" w:eastAsia="Times New Roman" w:hAnsi="Times New Roman"/>
      <w:b/>
      <w:sz w:val="24"/>
      <w:lang w:eastAsia="en-GB"/>
    </w:rPr>
  </w:style>
  <w:style w:type="character" w:customStyle="1" w:styleId="Marker">
    <w:name w:val="Marker"/>
    <w:rsid w:val="00681F80"/>
    <w:rPr>
      <w:color w:val="0000FF"/>
      <w:shd w:val="clear" w:color="auto" w:fill="auto"/>
    </w:rPr>
  </w:style>
  <w:style w:type="paragraph" w:customStyle="1" w:styleId="Pagedecouverture">
    <w:name w:val="Page de couverture"/>
    <w:basedOn w:val="Normal"/>
    <w:next w:val="Normal"/>
    <w:rsid w:val="00681F80"/>
    <w:pPr>
      <w:spacing w:after="0" w:line="240" w:lineRule="auto"/>
      <w:jc w:val="both"/>
    </w:pPr>
    <w:rPr>
      <w:rFonts w:ascii="Times New Roman" w:hAnsi="Times New Roman"/>
      <w:sz w:val="24"/>
    </w:rPr>
  </w:style>
  <w:style w:type="paragraph" w:styleId="Header">
    <w:name w:val="header"/>
    <w:basedOn w:val="Normal"/>
    <w:link w:val="HeaderChar"/>
    <w:uiPriority w:val="99"/>
    <w:unhideWhenUsed/>
    <w:rsid w:val="00D8238F"/>
    <w:pPr>
      <w:tabs>
        <w:tab w:val="center" w:pos="4535"/>
        <w:tab w:val="right" w:pos="9071"/>
      </w:tabs>
      <w:spacing w:after="120" w:line="240" w:lineRule="auto"/>
      <w:jc w:val="both"/>
    </w:pPr>
    <w:rPr>
      <w:rFonts w:ascii="Times New Roman" w:hAnsi="Times New Roman"/>
      <w:sz w:val="24"/>
    </w:rPr>
  </w:style>
  <w:style w:type="character" w:customStyle="1" w:styleId="HeaderChar">
    <w:name w:val="Header Char"/>
    <w:link w:val="Header"/>
    <w:uiPriority w:val="99"/>
    <w:rsid w:val="00D8238F"/>
    <w:rPr>
      <w:rFonts w:ascii="Times New Roman" w:hAnsi="Times New Roman"/>
      <w:sz w:val="24"/>
      <w:szCs w:val="22"/>
      <w:lang w:eastAsia="en-US" w:bidi="ar-SA"/>
    </w:rPr>
  </w:style>
  <w:style w:type="paragraph" w:customStyle="1" w:styleId="FooterCoverPage">
    <w:name w:val="Footer Cover Page"/>
    <w:basedOn w:val="Normal"/>
    <w:link w:val="FooterCoverPageChar"/>
    <w:rsid w:val="00681F80"/>
    <w:pPr>
      <w:tabs>
        <w:tab w:val="center" w:pos="4535"/>
        <w:tab w:val="right" w:pos="9071"/>
        <w:tab w:val="right" w:pos="9921"/>
      </w:tabs>
      <w:spacing w:before="360" w:after="0" w:line="240" w:lineRule="auto"/>
      <w:ind w:left="-850" w:right="-850"/>
    </w:pPr>
    <w:rPr>
      <w:rFonts w:ascii="Times New Roman" w:hAnsi="Times New Roman"/>
      <w:sz w:val="24"/>
    </w:rPr>
  </w:style>
  <w:style w:type="character" w:customStyle="1" w:styleId="FooterCoverPageChar">
    <w:name w:val="Footer Cover Page Char"/>
    <w:link w:val="FooterCoverPage"/>
    <w:rsid w:val="00681F80"/>
    <w:rPr>
      <w:rFonts w:ascii="Times New Roman" w:hAnsi="Times New Roman"/>
      <w:sz w:val="24"/>
      <w:szCs w:val="22"/>
      <w:lang w:eastAsia="en-US" w:bidi="ar-SA"/>
    </w:rPr>
  </w:style>
  <w:style w:type="paragraph" w:customStyle="1" w:styleId="HeaderCoverPage">
    <w:name w:val="Header Cover Page"/>
    <w:basedOn w:val="Normal"/>
    <w:link w:val="HeaderCoverPageChar"/>
    <w:rsid w:val="00681F80"/>
    <w:pPr>
      <w:tabs>
        <w:tab w:val="center" w:pos="4535"/>
        <w:tab w:val="right" w:pos="9071"/>
      </w:tabs>
      <w:spacing w:after="120" w:line="240" w:lineRule="auto"/>
      <w:jc w:val="both"/>
    </w:pPr>
    <w:rPr>
      <w:rFonts w:ascii="Times New Roman" w:hAnsi="Times New Roman"/>
      <w:sz w:val="24"/>
    </w:rPr>
  </w:style>
  <w:style w:type="character" w:customStyle="1" w:styleId="HeaderCoverPageChar">
    <w:name w:val="Header Cover Page Char"/>
    <w:link w:val="HeaderCoverPage"/>
    <w:rsid w:val="00681F80"/>
    <w:rPr>
      <w:rFonts w:ascii="Times New Roman" w:hAnsi="Times New Roman"/>
      <w:sz w:val="24"/>
      <w:szCs w:val="22"/>
      <w:lang w:eastAsia="en-US" w:bidi="ar-SA"/>
    </w:rPr>
  </w:style>
  <w:style w:type="paragraph" w:styleId="BalloonText">
    <w:name w:val="Balloon Text"/>
    <w:basedOn w:val="Normal"/>
    <w:link w:val="BalloonTextChar"/>
    <w:uiPriority w:val="99"/>
    <w:semiHidden/>
    <w:unhideWhenUsed/>
    <w:rsid w:val="00E07A28"/>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E07A28"/>
    <w:rPr>
      <w:rFonts w:ascii="Tahoma" w:hAnsi="Tahoma" w:cs="Tahoma"/>
      <w:sz w:val="16"/>
      <w:szCs w:val="16"/>
      <w:lang w:eastAsia="en-US"/>
    </w:rPr>
  </w:style>
  <w:style w:type="character" w:customStyle="1" w:styleId="Text1Char">
    <w:name w:val="Text 1 Char"/>
    <w:link w:val="Text1"/>
    <w:rsid w:val="007824C0"/>
    <w:rPr>
      <w:rFonts w:ascii="Times New Roman" w:eastAsia="Times New Roman" w:hAnsi="Times New Roman"/>
      <w:sz w:val="24"/>
      <w:szCs w:val="22"/>
    </w:rPr>
  </w:style>
  <w:style w:type="paragraph" w:styleId="Revision">
    <w:name w:val="Revision"/>
    <w:hidden/>
    <w:uiPriority w:val="99"/>
    <w:semiHidden/>
    <w:rsid w:val="00A14DC1"/>
    <w:rPr>
      <w:sz w:val="22"/>
      <w:szCs w:val="22"/>
      <w:lang w:eastAsia="en-US" w:bidi="ar-SA"/>
    </w:rPr>
  </w:style>
  <w:style w:type="character" w:styleId="CommentReference">
    <w:name w:val="annotation reference"/>
    <w:uiPriority w:val="99"/>
    <w:semiHidden/>
    <w:unhideWhenUsed/>
    <w:rsid w:val="0095455C"/>
    <w:rPr>
      <w:sz w:val="16"/>
      <w:szCs w:val="16"/>
    </w:rPr>
  </w:style>
  <w:style w:type="paragraph" w:styleId="CommentText">
    <w:name w:val="annotation text"/>
    <w:basedOn w:val="Normal"/>
    <w:link w:val="CommentTextChar"/>
    <w:uiPriority w:val="99"/>
    <w:unhideWhenUsed/>
    <w:rsid w:val="0095455C"/>
    <w:rPr>
      <w:sz w:val="20"/>
      <w:szCs w:val="20"/>
    </w:rPr>
  </w:style>
  <w:style w:type="character" w:customStyle="1" w:styleId="CommentTextChar">
    <w:name w:val="Comment Text Char"/>
    <w:link w:val="CommentText"/>
    <w:uiPriority w:val="99"/>
    <w:rsid w:val="0095455C"/>
    <w:rPr>
      <w:lang w:eastAsia="en-US"/>
    </w:rPr>
  </w:style>
  <w:style w:type="paragraph" w:styleId="CommentSubject">
    <w:name w:val="annotation subject"/>
    <w:basedOn w:val="CommentText"/>
    <w:next w:val="CommentText"/>
    <w:link w:val="CommentSubjectChar"/>
    <w:uiPriority w:val="99"/>
    <w:semiHidden/>
    <w:unhideWhenUsed/>
    <w:rsid w:val="0095455C"/>
    <w:rPr>
      <w:b/>
      <w:bCs/>
    </w:rPr>
  </w:style>
  <w:style w:type="character" w:customStyle="1" w:styleId="CommentSubjectChar">
    <w:name w:val="Comment Subject Char"/>
    <w:link w:val="CommentSubject"/>
    <w:uiPriority w:val="99"/>
    <w:semiHidden/>
    <w:rsid w:val="0095455C"/>
    <w:rPr>
      <w:b/>
      <w:bCs/>
      <w:lang w:eastAsia="en-US"/>
    </w:rPr>
  </w:style>
  <w:style w:type="paragraph" w:styleId="Caption">
    <w:name w:val="caption"/>
    <w:basedOn w:val="Normal"/>
    <w:next w:val="Normal"/>
    <w:uiPriority w:val="35"/>
    <w:unhideWhenUsed/>
    <w:qFormat/>
    <w:rsid w:val="001F12CC"/>
    <w:rPr>
      <w:b/>
      <w:bCs/>
      <w:sz w:val="20"/>
      <w:szCs w:val="20"/>
    </w:rPr>
  </w:style>
  <w:style w:type="paragraph" w:customStyle="1" w:styleId="Declassification">
    <w:name w:val="Declassification"/>
    <w:basedOn w:val="Normal"/>
    <w:next w:val="Normal"/>
    <w:rsid w:val="00D8238F"/>
    <w:pPr>
      <w:spacing w:after="0" w:line="240" w:lineRule="auto"/>
      <w:jc w:val="both"/>
    </w:pPr>
    <w:rPr>
      <w:rFonts w:ascii="Times New Roman" w:eastAsiaTheme="minorHAnsi" w:hAnsi="Times New Roman"/>
      <w:sz w:val="24"/>
    </w:rPr>
  </w:style>
  <w:style w:type="paragraph" w:customStyle="1" w:styleId="HeaderLandscape">
    <w:name w:val="HeaderLandscape"/>
    <w:basedOn w:val="Normal"/>
    <w:rsid w:val="00D8238F"/>
    <w:pPr>
      <w:tabs>
        <w:tab w:val="center" w:pos="7285"/>
        <w:tab w:val="right" w:pos="14003"/>
      </w:tabs>
      <w:spacing w:after="120" w:line="240" w:lineRule="auto"/>
      <w:jc w:val="both"/>
    </w:pPr>
    <w:rPr>
      <w:rFonts w:ascii="Times New Roman" w:eastAsiaTheme="minorHAnsi" w:hAnsi="Times New Roman"/>
      <w:sz w:val="24"/>
    </w:rPr>
  </w:style>
  <w:style w:type="paragraph" w:customStyle="1" w:styleId="HeaderSensitivity">
    <w:name w:val="Header Sensitivity"/>
    <w:basedOn w:val="Normal"/>
    <w:rsid w:val="00D8238F"/>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b/>
      <w:sz w:val="32"/>
    </w:rPr>
  </w:style>
  <w:style w:type="paragraph" w:customStyle="1" w:styleId="FooterLandscape">
    <w:name w:val="FooterLandscape"/>
    <w:basedOn w:val="Normal"/>
    <w:rsid w:val="00D8238F"/>
    <w:pPr>
      <w:tabs>
        <w:tab w:val="center" w:pos="7285"/>
        <w:tab w:val="center" w:pos="10913"/>
        <w:tab w:val="right" w:pos="15137"/>
      </w:tabs>
      <w:spacing w:before="360" w:after="0" w:line="240" w:lineRule="auto"/>
      <w:ind w:left="-567" w:right="-567"/>
    </w:pPr>
    <w:rPr>
      <w:rFonts w:ascii="Times New Roman" w:eastAsiaTheme="minorHAnsi" w:hAnsi="Times New Roman"/>
      <w:sz w:val="24"/>
    </w:rPr>
  </w:style>
  <w:style w:type="paragraph" w:customStyle="1" w:styleId="FooterSensitivity">
    <w:name w:val="Footer Sensitivity"/>
    <w:basedOn w:val="Normal"/>
    <w:rsid w:val="00D8238F"/>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b/>
      <w:sz w:val="32"/>
    </w:rPr>
  </w:style>
  <w:style w:type="paragraph" w:styleId="ListParagraph">
    <w:name w:val="List Paragraph"/>
    <w:aliases w:val="Fiche List Paragraph,Task Body,Viñetas (Inicio Parrafo),3 Txt tabla,Zerrenda-paragrafoa,Lista multicolor - Énfasis 11,Paragrafo elenco,1st level - Bullet List Paragraph,Lettre d'introduction,Normal bullet 2,Bullet list,Listenabsatz1,Nad,L"/>
    <w:basedOn w:val="Normal"/>
    <w:link w:val="ListParagraphChar"/>
    <w:uiPriority w:val="34"/>
    <w:qFormat/>
    <w:rsid w:val="00437D08"/>
    <w:pPr>
      <w:ind w:left="720"/>
      <w:contextualSpacing/>
    </w:pPr>
  </w:style>
  <w:style w:type="paragraph" w:customStyle="1" w:styleId="HeaderSensitivityRight">
    <w:name w:val="Header Sensitivity Right"/>
    <w:basedOn w:val="Normal"/>
    <w:link w:val="HeaderSensitivityRightChar"/>
    <w:rsid w:val="009E211F"/>
    <w:pPr>
      <w:spacing w:after="120" w:line="240" w:lineRule="auto"/>
      <w:jc w:val="right"/>
    </w:pPr>
    <w:rPr>
      <w:rFonts w:ascii="Times New Roman" w:hAnsi="Times New Roman"/>
      <w:sz w:val="28"/>
    </w:rPr>
  </w:style>
  <w:style w:type="character" w:customStyle="1" w:styleId="TOCHeadingChar">
    <w:name w:val="TOC Heading Char"/>
    <w:basedOn w:val="DefaultParagraphFont"/>
    <w:link w:val="TOCHeading"/>
    <w:uiPriority w:val="39"/>
    <w:semiHidden/>
    <w:rsid w:val="009E211F"/>
    <w:rPr>
      <w:rFonts w:ascii="Times New Roman" w:eastAsia="Times New Roman" w:hAnsi="Times New Roman"/>
      <w:b/>
      <w:sz w:val="28"/>
      <w:szCs w:val="22"/>
      <w:lang w:bidi="ar-SA"/>
    </w:rPr>
  </w:style>
  <w:style w:type="character" w:customStyle="1" w:styleId="HeaderSensitivityRightChar">
    <w:name w:val="Header Sensitivity Right Char"/>
    <w:basedOn w:val="TOCHeadingChar"/>
    <w:link w:val="HeaderSensitivityRight"/>
    <w:rsid w:val="009E211F"/>
    <w:rPr>
      <w:rFonts w:ascii="Times New Roman" w:eastAsia="Times New Roman" w:hAnsi="Times New Roman"/>
      <w:b w:val="0"/>
      <w:sz w:val="28"/>
      <w:szCs w:val="22"/>
      <w:lang w:eastAsia="en-US" w:bidi="ar-SA"/>
    </w:rPr>
  </w:style>
  <w:style w:type="character" w:customStyle="1" w:styleId="UnresolvedMention1">
    <w:name w:val="Unresolved Mention1"/>
    <w:basedOn w:val="DefaultParagraphFont"/>
    <w:uiPriority w:val="99"/>
    <w:semiHidden/>
    <w:unhideWhenUsed/>
    <w:rsid w:val="001E42E3"/>
    <w:rPr>
      <w:color w:val="605E5C"/>
      <w:shd w:val="clear" w:color="auto" w:fill="E1DFDD"/>
    </w:rPr>
  </w:style>
  <w:style w:type="character" w:styleId="FollowedHyperlink">
    <w:name w:val="FollowedHyperlink"/>
    <w:basedOn w:val="DefaultParagraphFont"/>
    <w:uiPriority w:val="99"/>
    <w:semiHidden/>
    <w:unhideWhenUsed/>
    <w:rsid w:val="00CE6FE4"/>
    <w:rPr>
      <w:color w:val="800080" w:themeColor="followedHyperlink"/>
      <w:u w:val="single"/>
    </w:rPr>
  </w:style>
  <w:style w:type="character" w:customStyle="1" w:styleId="ListParagraphChar">
    <w:name w:val="List Paragraph Char"/>
    <w:aliases w:val="Fiche List Paragraph Char,Task Body Char,Viñetas (Inicio Parrafo) Char,3 Txt tabla Char,Zerrenda-paragrafoa Char,Lista multicolor - Énfasis 11 Char,Paragrafo elenco Char,1st level - Bullet List Paragraph Char,Normal bullet 2 Char"/>
    <w:link w:val="ListParagraph"/>
    <w:uiPriority w:val="34"/>
    <w:qFormat/>
    <w:locked/>
    <w:rsid w:val="003F2168"/>
    <w:rPr>
      <w:sz w:val="22"/>
      <w:szCs w:val="22"/>
      <w:lang w:eastAsia="en-US" w:bidi="ar-SA"/>
    </w:rPr>
  </w:style>
  <w:style w:type="character" w:styleId="Emphasis">
    <w:name w:val="Emphasis"/>
    <w:basedOn w:val="DefaultParagraphFont"/>
    <w:uiPriority w:val="20"/>
    <w:qFormat/>
    <w:rsid w:val="00895433"/>
    <w:rPr>
      <w:i/>
      <w:iCs/>
    </w:rPr>
  </w:style>
  <w:style w:type="character" w:customStyle="1" w:styleId="UnresolvedMention">
    <w:name w:val="Unresolved Mention"/>
    <w:basedOn w:val="DefaultParagraphFont"/>
    <w:uiPriority w:val="99"/>
    <w:semiHidden/>
    <w:unhideWhenUsed/>
    <w:rsid w:val="007008F8"/>
    <w:rPr>
      <w:color w:val="605E5C"/>
      <w:shd w:val="clear" w:color="auto" w:fill="E1DFDD"/>
    </w:rPr>
  </w:style>
  <w:style w:type="character" w:customStyle="1" w:styleId="markedcontent">
    <w:name w:val="markedcontent"/>
    <w:basedOn w:val="DefaultParagraphFont"/>
    <w:rsid w:val="007008F8"/>
  </w:style>
  <w:style w:type="paragraph" w:styleId="TOC2">
    <w:name w:val="toc 2"/>
    <w:basedOn w:val="Normal"/>
    <w:next w:val="Normal"/>
    <w:autoRedefine/>
    <w:uiPriority w:val="39"/>
    <w:unhideWhenUsed/>
    <w:rsid w:val="002D642B"/>
    <w:pPr>
      <w:tabs>
        <w:tab w:val="right" w:leader="dot" w:pos="9063"/>
      </w:tabs>
      <w:spacing w:after="100"/>
      <w:ind w:left="220" w:hanging="220"/>
    </w:pPr>
  </w:style>
  <w:style w:type="paragraph" w:customStyle="1" w:styleId="Languesfaisantfoi">
    <w:name w:val="Langues faisant foi"/>
    <w:basedOn w:val="Normal"/>
    <w:next w:val="Normal"/>
    <w:rsid w:val="00843131"/>
    <w:pPr>
      <w:spacing w:before="360" w:after="240" w:line="240" w:lineRule="auto"/>
      <w:jc w:val="center"/>
    </w:pPr>
    <w:rPr>
      <w:rFonts w:ascii="Times New Roman" w:eastAsiaTheme="minorHAnsi" w:hAnsi="Times New Roman"/>
      <w:sz w:val="24"/>
    </w:rPr>
  </w:style>
  <w:style w:type="paragraph" w:customStyle="1" w:styleId="LanguesfaisantfoiPagedecouverture">
    <w:name w:val="Langues faisant foi (Page de couverture)"/>
    <w:basedOn w:val="Normal"/>
    <w:next w:val="Normal"/>
    <w:rsid w:val="00843131"/>
    <w:pPr>
      <w:spacing w:before="360" w:after="240" w:line="240" w:lineRule="auto"/>
      <w:jc w:val="center"/>
    </w:pPr>
    <w:rPr>
      <w:rFonts w:ascii="Times New Roman" w:eastAsiaTheme="minorHAnsi" w:hAnsi="Times New Roman"/>
      <w:sz w:val="24"/>
    </w:rPr>
  </w:style>
  <w:style w:type="paragraph" w:customStyle="1" w:styleId="IntrtEEE">
    <w:name w:val="Intérêt EEE"/>
    <w:basedOn w:val="Languesfaisantfoi"/>
    <w:next w:val="Normal"/>
    <w:rsid w:val="00843131"/>
    <w:pPr>
      <w:spacing w:after="0"/>
    </w:pPr>
  </w:style>
  <w:style w:type="paragraph" w:customStyle="1" w:styleId="IntrtEEEPagedecouverture">
    <w:name w:val="Intérêt EEE (Page de couverture)"/>
    <w:basedOn w:val="IntrtEEE"/>
    <w:next w:val="Normal"/>
    <w:rsid w:val="0084313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6001166">
      <w:bodyDiv w:val="1"/>
      <w:marLeft w:val="0"/>
      <w:marRight w:val="0"/>
      <w:marTop w:val="0"/>
      <w:marBottom w:val="0"/>
      <w:divBdr>
        <w:top w:val="none" w:sz="0" w:space="0" w:color="auto"/>
        <w:left w:val="none" w:sz="0" w:space="0" w:color="auto"/>
        <w:bottom w:val="none" w:sz="0" w:space="0" w:color="auto"/>
        <w:right w:val="none" w:sz="0" w:space="0" w:color="auto"/>
      </w:divBdr>
    </w:div>
    <w:div w:id="143474734">
      <w:bodyDiv w:val="1"/>
      <w:marLeft w:val="0"/>
      <w:marRight w:val="0"/>
      <w:marTop w:val="0"/>
      <w:marBottom w:val="0"/>
      <w:divBdr>
        <w:top w:val="none" w:sz="0" w:space="0" w:color="auto"/>
        <w:left w:val="none" w:sz="0" w:space="0" w:color="auto"/>
        <w:bottom w:val="none" w:sz="0" w:space="0" w:color="auto"/>
        <w:right w:val="none" w:sz="0" w:space="0" w:color="auto"/>
      </w:divBdr>
    </w:div>
    <w:div w:id="181670005">
      <w:bodyDiv w:val="1"/>
      <w:marLeft w:val="0"/>
      <w:marRight w:val="0"/>
      <w:marTop w:val="0"/>
      <w:marBottom w:val="0"/>
      <w:divBdr>
        <w:top w:val="none" w:sz="0" w:space="0" w:color="auto"/>
        <w:left w:val="none" w:sz="0" w:space="0" w:color="auto"/>
        <w:bottom w:val="none" w:sz="0" w:space="0" w:color="auto"/>
        <w:right w:val="none" w:sz="0" w:space="0" w:color="auto"/>
      </w:divBdr>
    </w:div>
    <w:div w:id="232089916">
      <w:bodyDiv w:val="1"/>
      <w:marLeft w:val="0"/>
      <w:marRight w:val="0"/>
      <w:marTop w:val="0"/>
      <w:marBottom w:val="0"/>
      <w:divBdr>
        <w:top w:val="none" w:sz="0" w:space="0" w:color="auto"/>
        <w:left w:val="none" w:sz="0" w:space="0" w:color="auto"/>
        <w:bottom w:val="none" w:sz="0" w:space="0" w:color="auto"/>
        <w:right w:val="none" w:sz="0" w:space="0" w:color="auto"/>
      </w:divBdr>
    </w:div>
    <w:div w:id="294064249">
      <w:bodyDiv w:val="1"/>
      <w:marLeft w:val="0"/>
      <w:marRight w:val="0"/>
      <w:marTop w:val="0"/>
      <w:marBottom w:val="0"/>
      <w:divBdr>
        <w:top w:val="none" w:sz="0" w:space="0" w:color="auto"/>
        <w:left w:val="none" w:sz="0" w:space="0" w:color="auto"/>
        <w:bottom w:val="none" w:sz="0" w:space="0" w:color="auto"/>
        <w:right w:val="none" w:sz="0" w:space="0" w:color="auto"/>
      </w:divBdr>
    </w:div>
    <w:div w:id="337541204">
      <w:bodyDiv w:val="1"/>
      <w:marLeft w:val="0"/>
      <w:marRight w:val="0"/>
      <w:marTop w:val="0"/>
      <w:marBottom w:val="0"/>
      <w:divBdr>
        <w:top w:val="none" w:sz="0" w:space="0" w:color="auto"/>
        <w:left w:val="none" w:sz="0" w:space="0" w:color="auto"/>
        <w:bottom w:val="none" w:sz="0" w:space="0" w:color="auto"/>
        <w:right w:val="none" w:sz="0" w:space="0" w:color="auto"/>
      </w:divBdr>
    </w:div>
    <w:div w:id="435977251">
      <w:bodyDiv w:val="1"/>
      <w:marLeft w:val="0"/>
      <w:marRight w:val="0"/>
      <w:marTop w:val="0"/>
      <w:marBottom w:val="0"/>
      <w:divBdr>
        <w:top w:val="none" w:sz="0" w:space="0" w:color="auto"/>
        <w:left w:val="none" w:sz="0" w:space="0" w:color="auto"/>
        <w:bottom w:val="none" w:sz="0" w:space="0" w:color="auto"/>
        <w:right w:val="none" w:sz="0" w:space="0" w:color="auto"/>
      </w:divBdr>
    </w:div>
    <w:div w:id="520315409">
      <w:bodyDiv w:val="1"/>
      <w:marLeft w:val="0"/>
      <w:marRight w:val="0"/>
      <w:marTop w:val="0"/>
      <w:marBottom w:val="0"/>
      <w:divBdr>
        <w:top w:val="none" w:sz="0" w:space="0" w:color="auto"/>
        <w:left w:val="none" w:sz="0" w:space="0" w:color="auto"/>
        <w:bottom w:val="none" w:sz="0" w:space="0" w:color="auto"/>
        <w:right w:val="none" w:sz="0" w:space="0" w:color="auto"/>
      </w:divBdr>
    </w:div>
    <w:div w:id="541674914">
      <w:bodyDiv w:val="1"/>
      <w:marLeft w:val="0"/>
      <w:marRight w:val="0"/>
      <w:marTop w:val="0"/>
      <w:marBottom w:val="0"/>
      <w:divBdr>
        <w:top w:val="none" w:sz="0" w:space="0" w:color="auto"/>
        <w:left w:val="none" w:sz="0" w:space="0" w:color="auto"/>
        <w:bottom w:val="none" w:sz="0" w:space="0" w:color="auto"/>
        <w:right w:val="none" w:sz="0" w:space="0" w:color="auto"/>
      </w:divBdr>
    </w:div>
    <w:div w:id="620651269">
      <w:bodyDiv w:val="1"/>
      <w:marLeft w:val="0"/>
      <w:marRight w:val="0"/>
      <w:marTop w:val="0"/>
      <w:marBottom w:val="0"/>
      <w:divBdr>
        <w:top w:val="none" w:sz="0" w:space="0" w:color="auto"/>
        <w:left w:val="none" w:sz="0" w:space="0" w:color="auto"/>
        <w:bottom w:val="none" w:sz="0" w:space="0" w:color="auto"/>
        <w:right w:val="none" w:sz="0" w:space="0" w:color="auto"/>
      </w:divBdr>
    </w:div>
    <w:div w:id="749423502">
      <w:bodyDiv w:val="1"/>
      <w:marLeft w:val="0"/>
      <w:marRight w:val="0"/>
      <w:marTop w:val="0"/>
      <w:marBottom w:val="0"/>
      <w:divBdr>
        <w:top w:val="none" w:sz="0" w:space="0" w:color="auto"/>
        <w:left w:val="none" w:sz="0" w:space="0" w:color="auto"/>
        <w:bottom w:val="none" w:sz="0" w:space="0" w:color="auto"/>
        <w:right w:val="none" w:sz="0" w:space="0" w:color="auto"/>
      </w:divBdr>
    </w:div>
    <w:div w:id="826557313">
      <w:bodyDiv w:val="1"/>
      <w:marLeft w:val="0"/>
      <w:marRight w:val="0"/>
      <w:marTop w:val="0"/>
      <w:marBottom w:val="0"/>
      <w:divBdr>
        <w:top w:val="none" w:sz="0" w:space="0" w:color="auto"/>
        <w:left w:val="none" w:sz="0" w:space="0" w:color="auto"/>
        <w:bottom w:val="none" w:sz="0" w:space="0" w:color="auto"/>
        <w:right w:val="none" w:sz="0" w:space="0" w:color="auto"/>
      </w:divBdr>
    </w:div>
    <w:div w:id="941571023">
      <w:bodyDiv w:val="1"/>
      <w:marLeft w:val="0"/>
      <w:marRight w:val="0"/>
      <w:marTop w:val="0"/>
      <w:marBottom w:val="0"/>
      <w:divBdr>
        <w:top w:val="none" w:sz="0" w:space="0" w:color="auto"/>
        <w:left w:val="none" w:sz="0" w:space="0" w:color="auto"/>
        <w:bottom w:val="none" w:sz="0" w:space="0" w:color="auto"/>
        <w:right w:val="none" w:sz="0" w:space="0" w:color="auto"/>
      </w:divBdr>
    </w:div>
    <w:div w:id="952521226">
      <w:bodyDiv w:val="1"/>
      <w:marLeft w:val="0"/>
      <w:marRight w:val="0"/>
      <w:marTop w:val="0"/>
      <w:marBottom w:val="0"/>
      <w:divBdr>
        <w:top w:val="none" w:sz="0" w:space="0" w:color="auto"/>
        <w:left w:val="none" w:sz="0" w:space="0" w:color="auto"/>
        <w:bottom w:val="none" w:sz="0" w:space="0" w:color="auto"/>
        <w:right w:val="none" w:sz="0" w:space="0" w:color="auto"/>
      </w:divBdr>
    </w:div>
    <w:div w:id="1010521649">
      <w:bodyDiv w:val="1"/>
      <w:marLeft w:val="0"/>
      <w:marRight w:val="0"/>
      <w:marTop w:val="0"/>
      <w:marBottom w:val="0"/>
      <w:divBdr>
        <w:top w:val="none" w:sz="0" w:space="0" w:color="auto"/>
        <w:left w:val="none" w:sz="0" w:space="0" w:color="auto"/>
        <w:bottom w:val="none" w:sz="0" w:space="0" w:color="auto"/>
        <w:right w:val="none" w:sz="0" w:space="0" w:color="auto"/>
      </w:divBdr>
    </w:div>
    <w:div w:id="1070274651">
      <w:bodyDiv w:val="1"/>
      <w:marLeft w:val="0"/>
      <w:marRight w:val="0"/>
      <w:marTop w:val="0"/>
      <w:marBottom w:val="0"/>
      <w:divBdr>
        <w:top w:val="none" w:sz="0" w:space="0" w:color="auto"/>
        <w:left w:val="none" w:sz="0" w:space="0" w:color="auto"/>
        <w:bottom w:val="none" w:sz="0" w:space="0" w:color="auto"/>
        <w:right w:val="none" w:sz="0" w:space="0" w:color="auto"/>
      </w:divBdr>
    </w:div>
    <w:div w:id="1136604502">
      <w:bodyDiv w:val="1"/>
      <w:marLeft w:val="0"/>
      <w:marRight w:val="0"/>
      <w:marTop w:val="0"/>
      <w:marBottom w:val="0"/>
      <w:divBdr>
        <w:top w:val="none" w:sz="0" w:space="0" w:color="auto"/>
        <w:left w:val="none" w:sz="0" w:space="0" w:color="auto"/>
        <w:bottom w:val="none" w:sz="0" w:space="0" w:color="auto"/>
        <w:right w:val="none" w:sz="0" w:space="0" w:color="auto"/>
      </w:divBdr>
    </w:div>
    <w:div w:id="1167794266">
      <w:bodyDiv w:val="1"/>
      <w:marLeft w:val="0"/>
      <w:marRight w:val="0"/>
      <w:marTop w:val="0"/>
      <w:marBottom w:val="0"/>
      <w:divBdr>
        <w:top w:val="none" w:sz="0" w:space="0" w:color="auto"/>
        <w:left w:val="none" w:sz="0" w:space="0" w:color="auto"/>
        <w:bottom w:val="none" w:sz="0" w:space="0" w:color="auto"/>
        <w:right w:val="none" w:sz="0" w:space="0" w:color="auto"/>
      </w:divBdr>
    </w:div>
    <w:div w:id="1230115657">
      <w:bodyDiv w:val="1"/>
      <w:marLeft w:val="0"/>
      <w:marRight w:val="0"/>
      <w:marTop w:val="0"/>
      <w:marBottom w:val="0"/>
      <w:divBdr>
        <w:top w:val="none" w:sz="0" w:space="0" w:color="auto"/>
        <w:left w:val="none" w:sz="0" w:space="0" w:color="auto"/>
        <w:bottom w:val="none" w:sz="0" w:space="0" w:color="auto"/>
        <w:right w:val="none" w:sz="0" w:space="0" w:color="auto"/>
      </w:divBdr>
    </w:div>
    <w:div w:id="1247761911">
      <w:bodyDiv w:val="1"/>
      <w:marLeft w:val="0"/>
      <w:marRight w:val="0"/>
      <w:marTop w:val="0"/>
      <w:marBottom w:val="0"/>
      <w:divBdr>
        <w:top w:val="none" w:sz="0" w:space="0" w:color="auto"/>
        <w:left w:val="none" w:sz="0" w:space="0" w:color="auto"/>
        <w:bottom w:val="none" w:sz="0" w:space="0" w:color="auto"/>
        <w:right w:val="none" w:sz="0" w:space="0" w:color="auto"/>
      </w:divBdr>
    </w:div>
    <w:div w:id="1295134185">
      <w:bodyDiv w:val="1"/>
      <w:marLeft w:val="0"/>
      <w:marRight w:val="0"/>
      <w:marTop w:val="0"/>
      <w:marBottom w:val="0"/>
      <w:divBdr>
        <w:top w:val="none" w:sz="0" w:space="0" w:color="auto"/>
        <w:left w:val="none" w:sz="0" w:space="0" w:color="auto"/>
        <w:bottom w:val="none" w:sz="0" w:space="0" w:color="auto"/>
        <w:right w:val="none" w:sz="0" w:space="0" w:color="auto"/>
      </w:divBdr>
    </w:div>
    <w:div w:id="1311834560">
      <w:bodyDiv w:val="1"/>
      <w:marLeft w:val="0"/>
      <w:marRight w:val="0"/>
      <w:marTop w:val="0"/>
      <w:marBottom w:val="0"/>
      <w:divBdr>
        <w:top w:val="none" w:sz="0" w:space="0" w:color="auto"/>
        <w:left w:val="none" w:sz="0" w:space="0" w:color="auto"/>
        <w:bottom w:val="none" w:sz="0" w:space="0" w:color="auto"/>
        <w:right w:val="none" w:sz="0" w:space="0" w:color="auto"/>
      </w:divBdr>
    </w:div>
    <w:div w:id="1313213871">
      <w:bodyDiv w:val="1"/>
      <w:marLeft w:val="0"/>
      <w:marRight w:val="0"/>
      <w:marTop w:val="0"/>
      <w:marBottom w:val="0"/>
      <w:divBdr>
        <w:top w:val="none" w:sz="0" w:space="0" w:color="auto"/>
        <w:left w:val="none" w:sz="0" w:space="0" w:color="auto"/>
        <w:bottom w:val="none" w:sz="0" w:space="0" w:color="auto"/>
        <w:right w:val="none" w:sz="0" w:space="0" w:color="auto"/>
      </w:divBdr>
    </w:div>
    <w:div w:id="1314069530">
      <w:bodyDiv w:val="1"/>
      <w:marLeft w:val="0"/>
      <w:marRight w:val="0"/>
      <w:marTop w:val="0"/>
      <w:marBottom w:val="0"/>
      <w:divBdr>
        <w:top w:val="none" w:sz="0" w:space="0" w:color="auto"/>
        <w:left w:val="none" w:sz="0" w:space="0" w:color="auto"/>
        <w:bottom w:val="none" w:sz="0" w:space="0" w:color="auto"/>
        <w:right w:val="none" w:sz="0" w:space="0" w:color="auto"/>
      </w:divBdr>
    </w:div>
    <w:div w:id="1376929530">
      <w:bodyDiv w:val="1"/>
      <w:marLeft w:val="0"/>
      <w:marRight w:val="0"/>
      <w:marTop w:val="0"/>
      <w:marBottom w:val="0"/>
      <w:divBdr>
        <w:top w:val="none" w:sz="0" w:space="0" w:color="auto"/>
        <w:left w:val="none" w:sz="0" w:space="0" w:color="auto"/>
        <w:bottom w:val="none" w:sz="0" w:space="0" w:color="auto"/>
        <w:right w:val="none" w:sz="0" w:space="0" w:color="auto"/>
      </w:divBdr>
    </w:div>
    <w:div w:id="1425877642">
      <w:bodyDiv w:val="1"/>
      <w:marLeft w:val="0"/>
      <w:marRight w:val="0"/>
      <w:marTop w:val="0"/>
      <w:marBottom w:val="0"/>
      <w:divBdr>
        <w:top w:val="none" w:sz="0" w:space="0" w:color="auto"/>
        <w:left w:val="none" w:sz="0" w:space="0" w:color="auto"/>
        <w:bottom w:val="none" w:sz="0" w:space="0" w:color="auto"/>
        <w:right w:val="none" w:sz="0" w:space="0" w:color="auto"/>
      </w:divBdr>
    </w:div>
    <w:div w:id="1431973228">
      <w:bodyDiv w:val="1"/>
      <w:marLeft w:val="0"/>
      <w:marRight w:val="0"/>
      <w:marTop w:val="0"/>
      <w:marBottom w:val="0"/>
      <w:divBdr>
        <w:top w:val="none" w:sz="0" w:space="0" w:color="auto"/>
        <w:left w:val="none" w:sz="0" w:space="0" w:color="auto"/>
        <w:bottom w:val="none" w:sz="0" w:space="0" w:color="auto"/>
        <w:right w:val="none" w:sz="0" w:space="0" w:color="auto"/>
      </w:divBdr>
    </w:div>
    <w:div w:id="1446339798">
      <w:bodyDiv w:val="1"/>
      <w:marLeft w:val="0"/>
      <w:marRight w:val="0"/>
      <w:marTop w:val="0"/>
      <w:marBottom w:val="0"/>
      <w:divBdr>
        <w:top w:val="none" w:sz="0" w:space="0" w:color="auto"/>
        <w:left w:val="none" w:sz="0" w:space="0" w:color="auto"/>
        <w:bottom w:val="none" w:sz="0" w:space="0" w:color="auto"/>
        <w:right w:val="none" w:sz="0" w:space="0" w:color="auto"/>
      </w:divBdr>
    </w:div>
    <w:div w:id="1482037709">
      <w:bodyDiv w:val="1"/>
      <w:marLeft w:val="0"/>
      <w:marRight w:val="0"/>
      <w:marTop w:val="0"/>
      <w:marBottom w:val="0"/>
      <w:divBdr>
        <w:top w:val="none" w:sz="0" w:space="0" w:color="auto"/>
        <w:left w:val="none" w:sz="0" w:space="0" w:color="auto"/>
        <w:bottom w:val="none" w:sz="0" w:space="0" w:color="auto"/>
        <w:right w:val="none" w:sz="0" w:space="0" w:color="auto"/>
      </w:divBdr>
    </w:div>
    <w:div w:id="1515148594">
      <w:bodyDiv w:val="1"/>
      <w:marLeft w:val="0"/>
      <w:marRight w:val="0"/>
      <w:marTop w:val="0"/>
      <w:marBottom w:val="0"/>
      <w:divBdr>
        <w:top w:val="none" w:sz="0" w:space="0" w:color="auto"/>
        <w:left w:val="none" w:sz="0" w:space="0" w:color="auto"/>
        <w:bottom w:val="none" w:sz="0" w:space="0" w:color="auto"/>
        <w:right w:val="none" w:sz="0" w:space="0" w:color="auto"/>
      </w:divBdr>
    </w:div>
    <w:div w:id="1597860000">
      <w:bodyDiv w:val="1"/>
      <w:marLeft w:val="0"/>
      <w:marRight w:val="0"/>
      <w:marTop w:val="0"/>
      <w:marBottom w:val="0"/>
      <w:divBdr>
        <w:top w:val="none" w:sz="0" w:space="0" w:color="auto"/>
        <w:left w:val="none" w:sz="0" w:space="0" w:color="auto"/>
        <w:bottom w:val="none" w:sz="0" w:space="0" w:color="auto"/>
        <w:right w:val="none" w:sz="0" w:space="0" w:color="auto"/>
      </w:divBdr>
    </w:div>
    <w:div w:id="1704478298">
      <w:bodyDiv w:val="1"/>
      <w:marLeft w:val="0"/>
      <w:marRight w:val="0"/>
      <w:marTop w:val="0"/>
      <w:marBottom w:val="0"/>
      <w:divBdr>
        <w:top w:val="none" w:sz="0" w:space="0" w:color="auto"/>
        <w:left w:val="none" w:sz="0" w:space="0" w:color="auto"/>
        <w:bottom w:val="none" w:sz="0" w:space="0" w:color="auto"/>
        <w:right w:val="none" w:sz="0" w:space="0" w:color="auto"/>
      </w:divBdr>
    </w:div>
    <w:div w:id="1710957712">
      <w:bodyDiv w:val="1"/>
      <w:marLeft w:val="0"/>
      <w:marRight w:val="0"/>
      <w:marTop w:val="0"/>
      <w:marBottom w:val="0"/>
      <w:divBdr>
        <w:top w:val="none" w:sz="0" w:space="0" w:color="auto"/>
        <w:left w:val="none" w:sz="0" w:space="0" w:color="auto"/>
        <w:bottom w:val="none" w:sz="0" w:space="0" w:color="auto"/>
        <w:right w:val="none" w:sz="0" w:space="0" w:color="auto"/>
      </w:divBdr>
    </w:div>
    <w:div w:id="1733649060">
      <w:bodyDiv w:val="1"/>
      <w:marLeft w:val="0"/>
      <w:marRight w:val="0"/>
      <w:marTop w:val="0"/>
      <w:marBottom w:val="0"/>
      <w:divBdr>
        <w:top w:val="none" w:sz="0" w:space="0" w:color="auto"/>
        <w:left w:val="none" w:sz="0" w:space="0" w:color="auto"/>
        <w:bottom w:val="none" w:sz="0" w:space="0" w:color="auto"/>
        <w:right w:val="none" w:sz="0" w:space="0" w:color="auto"/>
      </w:divBdr>
    </w:div>
    <w:div w:id="1781757892">
      <w:bodyDiv w:val="1"/>
      <w:marLeft w:val="0"/>
      <w:marRight w:val="0"/>
      <w:marTop w:val="0"/>
      <w:marBottom w:val="0"/>
      <w:divBdr>
        <w:top w:val="none" w:sz="0" w:space="0" w:color="auto"/>
        <w:left w:val="none" w:sz="0" w:space="0" w:color="auto"/>
        <w:bottom w:val="none" w:sz="0" w:space="0" w:color="auto"/>
        <w:right w:val="none" w:sz="0" w:space="0" w:color="auto"/>
      </w:divBdr>
    </w:div>
    <w:div w:id="1852838694">
      <w:bodyDiv w:val="1"/>
      <w:marLeft w:val="0"/>
      <w:marRight w:val="0"/>
      <w:marTop w:val="0"/>
      <w:marBottom w:val="0"/>
      <w:divBdr>
        <w:top w:val="none" w:sz="0" w:space="0" w:color="auto"/>
        <w:left w:val="none" w:sz="0" w:space="0" w:color="auto"/>
        <w:bottom w:val="none" w:sz="0" w:space="0" w:color="auto"/>
        <w:right w:val="none" w:sz="0" w:space="0" w:color="auto"/>
      </w:divBdr>
    </w:div>
    <w:div w:id="1883250871">
      <w:bodyDiv w:val="1"/>
      <w:marLeft w:val="0"/>
      <w:marRight w:val="0"/>
      <w:marTop w:val="0"/>
      <w:marBottom w:val="0"/>
      <w:divBdr>
        <w:top w:val="none" w:sz="0" w:space="0" w:color="auto"/>
        <w:left w:val="none" w:sz="0" w:space="0" w:color="auto"/>
        <w:bottom w:val="none" w:sz="0" w:space="0" w:color="auto"/>
        <w:right w:val="none" w:sz="0" w:space="0" w:color="auto"/>
      </w:divBdr>
    </w:div>
    <w:div w:id="1911695532">
      <w:bodyDiv w:val="1"/>
      <w:marLeft w:val="0"/>
      <w:marRight w:val="0"/>
      <w:marTop w:val="0"/>
      <w:marBottom w:val="0"/>
      <w:divBdr>
        <w:top w:val="none" w:sz="0" w:space="0" w:color="auto"/>
        <w:left w:val="none" w:sz="0" w:space="0" w:color="auto"/>
        <w:bottom w:val="none" w:sz="0" w:space="0" w:color="auto"/>
        <w:right w:val="none" w:sz="0" w:space="0" w:color="auto"/>
      </w:divBdr>
    </w:div>
    <w:div w:id="1933390141">
      <w:bodyDiv w:val="1"/>
      <w:marLeft w:val="0"/>
      <w:marRight w:val="0"/>
      <w:marTop w:val="0"/>
      <w:marBottom w:val="0"/>
      <w:divBdr>
        <w:top w:val="none" w:sz="0" w:space="0" w:color="auto"/>
        <w:left w:val="none" w:sz="0" w:space="0" w:color="auto"/>
        <w:bottom w:val="none" w:sz="0" w:space="0" w:color="auto"/>
        <w:right w:val="none" w:sz="0" w:space="0" w:color="auto"/>
      </w:divBdr>
    </w:div>
    <w:div w:id="1977837948">
      <w:bodyDiv w:val="1"/>
      <w:marLeft w:val="0"/>
      <w:marRight w:val="0"/>
      <w:marTop w:val="0"/>
      <w:marBottom w:val="0"/>
      <w:divBdr>
        <w:top w:val="none" w:sz="0" w:space="0" w:color="auto"/>
        <w:left w:val="none" w:sz="0" w:space="0" w:color="auto"/>
        <w:bottom w:val="none" w:sz="0" w:space="0" w:color="auto"/>
        <w:right w:val="none" w:sz="0" w:space="0" w:color="auto"/>
      </w:divBdr>
    </w:div>
    <w:div w:id="2064283968">
      <w:bodyDiv w:val="1"/>
      <w:marLeft w:val="0"/>
      <w:marRight w:val="0"/>
      <w:marTop w:val="0"/>
      <w:marBottom w:val="0"/>
      <w:divBdr>
        <w:top w:val="none" w:sz="0" w:space="0" w:color="auto"/>
        <w:left w:val="none" w:sz="0" w:space="0" w:color="auto"/>
        <w:bottom w:val="none" w:sz="0" w:space="0" w:color="auto"/>
        <w:right w:val="none" w:sz="0" w:space="0" w:color="auto"/>
      </w:divBdr>
    </w:div>
    <w:div w:id="2119375948">
      <w:bodyDiv w:val="1"/>
      <w:marLeft w:val="0"/>
      <w:marRight w:val="0"/>
      <w:marTop w:val="0"/>
      <w:marBottom w:val="0"/>
      <w:divBdr>
        <w:top w:val="none" w:sz="0" w:space="0" w:color="auto"/>
        <w:left w:val="none" w:sz="0" w:space="0" w:color="auto"/>
        <w:bottom w:val="none" w:sz="0" w:space="0" w:color="auto"/>
        <w:right w:val="none" w:sz="0" w:space="0" w:color="auto"/>
      </w:divBdr>
    </w:div>
    <w:div w:id="21269995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 Type="http://schemas.openxmlformats.org/officeDocument/2006/relationships/styles" Target="style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D4EAD04-E771-4CE6-B9F3-F87DACDC44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41</TotalTime>
  <Pages>8</Pages>
  <Words>2924</Words>
  <Characters>16673</Characters>
  <Application>Microsoft Office Word</Application>
  <DocSecurity>0</DocSecurity>
  <Lines>138</Lines>
  <Paragraphs>39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19558</CharactersWithSpaces>
  <SharedDoc>false</SharedDoc>
  <HLinks>
    <vt:vector size="30" baseType="variant">
      <vt:variant>
        <vt:i4>1376304</vt:i4>
      </vt:variant>
      <vt:variant>
        <vt:i4>26</vt:i4>
      </vt:variant>
      <vt:variant>
        <vt:i4>0</vt:i4>
      </vt:variant>
      <vt:variant>
        <vt:i4>5</vt:i4>
      </vt:variant>
      <vt:variant>
        <vt:lpwstr/>
      </vt:variant>
      <vt:variant>
        <vt:lpwstr>_Toc487123181</vt:lpwstr>
      </vt:variant>
      <vt:variant>
        <vt:i4>1376304</vt:i4>
      </vt:variant>
      <vt:variant>
        <vt:i4>20</vt:i4>
      </vt:variant>
      <vt:variant>
        <vt:i4>0</vt:i4>
      </vt:variant>
      <vt:variant>
        <vt:i4>5</vt:i4>
      </vt:variant>
      <vt:variant>
        <vt:lpwstr/>
      </vt:variant>
      <vt:variant>
        <vt:lpwstr>_Toc487123180</vt:lpwstr>
      </vt:variant>
      <vt:variant>
        <vt:i4>1703984</vt:i4>
      </vt:variant>
      <vt:variant>
        <vt:i4>14</vt:i4>
      </vt:variant>
      <vt:variant>
        <vt:i4>0</vt:i4>
      </vt:variant>
      <vt:variant>
        <vt:i4>5</vt:i4>
      </vt:variant>
      <vt:variant>
        <vt:lpwstr/>
      </vt:variant>
      <vt:variant>
        <vt:lpwstr>_Toc487123179</vt:lpwstr>
      </vt:variant>
      <vt:variant>
        <vt:i4>1703984</vt:i4>
      </vt:variant>
      <vt:variant>
        <vt:i4>8</vt:i4>
      </vt:variant>
      <vt:variant>
        <vt:i4>0</vt:i4>
      </vt:variant>
      <vt:variant>
        <vt:i4>5</vt:i4>
      </vt:variant>
      <vt:variant>
        <vt:lpwstr/>
      </vt:variant>
      <vt:variant>
        <vt:lpwstr>_Toc487123178</vt:lpwstr>
      </vt:variant>
      <vt:variant>
        <vt:i4>1703984</vt:i4>
      </vt:variant>
      <vt:variant>
        <vt:i4>2</vt:i4>
      </vt:variant>
      <vt:variant>
        <vt:i4>0</vt:i4>
      </vt:variant>
      <vt:variant>
        <vt:i4>5</vt:i4>
      </vt:variant>
      <vt:variant>
        <vt:lpwstr/>
      </vt:variant>
      <vt:variant>
        <vt:lpwstr>_Toc487123173</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EC CoDe</cp:lastModifiedBy>
  <cp:revision>23</cp:revision>
  <cp:lastPrinted>2024-08-29T14:15:00Z</cp:lastPrinted>
  <dcterms:created xsi:type="dcterms:W3CDTF">2026-05-28T08:19:00Z</dcterms:created>
  <dcterms:modified xsi:type="dcterms:W3CDTF">2026-06-29T10:05:00Z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art">
    <vt:lpwstr>1</vt:lpwstr>
  </property>
  <property fmtid="{D5CDD505-2E9C-101B-9397-08002B2CF9AE}" pid="3" name="Total parts">
    <vt:lpwstr>1</vt:lpwstr>
  </property>
  <property fmtid="{D5CDD505-2E9C-101B-9397-08002B2CF9AE}" pid="4" name="DocStatus">
    <vt:lpwstr>Green</vt:lpwstr>
  </property>
  <property fmtid="{D5CDD505-2E9C-101B-9397-08002B2CF9AE}" pid="5" name="Level of sensitivity">
    <vt:lpwstr>Standard treatment</vt:lpwstr>
  </property>
  <property fmtid="{D5CDD505-2E9C-101B-9397-08002B2CF9AE}" pid="6" name="Last edited using">
    <vt:lpwstr>LW 9.2, Build 20250828</vt:lpwstr>
  </property>
  <property fmtid="{D5CDD505-2E9C-101B-9397-08002B2CF9AE}" pid="7" name="Created using">
    <vt:lpwstr>LW 6.0.1, Build 20180503</vt:lpwstr>
  </property>
  <property fmtid="{D5CDD505-2E9C-101B-9397-08002B2CF9AE}" pid="8" name="CPTemplateID">
    <vt:lpwstr>CP-006</vt:lpwstr>
  </property>
  <property fmtid="{D5CDD505-2E9C-101B-9397-08002B2CF9AE}" pid="9" name="MSIP_Label_6bd9ddd1-4d20-43f6-abfa-fc3c07406f94_Enabled">
    <vt:lpwstr>true</vt:lpwstr>
  </property>
  <property fmtid="{D5CDD505-2E9C-101B-9397-08002B2CF9AE}" pid="10" name="MSIP_Label_6bd9ddd1-4d20-43f6-abfa-fc3c07406f94_SetDate">
    <vt:lpwstr>2022-11-16T09:46:31Z</vt:lpwstr>
  </property>
  <property fmtid="{D5CDD505-2E9C-101B-9397-08002B2CF9AE}" pid="11" name="MSIP_Label_6bd9ddd1-4d20-43f6-abfa-fc3c07406f94_Method">
    <vt:lpwstr>Standard</vt:lpwstr>
  </property>
  <property fmtid="{D5CDD505-2E9C-101B-9397-08002B2CF9AE}" pid="12" name="MSIP_Label_6bd9ddd1-4d20-43f6-abfa-fc3c07406f94_Name">
    <vt:lpwstr>Commission Use</vt:lpwstr>
  </property>
  <property fmtid="{D5CDD505-2E9C-101B-9397-08002B2CF9AE}" pid="13" name="MSIP_Label_6bd9ddd1-4d20-43f6-abfa-fc3c07406f94_SiteId">
    <vt:lpwstr>b24c8b06-522c-46fe-9080-70926f8dddb1</vt:lpwstr>
  </property>
  <property fmtid="{D5CDD505-2E9C-101B-9397-08002B2CF9AE}" pid="14" name="MSIP_Label_6bd9ddd1-4d20-43f6-abfa-fc3c07406f94_ActionId">
    <vt:lpwstr>1cb0b4bd-1f99-4eb0-9739-e3ff37e746ec</vt:lpwstr>
  </property>
  <property fmtid="{D5CDD505-2E9C-101B-9397-08002B2CF9AE}" pid="15" name="MSIP_Label_6bd9ddd1-4d20-43f6-abfa-fc3c07406f94_ContentBits">
    <vt:lpwstr>0</vt:lpwstr>
  </property>
</Properties>
</file>