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0DA93" w14:textId="12AB42F3" w:rsidR="00DE18B7" w:rsidRPr="00725CB8" w:rsidRDefault="00725CB8" w:rsidP="008B72C5">
      <w:pPr>
        <w:pStyle w:val="Pagedecouverture"/>
        <w:rPr>
          <w:noProof/>
        </w:rPr>
      </w:pPr>
      <w:bookmarkStart w:id="0" w:name="LW_BM_COVERPAGE"/>
      <w:r w:rsidRPr="00725CB8">
        <w:rPr>
          <w:noProof/>
        </w:rPr>
        <w:pict w14:anchorId="5A43F1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9AD89F46-497B-49E3-82D1-C33AC8169B5F" style="width:455.25pt;height:271.5pt">
            <v:imagedata r:id="rId8" o:title=""/>
          </v:shape>
        </w:pict>
      </w:r>
    </w:p>
    <w:bookmarkEnd w:id="0"/>
    <w:p w14:paraId="4E1E02D5" w14:textId="77777777" w:rsidR="00681F80" w:rsidRPr="005266DD" w:rsidRDefault="00681F80" w:rsidP="00681F80">
      <w:pPr>
        <w:rPr>
          <w:noProof/>
          <w:highlight w:val="yellow"/>
        </w:rPr>
        <w:sectPr w:rsidR="00681F80" w:rsidRPr="005266DD" w:rsidSect="008B72C5">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705F7F84" w14:textId="77777777" w:rsidR="00681F80" w:rsidRPr="005266DD" w:rsidRDefault="00681F80" w:rsidP="00681F80">
      <w:pPr>
        <w:pStyle w:val="TOCHeading"/>
        <w:rPr>
          <w:noProof/>
        </w:rPr>
      </w:pPr>
      <w:r>
        <w:rPr>
          <w:noProof/>
        </w:rPr>
        <w:lastRenderedPageBreak/>
        <w:t>CUPRINS</w:t>
      </w:r>
    </w:p>
    <w:p w14:paraId="0352D37D" w14:textId="5F341BBC" w:rsidR="003E48CC" w:rsidRDefault="00681F80">
      <w:pPr>
        <w:pStyle w:val="TOC1"/>
        <w:rPr>
          <w:rFonts w:asciiTheme="minorHAnsi" w:eastAsiaTheme="minorEastAsia" w:hAnsiTheme="minorHAnsi" w:cstheme="minorBidi"/>
          <w:noProof/>
          <w:kern w:val="2"/>
          <w:szCs w:val="24"/>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33182310" w:history="1">
        <w:r w:rsidR="003E48CC" w:rsidRPr="00150EAE">
          <w:rPr>
            <w:rStyle w:val="Hyperlink"/>
            <w:noProof/>
          </w:rPr>
          <w:t>Introducere</w:t>
        </w:r>
        <w:r w:rsidR="003E48CC">
          <w:rPr>
            <w:noProof/>
            <w:webHidden/>
          </w:rPr>
          <w:tab/>
        </w:r>
        <w:r w:rsidR="003E48CC">
          <w:rPr>
            <w:noProof/>
            <w:webHidden/>
          </w:rPr>
          <w:fldChar w:fldCharType="begin"/>
        </w:r>
        <w:r w:rsidR="003E48CC">
          <w:rPr>
            <w:noProof/>
            <w:webHidden/>
          </w:rPr>
          <w:instrText xml:space="preserve"> PAGEREF _Toc233182310 \h </w:instrText>
        </w:r>
        <w:r w:rsidR="003E48CC">
          <w:rPr>
            <w:noProof/>
            <w:webHidden/>
          </w:rPr>
        </w:r>
        <w:r w:rsidR="003E48CC">
          <w:rPr>
            <w:noProof/>
            <w:webHidden/>
          </w:rPr>
          <w:fldChar w:fldCharType="separate"/>
        </w:r>
        <w:r w:rsidR="003E48CC">
          <w:rPr>
            <w:noProof/>
            <w:webHidden/>
          </w:rPr>
          <w:t>2</w:t>
        </w:r>
        <w:r w:rsidR="003E48CC">
          <w:rPr>
            <w:noProof/>
            <w:webHidden/>
          </w:rPr>
          <w:fldChar w:fldCharType="end"/>
        </w:r>
      </w:hyperlink>
    </w:p>
    <w:p w14:paraId="1B8821E1" w14:textId="6DD4E474" w:rsidR="003E48CC" w:rsidRDefault="003E48CC">
      <w:pPr>
        <w:pStyle w:val="TOC1"/>
        <w:rPr>
          <w:rFonts w:asciiTheme="minorHAnsi" w:eastAsiaTheme="minorEastAsia" w:hAnsiTheme="minorHAnsi" w:cstheme="minorBidi"/>
          <w:noProof/>
          <w:kern w:val="2"/>
          <w:szCs w:val="24"/>
          <w:lang w:val="en-IE" w:eastAsia="en-IE"/>
          <w14:ligatures w14:val="standardContextual"/>
        </w:rPr>
      </w:pPr>
      <w:hyperlink w:anchor="_Toc233182311" w:history="1">
        <w:r w:rsidRPr="00150EAE">
          <w:rPr>
            <w:rStyle w:val="Hyperlink"/>
            <w:noProof/>
          </w:rPr>
          <w:t>Cereri primite în 2024:</w:t>
        </w:r>
        <w:r>
          <w:rPr>
            <w:noProof/>
            <w:webHidden/>
          </w:rPr>
          <w:tab/>
        </w:r>
        <w:r>
          <w:rPr>
            <w:noProof/>
            <w:webHidden/>
          </w:rPr>
          <w:fldChar w:fldCharType="begin"/>
        </w:r>
        <w:r>
          <w:rPr>
            <w:noProof/>
            <w:webHidden/>
          </w:rPr>
          <w:instrText xml:space="preserve"> PAGEREF _Toc233182311 \h </w:instrText>
        </w:r>
        <w:r>
          <w:rPr>
            <w:noProof/>
            <w:webHidden/>
          </w:rPr>
        </w:r>
        <w:r>
          <w:rPr>
            <w:noProof/>
            <w:webHidden/>
          </w:rPr>
          <w:fldChar w:fldCharType="separate"/>
        </w:r>
        <w:r>
          <w:rPr>
            <w:noProof/>
            <w:webHidden/>
          </w:rPr>
          <w:t>2</w:t>
        </w:r>
        <w:r>
          <w:rPr>
            <w:noProof/>
            <w:webHidden/>
          </w:rPr>
          <w:fldChar w:fldCharType="end"/>
        </w:r>
      </w:hyperlink>
    </w:p>
    <w:p w14:paraId="50886272" w14:textId="77DAD160" w:rsidR="003E48CC" w:rsidRDefault="003E48CC">
      <w:pPr>
        <w:pStyle w:val="TOC1"/>
        <w:rPr>
          <w:rFonts w:asciiTheme="minorHAnsi" w:eastAsiaTheme="minorEastAsia" w:hAnsiTheme="minorHAnsi" w:cstheme="minorBidi"/>
          <w:noProof/>
          <w:kern w:val="2"/>
          <w:szCs w:val="24"/>
          <w:lang w:val="en-IE" w:eastAsia="en-IE"/>
          <w14:ligatures w14:val="standardContextual"/>
        </w:rPr>
      </w:pPr>
      <w:hyperlink w:anchor="_Toc233182312" w:history="1">
        <w:r w:rsidRPr="00150EAE">
          <w:rPr>
            <w:rStyle w:val="Hyperlink"/>
            <w:noProof/>
          </w:rPr>
          <w:t>Finanțare</w:t>
        </w:r>
        <w:r>
          <w:rPr>
            <w:noProof/>
            <w:webHidden/>
          </w:rPr>
          <w:tab/>
        </w:r>
        <w:r>
          <w:rPr>
            <w:noProof/>
            <w:webHidden/>
          </w:rPr>
          <w:fldChar w:fldCharType="begin"/>
        </w:r>
        <w:r>
          <w:rPr>
            <w:noProof/>
            <w:webHidden/>
          </w:rPr>
          <w:instrText xml:space="preserve"> PAGEREF _Toc233182312 \h </w:instrText>
        </w:r>
        <w:r>
          <w:rPr>
            <w:noProof/>
            <w:webHidden/>
          </w:rPr>
        </w:r>
        <w:r>
          <w:rPr>
            <w:noProof/>
            <w:webHidden/>
          </w:rPr>
          <w:fldChar w:fldCharType="separate"/>
        </w:r>
        <w:r>
          <w:rPr>
            <w:noProof/>
            <w:webHidden/>
          </w:rPr>
          <w:t>6</w:t>
        </w:r>
        <w:r>
          <w:rPr>
            <w:noProof/>
            <w:webHidden/>
          </w:rPr>
          <w:fldChar w:fldCharType="end"/>
        </w:r>
      </w:hyperlink>
    </w:p>
    <w:p w14:paraId="1B35989E" w14:textId="177A2780" w:rsidR="003E48CC" w:rsidRDefault="003E48CC">
      <w:pPr>
        <w:pStyle w:val="TOC1"/>
        <w:rPr>
          <w:rFonts w:asciiTheme="minorHAnsi" w:eastAsiaTheme="minorEastAsia" w:hAnsiTheme="minorHAnsi" w:cstheme="minorBidi"/>
          <w:noProof/>
          <w:kern w:val="2"/>
          <w:szCs w:val="24"/>
          <w:lang w:val="en-IE" w:eastAsia="en-IE"/>
          <w14:ligatures w14:val="standardContextual"/>
        </w:rPr>
      </w:pPr>
      <w:hyperlink w:anchor="_Toc233182313" w:history="1">
        <w:r w:rsidRPr="00150EAE">
          <w:rPr>
            <w:rStyle w:val="Hyperlink"/>
            <w:noProof/>
          </w:rPr>
          <w:t>Revizuirea la jumătatea perioadei a cadrului financiar multianual 2021-2027</w:t>
        </w:r>
        <w:r>
          <w:rPr>
            <w:noProof/>
            <w:webHidden/>
          </w:rPr>
          <w:tab/>
        </w:r>
        <w:r>
          <w:rPr>
            <w:noProof/>
            <w:webHidden/>
          </w:rPr>
          <w:fldChar w:fldCharType="begin"/>
        </w:r>
        <w:r>
          <w:rPr>
            <w:noProof/>
            <w:webHidden/>
          </w:rPr>
          <w:instrText xml:space="preserve"> PAGEREF _Toc233182313 \h </w:instrText>
        </w:r>
        <w:r>
          <w:rPr>
            <w:noProof/>
            <w:webHidden/>
          </w:rPr>
        </w:r>
        <w:r>
          <w:rPr>
            <w:noProof/>
            <w:webHidden/>
          </w:rPr>
          <w:fldChar w:fldCharType="separate"/>
        </w:r>
        <w:r>
          <w:rPr>
            <w:noProof/>
            <w:webHidden/>
          </w:rPr>
          <w:t>7</w:t>
        </w:r>
        <w:r>
          <w:rPr>
            <w:noProof/>
            <w:webHidden/>
          </w:rPr>
          <w:fldChar w:fldCharType="end"/>
        </w:r>
      </w:hyperlink>
    </w:p>
    <w:p w14:paraId="722C99C5" w14:textId="6959338C" w:rsidR="003E48CC" w:rsidRDefault="003E48CC">
      <w:pPr>
        <w:pStyle w:val="TOC1"/>
        <w:rPr>
          <w:rFonts w:asciiTheme="minorHAnsi" w:eastAsiaTheme="minorEastAsia" w:hAnsiTheme="minorHAnsi" w:cstheme="minorBidi"/>
          <w:noProof/>
          <w:kern w:val="2"/>
          <w:szCs w:val="24"/>
          <w:lang w:val="en-IE" w:eastAsia="en-IE"/>
          <w14:ligatures w14:val="standardContextual"/>
        </w:rPr>
      </w:pPr>
      <w:hyperlink w:anchor="_Toc233182314" w:history="1">
        <w:r w:rsidRPr="00150EAE">
          <w:rPr>
            <w:rStyle w:val="Hyperlink"/>
            <w:noProof/>
          </w:rPr>
          <w:t>Închideri</w:t>
        </w:r>
        <w:r>
          <w:rPr>
            <w:noProof/>
            <w:webHidden/>
          </w:rPr>
          <w:tab/>
        </w:r>
        <w:r>
          <w:rPr>
            <w:noProof/>
            <w:webHidden/>
          </w:rPr>
          <w:fldChar w:fldCharType="begin"/>
        </w:r>
        <w:r>
          <w:rPr>
            <w:noProof/>
            <w:webHidden/>
          </w:rPr>
          <w:instrText xml:space="preserve"> PAGEREF _Toc233182314 \h </w:instrText>
        </w:r>
        <w:r>
          <w:rPr>
            <w:noProof/>
            <w:webHidden/>
          </w:rPr>
        </w:r>
        <w:r>
          <w:rPr>
            <w:noProof/>
            <w:webHidden/>
          </w:rPr>
          <w:fldChar w:fldCharType="separate"/>
        </w:r>
        <w:r>
          <w:rPr>
            <w:noProof/>
            <w:webHidden/>
          </w:rPr>
          <w:t>8</w:t>
        </w:r>
        <w:r>
          <w:rPr>
            <w:noProof/>
            <w:webHidden/>
          </w:rPr>
          <w:fldChar w:fldCharType="end"/>
        </w:r>
      </w:hyperlink>
    </w:p>
    <w:p w14:paraId="3414197F" w14:textId="1FDDD70C" w:rsidR="003E48CC" w:rsidRDefault="003E48CC">
      <w:pPr>
        <w:pStyle w:val="TOC1"/>
        <w:rPr>
          <w:rFonts w:asciiTheme="minorHAnsi" w:eastAsiaTheme="minorEastAsia" w:hAnsiTheme="minorHAnsi" w:cstheme="minorBidi"/>
          <w:noProof/>
          <w:kern w:val="2"/>
          <w:szCs w:val="24"/>
          <w:lang w:val="en-IE" w:eastAsia="en-IE"/>
          <w14:ligatures w14:val="standardContextual"/>
        </w:rPr>
      </w:pPr>
      <w:hyperlink w:anchor="_Toc233182315" w:history="1">
        <w:r w:rsidRPr="00150EAE">
          <w:rPr>
            <w:rStyle w:val="Hyperlink"/>
            <w:noProof/>
          </w:rPr>
          <w:t>Concluzii</w:t>
        </w:r>
        <w:r>
          <w:rPr>
            <w:noProof/>
            <w:webHidden/>
          </w:rPr>
          <w:tab/>
        </w:r>
        <w:r>
          <w:rPr>
            <w:noProof/>
            <w:webHidden/>
          </w:rPr>
          <w:fldChar w:fldCharType="begin"/>
        </w:r>
        <w:r>
          <w:rPr>
            <w:noProof/>
            <w:webHidden/>
          </w:rPr>
          <w:instrText xml:space="preserve"> PAGEREF _Toc233182315 \h </w:instrText>
        </w:r>
        <w:r>
          <w:rPr>
            <w:noProof/>
            <w:webHidden/>
          </w:rPr>
        </w:r>
        <w:r>
          <w:rPr>
            <w:noProof/>
            <w:webHidden/>
          </w:rPr>
          <w:fldChar w:fldCharType="separate"/>
        </w:r>
        <w:r>
          <w:rPr>
            <w:noProof/>
            <w:webHidden/>
          </w:rPr>
          <w:t>9</w:t>
        </w:r>
        <w:r>
          <w:rPr>
            <w:noProof/>
            <w:webHidden/>
          </w:rPr>
          <w:fldChar w:fldCharType="end"/>
        </w:r>
      </w:hyperlink>
    </w:p>
    <w:p w14:paraId="6E30A411" w14:textId="0222EB97" w:rsidR="00681F80" w:rsidRPr="005266DD" w:rsidRDefault="00681F80" w:rsidP="00681F80">
      <w:pPr>
        <w:pStyle w:val="TOC1"/>
        <w:jc w:val="center"/>
        <w:rPr>
          <w:b/>
          <w:noProof/>
          <w:highlight w:val="yellow"/>
        </w:rPr>
        <w:sectPr w:rsidR="00681F80" w:rsidRPr="005266DD" w:rsidSect="00E06B92">
          <w:headerReference w:type="even" r:id="rId15"/>
          <w:headerReference w:type="default" r:id="rId16"/>
          <w:footerReference w:type="even" r:id="rId17"/>
          <w:footerReference w:type="default" r:id="rId18"/>
          <w:headerReference w:type="first" r:id="rId19"/>
          <w:footerReference w:type="first" r:id="rId20"/>
          <w:pgSz w:w="11907" w:h="16839"/>
          <w:pgMar w:top="1134" w:right="1417" w:bottom="1134" w:left="1417" w:header="709" w:footer="709" w:gutter="0"/>
          <w:cols w:space="720"/>
          <w:docGrid w:linePitch="360"/>
        </w:sectPr>
      </w:pPr>
      <w:r>
        <w:rPr>
          <w:b/>
          <w:noProof/>
        </w:rPr>
        <w:fldChar w:fldCharType="end"/>
      </w:r>
    </w:p>
    <w:p w14:paraId="5B131E81" w14:textId="77777777" w:rsidR="00681F80" w:rsidRPr="005266DD" w:rsidRDefault="00681F80" w:rsidP="00681F80">
      <w:pPr>
        <w:pStyle w:val="Heading1"/>
        <w:rPr>
          <w:noProof/>
        </w:rPr>
      </w:pPr>
      <w:bookmarkStart w:id="1" w:name="_Toc368320069"/>
      <w:bookmarkStart w:id="2" w:name="_Ref495658716"/>
      <w:bookmarkStart w:id="3" w:name="_Toc233182310"/>
      <w:r>
        <w:rPr>
          <w:noProof/>
        </w:rPr>
        <w:lastRenderedPageBreak/>
        <w:t>Introducere</w:t>
      </w:r>
      <w:bookmarkEnd w:id="1"/>
      <w:bookmarkEnd w:id="2"/>
      <w:bookmarkEnd w:id="3"/>
    </w:p>
    <w:p w14:paraId="07861E4C" w14:textId="2D3AF734" w:rsidR="001A7937" w:rsidRPr="005266DD" w:rsidRDefault="00684764" w:rsidP="00476A0A">
      <w:pPr>
        <w:pStyle w:val="Text1"/>
        <w:ind w:left="0"/>
        <w:rPr>
          <w:noProof/>
        </w:rPr>
      </w:pPr>
      <w:r>
        <w:rPr>
          <w:noProof/>
        </w:rPr>
        <w:t>Articolul 12 din Regulamentul (CE) 2012/2002 al Consiliului din 11 noiembrie 2002 de instituire a Fondului de solidaritate al Uniunii Europene</w:t>
      </w:r>
      <w:r>
        <w:rPr>
          <w:rStyle w:val="FootnoteReference"/>
          <w:noProof/>
        </w:rPr>
        <w:footnoteReference w:id="1"/>
      </w:r>
      <w:r>
        <w:rPr>
          <w:noProof/>
        </w:rPr>
        <w:t xml:space="preserve"> („regulamentul”) prevede obligația Comisiei de a prezenta Parlamentului European și Consiliului un raport privind activitățile Fondului de solidaritate al UE („FSUE”) din anul precedent. Prin urmare, prezentul raport descrie activitățile FSUE din 2024. Acesta sintetizează (i) cererile primite; (ii) contribuțiile financiare propuse și aprobate; și (iii) cazurile închise în cursul perioadei de raportare aferente anului calendaristic 2024. Comisia a evaluat toate cererile în conformitate cu criteriile prevăzute în regulament.</w:t>
      </w:r>
    </w:p>
    <w:p w14:paraId="50E9E6BA" w14:textId="0DB2167A" w:rsidR="00041DB3" w:rsidRPr="005266DD" w:rsidRDefault="001A7937" w:rsidP="00476A0A">
      <w:pPr>
        <w:pStyle w:val="Text1"/>
        <w:ind w:left="0"/>
        <w:rPr>
          <w:noProof/>
        </w:rPr>
      </w:pPr>
      <w:r>
        <w:rPr>
          <w:noProof/>
        </w:rPr>
        <w:t xml:space="preserve">În </w:t>
      </w:r>
      <w:r>
        <w:rPr>
          <w:b/>
          <w:noProof/>
        </w:rPr>
        <w:t>2024</w:t>
      </w:r>
      <w:r>
        <w:rPr>
          <w:noProof/>
        </w:rPr>
        <w:t xml:space="preserve">, Comisia a primit </w:t>
      </w:r>
      <w:r>
        <w:rPr>
          <w:b/>
          <w:noProof/>
        </w:rPr>
        <w:t>12 cereri noi</w:t>
      </w:r>
      <w:r>
        <w:rPr>
          <w:noProof/>
        </w:rPr>
        <w:t xml:space="preserve"> privind contribuții financiare din FSUE, și anume din Bosnia și Herțegovina (inundații), Cehia (inundații), Germania (inundații), Spania (secetă), Franța (inundații), Italia (inundații în regiunile Toscana și Valle d’Aosta), Moldova (inundații), Austria (inundații), Polonia (inundații), România (inundații) și Slovacia (inundații). Trei cereri au vizat „catastrofe naturale majore”, șase, „catastrofe naturale regionale”, iar trei, „catastrofe naturale în țări învecinate”.</w:t>
      </w:r>
    </w:p>
    <w:p w14:paraId="68F703E8" w14:textId="23CF9769" w:rsidR="00851C59" w:rsidRPr="005266DD" w:rsidRDefault="00EB6637" w:rsidP="00851C59">
      <w:pPr>
        <w:pStyle w:val="Text1"/>
        <w:ind w:left="0"/>
        <w:rPr>
          <w:noProof/>
        </w:rPr>
      </w:pPr>
      <w:r>
        <w:rPr>
          <w:noProof/>
        </w:rPr>
        <w:t>Dintre aceste 12 cereri, 10 au fost considerate eligibile pe baza criteriilor prevăzute în regulament. Cererea Spaniei în urma secetei din Andaluzia din 2024 și cererea României în urma inundațiilor din septembrie 2024 au fost respinse pentru neîndeplinirea criteriilor prevăzute în regulament.</w:t>
      </w:r>
    </w:p>
    <w:p w14:paraId="2B6EC426" w14:textId="487482A2" w:rsidR="002724B2" w:rsidRPr="005266DD" w:rsidRDefault="006272B2" w:rsidP="00476A0A">
      <w:pPr>
        <w:pStyle w:val="Text1"/>
        <w:ind w:left="0"/>
        <w:rPr>
          <w:noProof/>
        </w:rPr>
      </w:pPr>
      <w:r>
        <w:rPr>
          <w:noProof/>
        </w:rPr>
        <w:t>Franța și Austria au solicitat plăți în avans. În termen de câteva săptămâni de la primirea cererilor, Comisia a acordat ambele plăți în avans și a plătit în total aproximativ 22,35 milioane EUR.</w:t>
      </w:r>
    </w:p>
    <w:p w14:paraId="5367B168" w14:textId="28DF067F" w:rsidR="00C8214F" w:rsidRPr="005266DD" w:rsidRDefault="002724B2" w:rsidP="00476A0A">
      <w:pPr>
        <w:pStyle w:val="Text1"/>
        <w:ind w:left="0"/>
        <w:rPr>
          <w:bCs/>
          <w:noProof/>
          <w:highlight w:val="yellow"/>
        </w:rPr>
      </w:pPr>
      <w:r>
        <w:rPr>
          <w:noProof/>
        </w:rPr>
        <w:t>Deciziile de punere în aplicare privind cererile Italiei (inundațiile din Toscana) și Franței (inundațiile) au fost adoptate în decembrie 2024. Deciziile de punere în aplicare privind cererile Cehiei, Germaniei, Italiei, Austriei și Poloniei (toate privind inundații) au fost adoptate în 2025. Deciziile de punere în aplicare privind cererile Bosniei și Herțegovinei, Moldovei și Slovaciei vor fi adoptate în cursul anului 2026. În plus, Comisia a închis opt cazuri FSUE în 2024.</w:t>
      </w:r>
    </w:p>
    <w:p w14:paraId="43485B4C" w14:textId="030B82E5" w:rsidR="00144F45" w:rsidRPr="005266DD" w:rsidRDefault="00B25B2F" w:rsidP="00476A0A">
      <w:pPr>
        <w:pStyle w:val="Text1"/>
        <w:ind w:left="0"/>
        <w:rPr>
          <w:noProof/>
        </w:rPr>
      </w:pPr>
      <w:r>
        <w:rPr>
          <w:noProof/>
        </w:rPr>
        <w:t>Anexa I prezintă pragurile aplicabile în 2024 pentru daunele cauzate de „catastrofe naturale majore” în vederea mobilizării FSUE. Anexa II cuprinde o prezentare generală a cererilor primite în 2024, inclusiv informațiile financiare relevante.</w:t>
      </w:r>
    </w:p>
    <w:p w14:paraId="3065E489" w14:textId="46E58123" w:rsidR="00681F80" w:rsidRPr="005266DD" w:rsidRDefault="00133D59" w:rsidP="003A3E6A">
      <w:pPr>
        <w:pStyle w:val="Heading1"/>
        <w:rPr>
          <w:noProof/>
        </w:rPr>
      </w:pPr>
      <w:bookmarkStart w:id="4" w:name="_Toc487119828"/>
      <w:bookmarkStart w:id="5" w:name="_Toc487123174"/>
      <w:bookmarkStart w:id="6" w:name="_Toc487119829"/>
      <w:bookmarkStart w:id="7" w:name="_Toc487123175"/>
      <w:bookmarkStart w:id="8" w:name="_Toc487119830"/>
      <w:bookmarkStart w:id="9" w:name="_Toc487123176"/>
      <w:bookmarkStart w:id="10" w:name="_Toc487119831"/>
      <w:bookmarkStart w:id="11" w:name="_Toc487123177"/>
      <w:bookmarkStart w:id="12" w:name="_Toc368320071"/>
      <w:bookmarkStart w:id="13" w:name="_Toc233182311"/>
      <w:bookmarkEnd w:id="4"/>
      <w:bookmarkEnd w:id="5"/>
      <w:bookmarkEnd w:id="6"/>
      <w:bookmarkEnd w:id="7"/>
      <w:bookmarkEnd w:id="8"/>
      <w:bookmarkEnd w:id="9"/>
      <w:bookmarkEnd w:id="10"/>
      <w:bookmarkEnd w:id="11"/>
      <w:r>
        <w:rPr>
          <w:noProof/>
        </w:rPr>
        <w:t>Cereri primite în 2024:</w:t>
      </w:r>
      <w:bookmarkEnd w:id="12"/>
      <w:bookmarkEnd w:id="13"/>
    </w:p>
    <w:p w14:paraId="7701C7FE" w14:textId="6BA93706" w:rsidR="00CC6315" w:rsidRPr="005266DD" w:rsidRDefault="001D071C" w:rsidP="00AF19CC">
      <w:pPr>
        <w:pStyle w:val="Text1"/>
        <w:ind w:left="0"/>
        <w:rPr>
          <w:noProof/>
        </w:rPr>
      </w:pPr>
      <w:r>
        <w:rPr>
          <w:noProof/>
        </w:rPr>
        <w:t>În 2024, Comisia a primit 10 cereri eligibile privind o contribuție financiară din FSUE. Toate au fost primite de Comisie în termenul legal, respectiv „cel târziu la douăsprezece săptămâni de la prima apariție a daunelor” [articolul 4 alineatul (1) din regulament]. Trei cereri au vizat „catastrofe naturale majore”, cinci, „catastrofe naturale regionale”, iar două, „catastrofe naturale în țări învecinate”. Valoarea totală a sprijinului aprobat a fost de 1 144,57 milioane EUR.</w:t>
      </w:r>
    </w:p>
    <w:p w14:paraId="438DCA08" w14:textId="165DEE6F" w:rsidR="00A44F08" w:rsidRPr="005266DD" w:rsidRDefault="00A44F08" w:rsidP="00A44F08">
      <w:pPr>
        <w:pStyle w:val="Text1"/>
        <w:ind w:left="0"/>
        <w:rPr>
          <w:noProof/>
        </w:rPr>
      </w:pPr>
      <w:r>
        <w:rPr>
          <w:noProof/>
        </w:rPr>
        <w:t>Tabelele financiare detaliate privind aceste cereri pot fi consultate în anexa II la prezentul raport.</w:t>
      </w:r>
    </w:p>
    <w:p w14:paraId="706570E8" w14:textId="77777777" w:rsidR="00D921C7" w:rsidRDefault="00D921C7" w:rsidP="00AF19CC">
      <w:pPr>
        <w:pStyle w:val="Text1"/>
        <w:ind w:left="0"/>
        <w:rPr>
          <w:smallCaps/>
          <w:noProof/>
          <w:highlight w:val="yellow"/>
        </w:rPr>
      </w:pPr>
    </w:p>
    <w:p w14:paraId="4248D3A3" w14:textId="02B4D37E" w:rsidR="003652E1" w:rsidRPr="005266DD" w:rsidRDefault="00D921C7" w:rsidP="0022675A">
      <w:pPr>
        <w:pStyle w:val="Text1"/>
        <w:ind w:left="0"/>
        <w:rPr>
          <w:rFonts w:ascii="Times New Roman Bold" w:hAnsi="Times New Roman Bold"/>
          <w:smallCaps/>
          <w:noProof/>
        </w:rPr>
      </w:pPr>
      <w:r>
        <w:rPr>
          <w:rFonts w:ascii="Times New Roman Bold" w:hAnsi="Times New Roman Bold"/>
          <w:smallCaps/>
          <w:noProof/>
        </w:rPr>
        <w:t>Italia – inundațiile din Toscana</w:t>
      </w:r>
    </w:p>
    <w:p w14:paraId="535CD7CD" w14:textId="4F4E9E81" w:rsidR="00D921C7" w:rsidRPr="005266DD" w:rsidRDefault="00D921C7" w:rsidP="0022675A">
      <w:pPr>
        <w:pStyle w:val="Text1"/>
        <w:ind w:left="0"/>
        <w:rPr>
          <w:noProof/>
        </w:rPr>
      </w:pPr>
      <w:r>
        <w:rPr>
          <w:noProof/>
        </w:rPr>
        <w:t>Între 25 octombrie și 10 noiembrie 2023, precipitațiile extrem de abundente au afectat regiunea italiană Toscana, în special provinciile Prato, Florența, Pisa, Pistoia și Livorno, într-un interval de timp relativ scurt. Ploile și vânturile puternice au declanșat viituri rapide și alunecări de teren. Consecințele inundațiilor ulterioare au fost grave. Au fost cauzate daune economice substanțiale, șapte persoane și-au pierdut viața, iar mii de persoane au fost nevoite să își părăsească locuințele.</w:t>
      </w:r>
    </w:p>
    <w:p w14:paraId="48A84C86" w14:textId="534D7459" w:rsidR="002D1156" w:rsidRPr="005266DD" w:rsidRDefault="002D1156" w:rsidP="0022675A">
      <w:pPr>
        <w:pStyle w:val="Text1"/>
        <w:ind w:left="0"/>
        <w:rPr>
          <w:noProof/>
        </w:rPr>
      </w:pPr>
      <w:r>
        <w:rPr>
          <w:noProof/>
        </w:rPr>
        <w:t>Autoritățile italiene au estimat daunele directe totale la 2,71 miliarde EUR. Această sumă a depășit pragul aplicabil pentru o „catastrofă naturală regională”, care, pentru Toscana, s-a ridicat la 1,7 miliarde EUR în 2024.</w:t>
      </w:r>
    </w:p>
    <w:p w14:paraId="7EFF2565" w14:textId="7772962A" w:rsidR="002D1156" w:rsidRPr="005266DD" w:rsidRDefault="002D1156" w:rsidP="0022675A">
      <w:pPr>
        <w:pStyle w:val="Text1"/>
        <w:ind w:left="0"/>
        <w:rPr>
          <w:noProof/>
        </w:rPr>
      </w:pPr>
      <w:r>
        <w:rPr>
          <w:noProof/>
        </w:rPr>
        <w:t>La 19 ianuarie 2024, Italia a depus o cerere privind o contribuție financiară din FSUE pentru finanțarea operațiunilor de urgență și de recuperare în urma inundațiilor din Toscana din octombrie și noiembrie 2023. Italia nu a solicitat o plată în avans.</w:t>
      </w:r>
    </w:p>
    <w:p w14:paraId="31043798" w14:textId="660884A5" w:rsidR="00010CA7" w:rsidRPr="005266DD" w:rsidRDefault="00D96E00" w:rsidP="0022675A">
      <w:pPr>
        <w:spacing w:before="120" w:after="120"/>
        <w:jc w:val="both"/>
        <w:rPr>
          <w:rFonts w:ascii="Times New Roman" w:hAnsi="Times New Roman"/>
          <w:noProof/>
          <w:color w:val="000000"/>
          <w:sz w:val="24"/>
          <w:szCs w:val="24"/>
          <w:highlight w:val="yellow"/>
        </w:rPr>
      </w:pPr>
      <w:r>
        <w:rPr>
          <w:rFonts w:ascii="Times New Roman" w:hAnsi="Times New Roman"/>
          <w:noProof/>
          <w:color w:val="000000"/>
          <w:sz w:val="24"/>
        </w:rPr>
        <w:t>În urma propunerii COM(2024) 325 a Comisiei din 27 august 2024, autoritatea bugetară a aprobat plata a 67 811 826 EUR din FSUE către Italia. La data de 18 decembrie 2024, Comisia a adoptat Decizia de punere în aplicare C(2024) 9255 de acordare a unei contribuții financiare din FSUE. Contribuția a fost plătită în decembrie 2024.</w:t>
      </w:r>
    </w:p>
    <w:p w14:paraId="3CCDB04D" w14:textId="77777777" w:rsidR="005A695D" w:rsidRPr="005266DD" w:rsidRDefault="005A695D" w:rsidP="0022675A">
      <w:pPr>
        <w:pStyle w:val="Text1"/>
        <w:ind w:left="0"/>
        <w:rPr>
          <w:rFonts w:eastAsia="Calibri"/>
          <w:noProof/>
          <w:szCs w:val="24"/>
          <w:highlight w:val="yellow"/>
          <w:lang w:eastAsia="en-US"/>
        </w:rPr>
      </w:pPr>
    </w:p>
    <w:p w14:paraId="5AB83EA0" w14:textId="4B4176D3" w:rsidR="005A695D" w:rsidRPr="005266DD" w:rsidRDefault="008C0928" w:rsidP="0022675A">
      <w:pPr>
        <w:pStyle w:val="Text1"/>
        <w:ind w:left="0"/>
        <w:rPr>
          <w:b/>
          <w:bCs/>
          <w:smallCaps/>
          <w:noProof/>
        </w:rPr>
      </w:pPr>
      <w:r>
        <w:rPr>
          <w:b/>
          <w:smallCaps/>
          <w:noProof/>
        </w:rPr>
        <w:t>Franța – inundațiile din nordul Franței</w:t>
      </w:r>
    </w:p>
    <w:p w14:paraId="0970B58E" w14:textId="0F748D9B" w:rsidR="008C0928" w:rsidRPr="005266DD" w:rsidRDefault="008C0928" w:rsidP="0022675A">
      <w:pPr>
        <w:spacing w:before="120" w:after="120"/>
        <w:jc w:val="both"/>
        <w:rPr>
          <w:rFonts w:ascii="Times New Roman" w:hAnsi="Times New Roman"/>
          <w:noProof/>
          <w:sz w:val="24"/>
          <w:szCs w:val="24"/>
        </w:rPr>
      </w:pPr>
      <w:r>
        <w:rPr>
          <w:rFonts w:ascii="Times New Roman" w:hAnsi="Times New Roman"/>
          <w:noProof/>
          <w:sz w:val="24"/>
        </w:rPr>
        <w:t>În perioada 2-9 noiembrie 2023, regiunea Nord-Pas-de-Calais (care face parte în prezent din regiunea Hauts-de-France) din Franța a fost afectată de precipitații abundente, unele zone înregistrând până la 271 mm de precipitații. Acest lucru a făcut ca nivelurile râurilor să crească rapid într-un interval scurt de timp, iar râurile principale să se reverse. Consecințele au fost grave, cu numeroase curgeri de noroi și închideri de drumuri. Au fost cauzate daune economice considerabile, iar mii de persoane au fost nevoite să își părăsească locuințele.</w:t>
      </w:r>
    </w:p>
    <w:p w14:paraId="04D7946F" w14:textId="403175BB" w:rsidR="008C0928" w:rsidRPr="005266DD" w:rsidRDefault="008C0928" w:rsidP="0022675A">
      <w:pPr>
        <w:spacing w:before="120" w:after="120"/>
        <w:jc w:val="both"/>
        <w:rPr>
          <w:rFonts w:ascii="Times New Roman" w:hAnsi="Times New Roman"/>
          <w:noProof/>
          <w:sz w:val="24"/>
          <w:szCs w:val="24"/>
        </w:rPr>
      </w:pPr>
      <w:r>
        <w:rPr>
          <w:rFonts w:ascii="Times New Roman" w:hAnsi="Times New Roman"/>
          <w:noProof/>
          <w:sz w:val="24"/>
        </w:rPr>
        <w:t>Autoritățile franceze au estimat daunele directe totale la 1,87 miliarde EUR. Această sumă a depășit pragul aplicabil pentru o „catastrofă naturală regională”, care, pentru regiunea Nord-Pas-de-Calais</w:t>
      </w:r>
      <w:r>
        <w:rPr>
          <w:rStyle w:val="FootnoteReference"/>
          <w:rFonts w:ascii="Times New Roman" w:hAnsi="Times New Roman"/>
          <w:noProof/>
          <w:sz w:val="24"/>
          <w:szCs w:val="24"/>
        </w:rPr>
        <w:footnoteReference w:id="2"/>
      </w:r>
      <w:r>
        <w:rPr>
          <w:rFonts w:ascii="Times New Roman" w:hAnsi="Times New Roman"/>
          <w:noProof/>
          <w:sz w:val="24"/>
        </w:rPr>
        <w:t>, s-a ridicat la 1,84 miliarde EUR în 2024.</w:t>
      </w:r>
    </w:p>
    <w:p w14:paraId="7FC70CBF" w14:textId="3E08CC79" w:rsidR="008C0928" w:rsidRPr="005266DD" w:rsidRDefault="008C0928" w:rsidP="0022675A">
      <w:pPr>
        <w:pStyle w:val="Text1"/>
        <w:ind w:left="0"/>
        <w:rPr>
          <w:rFonts w:eastAsia="Calibri"/>
          <w:noProof/>
          <w:szCs w:val="24"/>
        </w:rPr>
      </w:pPr>
      <w:r>
        <w:rPr>
          <w:noProof/>
        </w:rPr>
        <w:t>La 24 ianuarie 2024, Franța a depus o cerere privind o contribuție financiară din FSUE pentru finanțarea operațiunilor de urgență și de recuperare în urma inundațiilor din noiembrie 2023. Franța a solicitat o plată în avans.</w:t>
      </w:r>
    </w:p>
    <w:p w14:paraId="2EA0E552" w14:textId="1806DD64" w:rsidR="00ED135A" w:rsidRPr="005266DD" w:rsidRDefault="00CF21FE" w:rsidP="0022675A">
      <w:pPr>
        <w:pStyle w:val="Text1"/>
        <w:ind w:left="0"/>
        <w:rPr>
          <w:noProof/>
        </w:rPr>
      </w:pPr>
      <w:r>
        <w:rPr>
          <w:noProof/>
          <w:color w:val="000000"/>
        </w:rPr>
        <w:t>Comisia a acordat Franței un avans de 11 690 767 EUR prin Decizia de punere în aplicare C(2024) 3873 din 6 iunie 2024. Această sumă a fost plătită în iunie 2024.</w:t>
      </w:r>
    </w:p>
    <w:p w14:paraId="6D8A38C1" w14:textId="69AE8E1E" w:rsidR="00ED135A" w:rsidRPr="005266DD" w:rsidRDefault="00ED135A" w:rsidP="0022675A">
      <w:pPr>
        <w:spacing w:before="120" w:after="120"/>
        <w:jc w:val="both"/>
        <w:rPr>
          <w:rFonts w:ascii="Times New Roman" w:hAnsi="Times New Roman"/>
          <w:noProof/>
          <w:color w:val="000000"/>
          <w:sz w:val="24"/>
          <w:szCs w:val="24"/>
        </w:rPr>
      </w:pPr>
      <w:r>
        <w:rPr>
          <w:rFonts w:ascii="Times New Roman" w:hAnsi="Times New Roman"/>
          <w:noProof/>
          <w:color w:val="000000"/>
          <w:sz w:val="24"/>
        </w:rPr>
        <w:t>În urma propunerii COM(2024) 325 a Comisiei din 27 august 2024, autoritatea bugetară a aprobat plata a 46 763 069 EUR din FSUE către Franța. La data de 16 decembrie 2024, Comisia a adoptat Decizia de punere în aplicare C(2024) 8954 de acordare a unei contribuții financiare din FSUE. Soldul de 35 072 302 EUR a fost plătit în decembrie 2024.</w:t>
      </w:r>
    </w:p>
    <w:p w14:paraId="436D8E8B" w14:textId="78DF453C" w:rsidR="00E249C4" w:rsidRDefault="00E249C4">
      <w:pPr>
        <w:spacing w:after="0" w:line="240" w:lineRule="auto"/>
        <w:rPr>
          <w:rFonts w:ascii="Times New Roman" w:hAnsi="Times New Roman"/>
          <w:noProof/>
          <w:color w:val="000000"/>
          <w:sz w:val="24"/>
          <w:szCs w:val="24"/>
          <w:highlight w:val="yellow"/>
        </w:rPr>
      </w:pPr>
      <w:r>
        <w:rPr>
          <w:noProof/>
        </w:rPr>
        <w:br w:type="page"/>
      </w:r>
    </w:p>
    <w:p w14:paraId="299BF0ED" w14:textId="4BD97852" w:rsidR="00ED135A" w:rsidRPr="005266DD" w:rsidRDefault="00982636" w:rsidP="0022675A">
      <w:pPr>
        <w:pStyle w:val="Text1"/>
        <w:ind w:left="0"/>
        <w:rPr>
          <w:b/>
          <w:bCs/>
          <w:smallCaps/>
          <w:noProof/>
        </w:rPr>
      </w:pPr>
      <w:r>
        <w:rPr>
          <w:b/>
          <w:smallCaps/>
          <w:noProof/>
        </w:rPr>
        <w:t>Germania – inundațiile din sudul Germaniei</w:t>
      </w:r>
    </w:p>
    <w:p w14:paraId="7BF10EEB" w14:textId="7B73F045" w:rsidR="00982636" w:rsidRPr="005266DD" w:rsidRDefault="00982636" w:rsidP="00A44F08">
      <w:pPr>
        <w:pStyle w:val="Point0number"/>
        <w:numPr>
          <w:ilvl w:val="0"/>
          <w:numId w:val="0"/>
        </w:numPr>
        <w:rPr>
          <w:noProof/>
        </w:rPr>
      </w:pPr>
      <w:r>
        <w:rPr>
          <w:noProof/>
        </w:rPr>
        <w:t>La 30 mai 2024, landurile Bavaria și Baden-Württemberg au fost afectate de ploi torențiale care, de la începutul lunii iunie, au declanșat inundații grave și pe scară largă. În multe locuri, nivelurile apei au depășit maximele istorice și a fost declarată stare de urgență în 18 districte bavareze. Șase persoane și-au pierdut viața, iar mai multe baraje au cedat, ceea ce a dus la o serie de misiuni de salvare și la evacuarea mai multor municipalități. Apele revărsate și torenții de aluviuni au deteriorat poduri, rețele feroviare și drumuri, perturbând deplasările pe uscat în zonele afectate. Serviciile feroviare au fost grav afectate și, într-un caz, un tren expres care transporta 185 de călători a deraiat în urma unei alunecări de teren.</w:t>
      </w:r>
    </w:p>
    <w:p w14:paraId="1F9D8427" w14:textId="4CA98234" w:rsidR="00982636" w:rsidRPr="005266DD" w:rsidRDefault="00982636" w:rsidP="0022675A">
      <w:pPr>
        <w:pStyle w:val="Point0number"/>
        <w:numPr>
          <w:ilvl w:val="0"/>
          <w:numId w:val="0"/>
        </w:numPr>
        <w:rPr>
          <w:noProof/>
        </w:rPr>
      </w:pPr>
      <w:r>
        <w:rPr>
          <w:noProof/>
        </w:rPr>
        <w:t xml:space="preserve">Autoritățile </w:t>
      </w:r>
      <w:bookmarkStart w:id="14" w:name="_Hlk178869364"/>
      <w:r>
        <w:rPr>
          <w:noProof/>
        </w:rPr>
        <w:t>germane</w:t>
      </w:r>
      <w:bookmarkEnd w:id="14"/>
      <w:r>
        <w:rPr>
          <w:noProof/>
        </w:rPr>
        <w:t xml:space="preserve"> au estimat daunele directe totale la 4 139,9 milioane EUR, din care Comisia a acceptat suma de 4 131,6 milioane EUR ca daune directe totale plauzibile. Această sumă a depășit pragul de „catastrofă naturală majoră” pentru Germania, de 3 miliarde EUR la prețurile din 2011, echivalentul a 3,8 miliarde EUR la prețurile din 2024. Prin urmare, catastrofa a fost calificată drept „catastrofă naturală majoră” în conformitate cu articolul 2 alineatul (2) din Regulamentul privind FSUE.</w:t>
      </w:r>
    </w:p>
    <w:p w14:paraId="6DD90874" w14:textId="44886438" w:rsidR="00982636" w:rsidRPr="005266DD" w:rsidRDefault="00982636" w:rsidP="0022675A">
      <w:pPr>
        <w:pStyle w:val="Point0number"/>
        <w:numPr>
          <w:ilvl w:val="0"/>
          <w:numId w:val="0"/>
        </w:numPr>
        <w:rPr>
          <w:noProof/>
        </w:rPr>
      </w:pPr>
      <w:r>
        <w:rPr>
          <w:noProof/>
        </w:rPr>
        <w:t>La 20 august 2024, Germania a depus o cerere privind o contribuție financiară din FSUE pentru finanțarea operațiunilor de urgență și de recuperare întreprinse în urma inundațiilor din sudul Germaniei din mai 2024.</w:t>
      </w:r>
    </w:p>
    <w:p w14:paraId="04B52D78" w14:textId="1843E1E5" w:rsidR="00C75B58" w:rsidRPr="005266DD" w:rsidRDefault="00ED135A" w:rsidP="0022675A">
      <w:pPr>
        <w:spacing w:before="120" w:after="120"/>
        <w:jc w:val="both"/>
        <w:rPr>
          <w:rFonts w:ascii="Times New Roman" w:hAnsi="Times New Roman"/>
          <w:noProof/>
          <w:color w:val="000000"/>
          <w:sz w:val="24"/>
          <w:szCs w:val="24"/>
        </w:rPr>
      </w:pPr>
      <w:r>
        <w:rPr>
          <w:rFonts w:ascii="Times New Roman" w:hAnsi="Times New Roman"/>
          <w:noProof/>
          <w:color w:val="000000"/>
          <w:sz w:val="24"/>
        </w:rPr>
        <w:t>În urma propunerii COM(2024) 480 a Comisiei din 25 octombrie 2024, autoritatea bugetară a aprobat plata a 112 071 681 EUR din FSUE către Germania. La data de 15 octombrie 2025, Comisia a adoptat Decizia de punere în aplicare C(2025) 6926 de acordare a unei contribuții financiare din FSUE. Contribuția a fost plătită în octombrie 2025.</w:t>
      </w:r>
    </w:p>
    <w:p w14:paraId="4CA68345" w14:textId="39345249" w:rsidR="00C75B58" w:rsidRPr="005266DD" w:rsidRDefault="00C75B58" w:rsidP="0022675A">
      <w:pPr>
        <w:pStyle w:val="Text1"/>
        <w:ind w:left="0"/>
        <w:rPr>
          <w:b/>
          <w:bCs/>
          <w:smallCaps/>
          <w:noProof/>
        </w:rPr>
      </w:pPr>
      <w:r>
        <w:rPr>
          <w:b/>
          <w:smallCaps/>
          <w:noProof/>
        </w:rPr>
        <w:t>Italia – inundațiile din Valle d’Aosta</w:t>
      </w:r>
    </w:p>
    <w:p w14:paraId="3F939C5F" w14:textId="5D97FACF" w:rsidR="00C75B58" w:rsidRPr="005266DD" w:rsidRDefault="00C75B58" w:rsidP="0022675A">
      <w:pPr>
        <w:spacing w:after="160" w:line="259" w:lineRule="auto"/>
        <w:jc w:val="both"/>
        <w:rPr>
          <w:rFonts w:ascii="Times New Roman" w:hAnsi="Times New Roman"/>
          <w:noProof/>
          <w:sz w:val="24"/>
          <w:szCs w:val="24"/>
        </w:rPr>
      </w:pPr>
      <w:r>
        <w:rPr>
          <w:rFonts w:ascii="Times New Roman" w:hAnsi="Times New Roman"/>
          <w:noProof/>
          <w:sz w:val="24"/>
        </w:rPr>
        <w:t>La 29 iunie 2024, furtunile violente și precipitațiile abundente au făcut ca râurile și cursurile de apă din regiunea autonomă Valle d’Aosta să se reverse. Inundațiile grave au cauzat daune considerabile infrastructurii, au perturbat serviciile și au izolat comunități din regiune. 58 % dintre municipalitățile din Valle d’Aosta au fost afectate de inundații. La nivel regional, aproximativ 66 % din suprafața totală a terenurilor a fost afectată. Printre cele mai afectate municipalități s-au numărat Aymavilles, Cogne și Valtournenche. Peste 52 000 de locuitori și 4 800 de întreprinderi au resimțit în mod direct impactul catastrofei.</w:t>
      </w:r>
    </w:p>
    <w:p w14:paraId="74040A1E" w14:textId="0D513543" w:rsidR="00C75B58" w:rsidRPr="005266DD" w:rsidRDefault="00C75B58" w:rsidP="0022675A">
      <w:pPr>
        <w:pStyle w:val="Point0number"/>
        <w:numPr>
          <w:ilvl w:val="0"/>
          <w:numId w:val="0"/>
        </w:numPr>
        <w:rPr>
          <w:noProof/>
          <w:szCs w:val="24"/>
        </w:rPr>
      </w:pPr>
      <w:r>
        <w:rPr>
          <w:noProof/>
        </w:rPr>
        <w:t>Autoritățile italiene au estimat daunele directe totale la 158,39 milioane EUR. Această sumă a depășit pragul aplicabil pentru o „catastrofă naturală regională”, care s-a ridicat la 71,05 milioane EUR pentru regiunea Valle d’Aosta în 2024.</w:t>
      </w:r>
    </w:p>
    <w:p w14:paraId="23655549" w14:textId="523D2A79" w:rsidR="00C75B58" w:rsidRPr="005266DD" w:rsidRDefault="00C75B58" w:rsidP="0022675A">
      <w:pPr>
        <w:spacing w:before="120" w:after="160" w:line="259" w:lineRule="auto"/>
        <w:jc w:val="both"/>
        <w:rPr>
          <w:rFonts w:ascii="Times New Roman" w:eastAsia="Times New Roman" w:hAnsi="Times New Roman"/>
          <w:noProof/>
          <w:sz w:val="24"/>
          <w:szCs w:val="24"/>
        </w:rPr>
      </w:pPr>
      <w:r>
        <w:rPr>
          <w:rFonts w:ascii="Times New Roman" w:hAnsi="Times New Roman"/>
          <w:noProof/>
          <w:sz w:val="24"/>
        </w:rPr>
        <w:t>La 20 septembrie 2024, Italia a depus o cerere privind o contribuție financiară din FSUE pentru finanțarea operațiunilor de urgență și de recuperare în urma inundațiilor din 29 iunie 2024 din regiunea autonomă italiană Valle d’Aosta.</w:t>
      </w:r>
    </w:p>
    <w:p w14:paraId="1DAB3896" w14:textId="1B12E1A9" w:rsidR="00C75B58" w:rsidRPr="005266DD" w:rsidRDefault="00C75B58" w:rsidP="0022675A">
      <w:pPr>
        <w:spacing w:before="120" w:after="120"/>
        <w:jc w:val="both"/>
        <w:rPr>
          <w:rFonts w:ascii="Times New Roman" w:hAnsi="Times New Roman"/>
          <w:noProof/>
          <w:color w:val="000000"/>
          <w:sz w:val="24"/>
          <w:szCs w:val="24"/>
        </w:rPr>
      </w:pPr>
      <w:r>
        <w:rPr>
          <w:rFonts w:ascii="Times New Roman" w:hAnsi="Times New Roman"/>
          <w:noProof/>
          <w:color w:val="000000"/>
          <w:sz w:val="24"/>
        </w:rPr>
        <w:t>În urma propunerii COM(2024) 480 a Comisiei din 25 octombrie 2024, autoritatea bugetară a aprobat plata a 3 959 872 EUR din FSUE către Italia. La data de 31 mai 2025, Comisia a adoptat Decizia de punere în aplicare C(2025) 3555 de acordare a unei contribuții financiare din FSUE. Contribuția a fost plătită în iunie 2025.</w:t>
      </w:r>
    </w:p>
    <w:p w14:paraId="161F7F5D" w14:textId="1B4E1C33" w:rsidR="00E249C4" w:rsidRDefault="00E249C4">
      <w:pPr>
        <w:spacing w:after="0" w:line="240" w:lineRule="auto"/>
        <w:rPr>
          <w:rFonts w:ascii="Times New Roman" w:hAnsi="Times New Roman"/>
          <w:noProof/>
          <w:color w:val="000000"/>
          <w:sz w:val="24"/>
          <w:szCs w:val="24"/>
        </w:rPr>
      </w:pPr>
      <w:r>
        <w:rPr>
          <w:noProof/>
        </w:rPr>
        <w:br w:type="page"/>
      </w:r>
    </w:p>
    <w:p w14:paraId="194F6D48" w14:textId="2C54A1C5" w:rsidR="00ED135A" w:rsidRPr="005266DD" w:rsidRDefault="00B1128E" w:rsidP="0022675A">
      <w:pPr>
        <w:pStyle w:val="Text1"/>
        <w:ind w:left="0"/>
        <w:rPr>
          <w:b/>
          <w:bCs/>
          <w:smallCaps/>
          <w:noProof/>
        </w:rPr>
      </w:pPr>
      <w:r>
        <w:rPr>
          <w:b/>
          <w:smallCaps/>
          <w:noProof/>
        </w:rPr>
        <w:t>Bosnia și Herțegovina, Cehia, Moldova, Austria, Polonia și Slovacia – inundații</w:t>
      </w:r>
    </w:p>
    <w:p w14:paraId="141ABB4C" w14:textId="41E77AED" w:rsidR="00B1128E" w:rsidRPr="005266DD" w:rsidRDefault="00B1128E" w:rsidP="0022675A">
      <w:pPr>
        <w:jc w:val="both"/>
        <w:rPr>
          <w:noProof/>
        </w:rPr>
      </w:pPr>
      <w:r>
        <w:rPr>
          <w:rFonts w:ascii="Times New Roman" w:hAnsi="Times New Roman"/>
          <w:noProof/>
          <w:color w:val="000000"/>
          <w:sz w:val="24"/>
        </w:rPr>
        <w:t xml:space="preserve">În septembrie 2024, Europa a fost lovită de o serie de inundații declanșate de „furtuna Boris”, un sistem neobișnuit de joasă presiune. Acest sistem meteorologic a provocat precipitații intense și prelungite în întreaga Europă Centrală și de Est, ceea ce a dus la inundații semnificative în Austria, Polonia, Cehia, Slovacia și Moldova. </w:t>
      </w:r>
      <w:r>
        <w:rPr>
          <w:rFonts w:ascii="Times New Roman" w:hAnsi="Times New Roman"/>
          <w:noProof/>
          <w:sz w:val="24"/>
        </w:rPr>
        <w:t>Ulterior, la 4 octombrie 2024, precipitațiile abundente au declanșat inundații grave în Bosnia și Herțegovina.</w:t>
      </w:r>
    </w:p>
    <w:p w14:paraId="2BC74F61" w14:textId="3F525853" w:rsidR="00B3423C" w:rsidRDefault="00A31CEC" w:rsidP="0022675A">
      <w:pPr>
        <w:jc w:val="both"/>
        <w:rPr>
          <w:rFonts w:ascii="Times New Roman" w:hAnsi="Times New Roman"/>
          <w:noProof/>
          <w:color w:val="000000"/>
          <w:sz w:val="24"/>
          <w:szCs w:val="24"/>
        </w:rPr>
      </w:pPr>
      <w:r>
        <w:rPr>
          <w:rFonts w:ascii="Times New Roman" w:hAnsi="Times New Roman"/>
          <w:noProof/>
          <w:color w:val="000000"/>
          <w:sz w:val="24"/>
        </w:rPr>
        <w:t>În noiembrie și decembrie 2024, Austria, Polonia, Cehia, Slovacia, Moldova și Bosnia și Herțegovina au solicitat contribuții financiare din FSUE în legătură cu inundațiile menționate mai sus. Pentru a garanta egalitatea de tratament, Comisia a tratat aceste cereri ca un singur pachet.</w:t>
      </w:r>
    </w:p>
    <w:p w14:paraId="7F055C73" w14:textId="342437A3" w:rsidR="00A16AA3" w:rsidRPr="00576CFB" w:rsidRDefault="00A16AA3" w:rsidP="0022675A">
      <w:pPr>
        <w:jc w:val="both"/>
        <w:rPr>
          <w:rFonts w:ascii="Times New Roman" w:hAnsi="Times New Roman"/>
          <w:b/>
          <w:bCs/>
          <w:noProof/>
          <w:color w:val="000000"/>
          <w:sz w:val="24"/>
          <w:szCs w:val="24"/>
        </w:rPr>
      </w:pPr>
      <w:r>
        <w:rPr>
          <w:rFonts w:ascii="Times New Roman" w:hAnsi="Times New Roman"/>
          <w:b/>
          <w:noProof/>
          <w:color w:val="000000"/>
          <w:sz w:val="24"/>
        </w:rPr>
        <w:t>Austria</w:t>
      </w:r>
    </w:p>
    <w:p w14:paraId="4C74EE36" w14:textId="77777777" w:rsidR="00D23EF8" w:rsidRDefault="00D23EF8" w:rsidP="0022675A">
      <w:pPr>
        <w:spacing w:before="120" w:after="120"/>
        <w:jc w:val="both"/>
        <w:rPr>
          <w:rFonts w:ascii="Times New Roman" w:hAnsi="Times New Roman"/>
          <w:noProof/>
          <w:color w:val="000000"/>
          <w:sz w:val="24"/>
          <w:szCs w:val="24"/>
        </w:rPr>
      </w:pPr>
      <w:r>
        <w:rPr>
          <w:rFonts w:ascii="Times New Roman" w:hAnsi="Times New Roman"/>
          <w:noProof/>
          <w:color w:val="000000"/>
          <w:sz w:val="24"/>
        </w:rPr>
        <w:t xml:space="preserve">Cererea Austriei a fost calificată ca privind o „catastrofă naturală într-o țară învecinată”, întrucât cererea pentru același eveniment de catastrofă depusă de țara învecinată Cehia a fost calificată ca privind o „catastrofă naturală majoră”. </w:t>
      </w:r>
    </w:p>
    <w:p w14:paraId="61E501C0" w14:textId="2D003D20" w:rsidR="00A16AA3" w:rsidRDefault="00195236" w:rsidP="0022675A">
      <w:pPr>
        <w:spacing w:before="120" w:after="120"/>
        <w:jc w:val="both"/>
        <w:rPr>
          <w:rFonts w:ascii="Times New Roman" w:hAnsi="Times New Roman"/>
          <w:noProof/>
          <w:color w:val="000000"/>
          <w:sz w:val="24"/>
          <w:szCs w:val="24"/>
        </w:rPr>
      </w:pPr>
      <w:r>
        <w:rPr>
          <w:rFonts w:ascii="Times New Roman" w:hAnsi="Times New Roman"/>
          <w:noProof/>
          <w:color w:val="000000"/>
          <w:sz w:val="24"/>
        </w:rPr>
        <w:t xml:space="preserve">La 17 februarie 2025, Comisia a adoptat Decizia de punere în aplicare C(2025) 1124 de acordare a unei plăți în avans în valoare de 10 663 587 EUR. Avansul a fost plătit în aprilie 2025. </w:t>
      </w:r>
    </w:p>
    <w:p w14:paraId="36B28AC1" w14:textId="13446828" w:rsidR="00195236" w:rsidRDefault="00195236" w:rsidP="0022675A">
      <w:pPr>
        <w:jc w:val="both"/>
        <w:rPr>
          <w:rFonts w:ascii="Times New Roman" w:hAnsi="Times New Roman"/>
          <w:noProof/>
          <w:color w:val="000000"/>
          <w:sz w:val="24"/>
          <w:szCs w:val="24"/>
        </w:rPr>
      </w:pPr>
      <w:r>
        <w:rPr>
          <w:rFonts w:ascii="Times New Roman" w:hAnsi="Times New Roman"/>
          <w:noProof/>
          <w:color w:val="000000"/>
          <w:sz w:val="24"/>
        </w:rPr>
        <w:t>La 17 noiembrie 2025, Comisia a adoptat Decizia de punere în aplicare C(2025) 7848 de acordare a unei contribuții financiare în valoare de 42 789 075 EUR din FSUE către Austria. Soldul de 32 125 488 EUR a fost plătit în decembrie 2025.</w:t>
      </w:r>
    </w:p>
    <w:p w14:paraId="2CEF8BB8" w14:textId="5DA600F9" w:rsidR="00195236" w:rsidRDefault="005F0671" w:rsidP="0022675A">
      <w:pPr>
        <w:jc w:val="both"/>
        <w:rPr>
          <w:rFonts w:ascii="Times New Roman" w:hAnsi="Times New Roman"/>
          <w:b/>
          <w:bCs/>
          <w:noProof/>
          <w:color w:val="000000"/>
          <w:sz w:val="24"/>
          <w:szCs w:val="24"/>
        </w:rPr>
      </w:pPr>
      <w:r>
        <w:rPr>
          <w:rFonts w:ascii="Times New Roman" w:hAnsi="Times New Roman"/>
          <w:b/>
          <w:noProof/>
          <w:color w:val="000000"/>
          <w:sz w:val="24"/>
        </w:rPr>
        <w:t>Polonia</w:t>
      </w:r>
    </w:p>
    <w:p w14:paraId="59879520" w14:textId="72AFDA27" w:rsidR="005F0671" w:rsidRDefault="005F0671" w:rsidP="0022675A">
      <w:pPr>
        <w:jc w:val="both"/>
        <w:rPr>
          <w:rFonts w:ascii="Times New Roman" w:hAnsi="Times New Roman"/>
          <w:noProof/>
          <w:color w:val="000000"/>
          <w:sz w:val="24"/>
          <w:szCs w:val="24"/>
        </w:rPr>
      </w:pPr>
      <w:r>
        <w:rPr>
          <w:rFonts w:ascii="Times New Roman" w:hAnsi="Times New Roman"/>
          <w:noProof/>
          <w:color w:val="000000"/>
          <w:sz w:val="24"/>
        </w:rPr>
        <w:t>Cererea Poloniei a fost calificată ca privind o „catastrofă naturală regională”. La 28 octombrie 2025, Comisia a adoptat Decizia de punere în aplicare C(2025) 7214 de acordare a unei contribuții financiare în valoare de 75 998 939 EUR din FSUE către Polonia. Contribuția a fost plătită în noiembrie 2025.</w:t>
      </w:r>
    </w:p>
    <w:p w14:paraId="71A29846" w14:textId="284EDBB0" w:rsidR="00D17725" w:rsidRPr="00576CFB" w:rsidRDefault="00D17725" w:rsidP="0022675A">
      <w:pPr>
        <w:jc w:val="both"/>
        <w:rPr>
          <w:rFonts w:ascii="Times New Roman" w:hAnsi="Times New Roman"/>
          <w:b/>
          <w:bCs/>
          <w:noProof/>
          <w:color w:val="000000"/>
          <w:sz w:val="24"/>
          <w:szCs w:val="24"/>
        </w:rPr>
      </w:pPr>
      <w:r>
        <w:rPr>
          <w:rFonts w:ascii="Times New Roman" w:hAnsi="Times New Roman"/>
          <w:b/>
          <w:noProof/>
          <w:color w:val="000000"/>
          <w:sz w:val="24"/>
        </w:rPr>
        <w:t>Cehia</w:t>
      </w:r>
    </w:p>
    <w:p w14:paraId="72CA01CC" w14:textId="40391097" w:rsidR="00D17725" w:rsidRDefault="00D17725" w:rsidP="0022675A">
      <w:pPr>
        <w:jc w:val="both"/>
        <w:rPr>
          <w:rFonts w:ascii="Times New Roman" w:hAnsi="Times New Roman"/>
          <w:noProof/>
          <w:color w:val="000000"/>
          <w:sz w:val="24"/>
          <w:szCs w:val="24"/>
        </w:rPr>
      </w:pPr>
      <w:r>
        <w:rPr>
          <w:rFonts w:ascii="Times New Roman" w:hAnsi="Times New Roman"/>
          <w:noProof/>
          <w:color w:val="000000"/>
          <w:sz w:val="24"/>
        </w:rPr>
        <w:t>Cererea Cehiei a fost calificată ca privind o „catastrofă naturală majoră”. La 3 decembrie 2025, Comisia a adoptat Decizia de punere în aplicare C(2025) 8360 de acordare a unei contribuții financiare în valoare de 113 979 781 EUR din FSUE către Cehia. Contribuția a fost plătită în decembrie 2025.</w:t>
      </w:r>
    </w:p>
    <w:p w14:paraId="46992ADA" w14:textId="074B32B4" w:rsidR="00D17725" w:rsidRPr="00576CFB" w:rsidRDefault="00D17725" w:rsidP="0022675A">
      <w:pPr>
        <w:jc w:val="both"/>
        <w:rPr>
          <w:rFonts w:ascii="Times New Roman" w:hAnsi="Times New Roman"/>
          <w:b/>
          <w:bCs/>
          <w:noProof/>
          <w:color w:val="000000"/>
          <w:sz w:val="24"/>
          <w:szCs w:val="24"/>
        </w:rPr>
      </w:pPr>
      <w:r>
        <w:rPr>
          <w:rFonts w:ascii="Times New Roman" w:hAnsi="Times New Roman"/>
          <w:b/>
          <w:noProof/>
          <w:color w:val="000000"/>
          <w:sz w:val="24"/>
        </w:rPr>
        <w:t>Slovacia</w:t>
      </w:r>
    </w:p>
    <w:p w14:paraId="04B01F80" w14:textId="5B7CB423" w:rsidR="00D17725" w:rsidRDefault="00D17725" w:rsidP="0022675A">
      <w:pPr>
        <w:jc w:val="both"/>
        <w:rPr>
          <w:rFonts w:ascii="Times New Roman" w:hAnsi="Times New Roman"/>
          <w:noProof/>
          <w:color w:val="000000"/>
          <w:sz w:val="24"/>
          <w:szCs w:val="24"/>
        </w:rPr>
      </w:pPr>
      <w:r>
        <w:rPr>
          <w:rFonts w:ascii="Times New Roman" w:hAnsi="Times New Roman"/>
          <w:noProof/>
          <w:color w:val="000000"/>
          <w:sz w:val="24"/>
        </w:rPr>
        <w:t>Cererea Slovaciei a fost calificată ca privind o „catastrofă naturală într-o țară învecinată”, întrucât cererea pentru același eveniment de catastrofă depusă de țara învecinată Cehia a fost calificată ca privind o „catastrofă naturală majoră”. Comisia va adopta o decizie de punere în aplicare și va plăti asistența în 2026.</w:t>
      </w:r>
    </w:p>
    <w:p w14:paraId="7457BD15" w14:textId="77777777" w:rsidR="00E249C4" w:rsidRDefault="00E249C4">
      <w:pPr>
        <w:spacing w:after="0" w:line="240" w:lineRule="auto"/>
        <w:rPr>
          <w:rFonts w:ascii="Times New Roman" w:hAnsi="Times New Roman"/>
          <w:b/>
          <w:bCs/>
          <w:noProof/>
          <w:color w:val="000000"/>
          <w:sz w:val="24"/>
          <w:szCs w:val="24"/>
        </w:rPr>
      </w:pPr>
      <w:r>
        <w:rPr>
          <w:noProof/>
        </w:rPr>
        <w:br w:type="page"/>
      </w:r>
    </w:p>
    <w:p w14:paraId="44EB262A" w14:textId="6C9D9486" w:rsidR="00D17725" w:rsidRPr="00576CFB" w:rsidRDefault="00D17725" w:rsidP="0022675A">
      <w:pPr>
        <w:jc w:val="both"/>
        <w:rPr>
          <w:rFonts w:ascii="Times New Roman" w:hAnsi="Times New Roman"/>
          <w:b/>
          <w:bCs/>
          <w:noProof/>
          <w:color w:val="000000"/>
          <w:sz w:val="24"/>
          <w:szCs w:val="24"/>
        </w:rPr>
      </w:pPr>
      <w:r>
        <w:rPr>
          <w:rFonts w:ascii="Times New Roman" w:hAnsi="Times New Roman"/>
          <w:b/>
          <w:noProof/>
          <w:color w:val="000000"/>
          <w:sz w:val="24"/>
        </w:rPr>
        <w:t>Moldova</w:t>
      </w:r>
    </w:p>
    <w:p w14:paraId="121A2410" w14:textId="6834AFF3" w:rsidR="00D17725" w:rsidRDefault="00D17725" w:rsidP="0022675A">
      <w:pPr>
        <w:jc w:val="both"/>
        <w:rPr>
          <w:rFonts w:ascii="Times New Roman" w:hAnsi="Times New Roman"/>
          <w:noProof/>
          <w:color w:val="000000"/>
          <w:sz w:val="24"/>
          <w:szCs w:val="24"/>
        </w:rPr>
      </w:pPr>
      <w:r>
        <w:rPr>
          <w:rFonts w:ascii="Times New Roman" w:hAnsi="Times New Roman"/>
          <w:noProof/>
          <w:color w:val="000000"/>
          <w:sz w:val="24"/>
        </w:rPr>
        <w:t>Cererea Moldovei a fost calificată ca privind o „catastrofă naturală regională”. Comisia va adopta o decizie de punere în aplicare în 2026. Ulterior, întrucât Moldova este o țară care negociază aderarea sa la Uniune, Comisia va semna, de asemenea, un acord bilateral și va plăti contribuția în 2026.</w:t>
      </w:r>
    </w:p>
    <w:p w14:paraId="7160D416" w14:textId="5E5195FB" w:rsidR="006530C8" w:rsidRPr="007467F5" w:rsidRDefault="006530C8" w:rsidP="0022675A">
      <w:pPr>
        <w:jc w:val="both"/>
        <w:rPr>
          <w:rFonts w:ascii="Times New Roman" w:hAnsi="Times New Roman"/>
          <w:b/>
          <w:bCs/>
          <w:noProof/>
          <w:color w:val="000000"/>
          <w:sz w:val="24"/>
          <w:szCs w:val="24"/>
        </w:rPr>
      </w:pPr>
      <w:r>
        <w:rPr>
          <w:rFonts w:ascii="Times New Roman" w:hAnsi="Times New Roman"/>
          <w:b/>
          <w:noProof/>
          <w:color w:val="000000"/>
          <w:sz w:val="24"/>
        </w:rPr>
        <w:t>Bosnia și Herțegovina</w:t>
      </w:r>
    </w:p>
    <w:p w14:paraId="490AB64D" w14:textId="7CFFAB49" w:rsidR="00D17725" w:rsidRPr="005F0671" w:rsidRDefault="006530C8" w:rsidP="0022675A">
      <w:pPr>
        <w:jc w:val="both"/>
        <w:rPr>
          <w:rFonts w:ascii="Times New Roman" w:hAnsi="Times New Roman"/>
          <w:noProof/>
          <w:color w:val="000000"/>
          <w:sz w:val="24"/>
          <w:szCs w:val="24"/>
        </w:rPr>
      </w:pPr>
      <w:r>
        <w:rPr>
          <w:rFonts w:ascii="Times New Roman" w:hAnsi="Times New Roman"/>
          <w:noProof/>
          <w:color w:val="000000"/>
          <w:sz w:val="24"/>
        </w:rPr>
        <w:t>Cererea Bosniei și Herțegovinei a fost calificată ca privind o „catastrofă naturală majoră”. Comisia va adopta o decizie de punere în aplicare în 2026. Ulterior, întrucât Bosnia și Herțegovina este o țară care negociază aderarea sa la Uniune, Comisia va semna, de asemenea, un acord bilateral și va plăti contribuția în 2026.</w:t>
      </w:r>
    </w:p>
    <w:p w14:paraId="15EABDE8" w14:textId="0FD070F8" w:rsidR="00B1128E" w:rsidRPr="005266DD" w:rsidRDefault="00B1128E" w:rsidP="00ED135A">
      <w:pPr>
        <w:pStyle w:val="Text1"/>
        <w:ind w:left="142"/>
        <w:rPr>
          <w:rFonts w:eastAsia="Calibri"/>
          <w:b/>
          <w:bCs/>
          <w:smallCaps/>
          <w:noProof/>
          <w:szCs w:val="24"/>
          <w:highlight w:val="yellow"/>
          <w:lang w:eastAsia="en-US"/>
        </w:rPr>
      </w:pPr>
    </w:p>
    <w:p w14:paraId="3646AD5F" w14:textId="77777777" w:rsidR="00681F80" w:rsidRPr="005266DD" w:rsidRDefault="00681F80" w:rsidP="00A44F08">
      <w:pPr>
        <w:pStyle w:val="Heading1"/>
        <w:rPr>
          <w:noProof/>
        </w:rPr>
      </w:pPr>
      <w:bookmarkStart w:id="15" w:name="_Toc368320072"/>
      <w:bookmarkStart w:id="16" w:name="_Toc233182312"/>
      <w:r>
        <w:rPr>
          <w:noProof/>
        </w:rPr>
        <w:t>Finanțare</w:t>
      </w:r>
      <w:bookmarkEnd w:id="15"/>
      <w:bookmarkEnd w:id="16"/>
    </w:p>
    <w:p w14:paraId="6B255A20" w14:textId="5E92CBD2" w:rsidR="006142B7" w:rsidRPr="005266DD" w:rsidRDefault="006142B7" w:rsidP="0022675A">
      <w:pPr>
        <w:spacing w:before="120" w:after="120" w:line="240" w:lineRule="auto"/>
        <w:jc w:val="both"/>
        <w:rPr>
          <w:rFonts w:ascii="Times New Roman" w:hAnsi="Times New Roman"/>
          <w:noProof/>
          <w:sz w:val="24"/>
          <w:szCs w:val="24"/>
        </w:rPr>
      </w:pPr>
      <w:r>
        <w:rPr>
          <w:rFonts w:ascii="Times New Roman" w:hAnsi="Times New Roman"/>
          <w:noProof/>
          <w:sz w:val="24"/>
        </w:rPr>
        <w:t>Cuantumurile individuale ale asistenței propuse de Comisie au fost calculate în conformitate cu metoda stabilită în 2002 și aplicată în toate cazurile ulterioare. Aceasta se bazează pe raportul dintre daunele directe totale acceptate cauzate de catastrofă și prosperitatea relativă a statului afectat, astfel cum este reflectată de pragul pentru o catastrofă majoră (a se vedea anexa I).</w:t>
      </w:r>
    </w:p>
    <w:p w14:paraId="12FF6434" w14:textId="17BDE017" w:rsidR="006142B7" w:rsidRPr="005266DD" w:rsidRDefault="006142B7" w:rsidP="0022675A">
      <w:pPr>
        <w:spacing w:before="120" w:after="120" w:line="240" w:lineRule="auto"/>
        <w:jc w:val="both"/>
        <w:rPr>
          <w:rFonts w:ascii="Times New Roman" w:hAnsi="Times New Roman"/>
          <w:noProof/>
          <w:sz w:val="24"/>
          <w:szCs w:val="24"/>
        </w:rPr>
      </w:pPr>
      <w:r>
        <w:rPr>
          <w:rFonts w:ascii="Times New Roman" w:hAnsi="Times New Roman"/>
          <w:noProof/>
          <w:sz w:val="24"/>
        </w:rPr>
        <w:t>În consecință, în cazul „catastrofelor naturale majore”, se aplică un sistem progresiv, în două etape, potrivit căruia țara primește o rată mai mică a ajutorului, și anume 2,5 % din daunele directe totale, pentru partea de daune care se situează sub prag și o rată mai mare a ajutorului, și anume 6 %, pentru partea de daune care depășește pragul. Cele două sume se adună. În cazul „catastrofelor naturale regionale” și al „catastrofelor naturale într-o țară învecinată” se acordă 2,5 % din daunele directe totale.</w:t>
      </w:r>
    </w:p>
    <w:p w14:paraId="6AB3EBFD" w14:textId="40A21EEA" w:rsidR="006142B7" w:rsidRPr="005266DD" w:rsidRDefault="006142B7" w:rsidP="0022675A">
      <w:pPr>
        <w:spacing w:before="120" w:after="120" w:line="240" w:lineRule="auto"/>
        <w:jc w:val="both"/>
        <w:rPr>
          <w:rFonts w:ascii="Times New Roman" w:hAnsi="Times New Roman"/>
          <w:noProof/>
          <w:sz w:val="24"/>
          <w:szCs w:val="24"/>
        </w:rPr>
      </w:pPr>
      <w:r>
        <w:rPr>
          <w:rFonts w:ascii="Times New Roman" w:hAnsi="Times New Roman"/>
          <w:noProof/>
          <w:sz w:val="24"/>
        </w:rPr>
        <w:t>După ce Parlamentul European și Consiliul au aprobat mobilizarea FSUE și au pus la dispoziție creditele bugetare necesare în bugetul UE, Comisia a adoptat decizii de punere în aplicare privind acordarea de asistență fiecărei țări în parte și a plătit apoi întreaga sumă. În cazurile în care fusese acordat un avans, a fost plătit numai soldul contribuției integrale.</w:t>
      </w:r>
    </w:p>
    <w:p w14:paraId="7AB33AD1" w14:textId="1D22D4D5" w:rsidR="006142B7" w:rsidRPr="005266DD" w:rsidRDefault="006142B7" w:rsidP="0022675A">
      <w:pPr>
        <w:spacing w:before="120" w:after="120" w:line="240" w:lineRule="auto"/>
        <w:jc w:val="both"/>
        <w:rPr>
          <w:rFonts w:ascii="Times New Roman" w:hAnsi="Times New Roman"/>
          <w:noProof/>
          <w:sz w:val="24"/>
          <w:szCs w:val="24"/>
        </w:rPr>
      </w:pPr>
      <w:r>
        <w:rPr>
          <w:rFonts w:ascii="Times New Roman" w:hAnsi="Times New Roman"/>
          <w:noProof/>
          <w:sz w:val="24"/>
        </w:rPr>
        <w:t>Anexele la deciziile de punere în aplicare au inclus o descriere generică a utilizării preconizate a fondurilor, au enumerat autoritățile desemnate de statele beneficiare pentru a gestiona contribuția FSUE și au precizat autoritatea independentă responsabilă pentru audit și control.</w:t>
      </w:r>
    </w:p>
    <w:p w14:paraId="594F7C89" w14:textId="42C54D76" w:rsidR="004A4E28" w:rsidRPr="005266DD" w:rsidRDefault="004A5CF5" w:rsidP="0022675A">
      <w:pPr>
        <w:spacing w:before="120" w:after="120" w:line="240" w:lineRule="auto"/>
        <w:jc w:val="both"/>
        <w:rPr>
          <w:rFonts w:ascii="Times New Roman" w:hAnsi="Times New Roman"/>
          <w:noProof/>
          <w:sz w:val="24"/>
          <w:szCs w:val="24"/>
        </w:rPr>
      </w:pPr>
      <w:r>
        <w:rPr>
          <w:rFonts w:ascii="Times New Roman" w:hAnsi="Times New Roman"/>
          <w:noProof/>
          <w:sz w:val="24"/>
        </w:rPr>
        <w:t>În cursul perioadei de raportare, Parlamentul European și Consiliul, în calitate de autoritate bugetară, au aprobat patru contribuții financiare din FSUE, astfel cum au fost propuse de către Comisie. Comisia și-a prezentat propunerile de mobilizare a FSUE în două grupuri:</w:t>
      </w:r>
    </w:p>
    <w:p w14:paraId="61B79919" w14:textId="0B3FD4FD" w:rsidR="006074F1" w:rsidRPr="005266DD" w:rsidRDefault="004A4E28" w:rsidP="0022675A">
      <w:pPr>
        <w:pStyle w:val="ListParagraph"/>
        <w:numPr>
          <w:ilvl w:val="0"/>
          <w:numId w:val="18"/>
        </w:numPr>
        <w:spacing w:before="120" w:after="120" w:line="240" w:lineRule="auto"/>
        <w:ind w:left="0" w:firstLine="0"/>
        <w:jc w:val="both"/>
        <w:rPr>
          <w:rFonts w:ascii="Times New Roman" w:hAnsi="Times New Roman"/>
          <w:noProof/>
          <w:sz w:val="24"/>
          <w:szCs w:val="24"/>
        </w:rPr>
      </w:pPr>
      <w:r>
        <w:rPr>
          <w:rFonts w:ascii="Times New Roman" w:hAnsi="Times New Roman"/>
          <w:noProof/>
          <w:sz w:val="24"/>
        </w:rPr>
        <w:t>La 27 august 2024, Comisia a prezentat o propunere</w:t>
      </w:r>
      <w:r>
        <w:rPr>
          <w:rStyle w:val="FootnoteReference"/>
          <w:rFonts w:ascii="Times New Roman" w:hAnsi="Times New Roman"/>
          <w:noProof/>
          <w:sz w:val="24"/>
          <w:szCs w:val="24"/>
        </w:rPr>
        <w:footnoteReference w:id="3"/>
      </w:r>
      <w:r>
        <w:rPr>
          <w:rFonts w:ascii="Times New Roman" w:hAnsi="Times New Roman"/>
          <w:noProof/>
          <w:sz w:val="24"/>
        </w:rPr>
        <w:t xml:space="preserve"> de decizie a Parlamentului European și a Consiliului privind mobilizarea FSUE în vederea furnizării de asistență Italiei, Sloveniei, Austriei, Greciei și Franței în urma catastrofelor naturale din 2023. Această propunere a fost însoțită de Decizia nr. 08/2024, care propunea transferul sumei de 796 760 300 EUR de la linia aferentă Rezervei pentru solidaritate europeană („ESR”) către linia bugetară operațională a FSUE, atât în credite de angajament, cât și în credite de plată.</w:t>
      </w:r>
    </w:p>
    <w:p w14:paraId="21E9EE2C" w14:textId="6AACB6C8" w:rsidR="004A4E28" w:rsidRPr="005266DD" w:rsidRDefault="004A4E28" w:rsidP="0022675A">
      <w:pPr>
        <w:pStyle w:val="ListParagraph"/>
        <w:spacing w:before="120" w:after="120" w:line="240" w:lineRule="auto"/>
        <w:ind w:left="0"/>
        <w:jc w:val="both"/>
        <w:rPr>
          <w:rFonts w:ascii="Times New Roman" w:hAnsi="Times New Roman"/>
          <w:noProof/>
          <w:sz w:val="24"/>
          <w:szCs w:val="24"/>
        </w:rPr>
      </w:pPr>
    </w:p>
    <w:p w14:paraId="743C2533" w14:textId="7F50CF65" w:rsidR="00B85DAC" w:rsidRPr="005266DD" w:rsidRDefault="006074F1" w:rsidP="00A44F08">
      <w:pPr>
        <w:pStyle w:val="ListParagraph"/>
        <w:spacing w:before="120" w:after="120" w:line="240" w:lineRule="auto"/>
        <w:ind w:left="0"/>
        <w:jc w:val="both"/>
        <w:rPr>
          <w:rFonts w:ascii="Times New Roman" w:hAnsi="Times New Roman"/>
          <w:noProof/>
          <w:sz w:val="24"/>
          <w:szCs w:val="24"/>
        </w:rPr>
      </w:pPr>
      <w:r>
        <w:rPr>
          <w:rFonts w:ascii="Times New Roman" w:hAnsi="Times New Roman"/>
          <w:noProof/>
          <w:sz w:val="24"/>
        </w:rPr>
        <w:t>Propunerea de mobilizare a fost adoptată de autoritatea bugetară la 9 octombrie 2024, acordându-se asistență în valoare de 1 028 541 688 EUR din FSUE pentru: (i) Italia, în legătură cu inundațiile din regiunea Emilia-Romagna din mai 2023; (ii) Slovenia, în legătură cu inundațiile din august 2023; (iii) Austria, în legătură cu inundațiile din august 2023; (iv) Grecia, în legătură cu inundațiile din septembrie 2023; (v) Italia, în legătură cu inundațiile din regiunea Toscana din octombrie 2023; și (vi) Franța, în legătură cu inundațiile din nordul Franței din 2023. În urma adoptării deciziilor de punere în aplicare respective de acordare a asistenței, suma de 446 645 366 EUR a fost plătită Italiei, suma de 428 405 059 EUR a fost plătită Sloveniei, suma de 5 199 245 EUR a fost plătită Austriei, suma de 101 528 949 EUR a fost plătită Greciei, iar suma de 46 763 069 EUR a fost plătită Franței în noiembrie și decembrie 2024.</w:t>
      </w:r>
    </w:p>
    <w:p w14:paraId="3689F694" w14:textId="77777777" w:rsidR="007B0ACA" w:rsidRPr="005266DD" w:rsidRDefault="007B0ACA" w:rsidP="0022675A">
      <w:pPr>
        <w:pStyle w:val="ListParagraph"/>
        <w:spacing w:before="120" w:after="120" w:line="240" w:lineRule="auto"/>
        <w:ind w:left="0"/>
        <w:jc w:val="both"/>
        <w:rPr>
          <w:rFonts w:ascii="Times New Roman" w:hAnsi="Times New Roman"/>
          <w:noProof/>
          <w:sz w:val="24"/>
          <w:szCs w:val="24"/>
        </w:rPr>
      </w:pPr>
    </w:p>
    <w:p w14:paraId="6DE98A30" w14:textId="38725248" w:rsidR="007B0ACA" w:rsidRPr="005266DD" w:rsidRDefault="007B0ACA" w:rsidP="0022675A">
      <w:pPr>
        <w:pStyle w:val="ListParagraph"/>
        <w:numPr>
          <w:ilvl w:val="0"/>
          <w:numId w:val="18"/>
        </w:numPr>
        <w:spacing w:before="120" w:after="120" w:line="240" w:lineRule="auto"/>
        <w:ind w:left="0" w:firstLine="0"/>
        <w:jc w:val="both"/>
        <w:rPr>
          <w:rFonts w:ascii="Times New Roman" w:hAnsi="Times New Roman"/>
          <w:noProof/>
          <w:sz w:val="24"/>
          <w:szCs w:val="24"/>
        </w:rPr>
      </w:pPr>
      <w:r>
        <w:rPr>
          <w:rFonts w:ascii="Times New Roman" w:hAnsi="Times New Roman"/>
          <w:noProof/>
          <w:sz w:val="24"/>
        </w:rPr>
        <w:t>La 25 octombrie 2024, Comisia a prezentat o propunere</w:t>
      </w:r>
      <w:r>
        <w:rPr>
          <w:rStyle w:val="FootnoteReference"/>
          <w:rFonts w:ascii="Times New Roman" w:hAnsi="Times New Roman"/>
          <w:noProof/>
          <w:sz w:val="24"/>
          <w:szCs w:val="24"/>
        </w:rPr>
        <w:footnoteReference w:id="4"/>
      </w:r>
      <w:r>
        <w:rPr>
          <w:rFonts w:ascii="Times New Roman" w:hAnsi="Times New Roman"/>
          <w:noProof/>
          <w:sz w:val="24"/>
        </w:rPr>
        <w:t xml:space="preserve"> de decizie a Parlamentului European și a Consiliului privind mobilizarea FSUE în vederea furnizării de asistență Germaniei și Italiei în urma catastrofelor naturale din 2024. Această propunere a fost însoțită de Decizia nr. 14/2024, care propunea transferul sumei de 116 031 553 EUR de la linia de rezervă aferentă ESR către linia bugetară operațională a FSUE, atât în credite de angajament, cât și în credite de plată.</w:t>
      </w:r>
    </w:p>
    <w:p w14:paraId="336734EC" w14:textId="77777777" w:rsidR="007B0ACA" w:rsidRPr="005266DD" w:rsidRDefault="007B0ACA" w:rsidP="0022675A">
      <w:pPr>
        <w:pStyle w:val="ListParagraph"/>
        <w:spacing w:before="120" w:after="120" w:line="240" w:lineRule="auto"/>
        <w:ind w:left="0"/>
        <w:jc w:val="both"/>
        <w:rPr>
          <w:rFonts w:ascii="Times New Roman" w:hAnsi="Times New Roman"/>
          <w:noProof/>
          <w:sz w:val="24"/>
          <w:szCs w:val="24"/>
          <w:highlight w:val="yellow"/>
        </w:rPr>
      </w:pPr>
    </w:p>
    <w:p w14:paraId="0CD26394" w14:textId="40C97451" w:rsidR="007B0ACA" w:rsidRPr="005266DD" w:rsidRDefault="007B0ACA" w:rsidP="0022675A">
      <w:pPr>
        <w:pStyle w:val="ListParagraph"/>
        <w:spacing w:before="120" w:after="120" w:line="240" w:lineRule="auto"/>
        <w:ind w:left="0"/>
        <w:jc w:val="both"/>
        <w:rPr>
          <w:rFonts w:ascii="Times New Roman" w:hAnsi="Times New Roman"/>
          <w:noProof/>
          <w:sz w:val="24"/>
          <w:szCs w:val="24"/>
        </w:rPr>
      </w:pPr>
      <w:r>
        <w:rPr>
          <w:rFonts w:ascii="Times New Roman" w:hAnsi="Times New Roman"/>
          <w:noProof/>
          <w:sz w:val="24"/>
        </w:rPr>
        <w:t>Propunerea a fost adoptată de autoritatea bugetară la 27 noiembrie 2024, acordându-se asistență în valoare de 116 031 553 EUR din FSUE pentru: (i) Germania în legătură cu inundațiile din mai și iunie 2024 și (ii) Italia în legătură cu inundațiile din regiunea Valle d’Aosta din iunie 2024. Atât adoptarea deciziilor de punere în aplicare respective de acordare a asistenței, cât și plata asistenței sunt preconizate pentru 2025.</w:t>
      </w:r>
    </w:p>
    <w:p w14:paraId="5E378795" w14:textId="77777777" w:rsidR="00B825B7" w:rsidRPr="005266DD" w:rsidRDefault="00B825B7" w:rsidP="007B0ACA">
      <w:pPr>
        <w:pStyle w:val="ListParagraph"/>
        <w:spacing w:before="120" w:after="120" w:line="240" w:lineRule="auto"/>
        <w:ind w:left="142"/>
        <w:jc w:val="both"/>
        <w:rPr>
          <w:rFonts w:ascii="Times New Roman" w:hAnsi="Times New Roman"/>
          <w:noProof/>
          <w:sz w:val="24"/>
          <w:szCs w:val="24"/>
        </w:rPr>
      </w:pPr>
    </w:p>
    <w:p w14:paraId="61C00A32" w14:textId="70D978B3" w:rsidR="00B825B7" w:rsidRPr="005266DD" w:rsidRDefault="00B825B7" w:rsidP="008C2D1C">
      <w:pPr>
        <w:pStyle w:val="Heading1"/>
        <w:rPr>
          <w:noProof/>
        </w:rPr>
      </w:pPr>
      <w:bookmarkStart w:id="17" w:name="_Toc233182313"/>
      <w:r>
        <w:rPr>
          <w:noProof/>
        </w:rPr>
        <w:t>Revizuirea la jumătatea perioadei a cadrului financiar multianual 2021-2027</w:t>
      </w:r>
      <w:bookmarkEnd w:id="17"/>
    </w:p>
    <w:p w14:paraId="4538B2FD" w14:textId="5B2F38DA" w:rsidR="00B825B7" w:rsidRPr="005266DD" w:rsidRDefault="00B825B7" w:rsidP="009611AA">
      <w:pPr>
        <w:pStyle w:val="ListParagraph"/>
        <w:spacing w:before="120" w:after="120" w:line="240" w:lineRule="auto"/>
        <w:ind w:left="0"/>
        <w:jc w:val="both"/>
        <w:rPr>
          <w:rFonts w:ascii="Times New Roman" w:hAnsi="Times New Roman"/>
          <w:noProof/>
          <w:sz w:val="24"/>
          <w:szCs w:val="24"/>
        </w:rPr>
      </w:pPr>
      <w:r>
        <w:rPr>
          <w:rFonts w:ascii="Times New Roman" w:hAnsi="Times New Roman"/>
          <w:noProof/>
          <w:sz w:val="24"/>
        </w:rPr>
        <w:t>În iunie 2023, ca urmare a presiunii tot mai mari asupra FSUE, Comisia a propus, în cadrul revizuirii la jumătatea perioadei a cadrului financiar multianual (CFM), majorarea plafonului rezervei pentru solidaritate și ajutoare de urgență (SEAR), inclusiv al FSUE, cu 2,5 miliarde EUR (la prețurile din 2023) pentru ultimii patru ani ai CFM 2021-2027. Scopul acestei propuneri a fost de a consolida capacitatea UE de a răspunde la crize și situații de urgență.</w:t>
      </w:r>
    </w:p>
    <w:p w14:paraId="6029360D" w14:textId="28BC86D7" w:rsidR="00B825B7" w:rsidRPr="005266DD" w:rsidRDefault="001E1E8D" w:rsidP="009611AA">
      <w:pPr>
        <w:spacing w:after="120"/>
        <w:jc w:val="both"/>
        <w:rPr>
          <w:rFonts w:ascii="Times New Roman" w:hAnsi="Times New Roman"/>
          <w:noProof/>
          <w:sz w:val="24"/>
          <w:szCs w:val="24"/>
        </w:rPr>
      </w:pPr>
      <w:r>
        <w:rPr>
          <w:rFonts w:ascii="Times New Roman" w:hAnsi="Times New Roman"/>
          <w:noProof/>
          <w:sz w:val="24"/>
        </w:rPr>
        <w:t>În conformitate cu Regulamentul (UE, Euratom) 2024/765</w:t>
      </w:r>
      <w:r>
        <w:rPr>
          <w:rStyle w:val="FootnoteReference"/>
          <w:rFonts w:ascii="Times New Roman" w:hAnsi="Times New Roman"/>
          <w:noProof/>
          <w:sz w:val="24"/>
          <w:szCs w:val="24"/>
        </w:rPr>
        <w:footnoteReference w:id="5"/>
      </w:r>
      <w:r>
        <w:rPr>
          <w:rFonts w:ascii="Times New Roman" w:hAnsi="Times New Roman"/>
          <w:noProof/>
          <w:sz w:val="24"/>
        </w:rPr>
        <w:t xml:space="preserve"> al Consiliului din 29 februarie 2024 de modificare a CFM, alocarea anuală pentru SEAR a fost majorată pentru perioada 2024-2027, iar FSUE și Rezerva pentru ajutoare de urgență (EAR) au fost separate, cu o alocare specifică pentru fiecare instrument.</w:t>
      </w:r>
    </w:p>
    <w:p w14:paraId="599C10C1" w14:textId="46EEAB02" w:rsidR="009C0CEE" w:rsidRPr="00FF4826" w:rsidRDefault="00B825B7" w:rsidP="00FF4826">
      <w:pPr>
        <w:jc w:val="both"/>
        <w:rPr>
          <w:rFonts w:ascii="Times New Roman" w:hAnsi="Times New Roman"/>
          <w:noProof/>
          <w:sz w:val="24"/>
          <w:szCs w:val="24"/>
        </w:rPr>
      </w:pPr>
      <w:bookmarkStart w:id="18" w:name="_Hlk229493890"/>
      <w:r>
        <w:rPr>
          <w:rFonts w:ascii="Times New Roman" w:hAnsi="Times New Roman"/>
          <w:noProof/>
          <w:sz w:val="24"/>
        </w:rPr>
        <w:t xml:space="preserve">Prin urmare, începând din 2024, FSUE (finanțat din Rezerva pentru solidaritate europeană) dispune de un buget anual de </w:t>
      </w:r>
      <w:r>
        <w:rPr>
          <w:rFonts w:ascii="Times New Roman" w:hAnsi="Times New Roman"/>
          <w:b/>
          <w:noProof/>
          <w:sz w:val="24"/>
        </w:rPr>
        <w:t>1,016 miliarde EUR</w:t>
      </w:r>
      <w:r>
        <w:rPr>
          <w:rFonts w:ascii="Times New Roman" w:hAnsi="Times New Roman"/>
          <w:noProof/>
          <w:sz w:val="24"/>
        </w:rPr>
        <w:t xml:space="preserve"> (la prețurile din 2018), echivalentul a </w:t>
      </w:r>
      <w:r>
        <w:rPr>
          <w:rFonts w:ascii="Times New Roman" w:hAnsi="Times New Roman"/>
          <w:b/>
          <w:noProof/>
          <w:sz w:val="24"/>
        </w:rPr>
        <w:t>1,144 miliarde EUR</w:t>
      </w:r>
      <w:r>
        <w:rPr>
          <w:rFonts w:ascii="Times New Roman" w:hAnsi="Times New Roman"/>
          <w:noProof/>
          <w:sz w:val="24"/>
        </w:rPr>
        <w:t xml:space="preserve"> la prețurile din 2024.</w:t>
      </w:r>
      <w:bookmarkEnd w:id="18"/>
    </w:p>
    <w:p w14:paraId="0BF30FC7" w14:textId="77777777" w:rsidR="00B825B7" w:rsidRPr="005266DD" w:rsidRDefault="00B825B7">
      <w:pPr>
        <w:spacing w:after="0" w:line="240" w:lineRule="auto"/>
        <w:rPr>
          <w:rFonts w:ascii="Times New Roman" w:eastAsia="Times New Roman" w:hAnsi="Times New Roman"/>
          <w:b/>
          <w:bCs/>
          <w:smallCaps/>
          <w:noProof/>
          <w:sz w:val="24"/>
          <w:szCs w:val="28"/>
        </w:rPr>
      </w:pPr>
      <w:bookmarkStart w:id="19" w:name="_Toc368320074"/>
      <w:bookmarkStart w:id="20" w:name="_Ref495658662"/>
      <w:bookmarkStart w:id="21" w:name="_Ref495658676"/>
      <w:bookmarkStart w:id="22" w:name="_Ref495658684"/>
      <w:bookmarkStart w:id="23" w:name="_Ref495658733"/>
      <w:r>
        <w:rPr>
          <w:noProof/>
        </w:rPr>
        <w:br w:type="page"/>
      </w:r>
    </w:p>
    <w:p w14:paraId="533B9102" w14:textId="3968FE5D" w:rsidR="00495D2A" w:rsidRPr="005266DD" w:rsidRDefault="00681F80" w:rsidP="00495D2A">
      <w:pPr>
        <w:pStyle w:val="Heading1"/>
        <w:rPr>
          <w:noProof/>
        </w:rPr>
      </w:pPr>
      <w:bookmarkStart w:id="24" w:name="_Toc233182314"/>
      <w:r>
        <w:rPr>
          <w:noProof/>
        </w:rPr>
        <w:t>Închideri</w:t>
      </w:r>
      <w:bookmarkEnd w:id="19"/>
      <w:bookmarkEnd w:id="20"/>
      <w:bookmarkEnd w:id="21"/>
      <w:bookmarkEnd w:id="22"/>
      <w:bookmarkEnd w:id="23"/>
      <w:bookmarkEnd w:id="24"/>
    </w:p>
    <w:p w14:paraId="06C5806A" w14:textId="39219876" w:rsidR="006142B7" w:rsidRPr="005266DD" w:rsidRDefault="006142B7" w:rsidP="006142B7">
      <w:pPr>
        <w:spacing w:before="120" w:after="120" w:line="240" w:lineRule="auto"/>
        <w:jc w:val="both"/>
        <w:rPr>
          <w:rFonts w:ascii="Times New Roman" w:hAnsi="Times New Roman"/>
          <w:noProof/>
          <w:sz w:val="24"/>
          <w:szCs w:val="24"/>
        </w:rPr>
      </w:pPr>
      <w:r>
        <w:rPr>
          <w:rFonts w:ascii="Times New Roman" w:hAnsi="Times New Roman"/>
          <w:noProof/>
          <w:sz w:val="24"/>
        </w:rPr>
        <w:t>Articolul 8 alineatul (3) din regulament prevede că, în termen de 24 de luni de la data plății contribuției financiare, statul beneficiar trebuie să prezinte un raport privind execuția contribuției financiare („raport privind execuția”), împreună cu o declarație care justifică cheltuielile („declarație de validitate”).</w:t>
      </w:r>
    </w:p>
    <w:p w14:paraId="7A28F076" w14:textId="631C217B" w:rsidR="00C45020" w:rsidRPr="005266DD" w:rsidRDefault="00C45020" w:rsidP="00476A0A">
      <w:pPr>
        <w:spacing w:before="120" w:after="120" w:line="240" w:lineRule="auto"/>
        <w:jc w:val="both"/>
        <w:rPr>
          <w:rFonts w:ascii="Times New Roman" w:hAnsi="Times New Roman"/>
          <w:noProof/>
          <w:sz w:val="24"/>
          <w:szCs w:val="24"/>
        </w:rPr>
      </w:pPr>
      <w:r>
        <w:rPr>
          <w:rFonts w:ascii="Times New Roman" w:hAnsi="Times New Roman"/>
          <w:noProof/>
          <w:sz w:val="24"/>
        </w:rPr>
        <w:t>Comisia a închis opt cazuri FSUE în 2024.</w:t>
      </w:r>
    </w:p>
    <w:p w14:paraId="598F116A" w14:textId="70960E30" w:rsidR="00F17508" w:rsidRPr="005266DD" w:rsidRDefault="00F17508" w:rsidP="00F17508">
      <w:pPr>
        <w:pStyle w:val="Text1"/>
        <w:ind w:left="0"/>
        <w:rPr>
          <w:noProof/>
        </w:rPr>
      </w:pPr>
      <w:r>
        <w:rPr>
          <w:b/>
          <w:noProof/>
        </w:rPr>
        <w:t>Grecia, cutremurul care a afectat insula Kos în 2017</w:t>
      </w:r>
      <w:r>
        <w:rPr>
          <w:noProof/>
        </w:rPr>
        <w:t>: contribuția financiară din FSUE s-a ridicat la 2 535 796 EUR. Autoritățile elene au prezentat raportul privind execuția și declarația de validitate în noiembrie 2020. Pe baza informațiilor furnizate de Grecia, cheltuielile eligibile s-au ridicat la 4 346 075,64 EUR, depășind contribuția din FSUE. Comisia a constatat că nu era necesară nicio corecție financiară, iar dosarul a fost închis în februarie 2024.</w:t>
      </w:r>
    </w:p>
    <w:p w14:paraId="0EBC4BD4" w14:textId="41F39007" w:rsidR="00F17508" w:rsidRPr="005266DD" w:rsidRDefault="00F17508" w:rsidP="00F17508">
      <w:pPr>
        <w:pStyle w:val="Text1"/>
        <w:ind w:left="0"/>
        <w:rPr>
          <w:noProof/>
        </w:rPr>
      </w:pPr>
      <w:r>
        <w:rPr>
          <w:b/>
          <w:noProof/>
        </w:rPr>
        <w:t>Portugalia, incendiile forestiere din 2017</w:t>
      </w:r>
      <w:r>
        <w:rPr>
          <w:noProof/>
        </w:rPr>
        <w:t>: contribuția financiară din FSUE s-a ridicat la 50 673 132 EUR. Autoritățile portugheze au prezentat raportul privind execuția și declarația de validitate în iulie 2020. Pe baza informațiilor furnizate de Portugalia, cheltuielile eligibile s-au ridicat la 54 291 973,79 EUR, depășind contribuția din FSUE. Comisia a constatat că nu era necesară nicio corecție financiară, iar dosarul a fost închis în octombrie 2024.</w:t>
      </w:r>
    </w:p>
    <w:p w14:paraId="41EAAD4F" w14:textId="5F6F4A1B" w:rsidR="00F17508" w:rsidRPr="005266DD" w:rsidRDefault="00F17508" w:rsidP="00DD1488">
      <w:pPr>
        <w:pStyle w:val="ListNumber"/>
        <w:numPr>
          <w:ilvl w:val="0"/>
          <w:numId w:val="0"/>
        </w:numPr>
        <w:spacing w:before="120" w:after="120"/>
        <w:rPr>
          <w:noProof/>
        </w:rPr>
      </w:pPr>
      <w:r>
        <w:rPr>
          <w:b/>
          <w:noProof/>
        </w:rPr>
        <w:t>Bulgaria, inundațiile din 2018</w:t>
      </w:r>
      <w:r>
        <w:rPr>
          <w:noProof/>
        </w:rPr>
        <w:t>: contribuția financiară din FSUE s-a ridicat la 2 258 225 EUR. Autoritățile bulgare au prezentat raportul privind execuția și declarația de validitate în noiembrie 2020. Pe baza informațiilor furnizate de Bulgaria, cheltuielile eligibile în cadrul FSUE s-au ridicat la 2 039 158,24 EUR, cu 219 066,76 EUR mai puțin decât contribuția financiară din FSUE. În plus, se acumulaseră dobânzi în valoare de 1,75 EUR. Acest lucru a determinat Comisia să constate că era necesară o corecție financiară de 219 068,51 EUR. La 6 noiembrie 2023, Comisia a recuperat suma de 219 068,51 EUR de la Bulgaria. Cazul a fost închis în iunie 2024.</w:t>
      </w:r>
    </w:p>
    <w:p w14:paraId="251C3BAE" w14:textId="7A641B20" w:rsidR="00F17508" w:rsidRPr="005266DD" w:rsidRDefault="00F17508" w:rsidP="00F17508">
      <w:pPr>
        <w:pStyle w:val="Text1"/>
        <w:ind w:left="0"/>
        <w:rPr>
          <w:noProof/>
        </w:rPr>
      </w:pPr>
      <w:r>
        <w:rPr>
          <w:b/>
          <w:noProof/>
        </w:rPr>
        <w:t>România, inundațiile din vara anului 2018</w:t>
      </w:r>
      <w:r>
        <w:rPr>
          <w:noProof/>
        </w:rPr>
        <w:t>: contribuția financiară din FSUE s-a ridicat la 8 192 300 EUR. Autoritățile române au prezentat raportul privind execuția și declarația de validitate în noiembrie 2021. Pe baza informațiilor furnizate de România, cheltuielile eligibile s-au ridicat la 8 201 653,2 EUR, depășind contribuția din FSUE. Comisia a constatat că nu era necesară nicio corecție financiară, iar dosarul a fost închis în februarie 2024.</w:t>
      </w:r>
    </w:p>
    <w:p w14:paraId="2CFF9CAF" w14:textId="41C010B7" w:rsidR="00F17508" w:rsidRPr="005266DD" w:rsidRDefault="00F17508" w:rsidP="00F17508">
      <w:pPr>
        <w:pStyle w:val="Text1"/>
        <w:ind w:left="0"/>
        <w:rPr>
          <w:noProof/>
        </w:rPr>
      </w:pPr>
      <w:r>
        <w:rPr>
          <w:b/>
          <w:noProof/>
        </w:rPr>
        <w:t>Austria, condiții meteorologice extreme în 2018</w:t>
      </w:r>
      <w:r>
        <w:rPr>
          <w:noProof/>
        </w:rPr>
        <w:t>: contribuția financiară din FSUE s-a ridicat la 8 154 899 EUR. Autoritățile austriece au prezentat raportul privind execuția și declarația de validitate în iulie 2021. Pe baza informațiilor furnizate de Austria, cheltuielile eligibile s-au ridicat la 15 776 305,68 EUR, depășind contribuția din FSUE. Comisia a constatat că nu era necesară nicio corecție financiară, iar dosarul a fost închis în iunie 2024.</w:t>
      </w:r>
    </w:p>
    <w:p w14:paraId="5D98675F" w14:textId="654E4E56" w:rsidR="00F17508" w:rsidRPr="005266DD" w:rsidRDefault="00F17508" w:rsidP="00F17508">
      <w:pPr>
        <w:pStyle w:val="Text1"/>
        <w:ind w:left="0"/>
        <w:rPr>
          <w:noProof/>
        </w:rPr>
      </w:pPr>
      <w:r>
        <w:rPr>
          <w:b/>
          <w:noProof/>
        </w:rPr>
        <w:t>Grecia, condiții meteorologice severe pe insula Creta în 2019</w:t>
      </w:r>
      <w:r>
        <w:rPr>
          <w:noProof/>
        </w:rPr>
        <w:t>: contribuția financiară din FSUE s-a ridicat la 4 552 517 EUR. Autoritățile elene au prezentat raportul privind execuția și declarația de validitate în februarie 2022. Pe baza informațiilor furnizate de Grecia, cheltuielile eligibile s-au ridicat la 10 239 257,03 EUR, depășind contribuția din FSUE. Comisia a constatat că nu era necesară nicio corecție financiară, iar dosarul a fost închis în februarie 2024.</w:t>
      </w:r>
    </w:p>
    <w:p w14:paraId="0DCC89E6" w14:textId="6FC335B6" w:rsidR="00F17508" w:rsidRPr="005266DD" w:rsidRDefault="00F17508" w:rsidP="00F17508">
      <w:pPr>
        <w:pStyle w:val="Text1"/>
        <w:ind w:left="0"/>
        <w:rPr>
          <w:noProof/>
        </w:rPr>
      </w:pPr>
      <w:r>
        <w:rPr>
          <w:b/>
          <w:noProof/>
        </w:rPr>
        <w:t>Portugalia, uraganul Lorenzo din 2019</w:t>
      </w:r>
      <w:r>
        <w:rPr>
          <w:noProof/>
        </w:rPr>
        <w:t>: contribuția financiară din FSUE s-a ridicat la 8 212 697 EUR. Autoritățile portugheze au prezentat raportul privind execuția și declarația de validitate în iulie 2022. Pe baza informațiilor furnizate de Portugalia, cheltuielile eligibile s-au ridicat la</w:t>
      </w:r>
      <w:bookmarkStart w:id="25" w:name="_Hlk143617235"/>
      <w:r>
        <w:rPr>
          <w:noProof/>
        </w:rPr>
        <w:t xml:space="preserve"> 8 212 697 EUR</w:t>
      </w:r>
      <w:bookmarkEnd w:id="25"/>
      <w:r>
        <w:rPr>
          <w:noProof/>
        </w:rPr>
        <w:t>. Comisia a constatat că nu era necesară nicio corecție financiară, iar dosarul a fost închis în februarie 2024.</w:t>
      </w:r>
    </w:p>
    <w:p w14:paraId="0DD9525E" w14:textId="377AF670" w:rsidR="00F17508" w:rsidRPr="005266DD" w:rsidRDefault="00F17508" w:rsidP="00F17508">
      <w:pPr>
        <w:pStyle w:val="Text1"/>
        <w:ind w:left="0"/>
        <w:rPr>
          <w:noProof/>
        </w:rPr>
      </w:pPr>
      <w:r>
        <w:rPr>
          <w:b/>
          <w:noProof/>
        </w:rPr>
        <w:t>Austria, condiții meteorologice severe în 2019</w:t>
      </w:r>
      <w:r>
        <w:rPr>
          <w:noProof/>
        </w:rPr>
        <w:t>: contribuția financiară din FSUE s-a ridicat la 2 329 777 EUR. Autoritățile austriece au prezentat raportul privind execuția și declarația de validitate în august 2022. Pe baza informațiilor furnizate de Austria, cheltuielile eligibile s-au ridicat la 2 329 777 EUR. Comisia a constatat că nu era necesară nicio corecție financiară, iar dosarul a fost închis în iunie 2024.</w:t>
      </w:r>
    </w:p>
    <w:p w14:paraId="69EDE1FE" w14:textId="65398D1A" w:rsidR="00F17508" w:rsidRPr="005266DD" w:rsidRDefault="00F17508" w:rsidP="00F17508">
      <w:pPr>
        <w:pStyle w:val="Text1"/>
        <w:ind w:left="0"/>
        <w:rPr>
          <w:noProof/>
          <w:highlight w:val="yellow"/>
        </w:rPr>
      </w:pPr>
    </w:p>
    <w:p w14:paraId="49229A8E" w14:textId="28D09A12" w:rsidR="008E01EB" w:rsidRPr="005266DD" w:rsidRDefault="00A03794" w:rsidP="005B00D8">
      <w:pPr>
        <w:pStyle w:val="Heading1"/>
        <w:rPr>
          <w:noProof/>
        </w:rPr>
      </w:pPr>
      <w:bookmarkStart w:id="26" w:name="_Toc233182315"/>
      <w:bookmarkStart w:id="27" w:name="_Toc368320075"/>
      <w:r>
        <w:rPr>
          <w:noProof/>
        </w:rPr>
        <w:t>Concluzii</w:t>
      </w:r>
      <w:bookmarkEnd w:id="26"/>
    </w:p>
    <w:p w14:paraId="6B2D861E" w14:textId="5513C808" w:rsidR="00C77B58" w:rsidRPr="005266DD" w:rsidRDefault="00C77B58" w:rsidP="00283809">
      <w:pPr>
        <w:pStyle w:val="Text1"/>
        <w:ind w:left="0"/>
        <w:rPr>
          <w:noProof/>
        </w:rPr>
      </w:pPr>
      <w:r>
        <w:rPr>
          <w:noProof/>
        </w:rPr>
        <w:t>În 2024, Fondul de solidaritate al UE a fost utilizat pentru a sprijini răspunsul la zece catastrofe naturale din Uniune și din două țări candidate la aderarea la UE. Europa Centrală s-a confruntat cu inundații catastrofale, deoarece precipitațiile neobișnuit de abundente și persistente au provocat revărsarea marilor râuri, afectând mii de comunități. Fenomenele climatice extreme au fost observate și în sudul Europei, ploile torențiale ducând la viituri rapide care au devastat regiuni din Italia și Bosnia și Herțegovina, provocând daune pe scară largă locuințelor și infrastructurii și strămutarea a mii de persoane. Aceste evenimente au evidențiat necesitatea urgentă a unor strategii cuprinzătoare de adaptare la schimbările climatice și de atenuare a acestora în întreaga Europă.</w:t>
      </w:r>
    </w:p>
    <w:p w14:paraId="77A977E6" w14:textId="2DA7B2DA" w:rsidR="00F112B9" w:rsidRDefault="00B825B7" w:rsidP="00283809">
      <w:pPr>
        <w:pStyle w:val="Text1"/>
        <w:ind w:left="0"/>
        <w:rPr>
          <w:noProof/>
        </w:rPr>
      </w:pPr>
      <w:r>
        <w:rPr>
          <w:noProof/>
        </w:rPr>
        <w:t xml:space="preserve">Datorită bugetului său majorat începând cu 2024, FSUE a fost mai în măsură să sprijine eforturile naționale de reconstrucție și redresare în țările afectate de catastrofe naturale, prin furnizarea integrală a cuantumurilor ajutorului calculate pe baza metodologiei convenite. </w:t>
      </w:r>
    </w:p>
    <w:p w14:paraId="28C85598" w14:textId="15850FF1" w:rsidR="00283809" w:rsidRPr="005266DD" w:rsidRDefault="00283809" w:rsidP="00283809">
      <w:pPr>
        <w:pStyle w:val="Text1"/>
        <w:ind w:left="0"/>
        <w:rPr>
          <w:noProof/>
        </w:rPr>
      </w:pPr>
      <w:r>
        <w:rPr>
          <w:noProof/>
        </w:rPr>
        <w:t>În plus, FSUE a ajutat regiunile afectate să își reia rapid activitatea economică și socială prin repararea și refacerea infrastructurii critice, reducând în același timp sarcina financiară asupra administrațiilor naționale și locale.</w:t>
      </w:r>
    </w:p>
    <w:bookmarkEnd w:id="27"/>
    <w:p w14:paraId="2B5FB084" w14:textId="3B9ABF6A" w:rsidR="00735E95" w:rsidRPr="005266DD" w:rsidRDefault="00411C78" w:rsidP="00FF4826">
      <w:pPr>
        <w:pStyle w:val="Text1"/>
        <w:ind w:left="0"/>
        <w:rPr>
          <w:noProof/>
        </w:rPr>
      </w:pPr>
      <w:r>
        <w:rPr>
          <w:noProof/>
        </w:rPr>
        <w:t>În concluzie, numărul de cereri de asistență și presiunea sporită asupra bugetului FSUE confirmă că sprijinul din partea fondului este în continuare foarte necesar.</w:t>
      </w:r>
    </w:p>
    <w:sectPr w:rsidR="00735E95" w:rsidRPr="005266DD">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53F25" w14:textId="77777777" w:rsidR="00FB3EBE" w:rsidRPr="005266DD" w:rsidRDefault="00FB3EBE" w:rsidP="00681F80">
      <w:pPr>
        <w:spacing w:after="0" w:line="240" w:lineRule="auto"/>
      </w:pPr>
      <w:r>
        <w:separator/>
      </w:r>
    </w:p>
  </w:endnote>
  <w:endnote w:type="continuationSeparator" w:id="0">
    <w:p w14:paraId="0711CA19" w14:textId="77777777" w:rsidR="00FB3EBE" w:rsidRPr="005266DD" w:rsidRDefault="00FB3EBE" w:rsidP="00681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3AB5D" w14:textId="38E82E1B" w:rsidR="008B72C5" w:rsidRPr="008B72C5" w:rsidRDefault="008B72C5" w:rsidP="008B72C5">
    <w:pPr>
      <w:pStyle w:val="FooterCoverPage"/>
      <w:rPr>
        <w:rFonts w:ascii="Arial" w:hAnsi="Arial" w:cs="Arial"/>
        <w:b/>
        <w:sz w:val="48"/>
      </w:rPr>
    </w:pPr>
    <w:r w:rsidRPr="008B72C5">
      <w:rPr>
        <w:rFonts w:ascii="Arial" w:hAnsi="Arial" w:cs="Arial"/>
        <w:b/>
        <w:sz w:val="48"/>
      </w:rPr>
      <w:t>RO</w:t>
    </w:r>
    <w:r w:rsidRPr="008B72C5">
      <w:rPr>
        <w:rFonts w:ascii="Arial" w:hAnsi="Arial" w:cs="Arial"/>
        <w:b/>
        <w:sz w:val="48"/>
      </w:rPr>
      <w:tab/>
    </w:r>
    <w:r w:rsidRPr="008B72C5">
      <w:rPr>
        <w:rFonts w:ascii="Arial" w:hAnsi="Arial" w:cs="Arial"/>
        <w:b/>
        <w:sz w:val="48"/>
      </w:rPr>
      <w:tab/>
    </w:r>
    <w:r w:rsidRPr="008B72C5">
      <w:tab/>
    </w:r>
    <w:r w:rsidRPr="008B72C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087A" w14:textId="28F3F89A" w:rsidR="008B72C5" w:rsidRPr="008B72C5" w:rsidRDefault="008B72C5" w:rsidP="008B72C5">
    <w:pPr>
      <w:pStyle w:val="FooterCoverPage"/>
      <w:rPr>
        <w:rFonts w:ascii="Arial" w:hAnsi="Arial" w:cs="Arial"/>
        <w:b/>
        <w:sz w:val="48"/>
      </w:rPr>
    </w:pPr>
    <w:r w:rsidRPr="008B72C5">
      <w:rPr>
        <w:rFonts w:ascii="Arial" w:hAnsi="Arial" w:cs="Arial"/>
        <w:b/>
        <w:sz w:val="48"/>
      </w:rPr>
      <w:t>RO</w:t>
    </w:r>
    <w:r w:rsidRPr="008B72C5">
      <w:rPr>
        <w:rFonts w:ascii="Arial" w:hAnsi="Arial" w:cs="Arial"/>
        <w:b/>
        <w:sz w:val="48"/>
      </w:rPr>
      <w:tab/>
    </w:r>
    <w:r w:rsidRPr="008B72C5">
      <w:rPr>
        <w:rFonts w:ascii="Arial" w:hAnsi="Arial" w:cs="Arial"/>
        <w:b/>
        <w:sz w:val="48"/>
      </w:rPr>
      <w:tab/>
    </w:r>
    <w:r w:rsidRPr="008B72C5">
      <w:tab/>
    </w:r>
    <w:r w:rsidRPr="008B72C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3AEFD" w14:textId="77777777" w:rsidR="008B72C5" w:rsidRPr="008B72C5" w:rsidRDefault="008B72C5" w:rsidP="008B72C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1A746" w14:textId="77777777" w:rsidR="00D83001" w:rsidRPr="005266DD" w:rsidRDefault="00D830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1614E" w14:textId="346294E1" w:rsidR="00D83001" w:rsidRPr="005266DD" w:rsidRDefault="00D83001">
    <w:pPr>
      <w:pStyle w:val="Footer"/>
      <w:jc w:val="center"/>
    </w:pPr>
    <w:r>
      <w:fldChar w:fldCharType="begin"/>
    </w:r>
    <w:r>
      <w:instrText xml:space="preserve"> PAGE   \* MERGEFORMAT </w:instrText>
    </w:r>
    <w:r>
      <w:fldChar w:fldCharType="separate"/>
    </w:r>
    <w:r w:rsidR="008B72C5">
      <w:rPr>
        <w:noProof/>
      </w:rPr>
      <w:t>1</w:t>
    </w:r>
    <w:r>
      <w:fldChar w:fldCharType="end"/>
    </w:r>
  </w:p>
  <w:p w14:paraId="2F2E92BA" w14:textId="77777777" w:rsidR="00D83001" w:rsidRPr="005266DD" w:rsidRDefault="00D83001" w:rsidP="00681F8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B1F25" w14:textId="77777777" w:rsidR="00D83001" w:rsidRPr="005266DD" w:rsidRDefault="00D83001">
    <w:pPr>
      <w:pStyle w:val="Footer"/>
      <w:jc w:val="center"/>
    </w:pPr>
    <w:r>
      <w:fldChar w:fldCharType="begin"/>
    </w:r>
    <w:r>
      <w:instrText xml:space="preserve"> PAGE   \* MERGEFORMAT </w:instrText>
    </w:r>
    <w:r>
      <w:fldChar w:fldCharType="separate"/>
    </w:r>
    <w:r>
      <w:t>1</w:t>
    </w:r>
    <w:r>
      <w:fldChar w:fldCharType="end"/>
    </w:r>
  </w:p>
  <w:p w14:paraId="3BE67328" w14:textId="77777777" w:rsidR="00D83001" w:rsidRPr="005266DD" w:rsidRDefault="00D830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C9C4" w14:textId="77777777" w:rsidR="009E211F" w:rsidRPr="005266DD" w:rsidRDefault="009E211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6EB0B" w14:textId="38889886" w:rsidR="009E211F" w:rsidRPr="005266DD" w:rsidRDefault="009E211F" w:rsidP="00E06B92">
    <w:pPr>
      <w:pStyle w:val="Footer"/>
      <w:jc w:val="center"/>
    </w:pPr>
    <w:r>
      <w:fldChar w:fldCharType="begin"/>
    </w:r>
    <w:r>
      <w:instrText xml:space="preserve"> PAGE   \* MERGEFORMAT </w:instrText>
    </w:r>
    <w:r>
      <w:fldChar w:fldCharType="separate"/>
    </w:r>
    <w:r w:rsidR="008B72C5">
      <w:rPr>
        <w:noProof/>
      </w:rPr>
      <w:t>9</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B859C" w14:textId="77777777" w:rsidR="009E211F" w:rsidRPr="005266DD" w:rsidRDefault="009E2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A94B7" w14:textId="77777777" w:rsidR="00FB3EBE" w:rsidRPr="005266DD" w:rsidRDefault="00FB3EBE" w:rsidP="00681F80">
      <w:pPr>
        <w:spacing w:after="0" w:line="240" w:lineRule="auto"/>
      </w:pPr>
      <w:r>
        <w:separator/>
      </w:r>
    </w:p>
  </w:footnote>
  <w:footnote w:type="continuationSeparator" w:id="0">
    <w:p w14:paraId="06777C1D" w14:textId="77777777" w:rsidR="00FB3EBE" w:rsidRPr="005266DD" w:rsidRDefault="00FB3EBE" w:rsidP="00681F80">
      <w:pPr>
        <w:spacing w:after="0" w:line="240" w:lineRule="auto"/>
      </w:pPr>
      <w:r>
        <w:continuationSeparator/>
      </w:r>
    </w:p>
  </w:footnote>
  <w:footnote w:id="1">
    <w:p w14:paraId="7127F2DF" w14:textId="2BC0B06C" w:rsidR="00684764" w:rsidRPr="005266DD" w:rsidRDefault="00684764" w:rsidP="00684764">
      <w:pPr>
        <w:pStyle w:val="FootnoteText"/>
        <w:ind w:left="0" w:hanging="11"/>
      </w:pPr>
      <w:r>
        <w:rPr>
          <w:rStyle w:val="FootnoteReference"/>
        </w:rPr>
        <w:footnoteRef/>
      </w:r>
      <w:r>
        <w:t xml:space="preserve"> Regulamentul (CE) 2012/2002 al Consiliului din 11 noiembrie 2002 de instituire a Fondului de solidaritate al Uniunii Europene (JO L 311, 14.11.2002, p. 3), astfel cum a fost modificat prin Regulamentul (UE) nr. 661/2014 al Parlamentului European și al Consiliului din 15 mai 2014 (JO L 189, 27.6.2014, p. 143) și prin Regulamentul (UE) 2020/461 al Parlamentului European și al Consiliului din 30 martie 2020 (JO L 99, 31.3.2020, p. 9).</w:t>
      </w:r>
    </w:p>
  </w:footnote>
  <w:footnote w:id="2">
    <w:p w14:paraId="02CE2DDA" w14:textId="77777777" w:rsidR="008C0928" w:rsidRPr="005266DD" w:rsidRDefault="008C0928" w:rsidP="008C0928">
      <w:pPr>
        <w:pStyle w:val="FootnoteText"/>
      </w:pPr>
      <w:r>
        <w:rPr>
          <w:rStyle w:val="FootnoteReference"/>
        </w:rPr>
        <w:footnoteRef/>
      </w:r>
      <w:r>
        <w:t xml:space="preserve"> Nord-Pas de Calais este regiunea de nivel NUTS 2 care corespunde uneia dintre cele două foste regiuni (Nord-Pas</w:t>
      </w:r>
    </w:p>
    <w:p w14:paraId="19BFFF45" w14:textId="3AC1A9E3" w:rsidR="008C0928" w:rsidRPr="005266DD" w:rsidRDefault="008C0928" w:rsidP="008C0928">
      <w:pPr>
        <w:pStyle w:val="FootnoteText"/>
      </w:pPr>
      <w:r>
        <w:t>de Calais și Picardie), care au fuzionat în 2016, formând regiunea Hauts-de-France.</w:t>
      </w:r>
    </w:p>
  </w:footnote>
  <w:footnote w:id="3">
    <w:p w14:paraId="5710D84C" w14:textId="0A1D22CF" w:rsidR="006074F1" w:rsidRPr="005266DD" w:rsidRDefault="006074F1" w:rsidP="006074F1">
      <w:pPr>
        <w:pStyle w:val="FootnoteText"/>
      </w:pPr>
      <w:r>
        <w:rPr>
          <w:rStyle w:val="FootnoteReference"/>
        </w:rPr>
        <w:footnoteRef/>
      </w:r>
      <w:r>
        <w:t xml:space="preserve"> COM(2024) 325 din 27.8.2024.</w:t>
      </w:r>
    </w:p>
  </w:footnote>
  <w:footnote w:id="4">
    <w:p w14:paraId="794E9556" w14:textId="1ACD276F" w:rsidR="007B0ACA" w:rsidRPr="005266DD" w:rsidRDefault="007B0ACA" w:rsidP="007B0ACA">
      <w:pPr>
        <w:pStyle w:val="FootnoteText"/>
      </w:pPr>
      <w:r>
        <w:rPr>
          <w:rStyle w:val="FootnoteReference"/>
        </w:rPr>
        <w:footnoteRef/>
      </w:r>
      <w:r>
        <w:t xml:space="preserve"> COM(2024) 480 din 25.10.2024.</w:t>
      </w:r>
    </w:p>
  </w:footnote>
  <w:footnote w:id="5">
    <w:p w14:paraId="280B6EE9" w14:textId="6D46B8F7" w:rsidR="00B825B7" w:rsidRPr="005266DD" w:rsidRDefault="00B825B7" w:rsidP="00FF4826">
      <w:pPr>
        <w:pStyle w:val="FootnoteText"/>
        <w:ind w:left="0" w:firstLine="0"/>
      </w:pPr>
      <w:r>
        <w:rPr>
          <w:rStyle w:val="FootnoteReference"/>
        </w:rPr>
        <w:footnoteRef/>
      </w:r>
      <w:r>
        <w:t xml:space="preserve"> Regulamentul (UE, Euratom) 2024/765 al Consiliului din 29 februarie 2024 de modificare a Regulamentului (UE, Euratom) 2020/2093 de stabilire a cadrului financiar multianual pentru perioada 2021-2027.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7E500" w14:textId="77777777" w:rsidR="008B72C5" w:rsidRPr="008B72C5" w:rsidRDefault="008B72C5" w:rsidP="008B72C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F6965" w14:textId="77777777" w:rsidR="008B72C5" w:rsidRPr="008B72C5" w:rsidRDefault="008B72C5" w:rsidP="008B72C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39A87" w14:textId="77777777" w:rsidR="008B72C5" w:rsidRPr="008B72C5" w:rsidRDefault="008B72C5" w:rsidP="008B72C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B7136" w14:textId="77777777" w:rsidR="00D83001" w:rsidRPr="005266DD" w:rsidRDefault="00D830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FC480" w14:textId="77777777" w:rsidR="00D83001" w:rsidRPr="005266DD" w:rsidRDefault="00D830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49CBD" w14:textId="77777777" w:rsidR="00D83001" w:rsidRPr="005266DD" w:rsidRDefault="00D830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090ED" w14:textId="77777777" w:rsidR="009E211F" w:rsidRPr="005266DD" w:rsidRDefault="009E211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430DC" w14:textId="77777777" w:rsidR="009E211F" w:rsidRPr="005266DD" w:rsidRDefault="009E211F" w:rsidP="00175A30">
    <w:pPr>
      <w:pStyle w:val="Header"/>
      <w:jc w:val="right"/>
      <w:rPr>
        <w:color w:val="C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52717" w14:textId="77777777" w:rsidR="009E211F" w:rsidRPr="005266DD" w:rsidRDefault="009E2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E273A"/>
    <w:multiLevelType w:val="multilevel"/>
    <w:tmpl w:val="0ABC33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20B7201"/>
    <w:multiLevelType w:val="multilevel"/>
    <w:tmpl w:val="7450BC3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48A397D"/>
    <w:multiLevelType w:val="hybridMultilevel"/>
    <w:tmpl w:val="4104872C"/>
    <w:lvl w:ilvl="0" w:tplc="44A82D3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1B704A39"/>
    <w:multiLevelType w:val="hybridMultilevel"/>
    <w:tmpl w:val="A9A81584"/>
    <w:lvl w:ilvl="0" w:tplc="3A983DD6">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15:restartNumberingAfterBreak="0">
    <w:nsid w:val="23937C68"/>
    <w:multiLevelType w:val="hybridMultilevel"/>
    <w:tmpl w:val="6234F87A"/>
    <w:lvl w:ilvl="0" w:tplc="1809000D">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2ABD56D8"/>
    <w:multiLevelType w:val="hybridMultilevel"/>
    <w:tmpl w:val="ED78B80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7" w15:restartNumberingAfterBreak="0">
    <w:nsid w:val="2D4569BF"/>
    <w:multiLevelType w:val="hybridMultilevel"/>
    <w:tmpl w:val="2BE20414"/>
    <w:lvl w:ilvl="0" w:tplc="18090001">
      <w:start w:val="1"/>
      <w:numFmt w:val="bullet"/>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759676B"/>
    <w:multiLevelType w:val="hybridMultilevel"/>
    <w:tmpl w:val="396E9A0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8B2142D"/>
    <w:multiLevelType w:val="hybridMultilevel"/>
    <w:tmpl w:val="75F6FB62"/>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1" w15:restartNumberingAfterBreak="0">
    <w:nsid w:val="4D847634"/>
    <w:multiLevelType w:val="hybridMultilevel"/>
    <w:tmpl w:val="81FAEEA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 w15:restartNumberingAfterBreak="0">
    <w:nsid w:val="4DED33DB"/>
    <w:multiLevelType w:val="hybridMultilevel"/>
    <w:tmpl w:val="D13A5070"/>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13" w15:restartNumberingAfterBreak="0">
    <w:nsid w:val="533B4849"/>
    <w:multiLevelType w:val="hybridMultilevel"/>
    <w:tmpl w:val="C4766E66"/>
    <w:lvl w:ilvl="0" w:tplc="44A82D30">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55F13CB7"/>
    <w:multiLevelType w:val="hybridMultilevel"/>
    <w:tmpl w:val="F192EE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C433811"/>
    <w:multiLevelType w:val="hybridMultilevel"/>
    <w:tmpl w:val="472A9FB4"/>
    <w:lvl w:ilvl="0" w:tplc="1809000B">
      <w:start w:val="1"/>
      <w:numFmt w:val="bullet"/>
      <w:lvlText w:val=""/>
      <w:lvlJc w:val="left"/>
      <w:pPr>
        <w:ind w:left="1571" w:hanging="360"/>
      </w:pPr>
      <w:rPr>
        <w:rFonts w:ascii="Wingdings" w:hAnsi="Wingdings"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6" w15:restartNumberingAfterBreak="0">
    <w:nsid w:val="5E7B688C"/>
    <w:multiLevelType w:val="hybridMultilevel"/>
    <w:tmpl w:val="1E063DF4"/>
    <w:lvl w:ilvl="0" w:tplc="0809000B">
      <w:start w:val="1"/>
      <w:numFmt w:val="bullet"/>
      <w:lvlText w:val=""/>
      <w:lvlJc w:val="left"/>
      <w:pPr>
        <w:ind w:left="1931" w:hanging="360"/>
      </w:pPr>
      <w:rPr>
        <w:rFonts w:ascii="Wingdings" w:hAnsi="Wingdings" w:hint="default"/>
      </w:rPr>
    </w:lvl>
    <w:lvl w:ilvl="1" w:tplc="08090003" w:tentative="1">
      <w:start w:val="1"/>
      <w:numFmt w:val="bullet"/>
      <w:lvlText w:val="o"/>
      <w:lvlJc w:val="left"/>
      <w:pPr>
        <w:ind w:left="2651" w:hanging="360"/>
      </w:pPr>
      <w:rPr>
        <w:rFonts w:ascii="Courier New" w:hAnsi="Courier New" w:cs="Courier New" w:hint="default"/>
      </w:rPr>
    </w:lvl>
    <w:lvl w:ilvl="2" w:tplc="08090005" w:tentative="1">
      <w:start w:val="1"/>
      <w:numFmt w:val="bullet"/>
      <w:lvlText w:val=""/>
      <w:lvlJc w:val="left"/>
      <w:pPr>
        <w:ind w:left="3371" w:hanging="360"/>
      </w:pPr>
      <w:rPr>
        <w:rFonts w:ascii="Wingdings" w:hAnsi="Wingdings" w:hint="default"/>
      </w:rPr>
    </w:lvl>
    <w:lvl w:ilvl="3" w:tplc="08090001" w:tentative="1">
      <w:start w:val="1"/>
      <w:numFmt w:val="bullet"/>
      <w:lvlText w:val=""/>
      <w:lvlJc w:val="left"/>
      <w:pPr>
        <w:ind w:left="4091" w:hanging="360"/>
      </w:pPr>
      <w:rPr>
        <w:rFonts w:ascii="Symbol" w:hAnsi="Symbol" w:hint="default"/>
      </w:rPr>
    </w:lvl>
    <w:lvl w:ilvl="4" w:tplc="08090003" w:tentative="1">
      <w:start w:val="1"/>
      <w:numFmt w:val="bullet"/>
      <w:lvlText w:val="o"/>
      <w:lvlJc w:val="left"/>
      <w:pPr>
        <w:ind w:left="4811" w:hanging="360"/>
      </w:pPr>
      <w:rPr>
        <w:rFonts w:ascii="Courier New" w:hAnsi="Courier New" w:cs="Courier New" w:hint="default"/>
      </w:rPr>
    </w:lvl>
    <w:lvl w:ilvl="5" w:tplc="08090005" w:tentative="1">
      <w:start w:val="1"/>
      <w:numFmt w:val="bullet"/>
      <w:lvlText w:val=""/>
      <w:lvlJc w:val="left"/>
      <w:pPr>
        <w:ind w:left="5531" w:hanging="360"/>
      </w:pPr>
      <w:rPr>
        <w:rFonts w:ascii="Wingdings" w:hAnsi="Wingdings" w:hint="default"/>
      </w:rPr>
    </w:lvl>
    <w:lvl w:ilvl="6" w:tplc="08090001" w:tentative="1">
      <w:start w:val="1"/>
      <w:numFmt w:val="bullet"/>
      <w:lvlText w:val=""/>
      <w:lvlJc w:val="left"/>
      <w:pPr>
        <w:ind w:left="6251" w:hanging="360"/>
      </w:pPr>
      <w:rPr>
        <w:rFonts w:ascii="Symbol" w:hAnsi="Symbol" w:hint="default"/>
      </w:rPr>
    </w:lvl>
    <w:lvl w:ilvl="7" w:tplc="08090003" w:tentative="1">
      <w:start w:val="1"/>
      <w:numFmt w:val="bullet"/>
      <w:lvlText w:val="o"/>
      <w:lvlJc w:val="left"/>
      <w:pPr>
        <w:ind w:left="6971" w:hanging="360"/>
      </w:pPr>
      <w:rPr>
        <w:rFonts w:ascii="Courier New" w:hAnsi="Courier New" w:cs="Courier New" w:hint="default"/>
      </w:rPr>
    </w:lvl>
    <w:lvl w:ilvl="8" w:tplc="08090005" w:tentative="1">
      <w:start w:val="1"/>
      <w:numFmt w:val="bullet"/>
      <w:lvlText w:val=""/>
      <w:lvlJc w:val="left"/>
      <w:pPr>
        <w:ind w:left="7691" w:hanging="360"/>
      </w:pPr>
      <w:rPr>
        <w:rFonts w:ascii="Wingdings" w:hAnsi="Wingdings" w:hint="default"/>
      </w:rPr>
    </w:lvl>
  </w:abstractNum>
  <w:abstractNum w:abstractNumId="17" w15:restartNumberingAfterBreak="0">
    <w:nsid w:val="61181525"/>
    <w:multiLevelType w:val="hybridMultilevel"/>
    <w:tmpl w:val="C38E94E2"/>
    <w:lvl w:ilvl="0" w:tplc="1809000B">
      <w:start w:val="1"/>
      <w:numFmt w:val="bullet"/>
      <w:lvlText w:val=""/>
      <w:lvlJc w:val="left"/>
      <w:pPr>
        <w:ind w:left="1570" w:hanging="360"/>
      </w:pPr>
      <w:rPr>
        <w:rFonts w:ascii="Wingdings" w:hAnsi="Wingdings"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18"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F752506"/>
    <w:multiLevelType w:val="hybridMultilevel"/>
    <w:tmpl w:val="599048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9DF268A"/>
    <w:multiLevelType w:val="hybridMultilevel"/>
    <w:tmpl w:val="5A14381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4891765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39155820">
    <w:abstractNumId w:val="8"/>
    <w:lvlOverride w:ilvl="0">
      <w:startOverride w:val="1"/>
    </w:lvlOverride>
  </w:num>
  <w:num w:numId="3" w16cid:durableId="18829346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03044704">
    <w:abstractNumId w:val="16"/>
  </w:num>
  <w:num w:numId="5" w16cid:durableId="6125182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264569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5158667">
    <w:abstractNumId w:val="10"/>
  </w:num>
  <w:num w:numId="8" w16cid:durableId="21329672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139480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5312765">
    <w:abstractNumId w:val="4"/>
  </w:num>
  <w:num w:numId="11" w16cid:durableId="895312349">
    <w:abstractNumId w:val="6"/>
  </w:num>
  <w:num w:numId="12" w16cid:durableId="1342243471">
    <w:abstractNumId w:val="15"/>
  </w:num>
  <w:num w:numId="13" w16cid:durableId="1421751903">
    <w:abstractNumId w:val="17"/>
  </w:num>
  <w:num w:numId="14" w16cid:durableId="1331175486">
    <w:abstractNumId w:val="0"/>
  </w:num>
  <w:num w:numId="15" w16cid:durableId="432557478">
    <w:abstractNumId w:val="7"/>
  </w:num>
  <w:num w:numId="16" w16cid:durableId="560756214">
    <w:abstractNumId w:val="11"/>
  </w:num>
  <w:num w:numId="17" w16cid:durableId="237061050">
    <w:abstractNumId w:val="9"/>
  </w:num>
  <w:num w:numId="18" w16cid:durableId="221327569">
    <w:abstractNumId w:val="12"/>
  </w:num>
  <w:num w:numId="19" w16cid:durableId="1005128043">
    <w:abstractNumId w:val="3"/>
  </w:num>
  <w:num w:numId="20" w16cid:durableId="332031208">
    <w:abstractNumId w:val="2"/>
  </w:num>
  <w:num w:numId="21" w16cid:durableId="2121603729">
    <w:abstractNumId w:val="1"/>
  </w:num>
  <w:num w:numId="22" w16cid:durableId="710694767">
    <w:abstractNumId w:val="13"/>
  </w:num>
  <w:num w:numId="23" w16cid:durableId="1373766481">
    <w:abstractNumId w:val="19"/>
  </w:num>
  <w:num w:numId="24" w16cid:durableId="268243419">
    <w:abstractNumId w:val="5"/>
  </w:num>
  <w:num w:numId="25" w16cid:durableId="1084180291">
    <w:abstractNumId w:val="14"/>
  </w:num>
  <w:num w:numId="26" w16cid:durableId="242573650">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9AD89F46-497B-49E3-82D1-C33AC8169B5F"/>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1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Raport anual privind Fondul de solidaritate al Uniunii Europene pentru 2024"/>
    <w:docVar w:name="LW_TYPE.DOC.CP" w:val="RAPORT AL COMISIEI C\u258?TRE PARLAMENTUL EUROPEAN \u536?I CONSILIU"/>
    <w:docVar w:name="LwApiVersions" w:val="LW4CoDe 1.24.5.0; LW 9.2, Build 20251112"/>
  </w:docVars>
  <w:rsids>
    <w:rsidRoot w:val="00681F80"/>
    <w:rsid w:val="0000057F"/>
    <w:rsid w:val="000006CC"/>
    <w:rsid w:val="00000FF2"/>
    <w:rsid w:val="00007D78"/>
    <w:rsid w:val="00010CA7"/>
    <w:rsid w:val="00011D8C"/>
    <w:rsid w:val="00012295"/>
    <w:rsid w:val="00012C4D"/>
    <w:rsid w:val="000150ED"/>
    <w:rsid w:val="00015E07"/>
    <w:rsid w:val="00016898"/>
    <w:rsid w:val="000172C7"/>
    <w:rsid w:val="00021BD2"/>
    <w:rsid w:val="00021E68"/>
    <w:rsid w:val="0002234C"/>
    <w:rsid w:val="00023136"/>
    <w:rsid w:val="00023B02"/>
    <w:rsid w:val="00027BD9"/>
    <w:rsid w:val="000303F1"/>
    <w:rsid w:val="0003148F"/>
    <w:rsid w:val="0003175D"/>
    <w:rsid w:val="00031DB6"/>
    <w:rsid w:val="0003259F"/>
    <w:rsid w:val="0003585F"/>
    <w:rsid w:val="000370D2"/>
    <w:rsid w:val="00040642"/>
    <w:rsid w:val="000409AE"/>
    <w:rsid w:val="00041DB3"/>
    <w:rsid w:val="000436F5"/>
    <w:rsid w:val="0004469F"/>
    <w:rsid w:val="00044F19"/>
    <w:rsid w:val="0004588A"/>
    <w:rsid w:val="00046DBC"/>
    <w:rsid w:val="00050192"/>
    <w:rsid w:val="000504EA"/>
    <w:rsid w:val="0005364C"/>
    <w:rsid w:val="00055BBC"/>
    <w:rsid w:val="00055FB3"/>
    <w:rsid w:val="0005611B"/>
    <w:rsid w:val="00056E3D"/>
    <w:rsid w:val="00060877"/>
    <w:rsid w:val="0006326F"/>
    <w:rsid w:val="00063288"/>
    <w:rsid w:val="0006737C"/>
    <w:rsid w:val="000674F4"/>
    <w:rsid w:val="000675E3"/>
    <w:rsid w:val="00072F6A"/>
    <w:rsid w:val="0007503B"/>
    <w:rsid w:val="00076AFE"/>
    <w:rsid w:val="00076DA6"/>
    <w:rsid w:val="00077DCB"/>
    <w:rsid w:val="00082004"/>
    <w:rsid w:val="00082315"/>
    <w:rsid w:val="00084B91"/>
    <w:rsid w:val="0008755A"/>
    <w:rsid w:val="0009000C"/>
    <w:rsid w:val="00095D21"/>
    <w:rsid w:val="000968B2"/>
    <w:rsid w:val="000976B7"/>
    <w:rsid w:val="000A291E"/>
    <w:rsid w:val="000B0C79"/>
    <w:rsid w:val="000B1A0D"/>
    <w:rsid w:val="000B1D56"/>
    <w:rsid w:val="000B3F62"/>
    <w:rsid w:val="000B5B2D"/>
    <w:rsid w:val="000B5B4D"/>
    <w:rsid w:val="000B7AE4"/>
    <w:rsid w:val="000B7DF7"/>
    <w:rsid w:val="000C0F80"/>
    <w:rsid w:val="000C28AA"/>
    <w:rsid w:val="000C2BE1"/>
    <w:rsid w:val="000C2F8C"/>
    <w:rsid w:val="000C316A"/>
    <w:rsid w:val="000C3F05"/>
    <w:rsid w:val="000C40D8"/>
    <w:rsid w:val="000C47DF"/>
    <w:rsid w:val="000C4A28"/>
    <w:rsid w:val="000C5CBB"/>
    <w:rsid w:val="000C6141"/>
    <w:rsid w:val="000C6253"/>
    <w:rsid w:val="000D1D47"/>
    <w:rsid w:val="000D2391"/>
    <w:rsid w:val="000D28A1"/>
    <w:rsid w:val="000D57F9"/>
    <w:rsid w:val="000D61DA"/>
    <w:rsid w:val="000E1752"/>
    <w:rsid w:val="000E2839"/>
    <w:rsid w:val="000E32FC"/>
    <w:rsid w:val="000E3A4F"/>
    <w:rsid w:val="000E3DD1"/>
    <w:rsid w:val="000E499F"/>
    <w:rsid w:val="000E5247"/>
    <w:rsid w:val="000E59B5"/>
    <w:rsid w:val="000E61B8"/>
    <w:rsid w:val="000F11D5"/>
    <w:rsid w:val="000F6608"/>
    <w:rsid w:val="000F772C"/>
    <w:rsid w:val="0010236F"/>
    <w:rsid w:val="00102F81"/>
    <w:rsid w:val="0010468B"/>
    <w:rsid w:val="0010492F"/>
    <w:rsid w:val="0010574C"/>
    <w:rsid w:val="001079A0"/>
    <w:rsid w:val="00107B99"/>
    <w:rsid w:val="0011198B"/>
    <w:rsid w:val="0011226B"/>
    <w:rsid w:val="00113278"/>
    <w:rsid w:val="00113E31"/>
    <w:rsid w:val="00114F08"/>
    <w:rsid w:val="001176F2"/>
    <w:rsid w:val="001177D2"/>
    <w:rsid w:val="00120E1B"/>
    <w:rsid w:val="00122029"/>
    <w:rsid w:val="001226CC"/>
    <w:rsid w:val="00122BCD"/>
    <w:rsid w:val="00123C65"/>
    <w:rsid w:val="001243B2"/>
    <w:rsid w:val="001263E5"/>
    <w:rsid w:val="00126DAF"/>
    <w:rsid w:val="001270E6"/>
    <w:rsid w:val="00127365"/>
    <w:rsid w:val="00127415"/>
    <w:rsid w:val="001279E0"/>
    <w:rsid w:val="00131493"/>
    <w:rsid w:val="0013187B"/>
    <w:rsid w:val="0013333F"/>
    <w:rsid w:val="0013335E"/>
    <w:rsid w:val="00133BCC"/>
    <w:rsid w:val="00133D59"/>
    <w:rsid w:val="00134891"/>
    <w:rsid w:val="00134986"/>
    <w:rsid w:val="0013519B"/>
    <w:rsid w:val="00135608"/>
    <w:rsid w:val="00137578"/>
    <w:rsid w:val="0013780E"/>
    <w:rsid w:val="00141B12"/>
    <w:rsid w:val="00142A3E"/>
    <w:rsid w:val="00143213"/>
    <w:rsid w:val="00144DA1"/>
    <w:rsid w:val="00144E83"/>
    <w:rsid w:val="00144F45"/>
    <w:rsid w:val="00145516"/>
    <w:rsid w:val="00145E9B"/>
    <w:rsid w:val="00150889"/>
    <w:rsid w:val="00151EF9"/>
    <w:rsid w:val="001537C7"/>
    <w:rsid w:val="00155827"/>
    <w:rsid w:val="00157BB9"/>
    <w:rsid w:val="00160C54"/>
    <w:rsid w:val="00161514"/>
    <w:rsid w:val="00162A11"/>
    <w:rsid w:val="00166776"/>
    <w:rsid w:val="00166C0B"/>
    <w:rsid w:val="00166EC5"/>
    <w:rsid w:val="00167400"/>
    <w:rsid w:val="00171A6D"/>
    <w:rsid w:val="00175485"/>
    <w:rsid w:val="00175A30"/>
    <w:rsid w:val="001778E0"/>
    <w:rsid w:val="0018036F"/>
    <w:rsid w:val="00180551"/>
    <w:rsid w:val="00180B0A"/>
    <w:rsid w:val="001817B6"/>
    <w:rsid w:val="00183050"/>
    <w:rsid w:val="00184329"/>
    <w:rsid w:val="00184440"/>
    <w:rsid w:val="0018501D"/>
    <w:rsid w:val="00185B07"/>
    <w:rsid w:val="001874BA"/>
    <w:rsid w:val="001875E4"/>
    <w:rsid w:val="00191BA8"/>
    <w:rsid w:val="00192778"/>
    <w:rsid w:val="00192AD4"/>
    <w:rsid w:val="00192BC0"/>
    <w:rsid w:val="001936CF"/>
    <w:rsid w:val="001951D0"/>
    <w:rsid w:val="00195236"/>
    <w:rsid w:val="00195560"/>
    <w:rsid w:val="001956A6"/>
    <w:rsid w:val="001958ED"/>
    <w:rsid w:val="001966DB"/>
    <w:rsid w:val="00197422"/>
    <w:rsid w:val="001A055F"/>
    <w:rsid w:val="001A08A6"/>
    <w:rsid w:val="001A0D0E"/>
    <w:rsid w:val="001A187F"/>
    <w:rsid w:val="001A3CC1"/>
    <w:rsid w:val="001A4282"/>
    <w:rsid w:val="001A6850"/>
    <w:rsid w:val="001A6968"/>
    <w:rsid w:val="001A7937"/>
    <w:rsid w:val="001B0316"/>
    <w:rsid w:val="001B0D8B"/>
    <w:rsid w:val="001B1B3B"/>
    <w:rsid w:val="001B2EB9"/>
    <w:rsid w:val="001B328B"/>
    <w:rsid w:val="001B3430"/>
    <w:rsid w:val="001B46F0"/>
    <w:rsid w:val="001B4B36"/>
    <w:rsid w:val="001B5EBC"/>
    <w:rsid w:val="001B7A0C"/>
    <w:rsid w:val="001C2677"/>
    <w:rsid w:val="001C2A1A"/>
    <w:rsid w:val="001C4367"/>
    <w:rsid w:val="001C520C"/>
    <w:rsid w:val="001C7FAD"/>
    <w:rsid w:val="001D071C"/>
    <w:rsid w:val="001D14DA"/>
    <w:rsid w:val="001D3F18"/>
    <w:rsid w:val="001D4DCA"/>
    <w:rsid w:val="001D5162"/>
    <w:rsid w:val="001D5915"/>
    <w:rsid w:val="001D7CD1"/>
    <w:rsid w:val="001E04FE"/>
    <w:rsid w:val="001E0612"/>
    <w:rsid w:val="001E0F8E"/>
    <w:rsid w:val="001E18CD"/>
    <w:rsid w:val="001E1E8D"/>
    <w:rsid w:val="001E245B"/>
    <w:rsid w:val="001E2E0B"/>
    <w:rsid w:val="001E368F"/>
    <w:rsid w:val="001E42E3"/>
    <w:rsid w:val="001E50FE"/>
    <w:rsid w:val="001E5E25"/>
    <w:rsid w:val="001E63B2"/>
    <w:rsid w:val="001E668D"/>
    <w:rsid w:val="001E725D"/>
    <w:rsid w:val="001F12CC"/>
    <w:rsid w:val="001F12D0"/>
    <w:rsid w:val="001F27D5"/>
    <w:rsid w:val="001F2848"/>
    <w:rsid w:val="002013BC"/>
    <w:rsid w:val="00201499"/>
    <w:rsid w:val="00202642"/>
    <w:rsid w:val="0020453E"/>
    <w:rsid w:val="00206189"/>
    <w:rsid w:val="002071DE"/>
    <w:rsid w:val="0020752C"/>
    <w:rsid w:val="00207855"/>
    <w:rsid w:val="00210EDE"/>
    <w:rsid w:val="002115B9"/>
    <w:rsid w:val="00214F70"/>
    <w:rsid w:val="00221398"/>
    <w:rsid w:val="00221F61"/>
    <w:rsid w:val="00222D77"/>
    <w:rsid w:val="0022310A"/>
    <w:rsid w:val="00223C3D"/>
    <w:rsid w:val="00224236"/>
    <w:rsid w:val="0022426D"/>
    <w:rsid w:val="00225A6F"/>
    <w:rsid w:val="0022675A"/>
    <w:rsid w:val="002271A6"/>
    <w:rsid w:val="00231FEA"/>
    <w:rsid w:val="00232AF4"/>
    <w:rsid w:val="00235609"/>
    <w:rsid w:val="0023629C"/>
    <w:rsid w:val="002369B5"/>
    <w:rsid w:val="00236E54"/>
    <w:rsid w:val="00237767"/>
    <w:rsid w:val="0024027D"/>
    <w:rsid w:val="002432D5"/>
    <w:rsid w:val="002445C9"/>
    <w:rsid w:val="002447FF"/>
    <w:rsid w:val="002473F3"/>
    <w:rsid w:val="00247B35"/>
    <w:rsid w:val="00250488"/>
    <w:rsid w:val="00250CDC"/>
    <w:rsid w:val="00251109"/>
    <w:rsid w:val="00255C96"/>
    <w:rsid w:val="0025656D"/>
    <w:rsid w:val="002568AE"/>
    <w:rsid w:val="00260344"/>
    <w:rsid w:val="002603A2"/>
    <w:rsid w:val="0026056E"/>
    <w:rsid w:val="002651CE"/>
    <w:rsid w:val="002657D2"/>
    <w:rsid w:val="00265D6E"/>
    <w:rsid w:val="0027083D"/>
    <w:rsid w:val="002724B2"/>
    <w:rsid w:val="00274129"/>
    <w:rsid w:val="00276B58"/>
    <w:rsid w:val="00276F17"/>
    <w:rsid w:val="00277123"/>
    <w:rsid w:val="00277803"/>
    <w:rsid w:val="00277D7B"/>
    <w:rsid w:val="002829AE"/>
    <w:rsid w:val="00283809"/>
    <w:rsid w:val="00283DA8"/>
    <w:rsid w:val="002850F6"/>
    <w:rsid w:val="002865D8"/>
    <w:rsid w:val="00286BEB"/>
    <w:rsid w:val="00286FF0"/>
    <w:rsid w:val="002913D6"/>
    <w:rsid w:val="0029315F"/>
    <w:rsid w:val="00295A08"/>
    <w:rsid w:val="00295F17"/>
    <w:rsid w:val="0029615B"/>
    <w:rsid w:val="00296BC8"/>
    <w:rsid w:val="002A0F43"/>
    <w:rsid w:val="002A3E39"/>
    <w:rsid w:val="002A71BA"/>
    <w:rsid w:val="002B0B2E"/>
    <w:rsid w:val="002B12A2"/>
    <w:rsid w:val="002B2CFB"/>
    <w:rsid w:val="002B416C"/>
    <w:rsid w:val="002B4973"/>
    <w:rsid w:val="002B4F32"/>
    <w:rsid w:val="002B53A9"/>
    <w:rsid w:val="002B5784"/>
    <w:rsid w:val="002B5B0F"/>
    <w:rsid w:val="002B6DE4"/>
    <w:rsid w:val="002B793E"/>
    <w:rsid w:val="002C1EA8"/>
    <w:rsid w:val="002C2012"/>
    <w:rsid w:val="002C2A6A"/>
    <w:rsid w:val="002C3793"/>
    <w:rsid w:val="002C3B30"/>
    <w:rsid w:val="002C47F7"/>
    <w:rsid w:val="002C6FBD"/>
    <w:rsid w:val="002D1156"/>
    <w:rsid w:val="002D1DC8"/>
    <w:rsid w:val="002D2568"/>
    <w:rsid w:val="002D2E57"/>
    <w:rsid w:val="002D2E81"/>
    <w:rsid w:val="002D3E52"/>
    <w:rsid w:val="002D42B5"/>
    <w:rsid w:val="002D5B07"/>
    <w:rsid w:val="002E0926"/>
    <w:rsid w:val="002E19C1"/>
    <w:rsid w:val="002E2653"/>
    <w:rsid w:val="002E2C74"/>
    <w:rsid w:val="002E5202"/>
    <w:rsid w:val="002E5A98"/>
    <w:rsid w:val="002E5D9D"/>
    <w:rsid w:val="002F059A"/>
    <w:rsid w:val="002F0D6B"/>
    <w:rsid w:val="002F23F3"/>
    <w:rsid w:val="002F4DDF"/>
    <w:rsid w:val="002F5FE3"/>
    <w:rsid w:val="00301E4B"/>
    <w:rsid w:val="00302957"/>
    <w:rsid w:val="00310559"/>
    <w:rsid w:val="00310693"/>
    <w:rsid w:val="00311B08"/>
    <w:rsid w:val="00311F90"/>
    <w:rsid w:val="0031259D"/>
    <w:rsid w:val="00314652"/>
    <w:rsid w:val="00314C71"/>
    <w:rsid w:val="003217C7"/>
    <w:rsid w:val="00322404"/>
    <w:rsid w:val="00322B15"/>
    <w:rsid w:val="00324548"/>
    <w:rsid w:val="00325155"/>
    <w:rsid w:val="00331703"/>
    <w:rsid w:val="0033232F"/>
    <w:rsid w:val="0033240C"/>
    <w:rsid w:val="00332735"/>
    <w:rsid w:val="003369D2"/>
    <w:rsid w:val="00341491"/>
    <w:rsid w:val="0034279D"/>
    <w:rsid w:val="00342DE4"/>
    <w:rsid w:val="003432E5"/>
    <w:rsid w:val="003437A5"/>
    <w:rsid w:val="00343E27"/>
    <w:rsid w:val="003460AC"/>
    <w:rsid w:val="0034735F"/>
    <w:rsid w:val="00351A36"/>
    <w:rsid w:val="00351D5A"/>
    <w:rsid w:val="00352EB0"/>
    <w:rsid w:val="00353D4C"/>
    <w:rsid w:val="003559FC"/>
    <w:rsid w:val="0036044A"/>
    <w:rsid w:val="00362A23"/>
    <w:rsid w:val="003630D9"/>
    <w:rsid w:val="00363D96"/>
    <w:rsid w:val="003652E1"/>
    <w:rsid w:val="00370000"/>
    <w:rsid w:val="00371085"/>
    <w:rsid w:val="00371F2D"/>
    <w:rsid w:val="003754A9"/>
    <w:rsid w:val="0037588F"/>
    <w:rsid w:val="00375BE5"/>
    <w:rsid w:val="0037765F"/>
    <w:rsid w:val="00377A44"/>
    <w:rsid w:val="0038034B"/>
    <w:rsid w:val="00383895"/>
    <w:rsid w:val="003839EB"/>
    <w:rsid w:val="00384174"/>
    <w:rsid w:val="003849B5"/>
    <w:rsid w:val="00384A3F"/>
    <w:rsid w:val="00385798"/>
    <w:rsid w:val="0038622C"/>
    <w:rsid w:val="00387493"/>
    <w:rsid w:val="003901B5"/>
    <w:rsid w:val="00390B07"/>
    <w:rsid w:val="00390B6F"/>
    <w:rsid w:val="00390B83"/>
    <w:rsid w:val="00391337"/>
    <w:rsid w:val="00392F19"/>
    <w:rsid w:val="0039487E"/>
    <w:rsid w:val="00394FF4"/>
    <w:rsid w:val="00396C2E"/>
    <w:rsid w:val="00397AEA"/>
    <w:rsid w:val="003A070F"/>
    <w:rsid w:val="003A0B4F"/>
    <w:rsid w:val="003A1088"/>
    <w:rsid w:val="003A11DD"/>
    <w:rsid w:val="003A1B79"/>
    <w:rsid w:val="003A3E6A"/>
    <w:rsid w:val="003A5407"/>
    <w:rsid w:val="003A6145"/>
    <w:rsid w:val="003B0302"/>
    <w:rsid w:val="003B3509"/>
    <w:rsid w:val="003B50C1"/>
    <w:rsid w:val="003B673F"/>
    <w:rsid w:val="003B6FFA"/>
    <w:rsid w:val="003C0FD1"/>
    <w:rsid w:val="003C1D14"/>
    <w:rsid w:val="003C5BA8"/>
    <w:rsid w:val="003C5E80"/>
    <w:rsid w:val="003C62FA"/>
    <w:rsid w:val="003C6B53"/>
    <w:rsid w:val="003C79D7"/>
    <w:rsid w:val="003D0F2F"/>
    <w:rsid w:val="003D10F6"/>
    <w:rsid w:val="003D162D"/>
    <w:rsid w:val="003D2221"/>
    <w:rsid w:val="003D381B"/>
    <w:rsid w:val="003D3CB9"/>
    <w:rsid w:val="003D4A5A"/>
    <w:rsid w:val="003D58AF"/>
    <w:rsid w:val="003E08E3"/>
    <w:rsid w:val="003E0E6D"/>
    <w:rsid w:val="003E2D97"/>
    <w:rsid w:val="003E2EEB"/>
    <w:rsid w:val="003E40AB"/>
    <w:rsid w:val="003E48CC"/>
    <w:rsid w:val="003E4BB8"/>
    <w:rsid w:val="003E4F33"/>
    <w:rsid w:val="003E64BE"/>
    <w:rsid w:val="003F0FBB"/>
    <w:rsid w:val="003F20BF"/>
    <w:rsid w:val="003F2168"/>
    <w:rsid w:val="003F2C63"/>
    <w:rsid w:val="003F545F"/>
    <w:rsid w:val="003F6300"/>
    <w:rsid w:val="003F65D2"/>
    <w:rsid w:val="003F6602"/>
    <w:rsid w:val="003F6ABD"/>
    <w:rsid w:val="003F6B55"/>
    <w:rsid w:val="003F7C09"/>
    <w:rsid w:val="00401B87"/>
    <w:rsid w:val="004020B1"/>
    <w:rsid w:val="00403035"/>
    <w:rsid w:val="00403E7D"/>
    <w:rsid w:val="0040668E"/>
    <w:rsid w:val="00406FCA"/>
    <w:rsid w:val="00407E39"/>
    <w:rsid w:val="00411662"/>
    <w:rsid w:val="00411C78"/>
    <w:rsid w:val="0041214C"/>
    <w:rsid w:val="0041266F"/>
    <w:rsid w:val="00413F48"/>
    <w:rsid w:val="00415991"/>
    <w:rsid w:val="00415BB1"/>
    <w:rsid w:val="004216D1"/>
    <w:rsid w:val="004223AA"/>
    <w:rsid w:val="00424ED8"/>
    <w:rsid w:val="00426058"/>
    <w:rsid w:val="004304E9"/>
    <w:rsid w:val="0043333C"/>
    <w:rsid w:val="00433DE6"/>
    <w:rsid w:val="00435A00"/>
    <w:rsid w:val="00435DE6"/>
    <w:rsid w:val="00436566"/>
    <w:rsid w:val="00437668"/>
    <w:rsid w:val="00437D08"/>
    <w:rsid w:val="0044073C"/>
    <w:rsid w:val="00440BF4"/>
    <w:rsid w:val="00441968"/>
    <w:rsid w:val="0044212F"/>
    <w:rsid w:val="00442598"/>
    <w:rsid w:val="00443359"/>
    <w:rsid w:val="00445762"/>
    <w:rsid w:val="004505E6"/>
    <w:rsid w:val="0045315D"/>
    <w:rsid w:val="00454071"/>
    <w:rsid w:val="00454D74"/>
    <w:rsid w:val="00455BA3"/>
    <w:rsid w:val="00463588"/>
    <w:rsid w:val="00464F46"/>
    <w:rsid w:val="00466725"/>
    <w:rsid w:val="004677F1"/>
    <w:rsid w:val="004679AC"/>
    <w:rsid w:val="004717F5"/>
    <w:rsid w:val="004719C8"/>
    <w:rsid w:val="00472D5A"/>
    <w:rsid w:val="00475889"/>
    <w:rsid w:val="00475A2B"/>
    <w:rsid w:val="00475B4C"/>
    <w:rsid w:val="004766C1"/>
    <w:rsid w:val="00476A0A"/>
    <w:rsid w:val="00477626"/>
    <w:rsid w:val="00483103"/>
    <w:rsid w:val="004859B5"/>
    <w:rsid w:val="004859D2"/>
    <w:rsid w:val="004908B8"/>
    <w:rsid w:val="00491989"/>
    <w:rsid w:val="00491D6D"/>
    <w:rsid w:val="00492527"/>
    <w:rsid w:val="00495C09"/>
    <w:rsid w:val="00495D2A"/>
    <w:rsid w:val="00496560"/>
    <w:rsid w:val="004A1D9E"/>
    <w:rsid w:val="004A47EA"/>
    <w:rsid w:val="004A4E28"/>
    <w:rsid w:val="004A5290"/>
    <w:rsid w:val="004A5C64"/>
    <w:rsid w:val="004A5CF5"/>
    <w:rsid w:val="004A67E3"/>
    <w:rsid w:val="004B4D87"/>
    <w:rsid w:val="004B7129"/>
    <w:rsid w:val="004B7C4D"/>
    <w:rsid w:val="004C0243"/>
    <w:rsid w:val="004C1617"/>
    <w:rsid w:val="004C37F4"/>
    <w:rsid w:val="004C39F9"/>
    <w:rsid w:val="004C5A60"/>
    <w:rsid w:val="004C63AA"/>
    <w:rsid w:val="004C66B5"/>
    <w:rsid w:val="004D0AEF"/>
    <w:rsid w:val="004D0B38"/>
    <w:rsid w:val="004D2033"/>
    <w:rsid w:val="004D41B4"/>
    <w:rsid w:val="004D43E0"/>
    <w:rsid w:val="004D7544"/>
    <w:rsid w:val="004E0FEF"/>
    <w:rsid w:val="004E226E"/>
    <w:rsid w:val="004E22C0"/>
    <w:rsid w:val="004E4187"/>
    <w:rsid w:val="004E4F7E"/>
    <w:rsid w:val="004E524D"/>
    <w:rsid w:val="004E529D"/>
    <w:rsid w:val="004E7E3C"/>
    <w:rsid w:val="004F11BE"/>
    <w:rsid w:val="004F31E6"/>
    <w:rsid w:val="004F34CE"/>
    <w:rsid w:val="004F5AB0"/>
    <w:rsid w:val="004F6C8D"/>
    <w:rsid w:val="004F7A39"/>
    <w:rsid w:val="004F7B4B"/>
    <w:rsid w:val="00501AB5"/>
    <w:rsid w:val="0050213F"/>
    <w:rsid w:val="00504FA2"/>
    <w:rsid w:val="005070F5"/>
    <w:rsid w:val="0051007D"/>
    <w:rsid w:val="0051477A"/>
    <w:rsid w:val="005156FC"/>
    <w:rsid w:val="00520342"/>
    <w:rsid w:val="005203BE"/>
    <w:rsid w:val="00520F2D"/>
    <w:rsid w:val="005240A8"/>
    <w:rsid w:val="005241FD"/>
    <w:rsid w:val="005249B6"/>
    <w:rsid w:val="00525EEF"/>
    <w:rsid w:val="005266DD"/>
    <w:rsid w:val="0053018A"/>
    <w:rsid w:val="005318F0"/>
    <w:rsid w:val="005321BA"/>
    <w:rsid w:val="00532B5A"/>
    <w:rsid w:val="00532F8A"/>
    <w:rsid w:val="005355DD"/>
    <w:rsid w:val="00535F5E"/>
    <w:rsid w:val="00535FF9"/>
    <w:rsid w:val="0053669E"/>
    <w:rsid w:val="00536FDE"/>
    <w:rsid w:val="00537227"/>
    <w:rsid w:val="00537631"/>
    <w:rsid w:val="00540283"/>
    <w:rsid w:val="005443F0"/>
    <w:rsid w:val="005447CE"/>
    <w:rsid w:val="00544FAF"/>
    <w:rsid w:val="00546340"/>
    <w:rsid w:val="00547958"/>
    <w:rsid w:val="00547D05"/>
    <w:rsid w:val="0055078D"/>
    <w:rsid w:val="00551B2C"/>
    <w:rsid w:val="00551C73"/>
    <w:rsid w:val="0055254A"/>
    <w:rsid w:val="0055289B"/>
    <w:rsid w:val="005543D3"/>
    <w:rsid w:val="00555515"/>
    <w:rsid w:val="005568EC"/>
    <w:rsid w:val="00556FD0"/>
    <w:rsid w:val="00557B6A"/>
    <w:rsid w:val="00557EC0"/>
    <w:rsid w:val="00560892"/>
    <w:rsid w:val="00560C8E"/>
    <w:rsid w:val="00560D6C"/>
    <w:rsid w:val="00561404"/>
    <w:rsid w:val="00562B96"/>
    <w:rsid w:val="00562CD4"/>
    <w:rsid w:val="0056340C"/>
    <w:rsid w:val="00563C48"/>
    <w:rsid w:val="00563CAD"/>
    <w:rsid w:val="00564D4A"/>
    <w:rsid w:val="005655E5"/>
    <w:rsid w:val="00567E03"/>
    <w:rsid w:val="005740FF"/>
    <w:rsid w:val="005743A4"/>
    <w:rsid w:val="00574D22"/>
    <w:rsid w:val="00575033"/>
    <w:rsid w:val="00576BF8"/>
    <w:rsid w:val="00576CFB"/>
    <w:rsid w:val="00576DF6"/>
    <w:rsid w:val="00576FBA"/>
    <w:rsid w:val="00577D96"/>
    <w:rsid w:val="00580180"/>
    <w:rsid w:val="005805A7"/>
    <w:rsid w:val="0058105E"/>
    <w:rsid w:val="00581E88"/>
    <w:rsid w:val="00582357"/>
    <w:rsid w:val="00583370"/>
    <w:rsid w:val="00584037"/>
    <w:rsid w:val="00584229"/>
    <w:rsid w:val="005854F9"/>
    <w:rsid w:val="00585B65"/>
    <w:rsid w:val="005909EC"/>
    <w:rsid w:val="005912F3"/>
    <w:rsid w:val="00591955"/>
    <w:rsid w:val="005923B2"/>
    <w:rsid w:val="0059284D"/>
    <w:rsid w:val="00592C4E"/>
    <w:rsid w:val="00595535"/>
    <w:rsid w:val="005958F3"/>
    <w:rsid w:val="00595AF8"/>
    <w:rsid w:val="00595C46"/>
    <w:rsid w:val="00596EEF"/>
    <w:rsid w:val="00597F58"/>
    <w:rsid w:val="005A0301"/>
    <w:rsid w:val="005A0582"/>
    <w:rsid w:val="005A09C7"/>
    <w:rsid w:val="005A1EBE"/>
    <w:rsid w:val="005A205D"/>
    <w:rsid w:val="005A45BE"/>
    <w:rsid w:val="005A5A85"/>
    <w:rsid w:val="005A695D"/>
    <w:rsid w:val="005B00D8"/>
    <w:rsid w:val="005B0AC2"/>
    <w:rsid w:val="005B2DD5"/>
    <w:rsid w:val="005B664B"/>
    <w:rsid w:val="005B7485"/>
    <w:rsid w:val="005C131A"/>
    <w:rsid w:val="005C2B80"/>
    <w:rsid w:val="005D02EC"/>
    <w:rsid w:val="005D0E58"/>
    <w:rsid w:val="005D24A2"/>
    <w:rsid w:val="005D2C27"/>
    <w:rsid w:val="005D46DE"/>
    <w:rsid w:val="005D5392"/>
    <w:rsid w:val="005E0C6D"/>
    <w:rsid w:val="005E1E51"/>
    <w:rsid w:val="005E36B7"/>
    <w:rsid w:val="005E571E"/>
    <w:rsid w:val="005E7A88"/>
    <w:rsid w:val="005E7BA1"/>
    <w:rsid w:val="005F0671"/>
    <w:rsid w:val="005F0AAA"/>
    <w:rsid w:val="005F107C"/>
    <w:rsid w:val="005F118A"/>
    <w:rsid w:val="005F18E1"/>
    <w:rsid w:val="005F4C36"/>
    <w:rsid w:val="005F7B96"/>
    <w:rsid w:val="00601723"/>
    <w:rsid w:val="006023ED"/>
    <w:rsid w:val="00604027"/>
    <w:rsid w:val="0060584D"/>
    <w:rsid w:val="0060598B"/>
    <w:rsid w:val="00605B86"/>
    <w:rsid w:val="006074F1"/>
    <w:rsid w:val="00607E9F"/>
    <w:rsid w:val="00610129"/>
    <w:rsid w:val="00612459"/>
    <w:rsid w:val="006142B7"/>
    <w:rsid w:val="006148AA"/>
    <w:rsid w:val="00616959"/>
    <w:rsid w:val="00616A1E"/>
    <w:rsid w:val="00616D26"/>
    <w:rsid w:val="006174D7"/>
    <w:rsid w:val="006178CF"/>
    <w:rsid w:val="006200A6"/>
    <w:rsid w:val="0062062C"/>
    <w:rsid w:val="006230AA"/>
    <w:rsid w:val="00623792"/>
    <w:rsid w:val="00624A0C"/>
    <w:rsid w:val="006251FA"/>
    <w:rsid w:val="006259C8"/>
    <w:rsid w:val="00626079"/>
    <w:rsid w:val="00626D69"/>
    <w:rsid w:val="006272B2"/>
    <w:rsid w:val="00631AF8"/>
    <w:rsid w:val="00633921"/>
    <w:rsid w:val="00633D49"/>
    <w:rsid w:val="00633DF1"/>
    <w:rsid w:val="00635E74"/>
    <w:rsid w:val="00636D4A"/>
    <w:rsid w:val="00636DA1"/>
    <w:rsid w:val="00641FD0"/>
    <w:rsid w:val="00642B20"/>
    <w:rsid w:val="00643D01"/>
    <w:rsid w:val="006473F1"/>
    <w:rsid w:val="006479C6"/>
    <w:rsid w:val="006501BA"/>
    <w:rsid w:val="00652007"/>
    <w:rsid w:val="00652689"/>
    <w:rsid w:val="00652DAF"/>
    <w:rsid w:val="006530C8"/>
    <w:rsid w:val="006540BA"/>
    <w:rsid w:val="00654E6F"/>
    <w:rsid w:val="006553B9"/>
    <w:rsid w:val="006553BB"/>
    <w:rsid w:val="006559AE"/>
    <w:rsid w:val="00657E68"/>
    <w:rsid w:val="00657FD3"/>
    <w:rsid w:val="006609D9"/>
    <w:rsid w:val="00660E8C"/>
    <w:rsid w:val="00661173"/>
    <w:rsid w:val="006618DB"/>
    <w:rsid w:val="0066357D"/>
    <w:rsid w:val="00664A5D"/>
    <w:rsid w:val="00665952"/>
    <w:rsid w:val="00667C42"/>
    <w:rsid w:val="00671A97"/>
    <w:rsid w:val="006726F5"/>
    <w:rsid w:val="00673DE6"/>
    <w:rsid w:val="00676E27"/>
    <w:rsid w:val="0067746F"/>
    <w:rsid w:val="006807B6"/>
    <w:rsid w:val="00681F80"/>
    <w:rsid w:val="00683867"/>
    <w:rsid w:val="0068397D"/>
    <w:rsid w:val="00684764"/>
    <w:rsid w:val="006859B0"/>
    <w:rsid w:val="006875EE"/>
    <w:rsid w:val="006903C2"/>
    <w:rsid w:val="00694B71"/>
    <w:rsid w:val="00696961"/>
    <w:rsid w:val="00696F01"/>
    <w:rsid w:val="006A08C3"/>
    <w:rsid w:val="006A1D36"/>
    <w:rsid w:val="006A20FF"/>
    <w:rsid w:val="006A3FF3"/>
    <w:rsid w:val="006A4068"/>
    <w:rsid w:val="006A4718"/>
    <w:rsid w:val="006A4C8B"/>
    <w:rsid w:val="006A4D25"/>
    <w:rsid w:val="006B20CF"/>
    <w:rsid w:val="006B2FEE"/>
    <w:rsid w:val="006B3ED5"/>
    <w:rsid w:val="006B3F49"/>
    <w:rsid w:val="006B5659"/>
    <w:rsid w:val="006B631F"/>
    <w:rsid w:val="006B685E"/>
    <w:rsid w:val="006B7868"/>
    <w:rsid w:val="006B7BB4"/>
    <w:rsid w:val="006B7FDA"/>
    <w:rsid w:val="006C04F2"/>
    <w:rsid w:val="006C0A49"/>
    <w:rsid w:val="006C1F37"/>
    <w:rsid w:val="006C22D4"/>
    <w:rsid w:val="006C2919"/>
    <w:rsid w:val="006C402B"/>
    <w:rsid w:val="006D0164"/>
    <w:rsid w:val="006D230B"/>
    <w:rsid w:val="006D2643"/>
    <w:rsid w:val="006D2CC7"/>
    <w:rsid w:val="006D2FF3"/>
    <w:rsid w:val="006D37A6"/>
    <w:rsid w:val="006D47AD"/>
    <w:rsid w:val="006D55C0"/>
    <w:rsid w:val="006D66F0"/>
    <w:rsid w:val="006D6D6D"/>
    <w:rsid w:val="006D79D5"/>
    <w:rsid w:val="006E0A8D"/>
    <w:rsid w:val="006E2976"/>
    <w:rsid w:val="006E2A3C"/>
    <w:rsid w:val="006E3174"/>
    <w:rsid w:val="006E66DB"/>
    <w:rsid w:val="006E6F25"/>
    <w:rsid w:val="006E74E4"/>
    <w:rsid w:val="006F1912"/>
    <w:rsid w:val="006F3209"/>
    <w:rsid w:val="006F40EE"/>
    <w:rsid w:val="006F49F0"/>
    <w:rsid w:val="006F5250"/>
    <w:rsid w:val="006F5EA8"/>
    <w:rsid w:val="006F60CB"/>
    <w:rsid w:val="006F6979"/>
    <w:rsid w:val="006F6A63"/>
    <w:rsid w:val="006F75BE"/>
    <w:rsid w:val="007008F8"/>
    <w:rsid w:val="0070110E"/>
    <w:rsid w:val="00701B04"/>
    <w:rsid w:val="007031BE"/>
    <w:rsid w:val="0070394E"/>
    <w:rsid w:val="00704074"/>
    <w:rsid w:val="0070551B"/>
    <w:rsid w:val="00705BBC"/>
    <w:rsid w:val="007064C5"/>
    <w:rsid w:val="007079E8"/>
    <w:rsid w:val="00710EE2"/>
    <w:rsid w:val="007116AC"/>
    <w:rsid w:val="00713432"/>
    <w:rsid w:val="00713611"/>
    <w:rsid w:val="00713E82"/>
    <w:rsid w:val="00713EE0"/>
    <w:rsid w:val="007165A3"/>
    <w:rsid w:val="007174F4"/>
    <w:rsid w:val="00717D29"/>
    <w:rsid w:val="007203CD"/>
    <w:rsid w:val="00720AA6"/>
    <w:rsid w:val="00725CB8"/>
    <w:rsid w:val="00726FBF"/>
    <w:rsid w:val="0072785C"/>
    <w:rsid w:val="007307E1"/>
    <w:rsid w:val="007329BC"/>
    <w:rsid w:val="007335F5"/>
    <w:rsid w:val="007336FC"/>
    <w:rsid w:val="00734710"/>
    <w:rsid w:val="00735E95"/>
    <w:rsid w:val="007415B1"/>
    <w:rsid w:val="0074201F"/>
    <w:rsid w:val="0074280D"/>
    <w:rsid w:val="00746A9F"/>
    <w:rsid w:val="00747999"/>
    <w:rsid w:val="00747BE0"/>
    <w:rsid w:val="00750ABD"/>
    <w:rsid w:val="00750FA0"/>
    <w:rsid w:val="00752584"/>
    <w:rsid w:val="007527DD"/>
    <w:rsid w:val="00752975"/>
    <w:rsid w:val="00752B9C"/>
    <w:rsid w:val="0075355C"/>
    <w:rsid w:val="007539F6"/>
    <w:rsid w:val="00754101"/>
    <w:rsid w:val="00755BF7"/>
    <w:rsid w:val="007561ED"/>
    <w:rsid w:val="007566AA"/>
    <w:rsid w:val="00756823"/>
    <w:rsid w:val="00756C63"/>
    <w:rsid w:val="00757CF3"/>
    <w:rsid w:val="00761A55"/>
    <w:rsid w:val="00762147"/>
    <w:rsid w:val="00764408"/>
    <w:rsid w:val="00764D56"/>
    <w:rsid w:val="00765AA1"/>
    <w:rsid w:val="00765BDF"/>
    <w:rsid w:val="007661CC"/>
    <w:rsid w:val="007665F9"/>
    <w:rsid w:val="00766BD6"/>
    <w:rsid w:val="00767CBD"/>
    <w:rsid w:val="00771386"/>
    <w:rsid w:val="00772822"/>
    <w:rsid w:val="00772B20"/>
    <w:rsid w:val="00772DD1"/>
    <w:rsid w:val="007733B2"/>
    <w:rsid w:val="00775A29"/>
    <w:rsid w:val="00775D86"/>
    <w:rsid w:val="007760F4"/>
    <w:rsid w:val="00776FCA"/>
    <w:rsid w:val="007807A8"/>
    <w:rsid w:val="00780EDD"/>
    <w:rsid w:val="007824C0"/>
    <w:rsid w:val="00783306"/>
    <w:rsid w:val="00784CBC"/>
    <w:rsid w:val="00786483"/>
    <w:rsid w:val="00790272"/>
    <w:rsid w:val="007904D9"/>
    <w:rsid w:val="00793F09"/>
    <w:rsid w:val="00795F59"/>
    <w:rsid w:val="0079641D"/>
    <w:rsid w:val="0079676B"/>
    <w:rsid w:val="007A0078"/>
    <w:rsid w:val="007A03EF"/>
    <w:rsid w:val="007A1BB6"/>
    <w:rsid w:val="007A1E94"/>
    <w:rsid w:val="007A239A"/>
    <w:rsid w:val="007A2607"/>
    <w:rsid w:val="007A3A68"/>
    <w:rsid w:val="007A3B85"/>
    <w:rsid w:val="007A442D"/>
    <w:rsid w:val="007A5DCD"/>
    <w:rsid w:val="007A7FAB"/>
    <w:rsid w:val="007B0ACA"/>
    <w:rsid w:val="007B1112"/>
    <w:rsid w:val="007B27AA"/>
    <w:rsid w:val="007B4569"/>
    <w:rsid w:val="007B528B"/>
    <w:rsid w:val="007B5CE1"/>
    <w:rsid w:val="007B78F7"/>
    <w:rsid w:val="007C1BB3"/>
    <w:rsid w:val="007C21EC"/>
    <w:rsid w:val="007C4193"/>
    <w:rsid w:val="007C52F3"/>
    <w:rsid w:val="007C566D"/>
    <w:rsid w:val="007C60AA"/>
    <w:rsid w:val="007C6CF7"/>
    <w:rsid w:val="007C75D8"/>
    <w:rsid w:val="007D0826"/>
    <w:rsid w:val="007D097F"/>
    <w:rsid w:val="007D09C9"/>
    <w:rsid w:val="007D0B9E"/>
    <w:rsid w:val="007D2006"/>
    <w:rsid w:val="007D2EB0"/>
    <w:rsid w:val="007D40F1"/>
    <w:rsid w:val="007D4285"/>
    <w:rsid w:val="007D5A05"/>
    <w:rsid w:val="007D794D"/>
    <w:rsid w:val="007E0ED9"/>
    <w:rsid w:val="007E1706"/>
    <w:rsid w:val="007E18AA"/>
    <w:rsid w:val="007E2C83"/>
    <w:rsid w:val="007E3384"/>
    <w:rsid w:val="007E465A"/>
    <w:rsid w:val="007E6149"/>
    <w:rsid w:val="007E6435"/>
    <w:rsid w:val="007E6AA1"/>
    <w:rsid w:val="007E7156"/>
    <w:rsid w:val="007E7A59"/>
    <w:rsid w:val="007F19B8"/>
    <w:rsid w:val="007F2D4B"/>
    <w:rsid w:val="007F35DF"/>
    <w:rsid w:val="007F39E7"/>
    <w:rsid w:val="007F54D4"/>
    <w:rsid w:val="007F62E5"/>
    <w:rsid w:val="007F64DC"/>
    <w:rsid w:val="00801AC8"/>
    <w:rsid w:val="00801F46"/>
    <w:rsid w:val="008040A5"/>
    <w:rsid w:val="0080566E"/>
    <w:rsid w:val="00805A3B"/>
    <w:rsid w:val="00810F23"/>
    <w:rsid w:val="008131ED"/>
    <w:rsid w:val="008150FA"/>
    <w:rsid w:val="00817E76"/>
    <w:rsid w:val="00820C10"/>
    <w:rsid w:val="00821587"/>
    <w:rsid w:val="00823B38"/>
    <w:rsid w:val="00824877"/>
    <w:rsid w:val="00824E12"/>
    <w:rsid w:val="0082516A"/>
    <w:rsid w:val="00825E79"/>
    <w:rsid w:val="00827408"/>
    <w:rsid w:val="008306F5"/>
    <w:rsid w:val="00831080"/>
    <w:rsid w:val="00833FA1"/>
    <w:rsid w:val="00834C6A"/>
    <w:rsid w:val="00835707"/>
    <w:rsid w:val="008359AB"/>
    <w:rsid w:val="008375E5"/>
    <w:rsid w:val="008401A3"/>
    <w:rsid w:val="0084090B"/>
    <w:rsid w:val="008414B6"/>
    <w:rsid w:val="0084202B"/>
    <w:rsid w:val="00842432"/>
    <w:rsid w:val="00843375"/>
    <w:rsid w:val="0084425D"/>
    <w:rsid w:val="008452FF"/>
    <w:rsid w:val="00845A5E"/>
    <w:rsid w:val="008471FD"/>
    <w:rsid w:val="008473B2"/>
    <w:rsid w:val="00847C1A"/>
    <w:rsid w:val="0085116B"/>
    <w:rsid w:val="00851981"/>
    <w:rsid w:val="00851C59"/>
    <w:rsid w:val="00852C3A"/>
    <w:rsid w:val="0085628F"/>
    <w:rsid w:val="008572EB"/>
    <w:rsid w:val="0085758D"/>
    <w:rsid w:val="00857B1F"/>
    <w:rsid w:val="00861DAE"/>
    <w:rsid w:val="00864047"/>
    <w:rsid w:val="008710B2"/>
    <w:rsid w:val="00871C48"/>
    <w:rsid w:val="008725E7"/>
    <w:rsid w:val="008740F9"/>
    <w:rsid w:val="00874BAB"/>
    <w:rsid w:val="0087624E"/>
    <w:rsid w:val="00877D55"/>
    <w:rsid w:val="00884585"/>
    <w:rsid w:val="00884593"/>
    <w:rsid w:val="00884710"/>
    <w:rsid w:val="00887290"/>
    <w:rsid w:val="00887FFE"/>
    <w:rsid w:val="00891299"/>
    <w:rsid w:val="00892D09"/>
    <w:rsid w:val="00894B4C"/>
    <w:rsid w:val="00895433"/>
    <w:rsid w:val="008955F5"/>
    <w:rsid w:val="008976CA"/>
    <w:rsid w:val="008A09D6"/>
    <w:rsid w:val="008A1D76"/>
    <w:rsid w:val="008A2C4A"/>
    <w:rsid w:val="008A3A37"/>
    <w:rsid w:val="008A6458"/>
    <w:rsid w:val="008B0DAC"/>
    <w:rsid w:val="008B5E60"/>
    <w:rsid w:val="008B72C5"/>
    <w:rsid w:val="008C042C"/>
    <w:rsid w:val="008C0928"/>
    <w:rsid w:val="008C1177"/>
    <w:rsid w:val="008C2D1C"/>
    <w:rsid w:val="008C3197"/>
    <w:rsid w:val="008C47B7"/>
    <w:rsid w:val="008C6287"/>
    <w:rsid w:val="008C6AC3"/>
    <w:rsid w:val="008C7772"/>
    <w:rsid w:val="008C7B65"/>
    <w:rsid w:val="008C7FCE"/>
    <w:rsid w:val="008D2976"/>
    <w:rsid w:val="008D2A03"/>
    <w:rsid w:val="008D2BC4"/>
    <w:rsid w:val="008D4684"/>
    <w:rsid w:val="008D5ADC"/>
    <w:rsid w:val="008D638B"/>
    <w:rsid w:val="008E01EB"/>
    <w:rsid w:val="008E092B"/>
    <w:rsid w:val="008E16C7"/>
    <w:rsid w:val="008E1CB0"/>
    <w:rsid w:val="008E2C3B"/>
    <w:rsid w:val="008E3AD8"/>
    <w:rsid w:val="008E7345"/>
    <w:rsid w:val="008F18FF"/>
    <w:rsid w:val="008F26B2"/>
    <w:rsid w:val="008F33B6"/>
    <w:rsid w:val="008F483A"/>
    <w:rsid w:val="008F51FD"/>
    <w:rsid w:val="008F6B88"/>
    <w:rsid w:val="008F7089"/>
    <w:rsid w:val="008F76F3"/>
    <w:rsid w:val="008F77B6"/>
    <w:rsid w:val="008F78FD"/>
    <w:rsid w:val="008F7B58"/>
    <w:rsid w:val="00900CB8"/>
    <w:rsid w:val="00904085"/>
    <w:rsid w:val="009046AB"/>
    <w:rsid w:val="00906174"/>
    <w:rsid w:val="0090677B"/>
    <w:rsid w:val="00907707"/>
    <w:rsid w:val="00911C8E"/>
    <w:rsid w:val="0091227B"/>
    <w:rsid w:val="00912656"/>
    <w:rsid w:val="009136F1"/>
    <w:rsid w:val="009144E4"/>
    <w:rsid w:val="00916EB2"/>
    <w:rsid w:val="00917890"/>
    <w:rsid w:val="00917AEF"/>
    <w:rsid w:val="00920224"/>
    <w:rsid w:val="00921F3A"/>
    <w:rsid w:val="009239ED"/>
    <w:rsid w:val="00923CAC"/>
    <w:rsid w:val="00923FF9"/>
    <w:rsid w:val="00924C12"/>
    <w:rsid w:val="00924D94"/>
    <w:rsid w:val="00925047"/>
    <w:rsid w:val="00925A52"/>
    <w:rsid w:val="009260CF"/>
    <w:rsid w:val="00926C6E"/>
    <w:rsid w:val="00926EC3"/>
    <w:rsid w:val="00930086"/>
    <w:rsid w:val="009301B8"/>
    <w:rsid w:val="00930AB1"/>
    <w:rsid w:val="009340D5"/>
    <w:rsid w:val="009359C2"/>
    <w:rsid w:val="00935A83"/>
    <w:rsid w:val="00942A72"/>
    <w:rsid w:val="00942BC8"/>
    <w:rsid w:val="009430F2"/>
    <w:rsid w:val="009434FC"/>
    <w:rsid w:val="00944136"/>
    <w:rsid w:val="00945BD0"/>
    <w:rsid w:val="0094658C"/>
    <w:rsid w:val="00947CFA"/>
    <w:rsid w:val="0095047E"/>
    <w:rsid w:val="0095079E"/>
    <w:rsid w:val="009509DD"/>
    <w:rsid w:val="00950CBC"/>
    <w:rsid w:val="00951047"/>
    <w:rsid w:val="009519EB"/>
    <w:rsid w:val="00951EED"/>
    <w:rsid w:val="009524CC"/>
    <w:rsid w:val="00952FEF"/>
    <w:rsid w:val="0095455C"/>
    <w:rsid w:val="009557CC"/>
    <w:rsid w:val="00955D0A"/>
    <w:rsid w:val="00960695"/>
    <w:rsid w:val="009608D5"/>
    <w:rsid w:val="009611AA"/>
    <w:rsid w:val="0096439C"/>
    <w:rsid w:val="00964B73"/>
    <w:rsid w:val="00964F27"/>
    <w:rsid w:val="0096541E"/>
    <w:rsid w:val="009655FA"/>
    <w:rsid w:val="00965754"/>
    <w:rsid w:val="00965909"/>
    <w:rsid w:val="00965FB1"/>
    <w:rsid w:val="0096792C"/>
    <w:rsid w:val="00967AC3"/>
    <w:rsid w:val="00967CCB"/>
    <w:rsid w:val="009714BF"/>
    <w:rsid w:val="00972AA4"/>
    <w:rsid w:val="00972FAE"/>
    <w:rsid w:val="0097446E"/>
    <w:rsid w:val="009757D4"/>
    <w:rsid w:val="00975810"/>
    <w:rsid w:val="00975AC9"/>
    <w:rsid w:val="00975E8C"/>
    <w:rsid w:val="00976153"/>
    <w:rsid w:val="00982636"/>
    <w:rsid w:val="00982D54"/>
    <w:rsid w:val="00984A92"/>
    <w:rsid w:val="009861F5"/>
    <w:rsid w:val="00986409"/>
    <w:rsid w:val="00987001"/>
    <w:rsid w:val="009870E4"/>
    <w:rsid w:val="0098741B"/>
    <w:rsid w:val="009879D1"/>
    <w:rsid w:val="00987BD4"/>
    <w:rsid w:val="00991F41"/>
    <w:rsid w:val="00992A57"/>
    <w:rsid w:val="0099570C"/>
    <w:rsid w:val="00995B1F"/>
    <w:rsid w:val="00997079"/>
    <w:rsid w:val="009A014B"/>
    <w:rsid w:val="009A1218"/>
    <w:rsid w:val="009A1525"/>
    <w:rsid w:val="009A31A4"/>
    <w:rsid w:val="009A722F"/>
    <w:rsid w:val="009A7E42"/>
    <w:rsid w:val="009A7F72"/>
    <w:rsid w:val="009B0A53"/>
    <w:rsid w:val="009B13A1"/>
    <w:rsid w:val="009B21FB"/>
    <w:rsid w:val="009B2AA9"/>
    <w:rsid w:val="009B3961"/>
    <w:rsid w:val="009B3AA0"/>
    <w:rsid w:val="009B4CB9"/>
    <w:rsid w:val="009B5FBC"/>
    <w:rsid w:val="009B61A3"/>
    <w:rsid w:val="009B720B"/>
    <w:rsid w:val="009C025A"/>
    <w:rsid w:val="009C02BC"/>
    <w:rsid w:val="009C038B"/>
    <w:rsid w:val="009C0CEE"/>
    <w:rsid w:val="009C24D5"/>
    <w:rsid w:val="009C301F"/>
    <w:rsid w:val="009C35F5"/>
    <w:rsid w:val="009C48B4"/>
    <w:rsid w:val="009C550F"/>
    <w:rsid w:val="009C63A6"/>
    <w:rsid w:val="009C7219"/>
    <w:rsid w:val="009D3A06"/>
    <w:rsid w:val="009D4434"/>
    <w:rsid w:val="009D45F5"/>
    <w:rsid w:val="009D4A21"/>
    <w:rsid w:val="009D4FE1"/>
    <w:rsid w:val="009D548F"/>
    <w:rsid w:val="009D66FC"/>
    <w:rsid w:val="009E211F"/>
    <w:rsid w:val="009E4C07"/>
    <w:rsid w:val="009E5441"/>
    <w:rsid w:val="009E5455"/>
    <w:rsid w:val="009E5CE5"/>
    <w:rsid w:val="009E765A"/>
    <w:rsid w:val="009F021E"/>
    <w:rsid w:val="009F090E"/>
    <w:rsid w:val="009F1674"/>
    <w:rsid w:val="009F6804"/>
    <w:rsid w:val="00A005BD"/>
    <w:rsid w:val="00A01036"/>
    <w:rsid w:val="00A01B0D"/>
    <w:rsid w:val="00A03794"/>
    <w:rsid w:val="00A03F8D"/>
    <w:rsid w:val="00A0535C"/>
    <w:rsid w:val="00A056B9"/>
    <w:rsid w:val="00A06CC5"/>
    <w:rsid w:val="00A119D0"/>
    <w:rsid w:val="00A14CA7"/>
    <w:rsid w:val="00A14DC1"/>
    <w:rsid w:val="00A15C46"/>
    <w:rsid w:val="00A16AA3"/>
    <w:rsid w:val="00A16E3E"/>
    <w:rsid w:val="00A226D4"/>
    <w:rsid w:val="00A22BBE"/>
    <w:rsid w:val="00A30965"/>
    <w:rsid w:val="00A30FE9"/>
    <w:rsid w:val="00A3169A"/>
    <w:rsid w:val="00A31CEC"/>
    <w:rsid w:val="00A31EDB"/>
    <w:rsid w:val="00A32214"/>
    <w:rsid w:val="00A328E5"/>
    <w:rsid w:val="00A32D14"/>
    <w:rsid w:val="00A352B8"/>
    <w:rsid w:val="00A35D9B"/>
    <w:rsid w:val="00A37F62"/>
    <w:rsid w:val="00A40DB0"/>
    <w:rsid w:val="00A42534"/>
    <w:rsid w:val="00A44F08"/>
    <w:rsid w:val="00A45538"/>
    <w:rsid w:val="00A46487"/>
    <w:rsid w:val="00A4695D"/>
    <w:rsid w:val="00A47688"/>
    <w:rsid w:val="00A50077"/>
    <w:rsid w:val="00A53DDC"/>
    <w:rsid w:val="00A54C34"/>
    <w:rsid w:val="00A55F71"/>
    <w:rsid w:val="00A56217"/>
    <w:rsid w:val="00A56F0B"/>
    <w:rsid w:val="00A57BAD"/>
    <w:rsid w:val="00A57C6B"/>
    <w:rsid w:val="00A57F3F"/>
    <w:rsid w:val="00A603F5"/>
    <w:rsid w:val="00A6121D"/>
    <w:rsid w:val="00A65054"/>
    <w:rsid w:val="00A66D5A"/>
    <w:rsid w:val="00A6700A"/>
    <w:rsid w:val="00A67061"/>
    <w:rsid w:val="00A679EE"/>
    <w:rsid w:val="00A71512"/>
    <w:rsid w:val="00A71664"/>
    <w:rsid w:val="00A728EA"/>
    <w:rsid w:val="00A750A2"/>
    <w:rsid w:val="00A76515"/>
    <w:rsid w:val="00A80844"/>
    <w:rsid w:val="00A80AFE"/>
    <w:rsid w:val="00A822B5"/>
    <w:rsid w:val="00A86C70"/>
    <w:rsid w:val="00A87514"/>
    <w:rsid w:val="00A902BE"/>
    <w:rsid w:val="00A90887"/>
    <w:rsid w:val="00A91751"/>
    <w:rsid w:val="00A94792"/>
    <w:rsid w:val="00AA005A"/>
    <w:rsid w:val="00AA0B1C"/>
    <w:rsid w:val="00AA1745"/>
    <w:rsid w:val="00AA4627"/>
    <w:rsid w:val="00AA4A66"/>
    <w:rsid w:val="00AA5299"/>
    <w:rsid w:val="00AA5457"/>
    <w:rsid w:val="00AB1109"/>
    <w:rsid w:val="00AB26E4"/>
    <w:rsid w:val="00AB2883"/>
    <w:rsid w:val="00AB4350"/>
    <w:rsid w:val="00AB50CE"/>
    <w:rsid w:val="00AB6837"/>
    <w:rsid w:val="00AB6988"/>
    <w:rsid w:val="00AC05A6"/>
    <w:rsid w:val="00AC3551"/>
    <w:rsid w:val="00AC4E81"/>
    <w:rsid w:val="00AC5539"/>
    <w:rsid w:val="00AC6B24"/>
    <w:rsid w:val="00AD43F1"/>
    <w:rsid w:val="00AD51CE"/>
    <w:rsid w:val="00AD63E7"/>
    <w:rsid w:val="00AE1615"/>
    <w:rsid w:val="00AE2A13"/>
    <w:rsid w:val="00AE2D43"/>
    <w:rsid w:val="00AE55FF"/>
    <w:rsid w:val="00AE7B84"/>
    <w:rsid w:val="00AF0EFB"/>
    <w:rsid w:val="00AF1776"/>
    <w:rsid w:val="00AF19CC"/>
    <w:rsid w:val="00AF1A4D"/>
    <w:rsid w:val="00AF1E0A"/>
    <w:rsid w:val="00AF204C"/>
    <w:rsid w:val="00AF3977"/>
    <w:rsid w:val="00AF4636"/>
    <w:rsid w:val="00AF4EEC"/>
    <w:rsid w:val="00B02001"/>
    <w:rsid w:val="00B021C1"/>
    <w:rsid w:val="00B03DCB"/>
    <w:rsid w:val="00B064FE"/>
    <w:rsid w:val="00B1128E"/>
    <w:rsid w:val="00B11660"/>
    <w:rsid w:val="00B13693"/>
    <w:rsid w:val="00B13BA9"/>
    <w:rsid w:val="00B157D4"/>
    <w:rsid w:val="00B205CF"/>
    <w:rsid w:val="00B23B63"/>
    <w:rsid w:val="00B25B2F"/>
    <w:rsid w:val="00B25E55"/>
    <w:rsid w:val="00B264EA"/>
    <w:rsid w:val="00B26F16"/>
    <w:rsid w:val="00B31BE0"/>
    <w:rsid w:val="00B325C7"/>
    <w:rsid w:val="00B33407"/>
    <w:rsid w:val="00B3423C"/>
    <w:rsid w:val="00B35227"/>
    <w:rsid w:val="00B35DC6"/>
    <w:rsid w:val="00B367A1"/>
    <w:rsid w:val="00B4060B"/>
    <w:rsid w:val="00B407F6"/>
    <w:rsid w:val="00B41031"/>
    <w:rsid w:val="00B42058"/>
    <w:rsid w:val="00B42C6A"/>
    <w:rsid w:val="00B45720"/>
    <w:rsid w:val="00B46008"/>
    <w:rsid w:val="00B4721E"/>
    <w:rsid w:val="00B47BCB"/>
    <w:rsid w:val="00B50D0C"/>
    <w:rsid w:val="00B50FF1"/>
    <w:rsid w:val="00B523FB"/>
    <w:rsid w:val="00B526A4"/>
    <w:rsid w:val="00B5782F"/>
    <w:rsid w:val="00B60094"/>
    <w:rsid w:val="00B61BB0"/>
    <w:rsid w:val="00B6229F"/>
    <w:rsid w:val="00B66E71"/>
    <w:rsid w:val="00B7060F"/>
    <w:rsid w:val="00B71795"/>
    <w:rsid w:val="00B71E77"/>
    <w:rsid w:val="00B74736"/>
    <w:rsid w:val="00B74826"/>
    <w:rsid w:val="00B74FC1"/>
    <w:rsid w:val="00B75C11"/>
    <w:rsid w:val="00B75CA0"/>
    <w:rsid w:val="00B76A1A"/>
    <w:rsid w:val="00B771DA"/>
    <w:rsid w:val="00B772CB"/>
    <w:rsid w:val="00B77B91"/>
    <w:rsid w:val="00B825B7"/>
    <w:rsid w:val="00B84664"/>
    <w:rsid w:val="00B84675"/>
    <w:rsid w:val="00B85DAC"/>
    <w:rsid w:val="00B90184"/>
    <w:rsid w:val="00B908C1"/>
    <w:rsid w:val="00B95F9A"/>
    <w:rsid w:val="00B963F6"/>
    <w:rsid w:val="00B9672D"/>
    <w:rsid w:val="00BA029B"/>
    <w:rsid w:val="00BA0C86"/>
    <w:rsid w:val="00BA1E46"/>
    <w:rsid w:val="00BA1EC4"/>
    <w:rsid w:val="00BA2837"/>
    <w:rsid w:val="00BA3887"/>
    <w:rsid w:val="00BA4AED"/>
    <w:rsid w:val="00BA4EAE"/>
    <w:rsid w:val="00BA610E"/>
    <w:rsid w:val="00BA63E5"/>
    <w:rsid w:val="00BB0CA1"/>
    <w:rsid w:val="00BB0E46"/>
    <w:rsid w:val="00BB2347"/>
    <w:rsid w:val="00BB362F"/>
    <w:rsid w:val="00BB36B4"/>
    <w:rsid w:val="00BB3CDD"/>
    <w:rsid w:val="00BB4A13"/>
    <w:rsid w:val="00BB526B"/>
    <w:rsid w:val="00BB607F"/>
    <w:rsid w:val="00BB62A7"/>
    <w:rsid w:val="00BB67D9"/>
    <w:rsid w:val="00BB72BE"/>
    <w:rsid w:val="00BC10B7"/>
    <w:rsid w:val="00BC1F13"/>
    <w:rsid w:val="00BC3C47"/>
    <w:rsid w:val="00BC3E7C"/>
    <w:rsid w:val="00BC4494"/>
    <w:rsid w:val="00BC53C3"/>
    <w:rsid w:val="00BC565E"/>
    <w:rsid w:val="00BC70CD"/>
    <w:rsid w:val="00BC7794"/>
    <w:rsid w:val="00BD150E"/>
    <w:rsid w:val="00BD578E"/>
    <w:rsid w:val="00BD6649"/>
    <w:rsid w:val="00BE1863"/>
    <w:rsid w:val="00BE21BF"/>
    <w:rsid w:val="00BE3E08"/>
    <w:rsid w:val="00BE645D"/>
    <w:rsid w:val="00BE65A2"/>
    <w:rsid w:val="00BE65A5"/>
    <w:rsid w:val="00BE7192"/>
    <w:rsid w:val="00BE7A65"/>
    <w:rsid w:val="00BF2156"/>
    <w:rsid w:val="00BF633D"/>
    <w:rsid w:val="00BF6CF4"/>
    <w:rsid w:val="00C009DD"/>
    <w:rsid w:val="00C02B50"/>
    <w:rsid w:val="00C0563A"/>
    <w:rsid w:val="00C1024E"/>
    <w:rsid w:val="00C1035A"/>
    <w:rsid w:val="00C1107C"/>
    <w:rsid w:val="00C12BDA"/>
    <w:rsid w:val="00C13172"/>
    <w:rsid w:val="00C142DD"/>
    <w:rsid w:val="00C1522A"/>
    <w:rsid w:val="00C1573D"/>
    <w:rsid w:val="00C15C9B"/>
    <w:rsid w:val="00C1735C"/>
    <w:rsid w:val="00C20099"/>
    <w:rsid w:val="00C22774"/>
    <w:rsid w:val="00C22DC8"/>
    <w:rsid w:val="00C2350E"/>
    <w:rsid w:val="00C2355F"/>
    <w:rsid w:val="00C23F9D"/>
    <w:rsid w:val="00C25FAD"/>
    <w:rsid w:val="00C270F3"/>
    <w:rsid w:val="00C300BA"/>
    <w:rsid w:val="00C30586"/>
    <w:rsid w:val="00C30837"/>
    <w:rsid w:val="00C31B10"/>
    <w:rsid w:val="00C324A6"/>
    <w:rsid w:val="00C33055"/>
    <w:rsid w:val="00C33D87"/>
    <w:rsid w:val="00C33F99"/>
    <w:rsid w:val="00C35289"/>
    <w:rsid w:val="00C445FB"/>
    <w:rsid w:val="00C449D7"/>
    <w:rsid w:val="00C44DF8"/>
    <w:rsid w:val="00C45020"/>
    <w:rsid w:val="00C46209"/>
    <w:rsid w:val="00C5000B"/>
    <w:rsid w:val="00C51CFA"/>
    <w:rsid w:val="00C557F2"/>
    <w:rsid w:val="00C5669B"/>
    <w:rsid w:val="00C566A6"/>
    <w:rsid w:val="00C569B2"/>
    <w:rsid w:val="00C60811"/>
    <w:rsid w:val="00C6127D"/>
    <w:rsid w:val="00C61492"/>
    <w:rsid w:val="00C622F8"/>
    <w:rsid w:val="00C64C7A"/>
    <w:rsid w:val="00C65CFE"/>
    <w:rsid w:val="00C66016"/>
    <w:rsid w:val="00C661FF"/>
    <w:rsid w:val="00C67327"/>
    <w:rsid w:val="00C67F45"/>
    <w:rsid w:val="00C75256"/>
    <w:rsid w:val="00C75B58"/>
    <w:rsid w:val="00C76856"/>
    <w:rsid w:val="00C77A75"/>
    <w:rsid w:val="00C77B58"/>
    <w:rsid w:val="00C808BF"/>
    <w:rsid w:val="00C80F50"/>
    <w:rsid w:val="00C81061"/>
    <w:rsid w:val="00C817D9"/>
    <w:rsid w:val="00C819F1"/>
    <w:rsid w:val="00C81F34"/>
    <w:rsid w:val="00C8214F"/>
    <w:rsid w:val="00C829C4"/>
    <w:rsid w:val="00C86173"/>
    <w:rsid w:val="00C92369"/>
    <w:rsid w:val="00C92634"/>
    <w:rsid w:val="00C93C39"/>
    <w:rsid w:val="00C94DF7"/>
    <w:rsid w:val="00CA0D71"/>
    <w:rsid w:val="00CA1DC0"/>
    <w:rsid w:val="00CA265B"/>
    <w:rsid w:val="00CA2CCF"/>
    <w:rsid w:val="00CA2D12"/>
    <w:rsid w:val="00CA3732"/>
    <w:rsid w:val="00CA6405"/>
    <w:rsid w:val="00CA69FB"/>
    <w:rsid w:val="00CA7065"/>
    <w:rsid w:val="00CA7969"/>
    <w:rsid w:val="00CB22D7"/>
    <w:rsid w:val="00CB2743"/>
    <w:rsid w:val="00CB2FFF"/>
    <w:rsid w:val="00CB3322"/>
    <w:rsid w:val="00CB34C5"/>
    <w:rsid w:val="00CB3515"/>
    <w:rsid w:val="00CB7068"/>
    <w:rsid w:val="00CB783E"/>
    <w:rsid w:val="00CB7C66"/>
    <w:rsid w:val="00CB7F4C"/>
    <w:rsid w:val="00CC083B"/>
    <w:rsid w:val="00CC345D"/>
    <w:rsid w:val="00CC40D5"/>
    <w:rsid w:val="00CC6315"/>
    <w:rsid w:val="00CD007A"/>
    <w:rsid w:val="00CD1CA0"/>
    <w:rsid w:val="00CD25CF"/>
    <w:rsid w:val="00CD2F6B"/>
    <w:rsid w:val="00CD2F9D"/>
    <w:rsid w:val="00CD6644"/>
    <w:rsid w:val="00CE0528"/>
    <w:rsid w:val="00CE151C"/>
    <w:rsid w:val="00CE3774"/>
    <w:rsid w:val="00CE42D6"/>
    <w:rsid w:val="00CE6FE4"/>
    <w:rsid w:val="00CF1B9D"/>
    <w:rsid w:val="00CF21FE"/>
    <w:rsid w:val="00CF474C"/>
    <w:rsid w:val="00CF60AD"/>
    <w:rsid w:val="00CF7E82"/>
    <w:rsid w:val="00D01CDC"/>
    <w:rsid w:val="00D030EC"/>
    <w:rsid w:val="00D03CF0"/>
    <w:rsid w:val="00D04686"/>
    <w:rsid w:val="00D047A5"/>
    <w:rsid w:val="00D055E8"/>
    <w:rsid w:val="00D0745A"/>
    <w:rsid w:val="00D07532"/>
    <w:rsid w:val="00D115CF"/>
    <w:rsid w:val="00D12264"/>
    <w:rsid w:val="00D1280A"/>
    <w:rsid w:val="00D13097"/>
    <w:rsid w:val="00D13220"/>
    <w:rsid w:val="00D14BE3"/>
    <w:rsid w:val="00D14EEF"/>
    <w:rsid w:val="00D152F9"/>
    <w:rsid w:val="00D17725"/>
    <w:rsid w:val="00D20874"/>
    <w:rsid w:val="00D217B0"/>
    <w:rsid w:val="00D22898"/>
    <w:rsid w:val="00D23184"/>
    <w:rsid w:val="00D23B07"/>
    <w:rsid w:val="00D23EF8"/>
    <w:rsid w:val="00D25AC9"/>
    <w:rsid w:val="00D262E9"/>
    <w:rsid w:val="00D26F8B"/>
    <w:rsid w:val="00D27B70"/>
    <w:rsid w:val="00D3203D"/>
    <w:rsid w:val="00D32C4B"/>
    <w:rsid w:val="00D337F0"/>
    <w:rsid w:val="00D346A5"/>
    <w:rsid w:val="00D3602F"/>
    <w:rsid w:val="00D43255"/>
    <w:rsid w:val="00D43824"/>
    <w:rsid w:val="00D444F7"/>
    <w:rsid w:val="00D44A05"/>
    <w:rsid w:val="00D463BD"/>
    <w:rsid w:val="00D46DFB"/>
    <w:rsid w:val="00D50516"/>
    <w:rsid w:val="00D50753"/>
    <w:rsid w:val="00D52AEB"/>
    <w:rsid w:val="00D5306B"/>
    <w:rsid w:val="00D539E8"/>
    <w:rsid w:val="00D554BF"/>
    <w:rsid w:val="00D56E10"/>
    <w:rsid w:val="00D57933"/>
    <w:rsid w:val="00D57D97"/>
    <w:rsid w:val="00D60B48"/>
    <w:rsid w:val="00D6667A"/>
    <w:rsid w:val="00D67639"/>
    <w:rsid w:val="00D72DE9"/>
    <w:rsid w:val="00D753F7"/>
    <w:rsid w:val="00D75717"/>
    <w:rsid w:val="00D75D16"/>
    <w:rsid w:val="00D8032D"/>
    <w:rsid w:val="00D80A8B"/>
    <w:rsid w:val="00D8238F"/>
    <w:rsid w:val="00D83001"/>
    <w:rsid w:val="00D8579D"/>
    <w:rsid w:val="00D921C7"/>
    <w:rsid w:val="00D921FB"/>
    <w:rsid w:val="00D922B0"/>
    <w:rsid w:val="00D92DD9"/>
    <w:rsid w:val="00D93E27"/>
    <w:rsid w:val="00D93F32"/>
    <w:rsid w:val="00D94641"/>
    <w:rsid w:val="00D956D3"/>
    <w:rsid w:val="00D96E00"/>
    <w:rsid w:val="00DA0BF2"/>
    <w:rsid w:val="00DA0D91"/>
    <w:rsid w:val="00DA11AE"/>
    <w:rsid w:val="00DA1DD7"/>
    <w:rsid w:val="00DA1F4D"/>
    <w:rsid w:val="00DA24EE"/>
    <w:rsid w:val="00DA2FCF"/>
    <w:rsid w:val="00DA7DA2"/>
    <w:rsid w:val="00DA7F27"/>
    <w:rsid w:val="00DB0329"/>
    <w:rsid w:val="00DB246F"/>
    <w:rsid w:val="00DB30D8"/>
    <w:rsid w:val="00DB5844"/>
    <w:rsid w:val="00DB59A4"/>
    <w:rsid w:val="00DB5A25"/>
    <w:rsid w:val="00DB6C6B"/>
    <w:rsid w:val="00DC2C44"/>
    <w:rsid w:val="00DC44CA"/>
    <w:rsid w:val="00DC47FA"/>
    <w:rsid w:val="00DC4802"/>
    <w:rsid w:val="00DC593F"/>
    <w:rsid w:val="00DC6506"/>
    <w:rsid w:val="00DC6EC3"/>
    <w:rsid w:val="00DD109D"/>
    <w:rsid w:val="00DD1488"/>
    <w:rsid w:val="00DD25A3"/>
    <w:rsid w:val="00DD2C29"/>
    <w:rsid w:val="00DD778E"/>
    <w:rsid w:val="00DE18B7"/>
    <w:rsid w:val="00DE22DA"/>
    <w:rsid w:val="00DE3307"/>
    <w:rsid w:val="00DE47A8"/>
    <w:rsid w:val="00DE5E6A"/>
    <w:rsid w:val="00DE5F0B"/>
    <w:rsid w:val="00DF2A72"/>
    <w:rsid w:val="00DF3867"/>
    <w:rsid w:val="00DF3C79"/>
    <w:rsid w:val="00DF3F4E"/>
    <w:rsid w:val="00DF40AD"/>
    <w:rsid w:val="00DF445D"/>
    <w:rsid w:val="00DF4C5C"/>
    <w:rsid w:val="00DF4C9F"/>
    <w:rsid w:val="00DF5CB4"/>
    <w:rsid w:val="00DF616E"/>
    <w:rsid w:val="00DF648A"/>
    <w:rsid w:val="00DF772B"/>
    <w:rsid w:val="00DF7BA1"/>
    <w:rsid w:val="00E007D7"/>
    <w:rsid w:val="00E01538"/>
    <w:rsid w:val="00E01713"/>
    <w:rsid w:val="00E01CD2"/>
    <w:rsid w:val="00E027E0"/>
    <w:rsid w:val="00E0356F"/>
    <w:rsid w:val="00E06B92"/>
    <w:rsid w:val="00E07A28"/>
    <w:rsid w:val="00E07E61"/>
    <w:rsid w:val="00E10A81"/>
    <w:rsid w:val="00E10B14"/>
    <w:rsid w:val="00E12980"/>
    <w:rsid w:val="00E16BE0"/>
    <w:rsid w:val="00E21870"/>
    <w:rsid w:val="00E21DE0"/>
    <w:rsid w:val="00E220CC"/>
    <w:rsid w:val="00E2225A"/>
    <w:rsid w:val="00E22850"/>
    <w:rsid w:val="00E22ACD"/>
    <w:rsid w:val="00E22E86"/>
    <w:rsid w:val="00E23464"/>
    <w:rsid w:val="00E23AAF"/>
    <w:rsid w:val="00E249C4"/>
    <w:rsid w:val="00E24D9A"/>
    <w:rsid w:val="00E26039"/>
    <w:rsid w:val="00E264E3"/>
    <w:rsid w:val="00E269BF"/>
    <w:rsid w:val="00E273F5"/>
    <w:rsid w:val="00E31028"/>
    <w:rsid w:val="00E320A5"/>
    <w:rsid w:val="00E32868"/>
    <w:rsid w:val="00E336E1"/>
    <w:rsid w:val="00E34E50"/>
    <w:rsid w:val="00E37A1B"/>
    <w:rsid w:val="00E40C63"/>
    <w:rsid w:val="00E41296"/>
    <w:rsid w:val="00E43711"/>
    <w:rsid w:val="00E4384E"/>
    <w:rsid w:val="00E43C7D"/>
    <w:rsid w:val="00E473DE"/>
    <w:rsid w:val="00E47548"/>
    <w:rsid w:val="00E47BE3"/>
    <w:rsid w:val="00E47F7B"/>
    <w:rsid w:val="00E51794"/>
    <w:rsid w:val="00E523E0"/>
    <w:rsid w:val="00E52536"/>
    <w:rsid w:val="00E5287E"/>
    <w:rsid w:val="00E5487F"/>
    <w:rsid w:val="00E54A3D"/>
    <w:rsid w:val="00E54D91"/>
    <w:rsid w:val="00E573BE"/>
    <w:rsid w:val="00E61345"/>
    <w:rsid w:val="00E632D7"/>
    <w:rsid w:val="00E63B11"/>
    <w:rsid w:val="00E63FB1"/>
    <w:rsid w:val="00E654BE"/>
    <w:rsid w:val="00E6559C"/>
    <w:rsid w:val="00E65AAF"/>
    <w:rsid w:val="00E669AE"/>
    <w:rsid w:val="00E670B8"/>
    <w:rsid w:val="00E67D87"/>
    <w:rsid w:val="00E719EB"/>
    <w:rsid w:val="00E72429"/>
    <w:rsid w:val="00E730A9"/>
    <w:rsid w:val="00E730D2"/>
    <w:rsid w:val="00E739EA"/>
    <w:rsid w:val="00E7556F"/>
    <w:rsid w:val="00E75BC3"/>
    <w:rsid w:val="00E76E7A"/>
    <w:rsid w:val="00E827F4"/>
    <w:rsid w:val="00E8298D"/>
    <w:rsid w:val="00E84B5F"/>
    <w:rsid w:val="00E85462"/>
    <w:rsid w:val="00E856AE"/>
    <w:rsid w:val="00E86F50"/>
    <w:rsid w:val="00E86FF2"/>
    <w:rsid w:val="00E87C67"/>
    <w:rsid w:val="00E90D56"/>
    <w:rsid w:val="00E93BF4"/>
    <w:rsid w:val="00E97F70"/>
    <w:rsid w:val="00EA1A91"/>
    <w:rsid w:val="00EA4842"/>
    <w:rsid w:val="00EA4F04"/>
    <w:rsid w:val="00EA5099"/>
    <w:rsid w:val="00EA55A1"/>
    <w:rsid w:val="00EA5EBB"/>
    <w:rsid w:val="00EA62C7"/>
    <w:rsid w:val="00EA684A"/>
    <w:rsid w:val="00EA6B8C"/>
    <w:rsid w:val="00EA70F7"/>
    <w:rsid w:val="00EB0C4A"/>
    <w:rsid w:val="00EB354E"/>
    <w:rsid w:val="00EB39A2"/>
    <w:rsid w:val="00EB52F2"/>
    <w:rsid w:val="00EB6637"/>
    <w:rsid w:val="00EB7458"/>
    <w:rsid w:val="00EB7A2B"/>
    <w:rsid w:val="00EC6504"/>
    <w:rsid w:val="00EC7514"/>
    <w:rsid w:val="00ED03BB"/>
    <w:rsid w:val="00ED073E"/>
    <w:rsid w:val="00ED135A"/>
    <w:rsid w:val="00ED4BD8"/>
    <w:rsid w:val="00ED5DE2"/>
    <w:rsid w:val="00EE2A0E"/>
    <w:rsid w:val="00EE2FC0"/>
    <w:rsid w:val="00EE34AF"/>
    <w:rsid w:val="00EE3CDE"/>
    <w:rsid w:val="00EE3E30"/>
    <w:rsid w:val="00EE4427"/>
    <w:rsid w:val="00EE4779"/>
    <w:rsid w:val="00EE54E5"/>
    <w:rsid w:val="00EE5668"/>
    <w:rsid w:val="00EE6274"/>
    <w:rsid w:val="00EE6AFD"/>
    <w:rsid w:val="00EE6D71"/>
    <w:rsid w:val="00EF0B0E"/>
    <w:rsid w:val="00EF2F6C"/>
    <w:rsid w:val="00EF6C54"/>
    <w:rsid w:val="00F0343F"/>
    <w:rsid w:val="00F03A80"/>
    <w:rsid w:val="00F04940"/>
    <w:rsid w:val="00F065D1"/>
    <w:rsid w:val="00F10117"/>
    <w:rsid w:val="00F1086F"/>
    <w:rsid w:val="00F112B9"/>
    <w:rsid w:val="00F13B89"/>
    <w:rsid w:val="00F160A4"/>
    <w:rsid w:val="00F1683C"/>
    <w:rsid w:val="00F17508"/>
    <w:rsid w:val="00F179E6"/>
    <w:rsid w:val="00F22BEB"/>
    <w:rsid w:val="00F3291B"/>
    <w:rsid w:val="00F33077"/>
    <w:rsid w:val="00F3366D"/>
    <w:rsid w:val="00F34AF8"/>
    <w:rsid w:val="00F35265"/>
    <w:rsid w:val="00F3688C"/>
    <w:rsid w:val="00F37142"/>
    <w:rsid w:val="00F37E5D"/>
    <w:rsid w:val="00F4063D"/>
    <w:rsid w:val="00F41DA6"/>
    <w:rsid w:val="00F433E8"/>
    <w:rsid w:val="00F459F9"/>
    <w:rsid w:val="00F468A0"/>
    <w:rsid w:val="00F4699C"/>
    <w:rsid w:val="00F47268"/>
    <w:rsid w:val="00F47DA4"/>
    <w:rsid w:val="00F511DE"/>
    <w:rsid w:val="00F5127D"/>
    <w:rsid w:val="00F5237F"/>
    <w:rsid w:val="00F52E0D"/>
    <w:rsid w:val="00F60D95"/>
    <w:rsid w:val="00F61679"/>
    <w:rsid w:val="00F61BBB"/>
    <w:rsid w:val="00F63A25"/>
    <w:rsid w:val="00F64C51"/>
    <w:rsid w:val="00F65A14"/>
    <w:rsid w:val="00F6605D"/>
    <w:rsid w:val="00F6694B"/>
    <w:rsid w:val="00F66A97"/>
    <w:rsid w:val="00F670D7"/>
    <w:rsid w:val="00F67900"/>
    <w:rsid w:val="00F70D3D"/>
    <w:rsid w:val="00F71DD4"/>
    <w:rsid w:val="00F72D30"/>
    <w:rsid w:val="00F732D4"/>
    <w:rsid w:val="00F74060"/>
    <w:rsid w:val="00F761D5"/>
    <w:rsid w:val="00F76849"/>
    <w:rsid w:val="00F76FC2"/>
    <w:rsid w:val="00F80A60"/>
    <w:rsid w:val="00F82B70"/>
    <w:rsid w:val="00F8326B"/>
    <w:rsid w:val="00F83AC1"/>
    <w:rsid w:val="00F83F7E"/>
    <w:rsid w:val="00F84AD3"/>
    <w:rsid w:val="00F854CF"/>
    <w:rsid w:val="00F866E7"/>
    <w:rsid w:val="00F878D9"/>
    <w:rsid w:val="00F91EDA"/>
    <w:rsid w:val="00F9222B"/>
    <w:rsid w:val="00F92E55"/>
    <w:rsid w:val="00F9412D"/>
    <w:rsid w:val="00F954F3"/>
    <w:rsid w:val="00F95C89"/>
    <w:rsid w:val="00FA098D"/>
    <w:rsid w:val="00FA0B2C"/>
    <w:rsid w:val="00FA0BE4"/>
    <w:rsid w:val="00FA2CBD"/>
    <w:rsid w:val="00FA3086"/>
    <w:rsid w:val="00FA737B"/>
    <w:rsid w:val="00FA7635"/>
    <w:rsid w:val="00FA7A31"/>
    <w:rsid w:val="00FB0FFE"/>
    <w:rsid w:val="00FB1655"/>
    <w:rsid w:val="00FB19A1"/>
    <w:rsid w:val="00FB3EBE"/>
    <w:rsid w:val="00FB43E1"/>
    <w:rsid w:val="00FB4CD3"/>
    <w:rsid w:val="00FB5966"/>
    <w:rsid w:val="00FB65D9"/>
    <w:rsid w:val="00FB6763"/>
    <w:rsid w:val="00FB6DB7"/>
    <w:rsid w:val="00FB7F2D"/>
    <w:rsid w:val="00FC0CCD"/>
    <w:rsid w:val="00FC13F0"/>
    <w:rsid w:val="00FC20A7"/>
    <w:rsid w:val="00FC2D00"/>
    <w:rsid w:val="00FC4480"/>
    <w:rsid w:val="00FC5634"/>
    <w:rsid w:val="00FC6275"/>
    <w:rsid w:val="00FC64B1"/>
    <w:rsid w:val="00FC6AC2"/>
    <w:rsid w:val="00FC7EC8"/>
    <w:rsid w:val="00FD0532"/>
    <w:rsid w:val="00FD246E"/>
    <w:rsid w:val="00FD3671"/>
    <w:rsid w:val="00FD3D2D"/>
    <w:rsid w:val="00FD431D"/>
    <w:rsid w:val="00FD49B2"/>
    <w:rsid w:val="00FD54BE"/>
    <w:rsid w:val="00FD6A62"/>
    <w:rsid w:val="00FE0A6A"/>
    <w:rsid w:val="00FE1C80"/>
    <w:rsid w:val="00FE4EB8"/>
    <w:rsid w:val="00FE5558"/>
    <w:rsid w:val="00FE5639"/>
    <w:rsid w:val="00FE6409"/>
    <w:rsid w:val="00FF4826"/>
    <w:rsid w:val="00FF48CF"/>
    <w:rsid w:val="00FF5C3A"/>
    <w:rsid w:val="00FF71ED"/>
    <w:rsid w:val="00FF7F3B"/>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6051AB8"/>
  <w15:docId w15:val="{B1E2EDAC-9DAF-49A7-B5A2-972E8BDDE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en-GB"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bidi="ar-SA"/>
    </w:rPr>
  </w:style>
  <w:style w:type="paragraph" w:styleId="Heading1">
    <w:name w:val="heading 1"/>
    <w:basedOn w:val="Normal"/>
    <w:next w:val="Text1"/>
    <w:link w:val="Heading1Char"/>
    <w:uiPriority w:val="9"/>
    <w:qFormat/>
    <w:rsid w:val="00681F80"/>
    <w:pPr>
      <w:keepNext/>
      <w:spacing w:before="360" w:after="120" w:line="240" w:lineRule="auto"/>
      <w:jc w:val="both"/>
      <w:outlineLvl w:val="0"/>
    </w:pPr>
    <w:rPr>
      <w:rFonts w:ascii="Times New Roman" w:eastAsia="Times New Roman" w:hAnsi="Times New Roman"/>
      <w:b/>
      <w:bCs/>
      <w:smallCaps/>
      <w:sz w:val="24"/>
      <w:szCs w:val="28"/>
      <w:lang w:eastAsia="en-GB"/>
    </w:rPr>
  </w:style>
  <w:style w:type="paragraph" w:styleId="Heading2">
    <w:name w:val="heading 2"/>
    <w:basedOn w:val="Normal"/>
    <w:next w:val="Text1"/>
    <w:link w:val="Heading2Char"/>
    <w:uiPriority w:val="9"/>
    <w:unhideWhenUsed/>
    <w:qFormat/>
    <w:rsid w:val="00681F80"/>
    <w:pPr>
      <w:keepNext/>
      <w:spacing w:before="120" w:after="120" w:line="240" w:lineRule="auto"/>
      <w:jc w:val="both"/>
      <w:outlineLvl w:val="1"/>
    </w:pPr>
    <w:rPr>
      <w:rFonts w:ascii="Times New Roman" w:eastAsia="Times New Roman" w:hAnsi="Times New Roman"/>
      <w:b/>
      <w:bCs/>
      <w:sz w:val="24"/>
      <w:szCs w:val="26"/>
      <w:lang w:eastAsia="en-GB"/>
    </w:rPr>
  </w:style>
  <w:style w:type="paragraph" w:styleId="Heading3">
    <w:name w:val="heading 3"/>
    <w:basedOn w:val="Normal"/>
    <w:next w:val="Text1"/>
    <w:link w:val="Heading3Char"/>
    <w:uiPriority w:val="9"/>
    <w:semiHidden/>
    <w:unhideWhenUsed/>
    <w:qFormat/>
    <w:rsid w:val="00681F80"/>
    <w:pPr>
      <w:keepNext/>
      <w:spacing w:before="120" w:after="120" w:line="240" w:lineRule="auto"/>
      <w:jc w:val="both"/>
      <w:outlineLvl w:val="2"/>
    </w:pPr>
    <w:rPr>
      <w:rFonts w:ascii="Times New Roman" w:eastAsia="Times New Roman" w:hAnsi="Times New Roman"/>
      <w:bCs/>
      <w:i/>
      <w:sz w:val="24"/>
      <w:lang w:eastAsia="en-GB"/>
    </w:rPr>
  </w:style>
  <w:style w:type="paragraph" w:styleId="Heading4">
    <w:name w:val="heading 4"/>
    <w:basedOn w:val="Normal"/>
    <w:next w:val="Text1"/>
    <w:link w:val="Heading4Char"/>
    <w:uiPriority w:val="9"/>
    <w:semiHidden/>
    <w:unhideWhenUsed/>
    <w:qFormat/>
    <w:rsid w:val="00681F80"/>
    <w:pPr>
      <w:keepNext/>
      <w:spacing w:before="120" w:after="120" w:line="240" w:lineRule="auto"/>
      <w:jc w:val="both"/>
      <w:outlineLvl w:val="3"/>
    </w:pPr>
    <w:rPr>
      <w:rFonts w:ascii="Times New Roman" w:eastAsia="Times New Roman" w:hAnsi="Times New Roman"/>
      <w:bCs/>
      <w:iCs/>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81F80"/>
    <w:rPr>
      <w:rFonts w:ascii="Times New Roman" w:eastAsia="Times New Roman" w:hAnsi="Times New Roman"/>
      <w:b/>
      <w:bCs/>
      <w:smallCaps/>
      <w:sz w:val="24"/>
      <w:szCs w:val="28"/>
      <w:lang w:bidi="ar-SA"/>
    </w:rPr>
  </w:style>
  <w:style w:type="character" w:customStyle="1" w:styleId="Heading2Char">
    <w:name w:val="Heading 2 Char"/>
    <w:link w:val="Heading2"/>
    <w:uiPriority w:val="9"/>
    <w:rsid w:val="00681F80"/>
    <w:rPr>
      <w:rFonts w:ascii="Times New Roman" w:eastAsia="Times New Roman" w:hAnsi="Times New Roman"/>
      <w:b/>
      <w:bCs/>
      <w:sz w:val="24"/>
      <w:szCs w:val="26"/>
      <w:lang w:bidi="ar-SA"/>
    </w:rPr>
  </w:style>
  <w:style w:type="character" w:customStyle="1" w:styleId="Heading3Char">
    <w:name w:val="Heading 3 Char"/>
    <w:link w:val="Heading3"/>
    <w:uiPriority w:val="9"/>
    <w:semiHidden/>
    <w:rsid w:val="00681F80"/>
    <w:rPr>
      <w:rFonts w:ascii="Times New Roman" w:eastAsia="Times New Roman" w:hAnsi="Times New Roman"/>
      <w:bCs/>
      <w:i/>
      <w:sz w:val="24"/>
      <w:szCs w:val="22"/>
      <w:lang w:bidi="ar-SA"/>
    </w:rPr>
  </w:style>
  <w:style w:type="character" w:customStyle="1" w:styleId="Heading4Char">
    <w:name w:val="Heading 4 Char"/>
    <w:link w:val="Heading4"/>
    <w:uiPriority w:val="9"/>
    <w:semiHidden/>
    <w:rsid w:val="00681F80"/>
    <w:rPr>
      <w:rFonts w:ascii="Times New Roman" w:eastAsia="Times New Roman" w:hAnsi="Times New Roman"/>
      <w:bCs/>
      <w:iCs/>
      <w:sz w:val="24"/>
      <w:szCs w:val="22"/>
      <w:lang w:bidi="ar-SA"/>
    </w:rPr>
  </w:style>
  <w:style w:type="character" w:styleId="Hyperlink">
    <w:name w:val="Hyperlink"/>
    <w:uiPriority w:val="99"/>
    <w:rsid w:val="00681F80"/>
    <w:rPr>
      <w:color w:val="0000FF"/>
      <w:u w:val="single"/>
      <w:shd w:val="clear" w:color="auto" w:fill="auto"/>
    </w:rPr>
  </w:style>
  <w:style w:type="paragraph" w:styleId="Footer">
    <w:name w:val="footer"/>
    <w:basedOn w:val="Normal"/>
    <w:link w:val="FooterChar"/>
    <w:uiPriority w:val="99"/>
    <w:unhideWhenUsed/>
    <w:rsid w:val="00D8238F"/>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sid w:val="00D8238F"/>
    <w:rPr>
      <w:rFonts w:ascii="Times New Roman" w:hAnsi="Times New Roman"/>
      <w:sz w:val="24"/>
      <w:szCs w:val="22"/>
      <w:lang w:eastAsia="en-US" w:bidi="ar-SA"/>
    </w:rPr>
  </w:style>
  <w:style w:type="paragraph" w:styleId="FootnoteText">
    <w:name w:val="footnote text"/>
    <w:basedOn w:val="Normal"/>
    <w:unhideWhenUsed/>
    <w:qFormat/>
    <w:rsid w:val="00681F80"/>
    <w:pPr>
      <w:spacing w:after="0" w:line="240" w:lineRule="auto"/>
      <w:ind w:left="720" w:hanging="720"/>
      <w:jc w:val="both"/>
    </w:pPr>
    <w:rPr>
      <w:rFonts w:ascii="Times New Roman" w:eastAsia="Times New Roman" w:hAnsi="Times New Roman"/>
      <w:sz w:val="20"/>
      <w:szCs w:val="20"/>
      <w:lang w:eastAsia="en-GB"/>
    </w:rPr>
  </w:style>
  <w:style w:type="character" w:customStyle="1" w:styleId="FootnoteTextChar">
    <w:name w:val="Footnote Text Char"/>
    <w:aliases w:val="Footnote Text Char1 Char,Footnote Text Char Char Char,Footnote Text Char3 Char Char Char,Footnote Text Char2 Char Char Char Char,Footnote Text Char1 Char Char Char Char Char,Footnote Text Char Char Char Char Char Char Char,fn Char"/>
    <w:uiPriority w:val="99"/>
    <w:rsid w:val="00681F80"/>
    <w:rPr>
      <w:rFonts w:ascii="Times New Roman" w:eastAsia="Times New Roman" w:hAnsi="Times New Roman"/>
    </w:rPr>
  </w:style>
  <w:style w:type="paragraph" w:styleId="TOCHeading">
    <w:name w:val="TOC Heading"/>
    <w:basedOn w:val="Normal"/>
    <w:next w:val="Normal"/>
    <w:link w:val="TOCHeadingChar"/>
    <w:uiPriority w:val="39"/>
    <w:semiHidden/>
    <w:unhideWhenUsed/>
    <w:qFormat/>
    <w:rsid w:val="00681F80"/>
    <w:pPr>
      <w:spacing w:before="120" w:after="240" w:line="240" w:lineRule="auto"/>
      <w:jc w:val="center"/>
    </w:pPr>
    <w:rPr>
      <w:rFonts w:ascii="Times New Roman" w:eastAsia="Times New Roman" w:hAnsi="Times New Roman"/>
      <w:b/>
      <w:sz w:val="28"/>
      <w:lang w:eastAsia="en-GB"/>
    </w:rPr>
  </w:style>
  <w:style w:type="paragraph" w:styleId="TOC1">
    <w:name w:val="toc 1"/>
    <w:basedOn w:val="Normal"/>
    <w:next w:val="Normal"/>
    <w:uiPriority w:val="39"/>
    <w:unhideWhenUsed/>
    <w:rsid w:val="00681F80"/>
    <w:pPr>
      <w:tabs>
        <w:tab w:val="right" w:leader="dot" w:pos="9071"/>
      </w:tabs>
      <w:spacing w:before="60" w:after="120" w:line="240" w:lineRule="auto"/>
      <w:ind w:left="850" w:hanging="850"/>
    </w:pPr>
    <w:rPr>
      <w:rFonts w:ascii="Times New Roman" w:eastAsia="Times New Roman" w:hAnsi="Times New Roman"/>
      <w:sz w:val="24"/>
      <w:lang w:eastAsia="en-GB"/>
    </w:rPr>
  </w:style>
  <w:style w:type="character" w:styleId="FootnoteReference">
    <w:name w:val="footnote reference"/>
    <w:aliases w:val="Footnote,Footnote symbol,EN Footnote Reference,-E Fußnotenzeichen, BVI fnr,Footnote number,Footnote Reference Number,Footnote reference number,Times 10 Point,Exposant 3 Point,Footnote Reference Superscript, Exposant 3 Point,note TESI"/>
    <w:link w:val="BVIfnrCarCarCarCarCharCharCharChar"/>
    <w:unhideWhenUsed/>
    <w:rsid w:val="00681F80"/>
    <w:rPr>
      <w:shd w:val="clear" w:color="auto" w:fill="auto"/>
      <w:vertAlign w:val="superscript"/>
    </w:rPr>
  </w:style>
  <w:style w:type="paragraph" w:customStyle="1" w:styleId="Text1">
    <w:name w:val="Text 1"/>
    <w:basedOn w:val="Normal"/>
    <w:link w:val="Text1Char"/>
    <w:rsid w:val="00681F80"/>
    <w:pPr>
      <w:spacing w:before="120" w:after="120" w:line="240" w:lineRule="auto"/>
      <w:ind w:left="850"/>
      <w:jc w:val="both"/>
    </w:pPr>
    <w:rPr>
      <w:rFonts w:ascii="Times New Roman" w:eastAsia="Times New Roman" w:hAnsi="Times New Roman"/>
      <w:sz w:val="24"/>
      <w:lang w:eastAsia="en-GB"/>
    </w:rPr>
  </w:style>
  <w:style w:type="paragraph" w:customStyle="1" w:styleId="Text2">
    <w:name w:val="Text 2"/>
    <w:basedOn w:val="Normal"/>
    <w:rsid w:val="00681F80"/>
    <w:pPr>
      <w:spacing w:before="120" w:after="120" w:line="240" w:lineRule="auto"/>
      <w:ind w:left="1417"/>
      <w:jc w:val="both"/>
    </w:pPr>
    <w:rPr>
      <w:rFonts w:ascii="Times New Roman" w:eastAsia="Times New Roman" w:hAnsi="Times New Roman"/>
      <w:sz w:val="24"/>
      <w:lang w:eastAsia="en-GB"/>
    </w:rPr>
  </w:style>
  <w:style w:type="paragraph" w:customStyle="1" w:styleId="Tiret1">
    <w:name w:val="Tiret 1"/>
    <w:basedOn w:val="Normal"/>
    <w:rsid w:val="00681F80"/>
    <w:pPr>
      <w:numPr>
        <w:numId w:val="2"/>
      </w:numPr>
      <w:spacing w:before="120" w:after="120" w:line="240" w:lineRule="auto"/>
      <w:jc w:val="both"/>
    </w:pPr>
    <w:rPr>
      <w:rFonts w:ascii="Times New Roman" w:eastAsia="Times New Roman" w:hAnsi="Times New Roman"/>
      <w:sz w:val="24"/>
      <w:lang w:eastAsia="en-GB"/>
    </w:rPr>
  </w:style>
  <w:style w:type="paragraph" w:customStyle="1" w:styleId="Point0number">
    <w:name w:val="Point 0 (number)"/>
    <w:basedOn w:val="Normal"/>
    <w:uiPriority w:val="99"/>
    <w:rsid w:val="00681F80"/>
    <w:pPr>
      <w:numPr>
        <w:numId w:val="3"/>
      </w:numPr>
      <w:spacing w:before="120" w:after="120" w:line="240" w:lineRule="auto"/>
      <w:jc w:val="both"/>
    </w:pPr>
    <w:rPr>
      <w:rFonts w:ascii="Times New Roman" w:eastAsia="Times New Roman" w:hAnsi="Times New Roman"/>
      <w:sz w:val="24"/>
      <w:lang w:eastAsia="en-GB"/>
    </w:rPr>
  </w:style>
  <w:style w:type="paragraph" w:customStyle="1" w:styleId="Point1number">
    <w:name w:val="Point 1 (number)"/>
    <w:basedOn w:val="Normal"/>
    <w:uiPriority w:val="99"/>
    <w:rsid w:val="00681F80"/>
    <w:pPr>
      <w:numPr>
        <w:ilvl w:val="2"/>
        <w:numId w:val="3"/>
      </w:numPr>
      <w:spacing w:before="120" w:after="120" w:line="240" w:lineRule="auto"/>
      <w:jc w:val="both"/>
    </w:pPr>
    <w:rPr>
      <w:rFonts w:ascii="Times New Roman" w:eastAsia="Times New Roman" w:hAnsi="Times New Roman"/>
      <w:sz w:val="24"/>
      <w:lang w:eastAsia="en-GB"/>
    </w:rPr>
  </w:style>
  <w:style w:type="paragraph" w:customStyle="1" w:styleId="Point2number">
    <w:name w:val="Point 2 (number)"/>
    <w:basedOn w:val="Normal"/>
    <w:uiPriority w:val="99"/>
    <w:rsid w:val="00681F80"/>
    <w:pPr>
      <w:numPr>
        <w:ilvl w:val="4"/>
        <w:numId w:val="3"/>
      </w:numPr>
      <w:spacing w:before="120" w:after="120" w:line="240" w:lineRule="auto"/>
      <w:jc w:val="both"/>
    </w:pPr>
    <w:rPr>
      <w:rFonts w:ascii="Times New Roman" w:eastAsia="Times New Roman" w:hAnsi="Times New Roman"/>
      <w:sz w:val="24"/>
      <w:lang w:eastAsia="en-GB"/>
    </w:rPr>
  </w:style>
  <w:style w:type="paragraph" w:customStyle="1" w:styleId="Point3number">
    <w:name w:val="Point 3 (number)"/>
    <w:basedOn w:val="Normal"/>
    <w:uiPriority w:val="99"/>
    <w:rsid w:val="00681F80"/>
    <w:pPr>
      <w:numPr>
        <w:ilvl w:val="6"/>
        <w:numId w:val="3"/>
      </w:numPr>
      <w:spacing w:before="120" w:after="120" w:line="240" w:lineRule="auto"/>
      <w:jc w:val="both"/>
    </w:pPr>
    <w:rPr>
      <w:rFonts w:ascii="Times New Roman" w:eastAsia="Times New Roman" w:hAnsi="Times New Roman"/>
      <w:sz w:val="24"/>
      <w:lang w:eastAsia="en-GB"/>
    </w:rPr>
  </w:style>
  <w:style w:type="paragraph" w:customStyle="1" w:styleId="Point0letter">
    <w:name w:val="Point 0 (letter)"/>
    <w:basedOn w:val="Normal"/>
    <w:uiPriority w:val="99"/>
    <w:rsid w:val="00681F80"/>
    <w:pPr>
      <w:numPr>
        <w:ilvl w:val="1"/>
        <w:numId w:val="3"/>
      </w:numPr>
      <w:spacing w:before="120" w:after="120" w:line="240" w:lineRule="auto"/>
      <w:jc w:val="both"/>
    </w:pPr>
    <w:rPr>
      <w:rFonts w:ascii="Times New Roman" w:eastAsia="Times New Roman" w:hAnsi="Times New Roman"/>
      <w:sz w:val="24"/>
      <w:lang w:eastAsia="en-GB"/>
    </w:rPr>
  </w:style>
  <w:style w:type="paragraph" w:customStyle="1" w:styleId="Point1letter">
    <w:name w:val="Point 1 (letter)"/>
    <w:basedOn w:val="Normal"/>
    <w:uiPriority w:val="99"/>
    <w:rsid w:val="00681F80"/>
    <w:pPr>
      <w:numPr>
        <w:ilvl w:val="3"/>
        <w:numId w:val="3"/>
      </w:numPr>
      <w:spacing w:before="120" w:after="120" w:line="240" w:lineRule="auto"/>
      <w:jc w:val="both"/>
    </w:pPr>
    <w:rPr>
      <w:rFonts w:ascii="Times New Roman" w:eastAsia="Times New Roman" w:hAnsi="Times New Roman"/>
      <w:sz w:val="24"/>
      <w:lang w:eastAsia="en-GB"/>
    </w:rPr>
  </w:style>
  <w:style w:type="paragraph" w:customStyle="1" w:styleId="Point2letter">
    <w:name w:val="Point 2 (letter)"/>
    <w:basedOn w:val="Normal"/>
    <w:uiPriority w:val="99"/>
    <w:rsid w:val="00681F80"/>
    <w:pPr>
      <w:numPr>
        <w:ilvl w:val="5"/>
        <w:numId w:val="3"/>
      </w:numPr>
      <w:spacing w:before="120" w:after="120" w:line="240" w:lineRule="auto"/>
      <w:jc w:val="both"/>
    </w:pPr>
    <w:rPr>
      <w:rFonts w:ascii="Times New Roman" w:eastAsia="Times New Roman" w:hAnsi="Times New Roman"/>
      <w:sz w:val="24"/>
      <w:lang w:eastAsia="en-GB"/>
    </w:rPr>
  </w:style>
  <w:style w:type="paragraph" w:customStyle="1" w:styleId="Point3letter">
    <w:name w:val="Point 3 (letter)"/>
    <w:basedOn w:val="Normal"/>
    <w:uiPriority w:val="99"/>
    <w:rsid w:val="00681F80"/>
    <w:pPr>
      <w:numPr>
        <w:ilvl w:val="7"/>
        <w:numId w:val="3"/>
      </w:numPr>
      <w:spacing w:before="120" w:after="120" w:line="240" w:lineRule="auto"/>
      <w:jc w:val="both"/>
    </w:pPr>
    <w:rPr>
      <w:rFonts w:ascii="Times New Roman" w:eastAsia="Times New Roman" w:hAnsi="Times New Roman"/>
      <w:sz w:val="24"/>
      <w:lang w:eastAsia="en-GB"/>
    </w:rPr>
  </w:style>
  <w:style w:type="paragraph" w:customStyle="1" w:styleId="Point4letter">
    <w:name w:val="Point 4 (letter)"/>
    <w:basedOn w:val="Normal"/>
    <w:uiPriority w:val="99"/>
    <w:rsid w:val="00681F80"/>
    <w:pPr>
      <w:numPr>
        <w:ilvl w:val="8"/>
        <w:numId w:val="3"/>
      </w:numPr>
      <w:spacing w:before="120" w:after="120" w:line="240" w:lineRule="auto"/>
      <w:jc w:val="both"/>
    </w:pPr>
    <w:rPr>
      <w:rFonts w:ascii="Times New Roman" w:eastAsia="Times New Roman" w:hAnsi="Times New Roman"/>
      <w:sz w:val="24"/>
      <w:lang w:eastAsia="en-GB"/>
    </w:rPr>
  </w:style>
  <w:style w:type="paragraph" w:customStyle="1" w:styleId="Titreobjet">
    <w:name w:val="Titre objet"/>
    <w:basedOn w:val="Normal"/>
    <w:next w:val="Normal"/>
    <w:rsid w:val="00681F80"/>
    <w:pPr>
      <w:spacing w:before="360" w:after="360" w:line="240" w:lineRule="auto"/>
      <w:jc w:val="center"/>
    </w:pPr>
    <w:rPr>
      <w:rFonts w:ascii="Times New Roman" w:eastAsia="Times New Roman" w:hAnsi="Times New Roman"/>
      <w:b/>
      <w:sz w:val="24"/>
      <w:lang w:eastAsia="en-GB"/>
    </w:rPr>
  </w:style>
  <w:style w:type="paragraph" w:customStyle="1" w:styleId="Typedudocument">
    <w:name w:val="Type du document"/>
    <w:basedOn w:val="Normal"/>
    <w:next w:val="Titreobjet"/>
    <w:rsid w:val="00681F80"/>
    <w:pPr>
      <w:spacing w:before="360" w:after="0" w:line="240" w:lineRule="auto"/>
      <w:jc w:val="center"/>
    </w:pPr>
    <w:rPr>
      <w:rFonts w:ascii="Times New Roman" w:eastAsia="Times New Roman" w:hAnsi="Times New Roman"/>
      <w:b/>
      <w:sz w:val="24"/>
      <w:lang w:eastAsia="en-GB"/>
    </w:rPr>
  </w:style>
  <w:style w:type="character" w:customStyle="1" w:styleId="Marker">
    <w:name w:val="Marker"/>
    <w:rsid w:val="00681F80"/>
    <w:rPr>
      <w:color w:val="0000FF"/>
      <w:shd w:val="clear" w:color="auto" w:fill="auto"/>
    </w:rPr>
  </w:style>
  <w:style w:type="paragraph" w:customStyle="1" w:styleId="Pagedecouverture">
    <w:name w:val="Page de couverture"/>
    <w:basedOn w:val="Normal"/>
    <w:next w:val="Normal"/>
    <w:rsid w:val="00681F80"/>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D8238F"/>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sid w:val="00D8238F"/>
    <w:rPr>
      <w:rFonts w:ascii="Times New Roman" w:hAnsi="Times New Roman"/>
      <w:sz w:val="24"/>
      <w:szCs w:val="22"/>
      <w:lang w:eastAsia="en-US" w:bidi="ar-SA"/>
    </w:rPr>
  </w:style>
  <w:style w:type="paragraph" w:customStyle="1" w:styleId="FooterCoverPage">
    <w:name w:val="Footer Cover Page"/>
    <w:basedOn w:val="Normal"/>
    <w:link w:val="FooterCoverPageChar"/>
    <w:rsid w:val="00681F80"/>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sid w:val="00681F80"/>
    <w:rPr>
      <w:rFonts w:ascii="Times New Roman" w:hAnsi="Times New Roman"/>
      <w:sz w:val="24"/>
      <w:szCs w:val="22"/>
      <w:lang w:eastAsia="en-US" w:bidi="ar-SA"/>
    </w:rPr>
  </w:style>
  <w:style w:type="paragraph" w:customStyle="1" w:styleId="HeaderCoverPage">
    <w:name w:val="Header Cover Page"/>
    <w:basedOn w:val="Normal"/>
    <w:link w:val="HeaderCoverPageChar"/>
    <w:rsid w:val="00681F80"/>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sid w:val="00681F80"/>
    <w:rPr>
      <w:rFonts w:ascii="Times New Roman" w:hAnsi="Times New Roman"/>
      <w:sz w:val="24"/>
      <w:szCs w:val="22"/>
      <w:lang w:eastAsia="en-US" w:bidi="ar-SA"/>
    </w:rPr>
  </w:style>
  <w:style w:type="paragraph" w:styleId="BalloonText">
    <w:name w:val="Balloon Text"/>
    <w:basedOn w:val="Normal"/>
    <w:link w:val="BalloonTextChar"/>
    <w:uiPriority w:val="99"/>
    <w:semiHidden/>
    <w:unhideWhenUsed/>
    <w:rsid w:val="00E07A2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07A28"/>
    <w:rPr>
      <w:rFonts w:ascii="Tahoma" w:hAnsi="Tahoma" w:cs="Tahoma"/>
      <w:sz w:val="16"/>
      <w:szCs w:val="16"/>
      <w:lang w:eastAsia="en-US"/>
    </w:rPr>
  </w:style>
  <w:style w:type="character" w:customStyle="1" w:styleId="Text1Char">
    <w:name w:val="Text 1 Char"/>
    <w:link w:val="Text1"/>
    <w:rsid w:val="007824C0"/>
    <w:rPr>
      <w:rFonts w:ascii="Times New Roman" w:eastAsia="Times New Roman" w:hAnsi="Times New Roman"/>
      <w:sz w:val="24"/>
      <w:szCs w:val="22"/>
    </w:rPr>
  </w:style>
  <w:style w:type="paragraph" w:styleId="Revision">
    <w:name w:val="Revision"/>
    <w:hidden/>
    <w:uiPriority w:val="99"/>
    <w:semiHidden/>
    <w:rsid w:val="00A14DC1"/>
    <w:rPr>
      <w:sz w:val="22"/>
      <w:szCs w:val="22"/>
      <w:lang w:eastAsia="en-US" w:bidi="ar-SA"/>
    </w:rPr>
  </w:style>
  <w:style w:type="character" w:styleId="CommentReference">
    <w:name w:val="annotation reference"/>
    <w:uiPriority w:val="99"/>
    <w:semiHidden/>
    <w:unhideWhenUsed/>
    <w:rsid w:val="0095455C"/>
    <w:rPr>
      <w:sz w:val="16"/>
      <w:szCs w:val="16"/>
    </w:rPr>
  </w:style>
  <w:style w:type="paragraph" w:styleId="CommentText">
    <w:name w:val="annotation text"/>
    <w:basedOn w:val="Normal"/>
    <w:link w:val="CommentTextChar"/>
    <w:uiPriority w:val="99"/>
    <w:unhideWhenUsed/>
    <w:rsid w:val="0095455C"/>
    <w:rPr>
      <w:sz w:val="20"/>
      <w:szCs w:val="20"/>
    </w:rPr>
  </w:style>
  <w:style w:type="character" w:customStyle="1" w:styleId="CommentTextChar">
    <w:name w:val="Comment Text Char"/>
    <w:link w:val="CommentText"/>
    <w:uiPriority w:val="99"/>
    <w:rsid w:val="0095455C"/>
    <w:rPr>
      <w:lang w:eastAsia="en-US"/>
    </w:rPr>
  </w:style>
  <w:style w:type="paragraph" w:styleId="CommentSubject">
    <w:name w:val="annotation subject"/>
    <w:basedOn w:val="CommentText"/>
    <w:next w:val="CommentText"/>
    <w:link w:val="CommentSubjectChar"/>
    <w:uiPriority w:val="99"/>
    <w:semiHidden/>
    <w:unhideWhenUsed/>
    <w:rsid w:val="0095455C"/>
    <w:rPr>
      <w:b/>
      <w:bCs/>
    </w:rPr>
  </w:style>
  <w:style w:type="character" w:customStyle="1" w:styleId="CommentSubjectChar">
    <w:name w:val="Comment Subject Char"/>
    <w:link w:val="CommentSubject"/>
    <w:uiPriority w:val="99"/>
    <w:semiHidden/>
    <w:rsid w:val="0095455C"/>
    <w:rPr>
      <w:b/>
      <w:bCs/>
      <w:lang w:eastAsia="en-US"/>
    </w:rPr>
  </w:style>
  <w:style w:type="paragraph" w:styleId="Caption">
    <w:name w:val="caption"/>
    <w:basedOn w:val="Normal"/>
    <w:next w:val="Normal"/>
    <w:uiPriority w:val="35"/>
    <w:unhideWhenUsed/>
    <w:qFormat/>
    <w:rsid w:val="001F12CC"/>
    <w:rPr>
      <w:b/>
      <w:bCs/>
      <w:sz w:val="20"/>
      <w:szCs w:val="20"/>
    </w:rPr>
  </w:style>
  <w:style w:type="paragraph" w:customStyle="1" w:styleId="Declassification">
    <w:name w:val="Declassification"/>
    <w:basedOn w:val="Normal"/>
    <w:next w:val="Normal"/>
    <w:rsid w:val="00D8238F"/>
    <w:pPr>
      <w:spacing w:after="0" w:line="240" w:lineRule="auto"/>
      <w:jc w:val="both"/>
    </w:pPr>
    <w:rPr>
      <w:rFonts w:ascii="Times New Roman" w:eastAsiaTheme="minorHAnsi" w:hAnsi="Times New Roman"/>
      <w:sz w:val="24"/>
    </w:rPr>
  </w:style>
  <w:style w:type="paragraph" w:customStyle="1" w:styleId="HeaderLandscape">
    <w:name w:val="HeaderLandscape"/>
    <w:basedOn w:val="Normal"/>
    <w:rsid w:val="00D8238F"/>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rsid w:val="00D8238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rsid w:val="00D8238F"/>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rsid w:val="00D8238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styleId="ListParagraph">
    <w:name w:val="List Paragraph"/>
    <w:aliases w:val="Fiche List Paragraph,Task Body,Viñetas (Inicio Parrafo),3 Txt tabla,Zerrenda-paragrafoa,Lista multicolor - Énfasis 11,Paragrafo elenco,1st level - Bullet List Paragraph,Lettre d'introduction,Normal bullet 2,Bullet list,Listenabsatz1,Nad,L"/>
    <w:basedOn w:val="Normal"/>
    <w:link w:val="ListParagraphChar"/>
    <w:uiPriority w:val="34"/>
    <w:qFormat/>
    <w:rsid w:val="00437D08"/>
    <w:pPr>
      <w:ind w:left="720"/>
      <w:contextualSpacing/>
    </w:pPr>
  </w:style>
  <w:style w:type="paragraph" w:customStyle="1" w:styleId="HeaderSensitivityRight">
    <w:name w:val="Header Sensitivity Right"/>
    <w:basedOn w:val="Normal"/>
    <w:link w:val="HeaderSensitivityRightChar"/>
    <w:rsid w:val="009E211F"/>
    <w:pPr>
      <w:spacing w:after="120" w:line="240" w:lineRule="auto"/>
      <w:jc w:val="right"/>
    </w:pPr>
    <w:rPr>
      <w:rFonts w:ascii="Times New Roman" w:hAnsi="Times New Roman"/>
      <w:sz w:val="28"/>
    </w:rPr>
  </w:style>
  <w:style w:type="character" w:customStyle="1" w:styleId="TOCHeadingChar">
    <w:name w:val="TOC Heading Char"/>
    <w:basedOn w:val="DefaultParagraphFont"/>
    <w:link w:val="TOCHeading"/>
    <w:uiPriority w:val="39"/>
    <w:semiHidden/>
    <w:rsid w:val="009E211F"/>
    <w:rPr>
      <w:rFonts w:ascii="Times New Roman" w:eastAsia="Times New Roman" w:hAnsi="Times New Roman"/>
      <w:b/>
      <w:sz w:val="28"/>
      <w:szCs w:val="22"/>
      <w:lang w:bidi="ar-SA"/>
    </w:rPr>
  </w:style>
  <w:style w:type="character" w:customStyle="1" w:styleId="HeaderSensitivityRightChar">
    <w:name w:val="Header Sensitivity Right Char"/>
    <w:basedOn w:val="TOCHeadingChar"/>
    <w:link w:val="HeaderSensitivityRight"/>
    <w:rsid w:val="009E211F"/>
    <w:rPr>
      <w:rFonts w:ascii="Times New Roman" w:eastAsia="Times New Roman" w:hAnsi="Times New Roman"/>
      <w:b w:val="0"/>
      <w:sz w:val="28"/>
      <w:szCs w:val="22"/>
      <w:lang w:eastAsia="en-US" w:bidi="ar-SA"/>
    </w:rPr>
  </w:style>
  <w:style w:type="character" w:customStyle="1" w:styleId="UnresolvedMention1">
    <w:name w:val="Unresolved Mention1"/>
    <w:basedOn w:val="DefaultParagraphFont"/>
    <w:uiPriority w:val="99"/>
    <w:semiHidden/>
    <w:unhideWhenUsed/>
    <w:rsid w:val="001E42E3"/>
    <w:rPr>
      <w:color w:val="605E5C"/>
      <w:shd w:val="clear" w:color="auto" w:fill="E1DFDD"/>
    </w:rPr>
  </w:style>
  <w:style w:type="character" w:styleId="FollowedHyperlink">
    <w:name w:val="FollowedHyperlink"/>
    <w:basedOn w:val="DefaultParagraphFont"/>
    <w:uiPriority w:val="99"/>
    <w:semiHidden/>
    <w:unhideWhenUsed/>
    <w:rsid w:val="00CE6FE4"/>
    <w:rPr>
      <w:color w:val="800080" w:themeColor="followedHyperlink"/>
      <w:u w:val="singl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1st level - Bullet List Paragraph Char,Normal bullet 2 Char"/>
    <w:link w:val="ListParagraph"/>
    <w:uiPriority w:val="34"/>
    <w:qFormat/>
    <w:locked/>
    <w:rsid w:val="003F2168"/>
    <w:rPr>
      <w:sz w:val="22"/>
      <w:szCs w:val="22"/>
      <w:lang w:eastAsia="en-US" w:bidi="ar-SA"/>
    </w:rPr>
  </w:style>
  <w:style w:type="character" w:styleId="Emphasis">
    <w:name w:val="Emphasis"/>
    <w:basedOn w:val="DefaultParagraphFont"/>
    <w:uiPriority w:val="20"/>
    <w:qFormat/>
    <w:rsid w:val="00895433"/>
    <w:rPr>
      <w:i/>
      <w:iCs/>
    </w:rPr>
  </w:style>
  <w:style w:type="character" w:customStyle="1" w:styleId="UnresolvedMention2">
    <w:name w:val="Unresolved Mention2"/>
    <w:basedOn w:val="DefaultParagraphFont"/>
    <w:uiPriority w:val="99"/>
    <w:semiHidden/>
    <w:unhideWhenUsed/>
    <w:rsid w:val="007008F8"/>
    <w:rPr>
      <w:color w:val="605E5C"/>
      <w:shd w:val="clear" w:color="auto" w:fill="E1DFDD"/>
    </w:rPr>
  </w:style>
  <w:style w:type="character" w:customStyle="1" w:styleId="markedcontent">
    <w:name w:val="markedcontent"/>
    <w:basedOn w:val="DefaultParagraphFont"/>
    <w:rsid w:val="007008F8"/>
  </w:style>
  <w:style w:type="paragraph" w:customStyle="1" w:styleId="BVIfnrCarCarCarCarCharCharCharChar">
    <w:name w:val="BVI fnr Car Car Car Car Char Char Char Char"/>
    <w:basedOn w:val="Normal"/>
    <w:link w:val="FootnoteReference"/>
    <w:uiPriority w:val="99"/>
    <w:rsid w:val="00C75B58"/>
    <w:pPr>
      <w:spacing w:after="160" w:line="240" w:lineRule="exact"/>
    </w:pPr>
    <w:rPr>
      <w:sz w:val="20"/>
      <w:szCs w:val="20"/>
      <w:vertAlign w:val="superscript"/>
      <w:lang w:eastAsia="en-GB" w:bidi="hi-IN"/>
    </w:rPr>
  </w:style>
  <w:style w:type="paragraph" w:styleId="ListNumber">
    <w:name w:val="List Number"/>
    <w:basedOn w:val="Normal"/>
    <w:uiPriority w:val="1"/>
    <w:rsid w:val="00DD1488"/>
    <w:pPr>
      <w:numPr>
        <w:numId w:val="21"/>
      </w:numPr>
      <w:spacing w:after="240" w:line="240" w:lineRule="auto"/>
      <w:jc w:val="both"/>
    </w:pPr>
    <w:rPr>
      <w:rFonts w:ascii="Times New Roman" w:eastAsia="Times New Roman" w:hAnsi="Times New Roman"/>
      <w:sz w:val="24"/>
      <w:szCs w:val="20"/>
      <w:lang w:eastAsia="en-IE"/>
    </w:rPr>
  </w:style>
  <w:style w:type="paragraph" w:customStyle="1" w:styleId="ListNumberLevel2">
    <w:name w:val="List Number (Level 2)"/>
    <w:basedOn w:val="Normal"/>
    <w:uiPriority w:val="1"/>
    <w:rsid w:val="00DD1488"/>
    <w:pPr>
      <w:numPr>
        <w:ilvl w:val="1"/>
        <w:numId w:val="21"/>
      </w:numPr>
      <w:spacing w:after="240" w:line="240" w:lineRule="auto"/>
      <w:jc w:val="both"/>
    </w:pPr>
    <w:rPr>
      <w:rFonts w:ascii="Times New Roman" w:eastAsia="Times New Roman" w:hAnsi="Times New Roman"/>
      <w:sz w:val="24"/>
      <w:szCs w:val="20"/>
      <w:lang w:eastAsia="en-IE"/>
    </w:rPr>
  </w:style>
  <w:style w:type="paragraph" w:customStyle="1" w:styleId="ListNumberLevel3">
    <w:name w:val="List Number (Level 3)"/>
    <w:basedOn w:val="Normal"/>
    <w:uiPriority w:val="1"/>
    <w:semiHidden/>
    <w:unhideWhenUsed/>
    <w:rsid w:val="00DD1488"/>
    <w:pPr>
      <w:numPr>
        <w:ilvl w:val="2"/>
        <w:numId w:val="21"/>
      </w:numPr>
      <w:spacing w:after="240" w:line="240" w:lineRule="auto"/>
      <w:jc w:val="both"/>
    </w:pPr>
    <w:rPr>
      <w:rFonts w:ascii="Times New Roman" w:eastAsia="Times New Roman" w:hAnsi="Times New Roman"/>
      <w:sz w:val="24"/>
      <w:szCs w:val="20"/>
      <w:lang w:eastAsia="en-IE"/>
    </w:rPr>
  </w:style>
  <w:style w:type="paragraph" w:customStyle="1" w:styleId="ListNumberLevel4">
    <w:name w:val="List Number (Level 4)"/>
    <w:basedOn w:val="Normal"/>
    <w:uiPriority w:val="1"/>
    <w:semiHidden/>
    <w:unhideWhenUsed/>
    <w:rsid w:val="00DD1488"/>
    <w:pPr>
      <w:numPr>
        <w:ilvl w:val="3"/>
        <w:numId w:val="21"/>
      </w:numPr>
      <w:spacing w:after="240" w:line="240" w:lineRule="auto"/>
      <w:jc w:val="both"/>
    </w:pPr>
    <w:rPr>
      <w:rFonts w:ascii="Times New Roman" w:eastAsia="Times New Roman" w:hAnsi="Times New Roman"/>
      <w:sz w:val="24"/>
      <w:szCs w:val="20"/>
      <w:lang w:eastAsia="en-IE"/>
    </w:rPr>
  </w:style>
  <w:style w:type="paragraph" w:styleId="TOC2">
    <w:name w:val="toc 2"/>
    <w:basedOn w:val="Normal"/>
    <w:next w:val="Normal"/>
    <w:autoRedefine/>
    <w:uiPriority w:val="39"/>
    <w:unhideWhenUsed/>
    <w:rsid w:val="00750FA0"/>
    <w:pPr>
      <w:spacing w:after="100"/>
      <w:ind w:left="220"/>
    </w:pPr>
  </w:style>
  <w:style w:type="paragraph" w:customStyle="1" w:styleId="Languesfaisantfoi">
    <w:name w:val="Langues faisant foi"/>
    <w:basedOn w:val="Normal"/>
    <w:next w:val="Normal"/>
    <w:rsid w:val="00F03A80"/>
    <w:pPr>
      <w:spacing w:before="360" w:after="240" w:line="240" w:lineRule="auto"/>
      <w:jc w:val="center"/>
    </w:pPr>
    <w:rPr>
      <w:rFonts w:ascii="Times New Roman" w:eastAsiaTheme="minorHAnsi" w:hAnsi="Times New Roman"/>
      <w:sz w:val="24"/>
    </w:rPr>
  </w:style>
  <w:style w:type="paragraph" w:customStyle="1" w:styleId="LanguesfaisantfoiPagedecouverture">
    <w:name w:val="Langues faisant foi (Page de couverture)"/>
    <w:basedOn w:val="Normal"/>
    <w:next w:val="Normal"/>
    <w:rsid w:val="00F03A80"/>
    <w:pPr>
      <w:spacing w:before="360" w:after="240" w:line="240" w:lineRule="auto"/>
      <w:jc w:val="center"/>
    </w:pPr>
    <w:rPr>
      <w:rFonts w:ascii="Times New Roman" w:eastAsiaTheme="minorHAnsi" w:hAnsi="Times New Roman"/>
      <w:sz w:val="24"/>
    </w:rPr>
  </w:style>
  <w:style w:type="paragraph" w:customStyle="1" w:styleId="IntrtEEE">
    <w:name w:val="Intérêt EEE"/>
    <w:basedOn w:val="Languesfaisantfoi"/>
    <w:next w:val="Normal"/>
    <w:rsid w:val="00F03A80"/>
    <w:pPr>
      <w:spacing w:after="0"/>
    </w:pPr>
  </w:style>
  <w:style w:type="paragraph" w:customStyle="1" w:styleId="IntrtEEEPagedecouverture">
    <w:name w:val="Intérêt EEE (Page de couverture)"/>
    <w:basedOn w:val="IntrtEEE"/>
    <w:next w:val="Normal"/>
    <w:rsid w:val="00F03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6882">
      <w:bodyDiv w:val="1"/>
      <w:marLeft w:val="0"/>
      <w:marRight w:val="0"/>
      <w:marTop w:val="0"/>
      <w:marBottom w:val="0"/>
      <w:divBdr>
        <w:top w:val="none" w:sz="0" w:space="0" w:color="auto"/>
        <w:left w:val="none" w:sz="0" w:space="0" w:color="auto"/>
        <w:bottom w:val="none" w:sz="0" w:space="0" w:color="auto"/>
        <w:right w:val="none" w:sz="0" w:space="0" w:color="auto"/>
      </w:divBdr>
    </w:div>
    <w:div w:id="66001166">
      <w:bodyDiv w:val="1"/>
      <w:marLeft w:val="0"/>
      <w:marRight w:val="0"/>
      <w:marTop w:val="0"/>
      <w:marBottom w:val="0"/>
      <w:divBdr>
        <w:top w:val="none" w:sz="0" w:space="0" w:color="auto"/>
        <w:left w:val="none" w:sz="0" w:space="0" w:color="auto"/>
        <w:bottom w:val="none" w:sz="0" w:space="0" w:color="auto"/>
        <w:right w:val="none" w:sz="0" w:space="0" w:color="auto"/>
      </w:divBdr>
    </w:div>
    <w:div w:id="143474734">
      <w:bodyDiv w:val="1"/>
      <w:marLeft w:val="0"/>
      <w:marRight w:val="0"/>
      <w:marTop w:val="0"/>
      <w:marBottom w:val="0"/>
      <w:divBdr>
        <w:top w:val="none" w:sz="0" w:space="0" w:color="auto"/>
        <w:left w:val="none" w:sz="0" w:space="0" w:color="auto"/>
        <w:bottom w:val="none" w:sz="0" w:space="0" w:color="auto"/>
        <w:right w:val="none" w:sz="0" w:space="0" w:color="auto"/>
      </w:divBdr>
    </w:div>
    <w:div w:id="181670005">
      <w:bodyDiv w:val="1"/>
      <w:marLeft w:val="0"/>
      <w:marRight w:val="0"/>
      <w:marTop w:val="0"/>
      <w:marBottom w:val="0"/>
      <w:divBdr>
        <w:top w:val="none" w:sz="0" w:space="0" w:color="auto"/>
        <w:left w:val="none" w:sz="0" w:space="0" w:color="auto"/>
        <w:bottom w:val="none" w:sz="0" w:space="0" w:color="auto"/>
        <w:right w:val="none" w:sz="0" w:space="0" w:color="auto"/>
      </w:divBdr>
    </w:div>
    <w:div w:id="232089916">
      <w:bodyDiv w:val="1"/>
      <w:marLeft w:val="0"/>
      <w:marRight w:val="0"/>
      <w:marTop w:val="0"/>
      <w:marBottom w:val="0"/>
      <w:divBdr>
        <w:top w:val="none" w:sz="0" w:space="0" w:color="auto"/>
        <w:left w:val="none" w:sz="0" w:space="0" w:color="auto"/>
        <w:bottom w:val="none" w:sz="0" w:space="0" w:color="auto"/>
        <w:right w:val="none" w:sz="0" w:space="0" w:color="auto"/>
      </w:divBdr>
    </w:div>
    <w:div w:id="256406119">
      <w:bodyDiv w:val="1"/>
      <w:marLeft w:val="0"/>
      <w:marRight w:val="0"/>
      <w:marTop w:val="0"/>
      <w:marBottom w:val="0"/>
      <w:divBdr>
        <w:top w:val="none" w:sz="0" w:space="0" w:color="auto"/>
        <w:left w:val="none" w:sz="0" w:space="0" w:color="auto"/>
        <w:bottom w:val="none" w:sz="0" w:space="0" w:color="auto"/>
        <w:right w:val="none" w:sz="0" w:space="0" w:color="auto"/>
      </w:divBdr>
    </w:div>
    <w:div w:id="294064249">
      <w:bodyDiv w:val="1"/>
      <w:marLeft w:val="0"/>
      <w:marRight w:val="0"/>
      <w:marTop w:val="0"/>
      <w:marBottom w:val="0"/>
      <w:divBdr>
        <w:top w:val="none" w:sz="0" w:space="0" w:color="auto"/>
        <w:left w:val="none" w:sz="0" w:space="0" w:color="auto"/>
        <w:bottom w:val="none" w:sz="0" w:space="0" w:color="auto"/>
        <w:right w:val="none" w:sz="0" w:space="0" w:color="auto"/>
      </w:divBdr>
    </w:div>
    <w:div w:id="337541204">
      <w:bodyDiv w:val="1"/>
      <w:marLeft w:val="0"/>
      <w:marRight w:val="0"/>
      <w:marTop w:val="0"/>
      <w:marBottom w:val="0"/>
      <w:divBdr>
        <w:top w:val="none" w:sz="0" w:space="0" w:color="auto"/>
        <w:left w:val="none" w:sz="0" w:space="0" w:color="auto"/>
        <w:bottom w:val="none" w:sz="0" w:space="0" w:color="auto"/>
        <w:right w:val="none" w:sz="0" w:space="0" w:color="auto"/>
      </w:divBdr>
    </w:div>
    <w:div w:id="435977251">
      <w:bodyDiv w:val="1"/>
      <w:marLeft w:val="0"/>
      <w:marRight w:val="0"/>
      <w:marTop w:val="0"/>
      <w:marBottom w:val="0"/>
      <w:divBdr>
        <w:top w:val="none" w:sz="0" w:space="0" w:color="auto"/>
        <w:left w:val="none" w:sz="0" w:space="0" w:color="auto"/>
        <w:bottom w:val="none" w:sz="0" w:space="0" w:color="auto"/>
        <w:right w:val="none" w:sz="0" w:space="0" w:color="auto"/>
      </w:divBdr>
    </w:div>
    <w:div w:id="520315409">
      <w:bodyDiv w:val="1"/>
      <w:marLeft w:val="0"/>
      <w:marRight w:val="0"/>
      <w:marTop w:val="0"/>
      <w:marBottom w:val="0"/>
      <w:divBdr>
        <w:top w:val="none" w:sz="0" w:space="0" w:color="auto"/>
        <w:left w:val="none" w:sz="0" w:space="0" w:color="auto"/>
        <w:bottom w:val="none" w:sz="0" w:space="0" w:color="auto"/>
        <w:right w:val="none" w:sz="0" w:space="0" w:color="auto"/>
      </w:divBdr>
    </w:div>
    <w:div w:id="541674914">
      <w:bodyDiv w:val="1"/>
      <w:marLeft w:val="0"/>
      <w:marRight w:val="0"/>
      <w:marTop w:val="0"/>
      <w:marBottom w:val="0"/>
      <w:divBdr>
        <w:top w:val="none" w:sz="0" w:space="0" w:color="auto"/>
        <w:left w:val="none" w:sz="0" w:space="0" w:color="auto"/>
        <w:bottom w:val="none" w:sz="0" w:space="0" w:color="auto"/>
        <w:right w:val="none" w:sz="0" w:space="0" w:color="auto"/>
      </w:divBdr>
    </w:div>
    <w:div w:id="620651269">
      <w:bodyDiv w:val="1"/>
      <w:marLeft w:val="0"/>
      <w:marRight w:val="0"/>
      <w:marTop w:val="0"/>
      <w:marBottom w:val="0"/>
      <w:divBdr>
        <w:top w:val="none" w:sz="0" w:space="0" w:color="auto"/>
        <w:left w:val="none" w:sz="0" w:space="0" w:color="auto"/>
        <w:bottom w:val="none" w:sz="0" w:space="0" w:color="auto"/>
        <w:right w:val="none" w:sz="0" w:space="0" w:color="auto"/>
      </w:divBdr>
    </w:div>
    <w:div w:id="749423502">
      <w:bodyDiv w:val="1"/>
      <w:marLeft w:val="0"/>
      <w:marRight w:val="0"/>
      <w:marTop w:val="0"/>
      <w:marBottom w:val="0"/>
      <w:divBdr>
        <w:top w:val="none" w:sz="0" w:space="0" w:color="auto"/>
        <w:left w:val="none" w:sz="0" w:space="0" w:color="auto"/>
        <w:bottom w:val="none" w:sz="0" w:space="0" w:color="auto"/>
        <w:right w:val="none" w:sz="0" w:space="0" w:color="auto"/>
      </w:divBdr>
    </w:div>
    <w:div w:id="755590820">
      <w:bodyDiv w:val="1"/>
      <w:marLeft w:val="0"/>
      <w:marRight w:val="0"/>
      <w:marTop w:val="0"/>
      <w:marBottom w:val="0"/>
      <w:divBdr>
        <w:top w:val="none" w:sz="0" w:space="0" w:color="auto"/>
        <w:left w:val="none" w:sz="0" w:space="0" w:color="auto"/>
        <w:bottom w:val="none" w:sz="0" w:space="0" w:color="auto"/>
        <w:right w:val="none" w:sz="0" w:space="0" w:color="auto"/>
      </w:divBdr>
    </w:div>
    <w:div w:id="826557313">
      <w:bodyDiv w:val="1"/>
      <w:marLeft w:val="0"/>
      <w:marRight w:val="0"/>
      <w:marTop w:val="0"/>
      <w:marBottom w:val="0"/>
      <w:divBdr>
        <w:top w:val="none" w:sz="0" w:space="0" w:color="auto"/>
        <w:left w:val="none" w:sz="0" w:space="0" w:color="auto"/>
        <w:bottom w:val="none" w:sz="0" w:space="0" w:color="auto"/>
        <w:right w:val="none" w:sz="0" w:space="0" w:color="auto"/>
      </w:divBdr>
    </w:div>
    <w:div w:id="941571023">
      <w:bodyDiv w:val="1"/>
      <w:marLeft w:val="0"/>
      <w:marRight w:val="0"/>
      <w:marTop w:val="0"/>
      <w:marBottom w:val="0"/>
      <w:divBdr>
        <w:top w:val="none" w:sz="0" w:space="0" w:color="auto"/>
        <w:left w:val="none" w:sz="0" w:space="0" w:color="auto"/>
        <w:bottom w:val="none" w:sz="0" w:space="0" w:color="auto"/>
        <w:right w:val="none" w:sz="0" w:space="0" w:color="auto"/>
      </w:divBdr>
    </w:div>
    <w:div w:id="952521226">
      <w:bodyDiv w:val="1"/>
      <w:marLeft w:val="0"/>
      <w:marRight w:val="0"/>
      <w:marTop w:val="0"/>
      <w:marBottom w:val="0"/>
      <w:divBdr>
        <w:top w:val="none" w:sz="0" w:space="0" w:color="auto"/>
        <w:left w:val="none" w:sz="0" w:space="0" w:color="auto"/>
        <w:bottom w:val="none" w:sz="0" w:space="0" w:color="auto"/>
        <w:right w:val="none" w:sz="0" w:space="0" w:color="auto"/>
      </w:divBdr>
    </w:div>
    <w:div w:id="1010521649">
      <w:bodyDiv w:val="1"/>
      <w:marLeft w:val="0"/>
      <w:marRight w:val="0"/>
      <w:marTop w:val="0"/>
      <w:marBottom w:val="0"/>
      <w:divBdr>
        <w:top w:val="none" w:sz="0" w:space="0" w:color="auto"/>
        <w:left w:val="none" w:sz="0" w:space="0" w:color="auto"/>
        <w:bottom w:val="none" w:sz="0" w:space="0" w:color="auto"/>
        <w:right w:val="none" w:sz="0" w:space="0" w:color="auto"/>
      </w:divBdr>
    </w:div>
    <w:div w:id="1070274651">
      <w:bodyDiv w:val="1"/>
      <w:marLeft w:val="0"/>
      <w:marRight w:val="0"/>
      <w:marTop w:val="0"/>
      <w:marBottom w:val="0"/>
      <w:divBdr>
        <w:top w:val="none" w:sz="0" w:space="0" w:color="auto"/>
        <w:left w:val="none" w:sz="0" w:space="0" w:color="auto"/>
        <w:bottom w:val="none" w:sz="0" w:space="0" w:color="auto"/>
        <w:right w:val="none" w:sz="0" w:space="0" w:color="auto"/>
      </w:divBdr>
    </w:div>
    <w:div w:id="1136604502">
      <w:bodyDiv w:val="1"/>
      <w:marLeft w:val="0"/>
      <w:marRight w:val="0"/>
      <w:marTop w:val="0"/>
      <w:marBottom w:val="0"/>
      <w:divBdr>
        <w:top w:val="none" w:sz="0" w:space="0" w:color="auto"/>
        <w:left w:val="none" w:sz="0" w:space="0" w:color="auto"/>
        <w:bottom w:val="none" w:sz="0" w:space="0" w:color="auto"/>
        <w:right w:val="none" w:sz="0" w:space="0" w:color="auto"/>
      </w:divBdr>
    </w:div>
    <w:div w:id="1167794266">
      <w:bodyDiv w:val="1"/>
      <w:marLeft w:val="0"/>
      <w:marRight w:val="0"/>
      <w:marTop w:val="0"/>
      <w:marBottom w:val="0"/>
      <w:divBdr>
        <w:top w:val="none" w:sz="0" w:space="0" w:color="auto"/>
        <w:left w:val="none" w:sz="0" w:space="0" w:color="auto"/>
        <w:bottom w:val="none" w:sz="0" w:space="0" w:color="auto"/>
        <w:right w:val="none" w:sz="0" w:space="0" w:color="auto"/>
      </w:divBdr>
    </w:div>
    <w:div w:id="1230115657">
      <w:bodyDiv w:val="1"/>
      <w:marLeft w:val="0"/>
      <w:marRight w:val="0"/>
      <w:marTop w:val="0"/>
      <w:marBottom w:val="0"/>
      <w:divBdr>
        <w:top w:val="none" w:sz="0" w:space="0" w:color="auto"/>
        <w:left w:val="none" w:sz="0" w:space="0" w:color="auto"/>
        <w:bottom w:val="none" w:sz="0" w:space="0" w:color="auto"/>
        <w:right w:val="none" w:sz="0" w:space="0" w:color="auto"/>
      </w:divBdr>
    </w:div>
    <w:div w:id="1232890069">
      <w:bodyDiv w:val="1"/>
      <w:marLeft w:val="0"/>
      <w:marRight w:val="0"/>
      <w:marTop w:val="0"/>
      <w:marBottom w:val="0"/>
      <w:divBdr>
        <w:top w:val="none" w:sz="0" w:space="0" w:color="auto"/>
        <w:left w:val="none" w:sz="0" w:space="0" w:color="auto"/>
        <w:bottom w:val="none" w:sz="0" w:space="0" w:color="auto"/>
        <w:right w:val="none" w:sz="0" w:space="0" w:color="auto"/>
      </w:divBdr>
    </w:div>
    <w:div w:id="1247761911">
      <w:bodyDiv w:val="1"/>
      <w:marLeft w:val="0"/>
      <w:marRight w:val="0"/>
      <w:marTop w:val="0"/>
      <w:marBottom w:val="0"/>
      <w:divBdr>
        <w:top w:val="none" w:sz="0" w:space="0" w:color="auto"/>
        <w:left w:val="none" w:sz="0" w:space="0" w:color="auto"/>
        <w:bottom w:val="none" w:sz="0" w:space="0" w:color="auto"/>
        <w:right w:val="none" w:sz="0" w:space="0" w:color="auto"/>
      </w:divBdr>
    </w:div>
    <w:div w:id="1295134185">
      <w:bodyDiv w:val="1"/>
      <w:marLeft w:val="0"/>
      <w:marRight w:val="0"/>
      <w:marTop w:val="0"/>
      <w:marBottom w:val="0"/>
      <w:divBdr>
        <w:top w:val="none" w:sz="0" w:space="0" w:color="auto"/>
        <w:left w:val="none" w:sz="0" w:space="0" w:color="auto"/>
        <w:bottom w:val="none" w:sz="0" w:space="0" w:color="auto"/>
        <w:right w:val="none" w:sz="0" w:space="0" w:color="auto"/>
      </w:divBdr>
    </w:div>
    <w:div w:id="1311834560">
      <w:bodyDiv w:val="1"/>
      <w:marLeft w:val="0"/>
      <w:marRight w:val="0"/>
      <w:marTop w:val="0"/>
      <w:marBottom w:val="0"/>
      <w:divBdr>
        <w:top w:val="none" w:sz="0" w:space="0" w:color="auto"/>
        <w:left w:val="none" w:sz="0" w:space="0" w:color="auto"/>
        <w:bottom w:val="none" w:sz="0" w:space="0" w:color="auto"/>
        <w:right w:val="none" w:sz="0" w:space="0" w:color="auto"/>
      </w:divBdr>
    </w:div>
    <w:div w:id="1313213871">
      <w:bodyDiv w:val="1"/>
      <w:marLeft w:val="0"/>
      <w:marRight w:val="0"/>
      <w:marTop w:val="0"/>
      <w:marBottom w:val="0"/>
      <w:divBdr>
        <w:top w:val="none" w:sz="0" w:space="0" w:color="auto"/>
        <w:left w:val="none" w:sz="0" w:space="0" w:color="auto"/>
        <w:bottom w:val="none" w:sz="0" w:space="0" w:color="auto"/>
        <w:right w:val="none" w:sz="0" w:space="0" w:color="auto"/>
      </w:divBdr>
    </w:div>
    <w:div w:id="1314069530">
      <w:bodyDiv w:val="1"/>
      <w:marLeft w:val="0"/>
      <w:marRight w:val="0"/>
      <w:marTop w:val="0"/>
      <w:marBottom w:val="0"/>
      <w:divBdr>
        <w:top w:val="none" w:sz="0" w:space="0" w:color="auto"/>
        <w:left w:val="none" w:sz="0" w:space="0" w:color="auto"/>
        <w:bottom w:val="none" w:sz="0" w:space="0" w:color="auto"/>
        <w:right w:val="none" w:sz="0" w:space="0" w:color="auto"/>
      </w:divBdr>
    </w:div>
    <w:div w:id="1367294371">
      <w:bodyDiv w:val="1"/>
      <w:marLeft w:val="0"/>
      <w:marRight w:val="0"/>
      <w:marTop w:val="0"/>
      <w:marBottom w:val="0"/>
      <w:divBdr>
        <w:top w:val="none" w:sz="0" w:space="0" w:color="auto"/>
        <w:left w:val="none" w:sz="0" w:space="0" w:color="auto"/>
        <w:bottom w:val="none" w:sz="0" w:space="0" w:color="auto"/>
        <w:right w:val="none" w:sz="0" w:space="0" w:color="auto"/>
      </w:divBdr>
    </w:div>
    <w:div w:id="1376929530">
      <w:bodyDiv w:val="1"/>
      <w:marLeft w:val="0"/>
      <w:marRight w:val="0"/>
      <w:marTop w:val="0"/>
      <w:marBottom w:val="0"/>
      <w:divBdr>
        <w:top w:val="none" w:sz="0" w:space="0" w:color="auto"/>
        <w:left w:val="none" w:sz="0" w:space="0" w:color="auto"/>
        <w:bottom w:val="none" w:sz="0" w:space="0" w:color="auto"/>
        <w:right w:val="none" w:sz="0" w:space="0" w:color="auto"/>
      </w:divBdr>
    </w:div>
    <w:div w:id="1425877642">
      <w:bodyDiv w:val="1"/>
      <w:marLeft w:val="0"/>
      <w:marRight w:val="0"/>
      <w:marTop w:val="0"/>
      <w:marBottom w:val="0"/>
      <w:divBdr>
        <w:top w:val="none" w:sz="0" w:space="0" w:color="auto"/>
        <w:left w:val="none" w:sz="0" w:space="0" w:color="auto"/>
        <w:bottom w:val="none" w:sz="0" w:space="0" w:color="auto"/>
        <w:right w:val="none" w:sz="0" w:space="0" w:color="auto"/>
      </w:divBdr>
    </w:div>
    <w:div w:id="1431973228">
      <w:bodyDiv w:val="1"/>
      <w:marLeft w:val="0"/>
      <w:marRight w:val="0"/>
      <w:marTop w:val="0"/>
      <w:marBottom w:val="0"/>
      <w:divBdr>
        <w:top w:val="none" w:sz="0" w:space="0" w:color="auto"/>
        <w:left w:val="none" w:sz="0" w:space="0" w:color="auto"/>
        <w:bottom w:val="none" w:sz="0" w:space="0" w:color="auto"/>
        <w:right w:val="none" w:sz="0" w:space="0" w:color="auto"/>
      </w:divBdr>
    </w:div>
    <w:div w:id="1446339798">
      <w:bodyDiv w:val="1"/>
      <w:marLeft w:val="0"/>
      <w:marRight w:val="0"/>
      <w:marTop w:val="0"/>
      <w:marBottom w:val="0"/>
      <w:divBdr>
        <w:top w:val="none" w:sz="0" w:space="0" w:color="auto"/>
        <w:left w:val="none" w:sz="0" w:space="0" w:color="auto"/>
        <w:bottom w:val="none" w:sz="0" w:space="0" w:color="auto"/>
        <w:right w:val="none" w:sz="0" w:space="0" w:color="auto"/>
      </w:divBdr>
    </w:div>
    <w:div w:id="1482037709">
      <w:bodyDiv w:val="1"/>
      <w:marLeft w:val="0"/>
      <w:marRight w:val="0"/>
      <w:marTop w:val="0"/>
      <w:marBottom w:val="0"/>
      <w:divBdr>
        <w:top w:val="none" w:sz="0" w:space="0" w:color="auto"/>
        <w:left w:val="none" w:sz="0" w:space="0" w:color="auto"/>
        <w:bottom w:val="none" w:sz="0" w:space="0" w:color="auto"/>
        <w:right w:val="none" w:sz="0" w:space="0" w:color="auto"/>
      </w:divBdr>
    </w:div>
    <w:div w:id="1515148594">
      <w:bodyDiv w:val="1"/>
      <w:marLeft w:val="0"/>
      <w:marRight w:val="0"/>
      <w:marTop w:val="0"/>
      <w:marBottom w:val="0"/>
      <w:divBdr>
        <w:top w:val="none" w:sz="0" w:space="0" w:color="auto"/>
        <w:left w:val="none" w:sz="0" w:space="0" w:color="auto"/>
        <w:bottom w:val="none" w:sz="0" w:space="0" w:color="auto"/>
        <w:right w:val="none" w:sz="0" w:space="0" w:color="auto"/>
      </w:divBdr>
    </w:div>
    <w:div w:id="1597860000">
      <w:bodyDiv w:val="1"/>
      <w:marLeft w:val="0"/>
      <w:marRight w:val="0"/>
      <w:marTop w:val="0"/>
      <w:marBottom w:val="0"/>
      <w:divBdr>
        <w:top w:val="none" w:sz="0" w:space="0" w:color="auto"/>
        <w:left w:val="none" w:sz="0" w:space="0" w:color="auto"/>
        <w:bottom w:val="none" w:sz="0" w:space="0" w:color="auto"/>
        <w:right w:val="none" w:sz="0" w:space="0" w:color="auto"/>
      </w:divBdr>
    </w:div>
    <w:div w:id="1704478298">
      <w:bodyDiv w:val="1"/>
      <w:marLeft w:val="0"/>
      <w:marRight w:val="0"/>
      <w:marTop w:val="0"/>
      <w:marBottom w:val="0"/>
      <w:divBdr>
        <w:top w:val="none" w:sz="0" w:space="0" w:color="auto"/>
        <w:left w:val="none" w:sz="0" w:space="0" w:color="auto"/>
        <w:bottom w:val="none" w:sz="0" w:space="0" w:color="auto"/>
        <w:right w:val="none" w:sz="0" w:space="0" w:color="auto"/>
      </w:divBdr>
    </w:div>
    <w:div w:id="1710957712">
      <w:bodyDiv w:val="1"/>
      <w:marLeft w:val="0"/>
      <w:marRight w:val="0"/>
      <w:marTop w:val="0"/>
      <w:marBottom w:val="0"/>
      <w:divBdr>
        <w:top w:val="none" w:sz="0" w:space="0" w:color="auto"/>
        <w:left w:val="none" w:sz="0" w:space="0" w:color="auto"/>
        <w:bottom w:val="none" w:sz="0" w:space="0" w:color="auto"/>
        <w:right w:val="none" w:sz="0" w:space="0" w:color="auto"/>
      </w:divBdr>
    </w:div>
    <w:div w:id="1733649060">
      <w:bodyDiv w:val="1"/>
      <w:marLeft w:val="0"/>
      <w:marRight w:val="0"/>
      <w:marTop w:val="0"/>
      <w:marBottom w:val="0"/>
      <w:divBdr>
        <w:top w:val="none" w:sz="0" w:space="0" w:color="auto"/>
        <w:left w:val="none" w:sz="0" w:space="0" w:color="auto"/>
        <w:bottom w:val="none" w:sz="0" w:space="0" w:color="auto"/>
        <w:right w:val="none" w:sz="0" w:space="0" w:color="auto"/>
      </w:divBdr>
    </w:div>
    <w:div w:id="1781757892">
      <w:bodyDiv w:val="1"/>
      <w:marLeft w:val="0"/>
      <w:marRight w:val="0"/>
      <w:marTop w:val="0"/>
      <w:marBottom w:val="0"/>
      <w:divBdr>
        <w:top w:val="none" w:sz="0" w:space="0" w:color="auto"/>
        <w:left w:val="none" w:sz="0" w:space="0" w:color="auto"/>
        <w:bottom w:val="none" w:sz="0" w:space="0" w:color="auto"/>
        <w:right w:val="none" w:sz="0" w:space="0" w:color="auto"/>
      </w:divBdr>
    </w:div>
    <w:div w:id="1793553575">
      <w:bodyDiv w:val="1"/>
      <w:marLeft w:val="0"/>
      <w:marRight w:val="0"/>
      <w:marTop w:val="0"/>
      <w:marBottom w:val="0"/>
      <w:divBdr>
        <w:top w:val="none" w:sz="0" w:space="0" w:color="auto"/>
        <w:left w:val="none" w:sz="0" w:space="0" w:color="auto"/>
        <w:bottom w:val="none" w:sz="0" w:space="0" w:color="auto"/>
        <w:right w:val="none" w:sz="0" w:space="0" w:color="auto"/>
      </w:divBdr>
    </w:div>
    <w:div w:id="1852838694">
      <w:bodyDiv w:val="1"/>
      <w:marLeft w:val="0"/>
      <w:marRight w:val="0"/>
      <w:marTop w:val="0"/>
      <w:marBottom w:val="0"/>
      <w:divBdr>
        <w:top w:val="none" w:sz="0" w:space="0" w:color="auto"/>
        <w:left w:val="none" w:sz="0" w:space="0" w:color="auto"/>
        <w:bottom w:val="none" w:sz="0" w:space="0" w:color="auto"/>
        <w:right w:val="none" w:sz="0" w:space="0" w:color="auto"/>
      </w:divBdr>
    </w:div>
    <w:div w:id="1883250871">
      <w:bodyDiv w:val="1"/>
      <w:marLeft w:val="0"/>
      <w:marRight w:val="0"/>
      <w:marTop w:val="0"/>
      <w:marBottom w:val="0"/>
      <w:divBdr>
        <w:top w:val="none" w:sz="0" w:space="0" w:color="auto"/>
        <w:left w:val="none" w:sz="0" w:space="0" w:color="auto"/>
        <w:bottom w:val="none" w:sz="0" w:space="0" w:color="auto"/>
        <w:right w:val="none" w:sz="0" w:space="0" w:color="auto"/>
      </w:divBdr>
    </w:div>
    <w:div w:id="1911695532">
      <w:bodyDiv w:val="1"/>
      <w:marLeft w:val="0"/>
      <w:marRight w:val="0"/>
      <w:marTop w:val="0"/>
      <w:marBottom w:val="0"/>
      <w:divBdr>
        <w:top w:val="none" w:sz="0" w:space="0" w:color="auto"/>
        <w:left w:val="none" w:sz="0" w:space="0" w:color="auto"/>
        <w:bottom w:val="none" w:sz="0" w:space="0" w:color="auto"/>
        <w:right w:val="none" w:sz="0" w:space="0" w:color="auto"/>
      </w:divBdr>
    </w:div>
    <w:div w:id="1933390141">
      <w:bodyDiv w:val="1"/>
      <w:marLeft w:val="0"/>
      <w:marRight w:val="0"/>
      <w:marTop w:val="0"/>
      <w:marBottom w:val="0"/>
      <w:divBdr>
        <w:top w:val="none" w:sz="0" w:space="0" w:color="auto"/>
        <w:left w:val="none" w:sz="0" w:space="0" w:color="auto"/>
        <w:bottom w:val="none" w:sz="0" w:space="0" w:color="auto"/>
        <w:right w:val="none" w:sz="0" w:space="0" w:color="auto"/>
      </w:divBdr>
    </w:div>
    <w:div w:id="1977837948">
      <w:bodyDiv w:val="1"/>
      <w:marLeft w:val="0"/>
      <w:marRight w:val="0"/>
      <w:marTop w:val="0"/>
      <w:marBottom w:val="0"/>
      <w:divBdr>
        <w:top w:val="none" w:sz="0" w:space="0" w:color="auto"/>
        <w:left w:val="none" w:sz="0" w:space="0" w:color="auto"/>
        <w:bottom w:val="none" w:sz="0" w:space="0" w:color="auto"/>
        <w:right w:val="none" w:sz="0" w:space="0" w:color="auto"/>
      </w:divBdr>
    </w:div>
    <w:div w:id="1987736421">
      <w:bodyDiv w:val="1"/>
      <w:marLeft w:val="0"/>
      <w:marRight w:val="0"/>
      <w:marTop w:val="0"/>
      <w:marBottom w:val="0"/>
      <w:divBdr>
        <w:top w:val="none" w:sz="0" w:space="0" w:color="auto"/>
        <w:left w:val="none" w:sz="0" w:space="0" w:color="auto"/>
        <w:bottom w:val="none" w:sz="0" w:space="0" w:color="auto"/>
        <w:right w:val="none" w:sz="0" w:space="0" w:color="auto"/>
      </w:divBdr>
    </w:div>
    <w:div w:id="2064283968">
      <w:bodyDiv w:val="1"/>
      <w:marLeft w:val="0"/>
      <w:marRight w:val="0"/>
      <w:marTop w:val="0"/>
      <w:marBottom w:val="0"/>
      <w:divBdr>
        <w:top w:val="none" w:sz="0" w:space="0" w:color="auto"/>
        <w:left w:val="none" w:sz="0" w:space="0" w:color="auto"/>
        <w:bottom w:val="none" w:sz="0" w:space="0" w:color="auto"/>
        <w:right w:val="none" w:sz="0" w:space="0" w:color="auto"/>
      </w:divBdr>
    </w:div>
    <w:div w:id="2090882449">
      <w:bodyDiv w:val="1"/>
      <w:marLeft w:val="0"/>
      <w:marRight w:val="0"/>
      <w:marTop w:val="0"/>
      <w:marBottom w:val="0"/>
      <w:divBdr>
        <w:top w:val="none" w:sz="0" w:space="0" w:color="auto"/>
        <w:left w:val="none" w:sz="0" w:space="0" w:color="auto"/>
        <w:bottom w:val="none" w:sz="0" w:space="0" w:color="auto"/>
        <w:right w:val="none" w:sz="0" w:space="0" w:color="auto"/>
      </w:divBdr>
    </w:div>
    <w:div w:id="2119375948">
      <w:bodyDiv w:val="1"/>
      <w:marLeft w:val="0"/>
      <w:marRight w:val="0"/>
      <w:marTop w:val="0"/>
      <w:marBottom w:val="0"/>
      <w:divBdr>
        <w:top w:val="none" w:sz="0" w:space="0" w:color="auto"/>
        <w:left w:val="none" w:sz="0" w:space="0" w:color="auto"/>
        <w:bottom w:val="none" w:sz="0" w:space="0" w:color="auto"/>
        <w:right w:val="none" w:sz="0" w:space="0" w:color="auto"/>
      </w:divBdr>
    </w:div>
    <w:div w:id="212699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0C2D5-C664-423C-91C2-DBD917D1E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10</Pages>
  <Words>3645</Words>
  <Characters>20194</Characters>
  <Application>Microsoft Office Word</Application>
  <DocSecurity>0</DocSecurity>
  <Lines>325</Lines>
  <Paragraphs>101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23738</CharactersWithSpaces>
  <SharedDoc>false</SharedDoc>
  <HLinks>
    <vt:vector size="30" baseType="variant">
      <vt:variant>
        <vt:i4>1376304</vt:i4>
      </vt:variant>
      <vt:variant>
        <vt:i4>26</vt:i4>
      </vt:variant>
      <vt:variant>
        <vt:i4>0</vt:i4>
      </vt:variant>
      <vt:variant>
        <vt:i4>5</vt:i4>
      </vt:variant>
      <vt:variant>
        <vt:lpwstr/>
      </vt:variant>
      <vt:variant>
        <vt:lpwstr>_Toc487123181</vt:lpwstr>
      </vt:variant>
      <vt:variant>
        <vt:i4>1376304</vt:i4>
      </vt:variant>
      <vt:variant>
        <vt:i4>20</vt:i4>
      </vt:variant>
      <vt:variant>
        <vt:i4>0</vt:i4>
      </vt:variant>
      <vt:variant>
        <vt:i4>5</vt:i4>
      </vt:variant>
      <vt:variant>
        <vt:lpwstr/>
      </vt:variant>
      <vt:variant>
        <vt:lpwstr>_Toc487123180</vt:lpwstr>
      </vt:variant>
      <vt:variant>
        <vt:i4>1703984</vt:i4>
      </vt:variant>
      <vt:variant>
        <vt:i4>14</vt:i4>
      </vt:variant>
      <vt:variant>
        <vt:i4>0</vt:i4>
      </vt:variant>
      <vt:variant>
        <vt:i4>5</vt:i4>
      </vt:variant>
      <vt:variant>
        <vt:lpwstr/>
      </vt:variant>
      <vt:variant>
        <vt:lpwstr>_Toc487123179</vt:lpwstr>
      </vt:variant>
      <vt:variant>
        <vt:i4>1703984</vt:i4>
      </vt:variant>
      <vt:variant>
        <vt:i4>8</vt:i4>
      </vt:variant>
      <vt:variant>
        <vt:i4>0</vt:i4>
      </vt:variant>
      <vt:variant>
        <vt:i4>5</vt:i4>
      </vt:variant>
      <vt:variant>
        <vt:lpwstr/>
      </vt:variant>
      <vt:variant>
        <vt:lpwstr>_Toc487123178</vt:lpwstr>
      </vt:variant>
      <vt:variant>
        <vt:i4>1703984</vt:i4>
      </vt:variant>
      <vt:variant>
        <vt:i4>2</vt:i4>
      </vt:variant>
      <vt:variant>
        <vt:i4>0</vt:i4>
      </vt:variant>
      <vt:variant>
        <vt:i4>5</vt:i4>
      </vt:variant>
      <vt:variant>
        <vt:lpwstr/>
      </vt:variant>
      <vt:variant>
        <vt:lpwstr>_Toc487123173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STASZAK Anna (SG)</cp:lastModifiedBy>
  <cp:revision>14</cp:revision>
  <cp:lastPrinted>2024-08-29T14:15:00Z</cp:lastPrinted>
  <dcterms:created xsi:type="dcterms:W3CDTF">2026-05-19T14:29:00Z</dcterms:created>
  <dcterms:modified xsi:type="dcterms:W3CDTF">2026-06-29T14:05:00Z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9.2, Build 20250828</vt:lpwstr>
  </property>
  <property fmtid="{D5CDD505-2E9C-101B-9397-08002B2CF9AE}" pid="7" name="Created using">
    <vt:lpwstr>LW 6.0.1, Build 20180503</vt:lpwstr>
  </property>
  <property fmtid="{D5CDD505-2E9C-101B-9397-08002B2CF9AE}" pid="8" name="CPTemplateID">
    <vt:lpwstr>CP-006</vt:lpwstr>
  </property>
  <property fmtid="{D5CDD505-2E9C-101B-9397-08002B2CF9AE}" pid="9" name="MSIP_Label_6bd9ddd1-4d20-43f6-abfa-fc3c07406f94_Enabled">
    <vt:lpwstr>true</vt:lpwstr>
  </property>
  <property fmtid="{D5CDD505-2E9C-101B-9397-08002B2CF9AE}" pid="10" name="MSIP_Label_6bd9ddd1-4d20-43f6-abfa-fc3c07406f94_SetDate">
    <vt:lpwstr>2022-11-16T09:46:31Z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1cb0b4bd-1f99-4eb0-9739-e3ff37e746ec</vt:lpwstr>
  </property>
  <property fmtid="{D5CDD505-2E9C-101B-9397-08002B2CF9AE}" pid="15" name="MSIP_Label_6bd9ddd1-4d20-43f6-abfa-fc3c07406f94_ContentBits">
    <vt:lpwstr>0</vt:lpwstr>
  </property>
</Properties>
</file>