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A7814E" w14:textId="0851B679" w:rsidR="00BC0055" w:rsidRPr="00601FAB" w:rsidRDefault="00515CE2" w:rsidP="00515CE2">
      <w:pPr>
        <w:pStyle w:val="Pagedecouverture"/>
        <w:rPr>
          <w:noProof/>
        </w:rPr>
      </w:pPr>
      <w:bookmarkStart w:id="0" w:name="LW_BM_COVERPAGE"/>
      <w:r>
        <w:rPr>
          <w:noProof/>
        </w:rPr>
        <w:pict w14:anchorId="057582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190B06-9112-463A-ACD9-E662C446CB13" style="width:455.25pt;height:342pt">
            <v:imagedata r:id="rId14" o:title=""/>
          </v:shape>
        </w:pict>
      </w:r>
    </w:p>
    <w:bookmarkEnd w:id="0"/>
    <w:p w14:paraId="4B184801" w14:textId="77777777" w:rsidR="00BC0055" w:rsidRDefault="00BC0055" w:rsidP="00D6681F">
      <w:pPr>
        <w:rPr>
          <w:noProof/>
        </w:rPr>
        <w:sectPr w:rsidR="00BC0055" w:rsidSect="00515CE2">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7D8F30D1" w14:textId="77777777" w:rsidR="00BC0055" w:rsidRPr="00B16390" w:rsidRDefault="00BC0055" w:rsidP="00B16390">
      <w:pPr>
        <w:pStyle w:val="Heading1"/>
        <w:rPr>
          <w:noProof/>
        </w:rPr>
      </w:pPr>
      <w:bookmarkStart w:id="1" w:name="_Toc209726869"/>
      <w:bookmarkStart w:id="2" w:name="_GoBack"/>
      <w:bookmarkEnd w:id="2"/>
      <w:r>
        <w:rPr>
          <w:noProof/>
        </w:rPr>
        <w:lastRenderedPageBreak/>
        <w:t>Introducere</w:t>
      </w:r>
      <w:bookmarkEnd w:id="1"/>
    </w:p>
    <w:p w14:paraId="209BD7DA" w14:textId="7EFE6724" w:rsidR="00986D6F" w:rsidRPr="00E42EB8" w:rsidRDefault="00986D6F" w:rsidP="392F964E">
      <w:pPr>
        <w:pStyle w:val="Heading2"/>
        <w:rPr>
          <w:noProof/>
        </w:rPr>
      </w:pPr>
      <w:r>
        <w:rPr>
          <w:noProof/>
        </w:rPr>
        <w:t>Contextul de politică și contextul juridic</w:t>
      </w:r>
    </w:p>
    <w:p w14:paraId="6F647022" w14:textId="4FA0917D" w:rsidR="002538AF" w:rsidRDefault="002538AF" w:rsidP="392F964E">
      <w:pPr>
        <w:rPr>
          <w:noProof/>
        </w:rPr>
      </w:pPr>
      <w:r>
        <w:rPr>
          <w:noProof/>
        </w:rPr>
        <w:t>Primul act oficial al UE privind informarea consumatorilor cu privire la eficiența energetică a aparatelor a fost adoptat în urmă cu 50 de ani, în urma crizei petrolului din 1973 (</w:t>
      </w:r>
      <w:r>
        <w:rPr>
          <w:rStyle w:val="FootnoteReference"/>
          <w:noProof/>
          <w:szCs w:val="24"/>
          <w:lang w:val="en-IE"/>
        </w:rPr>
        <w:footnoteReference w:id="1"/>
      </w:r>
      <w:r>
        <w:rPr>
          <w:noProof/>
        </w:rPr>
        <w:t>). Acesta a fost urmat, în 1979, de un prim cadru al UE privind etichetarea energetică, care, între timp, a fost revizuit și îmbunătățit de trei ori, ultima dată în 2017. Între timp, eticheta energetică a UE a devenit bine cunoscută și apreciată de consumatori. Potrivit unui sondaj Eurobarometru din 2024 (</w:t>
      </w:r>
      <w:r>
        <w:rPr>
          <w:rStyle w:val="FootnoteReference"/>
          <w:noProof/>
          <w:szCs w:val="24"/>
          <w:lang w:val="en-IE"/>
        </w:rPr>
        <w:footnoteReference w:id="2"/>
      </w:r>
      <w:r>
        <w:rPr>
          <w:noProof/>
        </w:rPr>
        <w:t xml:space="preserve">), 75 % dintre cetățeni au declarat că eticheta energetică le influențează în mod direct deciziile de cumpărare atunci când achiziționează aparate electrocasnice. </w:t>
      </w:r>
    </w:p>
    <w:p w14:paraId="3C9884BF" w14:textId="3CD67020" w:rsidR="00BC0055" w:rsidDel="00F67BD1" w:rsidRDefault="00C23E9D" w:rsidP="392F964E">
      <w:pPr>
        <w:rPr>
          <w:noProof/>
        </w:rPr>
      </w:pPr>
      <w:r>
        <w:rPr>
          <w:noProof/>
        </w:rPr>
        <w:t>Etichetele energetice ale UE oferă informații ușor de înțeles pentru a stimula cererea de produse mai eficiente și dezvoltarea acestora. Acestea funcționează în paralel cu cerințele minime de eficiență energetică și cu alte cerințe adoptate în temeiul cadrului UE privind proiectarea ecologică. În prezent, UE reglementează peste 30 de grupuri de produse în cadrul sistemului de proiectare ecologică, dintre care 15 au o etichetă energetică (</w:t>
      </w:r>
      <w:r>
        <w:rPr>
          <w:rStyle w:val="FootnoteReference"/>
          <w:noProof/>
          <w:lang w:val="en-IE" w:eastAsia="en-GB"/>
        </w:rPr>
        <w:footnoteReference w:id="3"/>
      </w:r>
      <w:r>
        <w:rPr>
          <w:noProof/>
        </w:rPr>
        <w:t>). Se estimează că, împreună, aceste politici au redus facturile medii la energie ale gospodăriilor cu aproximativ 317 EUR în 2024, sumă care urmează să crească la 480 EUR până în 2030, eticheta contribuind cu o medie estimată de 27 % la economii, iar cea mai mare parte provenind din proiectarea ecologică (</w:t>
      </w:r>
      <w:r>
        <w:rPr>
          <w:rStyle w:val="FootnoteReference"/>
          <w:noProof/>
          <w:lang w:val="en-IE"/>
        </w:rPr>
        <w:footnoteReference w:id="4"/>
      </w:r>
      <w:r>
        <w:rPr>
          <w:noProof/>
        </w:rPr>
        <w:t>).</w:t>
      </w:r>
    </w:p>
    <w:p w14:paraId="605F915A" w14:textId="14E83BFE" w:rsidR="000F1CF2" w:rsidDel="00E1708D" w:rsidRDefault="000F1CF2" w:rsidP="392F964E">
      <w:pPr>
        <w:rPr>
          <w:noProof/>
        </w:rPr>
      </w:pPr>
      <w:r>
        <w:rPr>
          <w:noProof/>
        </w:rPr>
        <w:t>Temeiul juridic al Regulamentului privind etichetarea energetică (</w:t>
      </w:r>
      <w:r>
        <w:rPr>
          <w:rStyle w:val="FootnoteReference"/>
          <w:noProof/>
          <w:szCs w:val="24"/>
          <w:lang w:val="en-IE"/>
        </w:rPr>
        <w:footnoteReference w:id="5"/>
      </w:r>
      <w:r>
        <w:rPr>
          <w:noProof/>
        </w:rPr>
        <w:t>) („ELR”) este articolul 194 din tratat. ELR stabilește norme pentru crearea de etichete specifice produselor prin intermediul unor acte delegate. Regulamentul impune anumite obligații furnizorilor (producători, importatori și reprezentanți autorizați) și comercianților în ceea ce privește furnizarea și afișarea etichetelor și a informațiilor standardizate despre produse. Comisia a emis două comunicări cu clarificări specifice: una privind punerea în aplicare în timpul pandemiei de COVID-19 (</w:t>
      </w:r>
      <w:r>
        <w:rPr>
          <w:rStyle w:val="FootnoteReference"/>
          <w:noProof/>
          <w:szCs w:val="24"/>
          <w:lang w:val="en-IE"/>
        </w:rPr>
        <w:footnoteReference w:id="6"/>
      </w:r>
      <w:r>
        <w:rPr>
          <w:noProof/>
        </w:rPr>
        <w:t>) și una în 2024 privind indicarea gamei de etichetare energetică și a clasei corespunzătoare, în urma unei hotărâri preliminare a Curții (</w:t>
      </w:r>
      <w:r>
        <w:rPr>
          <w:rStyle w:val="FootnoteReference"/>
          <w:noProof/>
          <w:szCs w:val="24"/>
          <w:lang w:val="en-IE"/>
        </w:rPr>
        <w:footnoteReference w:id="7"/>
      </w:r>
      <w:r>
        <w:rPr>
          <w:noProof/>
        </w:rPr>
        <w:t>).</w:t>
      </w:r>
    </w:p>
    <w:p w14:paraId="15794A16" w14:textId="0B542808" w:rsidR="002E292B" w:rsidRPr="00E42EB8" w:rsidRDefault="002E292B" w:rsidP="392F964E">
      <w:pPr>
        <w:pStyle w:val="Heading2"/>
        <w:rPr>
          <w:noProof/>
        </w:rPr>
      </w:pPr>
      <w:r>
        <w:rPr>
          <w:noProof/>
        </w:rPr>
        <w:t>Principalele modificări aduse în cadrul revizuirii din 2017 a cadrului de etichetare energetică</w:t>
      </w:r>
    </w:p>
    <w:p w14:paraId="28571334" w14:textId="76A6AAC2" w:rsidR="00BC0055" w:rsidRDefault="00BC0055" w:rsidP="392F964E">
      <w:pPr>
        <w:rPr>
          <w:noProof/>
        </w:rPr>
      </w:pPr>
      <w:r>
        <w:rPr>
          <w:noProof/>
        </w:rPr>
        <w:t>Revizuirea din 2017 a transformat cadrul juridic dintr-o directivă într-un regulament și a modificat normele existente pentru (i) a prevedea o reclasificare treptată a etichetelor la scara cunoscută de la A la G, (ii) a consolida supravegherea pieței și (iii) a introduce înregistrarea obligatorie într-o bază de date cu produse la nivelul UE (Registrul european al produselor pentru etichetarea energetică – EPREL) (</w:t>
      </w:r>
      <w:r>
        <w:rPr>
          <w:rStyle w:val="FootnoteReference"/>
          <w:noProof/>
          <w:szCs w:val="24"/>
          <w:lang w:val="en-IE"/>
        </w:rPr>
        <w:footnoteReference w:id="8"/>
      </w:r>
      <w:r>
        <w:rPr>
          <w:noProof/>
        </w:rPr>
        <w:t>) ca o condiție prealabilă pentru introducerea unui model pe piață. În noul cadru au fost introduse opt etichete revizuite sau noi. Aceste etichete sunt neutre din punct de vedere lingvistic, au un aspect modernizat și includ un cod QR care direcționează către informațiile despre model din EPREL.</w:t>
      </w:r>
      <w:bookmarkStart w:id="3" w:name="_Hlk200042055"/>
      <w:r>
        <w:rPr>
          <w:noProof/>
        </w:rPr>
        <w:t xml:space="preserve"> Unele dintre ele includ, pentru prima dată, pictograme informative privind potențialul de reparare sau aspectele legate de durabilitate.</w:t>
      </w:r>
    </w:p>
    <w:p w14:paraId="1C836983" w14:textId="45AD06A5" w:rsidR="006377A9" w:rsidRPr="00E42EB8" w:rsidDel="0074686C" w:rsidRDefault="006377A9" w:rsidP="392F964E">
      <w:pPr>
        <w:pStyle w:val="Heading2"/>
        <w:rPr>
          <w:noProof/>
        </w:rPr>
      </w:pPr>
      <w:r>
        <w:rPr>
          <w:noProof/>
        </w:rPr>
        <w:t>Domeniul de aplicare al prezentului raport</w:t>
      </w:r>
    </w:p>
    <w:p w14:paraId="168CB4E1" w14:textId="77777777" w:rsidR="008F082B" w:rsidRDefault="00E678C0" w:rsidP="392F964E">
      <w:pPr>
        <w:rPr>
          <w:noProof/>
        </w:rPr>
      </w:pPr>
      <w:r>
        <w:rPr>
          <w:noProof/>
        </w:rPr>
        <w:t xml:space="preserve">Articolul 19 din ELR însărcinează Comisia să prezinte Parlamentului European și Consiliului un raport privind punerea în aplicare a regulamentului, evaluând </w:t>
      </w:r>
      <w:r>
        <w:rPr>
          <w:i/>
          <w:noProof/>
        </w:rPr>
        <w:t>„eficacitatea cu care prezentul regulament și actele delegate și de punere în aplicare adoptate în temeiul acestuia le-au permis clienților să aleagă produse mai eficiente, ținând seama de impactul acestora asupra întreprinderilor, a consumului de energie, a emisiilor de gaze cu efect de seră, a activităților de supraveghere a pieței, precum și de costul instituirii și întreținerii bazei de date”</w:t>
      </w:r>
      <w:r>
        <w:rPr>
          <w:noProof/>
        </w:rPr>
        <w:t>.</w:t>
      </w:r>
      <w:r>
        <w:rPr>
          <w:i/>
          <w:noProof/>
        </w:rPr>
        <w:t xml:space="preserve"> </w:t>
      </w:r>
    </w:p>
    <w:p w14:paraId="32519AA8" w14:textId="3593A926" w:rsidR="00015FDE" w:rsidRDefault="008F082B" w:rsidP="392F964E">
      <w:pPr>
        <w:rPr>
          <w:noProof/>
        </w:rPr>
      </w:pPr>
      <w:r>
        <w:rPr>
          <w:noProof/>
        </w:rPr>
        <w:t xml:space="preserve">Impactul asupra întreprinderilor, a consumului de energie și a emisiilor este evaluat în detaliu pentru fiecare act specific unui produs din acest cadru, iar prezentul raport oferă o imagine de ansamblu. Mai multe aspecte orizontale sunt analizate în cadrul evaluării impactului care însoțește propunerea omnibus de simplificare privind legislația referitoare la produsele eficiente din punct de vedere energetic, adoptată în paralel cu prezentul raport și care se bazează pe acesta. Un raport separat privind punerea în aplicare a Regulamentului privind etichetarea pneurilor [Regulamentul (UE) 2020/740] este adoptat în paralel cu prezentul raport. </w:t>
      </w:r>
    </w:p>
    <w:p w14:paraId="1BC29D6E" w14:textId="77DAFA02" w:rsidR="00BC0055" w:rsidRPr="00601FAB" w:rsidDel="000610D0" w:rsidRDefault="5510B0B3" w:rsidP="392F964E">
      <w:pPr>
        <w:rPr>
          <w:noProof/>
        </w:rPr>
      </w:pPr>
      <w:r>
        <w:rPr>
          <w:noProof/>
        </w:rPr>
        <w:t xml:space="preserve">Prin urmare, prezentul raport se axează </w:t>
      </w:r>
      <w:bookmarkStart w:id="4" w:name="_Toc209726870"/>
      <w:bookmarkEnd w:id="3"/>
      <w:r>
        <w:rPr>
          <w:noProof/>
        </w:rPr>
        <w:t>în special pe următoarele subiecte:</w:t>
      </w:r>
    </w:p>
    <w:p w14:paraId="1C2B83AE" w14:textId="0CAE67AC" w:rsidR="00EB15B3" w:rsidRDefault="00EB15B3"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Progresele înregistrate în ceea ce privește reclasificarea și introducerea de noi etichete</w:t>
      </w:r>
    </w:p>
    <w:p w14:paraId="141E5450" w14:textId="0F7FA38E" w:rsidR="006377A9" w:rsidRPr="00EB350C" w:rsidRDefault="008232B8" w:rsidP="00EB350C">
      <w:pPr>
        <w:pStyle w:val="ListParagraph"/>
        <w:numPr>
          <w:ilvl w:val="0"/>
          <w:numId w:val="49"/>
        </w:numPr>
        <w:rPr>
          <w:rFonts w:ascii="Times New Roman" w:hAnsi="Times New Roman" w:cs="Times New Roman"/>
          <w:noProof/>
          <w:sz w:val="24"/>
          <w:szCs w:val="24"/>
        </w:rPr>
      </w:pPr>
      <w:r>
        <w:rPr>
          <w:rFonts w:ascii="Times New Roman" w:hAnsi="Times New Roman"/>
          <w:noProof/>
          <w:sz w:val="24"/>
        </w:rPr>
        <w:t>Procesul de reclasificare a etichetelor (tranziția de la eticheta veche la eticheta nouă)</w:t>
      </w:r>
    </w:p>
    <w:p w14:paraId="6A95423F" w14:textId="1E782D4C" w:rsidR="006377A9" w:rsidRPr="00CF4013" w:rsidRDefault="00F0312B"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Baza de date cu produse (și costurile și beneficiile aferente)</w:t>
      </w:r>
    </w:p>
    <w:p w14:paraId="7B1B6C22" w14:textId="330E523C" w:rsidR="006377A9" w:rsidRDefault="00F0312B" w:rsidP="006377A9">
      <w:pPr>
        <w:pStyle w:val="ListParagraph"/>
        <w:numPr>
          <w:ilvl w:val="0"/>
          <w:numId w:val="49"/>
        </w:numPr>
        <w:rPr>
          <w:rFonts w:ascii="Times New Roman" w:hAnsi="Times New Roman" w:cs="Times New Roman"/>
          <w:noProof/>
          <w:sz w:val="24"/>
          <w:szCs w:val="24"/>
        </w:rPr>
      </w:pPr>
      <w:r>
        <w:rPr>
          <w:rFonts w:ascii="Times New Roman" w:hAnsi="Times New Roman"/>
          <w:noProof/>
          <w:sz w:val="24"/>
        </w:rPr>
        <w:t>Supravegherea pieței</w:t>
      </w:r>
    </w:p>
    <w:p w14:paraId="06EDD228" w14:textId="4E0266FB" w:rsidR="00A21631" w:rsidRDefault="00706B4A" w:rsidP="00A21631">
      <w:pPr>
        <w:pStyle w:val="ListParagraph"/>
        <w:numPr>
          <w:ilvl w:val="0"/>
          <w:numId w:val="49"/>
        </w:numPr>
        <w:rPr>
          <w:rFonts w:ascii="Times New Roman" w:hAnsi="Times New Roman" w:cs="Times New Roman"/>
          <w:noProof/>
          <w:sz w:val="24"/>
          <w:szCs w:val="24"/>
        </w:rPr>
      </w:pPr>
      <w:r>
        <w:rPr>
          <w:rFonts w:ascii="Times New Roman" w:hAnsi="Times New Roman"/>
          <w:noProof/>
          <w:sz w:val="24"/>
        </w:rPr>
        <w:t>Eticheta ca instrument pentru piețele-pilot pentru produse eficiente</w:t>
      </w:r>
    </w:p>
    <w:p w14:paraId="66106137" w14:textId="29150EAE" w:rsidR="006377A9" w:rsidRPr="00A21631" w:rsidRDefault="00DD2534" w:rsidP="00A21631">
      <w:pPr>
        <w:pStyle w:val="ListParagraph"/>
        <w:numPr>
          <w:ilvl w:val="0"/>
          <w:numId w:val="49"/>
        </w:numPr>
        <w:rPr>
          <w:rFonts w:ascii="Times New Roman" w:hAnsi="Times New Roman" w:cs="Times New Roman"/>
          <w:noProof/>
          <w:sz w:val="24"/>
          <w:szCs w:val="24"/>
        </w:rPr>
      </w:pPr>
      <w:r>
        <w:rPr>
          <w:rFonts w:ascii="Times New Roman" w:hAnsi="Times New Roman"/>
          <w:noProof/>
          <w:sz w:val="24"/>
        </w:rPr>
        <w:t>Eficacitatea noilor etichete energetice.</w:t>
      </w:r>
    </w:p>
    <w:p w14:paraId="0E8C42BF" w14:textId="3D0C4320" w:rsidR="616097C2" w:rsidRDefault="616097C2" w:rsidP="616097C2">
      <w:pPr>
        <w:pStyle w:val="ListParagraph"/>
        <w:rPr>
          <w:rFonts w:ascii="Times New Roman" w:hAnsi="Times New Roman" w:cs="Times New Roman"/>
          <w:noProof/>
          <w:sz w:val="24"/>
          <w:szCs w:val="24"/>
          <w:lang w:val="en-IE"/>
        </w:rPr>
      </w:pPr>
    </w:p>
    <w:p w14:paraId="54AE4278" w14:textId="61385096" w:rsidR="00520DC8" w:rsidRPr="00E42EB8" w:rsidRDefault="00520DC8" w:rsidP="392F964E">
      <w:pPr>
        <w:pStyle w:val="Heading2"/>
        <w:rPr>
          <w:noProof/>
        </w:rPr>
      </w:pPr>
      <w:r>
        <w:rPr>
          <w:noProof/>
        </w:rPr>
        <w:t>Baza analitică</w:t>
      </w:r>
    </w:p>
    <w:p w14:paraId="6B4127B6" w14:textId="3DC9DE2F" w:rsidR="00251E60" w:rsidRDefault="006377A9" w:rsidP="392F964E">
      <w:pPr>
        <w:rPr>
          <w:noProof/>
        </w:rPr>
      </w:pPr>
      <w:r>
        <w:rPr>
          <w:noProof/>
        </w:rPr>
        <w:t>Prezentul raport se bazează în special pe un sondaj (</w:t>
      </w:r>
      <w:r>
        <w:rPr>
          <w:rStyle w:val="FootnoteReference"/>
          <w:noProof/>
          <w:lang w:val="en-IE"/>
        </w:rPr>
        <w:footnoteReference w:id="9"/>
      </w:r>
      <w:r>
        <w:rPr>
          <w:noProof/>
        </w:rPr>
        <w:t xml:space="preserve">) realizat pe un eșantion de 20 073 de consumatori care au achiziționat cel puțin unul – și cel mult trei – dintre tipurile de produse vizate în ultimii doi ani, sondaj desfășurat în 10 state membre ale UE: Republica Cehă, Finlanda, Franța, Germania, Italia, Țările de Jos, Polonia, Portugalia, România și Suedia. Sondajul a inclus, de asemenea, un eșantion de 204 furnizori și 207 comercianți cu amănuntul de produse etichetate energetic din grupurile de produse cu noile etichete, precum și 123 de utilizatori profesioniști de aparate frigorifice de uz comercial, pentru a testa noua etichetă în cazul acestora. </w:t>
      </w:r>
    </w:p>
    <w:p w14:paraId="2F81ADE4" w14:textId="301A9B16" w:rsidR="006377A9" w:rsidRPr="00601FAB" w:rsidRDefault="00D41841" w:rsidP="392F964E">
      <w:pPr>
        <w:rPr>
          <w:noProof/>
        </w:rPr>
      </w:pPr>
      <w:r>
        <w:rPr>
          <w:noProof/>
        </w:rPr>
        <w:t>La elaborarea prezentului raport s-au primit contribuții de la 14 state membre (</w:t>
      </w:r>
      <w:r>
        <w:rPr>
          <w:rStyle w:val="FootnoteReference"/>
          <w:noProof/>
          <w:szCs w:val="24"/>
          <w:lang w:val="en-IE"/>
        </w:rPr>
        <w:footnoteReference w:id="10"/>
      </w:r>
      <w:r>
        <w:rPr>
          <w:noProof/>
        </w:rPr>
        <w:t>) din cadrul Forumului consultativ privind proiectarea ecologică și etichetarea energetică (</w:t>
      </w:r>
      <w:r>
        <w:rPr>
          <w:rStyle w:val="FootnoteReference"/>
          <w:noProof/>
          <w:szCs w:val="24"/>
          <w:lang w:val="en-IE"/>
        </w:rPr>
        <w:footnoteReference w:id="11"/>
      </w:r>
      <w:r>
        <w:rPr>
          <w:noProof/>
        </w:rPr>
        <w:t>) (EELCF) și/sau al Grupului de experți pentru cooperare administrativă privind etichetarea energetică și proiectarea ecologică (AdCo) (</w:t>
      </w:r>
      <w:r>
        <w:rPr>
          <w:rStyle w:val="FootnoteReference"/>
          <w:noProof/>
          <w:szCs w:val="24"/>
          <w:lang w:val="en-IE"/>
        </w:rPr>
        <w:footnoteReference w:id="12"/>
      </w:r>
      <w:r>
        <w:rPr>
          <w:noProof/>
        </w:rPr>
        <w:t>) și de la alți 7 membri ai EELCF (</w:t>
      </w:r>
      <w:r>
        <w:rPr>
          <w:rStyle w:val="FootnoteReference"/>
          <w:noProof/>
          <w:szCs w:val="24"/>
          <w:lang w:val="en-IE"/>
        </w:rPr>
        <w:footnoteReference w:id="13"/>
      </w:r>
      <w:r>
        <w:rPr>
          <w:noProof/>
        </w:rPr>
        <w:t>). Analiza se bazează, de asemenea, pe date din EPREL, din sistemul de informare și de comunicare pentru supravegherea pieței (ICSMS) (</w:t>
      </w:r>
      <w:r>
        <w:rPr>
          <w:rStyle w:val="FootnoteReference"/>
          <w:noProof/>
          <w:lang w:val="en-IE"/>
        </w:rPr>
        <w:footnoteReference w:id="14"/>
      </w:r>
      <w:r>
        <w:rPr>
          <w:noProof/>
        </w:rPr>
        <w:t>), precum și din alte analize și resurse aflate la dispoziția publicului.</w:t>
      </w:r>
    </w:p>
    <w:p w14:paraId="2720CBA1" w14:textId="5F2B030E" w:rsidR="00BC0055" w:rsidRPr="00601FAB" w:rsidDel="006377A9" w:rsidRDefault="00BC0055" w:rsidP="392F964E">
      <w:pPr>
        <w:pStyle w:val="Heading1"/>
        <w:rPr>
          <w:noProof/>
        </w:rPr>
      </w:pPr>
      <w:bookmarkStart w:id="5" w:name="_Hlk200042467"/>
      <w:bookmarkStart w:id="6" w:name="_Hlk207312180"/>
      <w:bookmarkStart w:id="7" w:name="_Toc209726872"/>
      <w:bookmarkStart w:id="8" w:name="_Hlk211002743"/>
      <w:bookmarkEnd w:id="4"/>
      <w:bookmarkEnd w:id="5"/>
      <w:bookmarkEnd w:id="6"/>
      <w:r>
        <w:rPr>
          <w:noProof/>
        </w:rPr>
        <w:t>Progresele înregistrate în ceea ce privește reclasificarea și introducerea de noi etichete</w:t>
      </w:r>
      <w:bookmarkEnd w:id="7"/>
    </w:p>
    <w:bookmarkEnd w:id="8"/>
    <w:p w14:paraId="3030AE77" w14:textId="77777777" w:rsidR="00BC0055" w:rsidRPr="00601FAB" w:rsidRDefault="00BC0055" w:rsidP="00D6681F">
      <w:pPr>
        <w:rPr>
          <w:noProof/>
          <w:szCs w:val="24"/>
          <w:shd w:val="clear" w:color="auto" w:fill="FFFFFF"/>
        </w:rPr>
      </w:pPr>
      <w:r>
        <w:rPr>
          <w:noProof/>
          <w:shd w:val="clear" w:color="auto" w:fill="FFFFFF"/>
        </w:rPr>
        <w:t xml:space="preserve">ELR a însărcinat Comisia să revizuiască și să reclasifice toate etichetele energetice care erau în vigoare la 1 august 2017 și a împuternicit-o să introducă noi etichete. Regulamentul a stabilit un calendar pentru revizuirea etichetelor existente până în august 2018 (începând cu un grup prioritar: mașini de spălat rufe, mașini de spălat și uscat rufe, mașini de spălat vase, frigidere, surse de lumină și afișaje electronice). </w:t>
      </w:r>
      <w:r>
        <w:rPr>
          <w:noProof/>
        </w:rPr>
        <w:t>El a stabilit un termen general, și anume august 2023, pentru reclasificare și un termen mai lung, și anume august 2025, pentru cazanele cu combustibil solid, instalațiile pentru încălzirea incintelor și instalațiile pentru încălzirea apei (</w:t>
      </w:r>
      <w:r>
        <w:rPr>
          <w:rStyle w:val="FootnoteReference"/>
          <w:noProof/>
          <w:shd w:val="clear" w:color="auto" w:fill="FFFFFF"/>
          <w:lang w:val="en-IE"/>
        </w:rPr>
        <w:footnoteReference w:id="15"/>
      </w:r>
      <w:r>
        <w:rPr>
          <w:noProof/>
        </w:rPr>
        <w:t>).</w:t>
      </w:r>
    </w:p>
    <w:p w14:paraId="18B319AF" w14:textId="39AB7A39" w:rsidR="00BC0055" w:rsidRPr="00CF4013" w:rsidRDefault="00BC0055" w:rsidP="392F964E">
      <w:pPr>
        <w:rPr>
          <w:noProof/>
          <w:shd w:val="clear" w:color="auto" w:fill="FFFFFF"/>
        </w:rPr>
      </w:pPr>
      <w:r>
        <w:rPr>
          <w:noProof/>
        </w:rPr>
        <w:t>Reclasificarea grupului prioritar</w:t>
      </w:r>
      <w:r>
        <w:rPr>
          <w:rStyle w:val="FootnoteReference"/>
          <w:noProof/>
        </w:rPr>
        <w:t xml:space="preserve"> </w:t>
      </w:r>
      <w:r>
        <w:rPr>
          <w:noProof/>
        </w:rPr>
        <w:t>a fost finalizată în martie 2019, iar etichetele erau afișate online și în magazine începând cu 1 martie 2021 (</w:t>
      </w:r>
      <w:r>
        <w:rPr>
          <w:rStyle w:val="FootnoteReference"/>
          <w:noProof/>
          <w:shd w:val="clear" w:color="auto" w:fill="FFFFFF"/>
          <w:lang w:val="en-IE"/>
        </w:rPr>
        <w:footnoteReference w:id="16"/>
      </w:r>
      <w:r>
        <w:rPr>
          <w:noProof/>
        </w:rPr>
        <w:t>).</w:t>
      </w:r>
      <w:r>
        <w:rPr>
          <w:noProof/>
          <w:shd w:val="clear" w:color="auto" w:fill="FFFFFF"/>
        </w:rPr>
        <w:t xml:space="preserve"> </w:t>
      </w:r>
      <w:r>
        <w:rPr>
          <w:noProof/>
        </w:rPr>
        <w:t>Un regulament omnibus a remediat problemele tehnice legate de aceste norme chiar la timp pentru data respectivă (</w:t>
      </w:r>
      <w:r>
        <w:rPr>
          <w:rStyle w:val="FootnoteReference"/>
          <w:noProof/>
          <w:shd w:val="clear" w:color="auto" w:fill="FFFFFF"/>
          <w:lang w:val="en-IE"/>
        </w:rPr>
        <w:footnoteReference w:id="17"/>
      </w:r>
      <w:r>
        <w:rPr>
          <w:noProof/>
        </w:rPr>
        <w:t>).</w:t>
      </w:r>
    </w:p>
    <w:tbl>
      <w:tblPr>
        <w:tblStyle w:val="TableGrid"/>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554"/>
        <w:gridCol w:w="1319"/>
        <w:gridCol w:w="1319"/>
        <w:gridCol w:w="1202"/>
        <w:gridCol w:w="1319"/>
        <w:gridCol w:w="1563"/>
      </w:tblGrid>
      <w:tr w:rsidR="00BC0055" w:rsidRPr="0011245B" w14:paraId="06126BC7" w14:textId="77777777" w:rsidTr="392F964E">
        <w:trPr>
          <w:trHeight w:val="340"/>
        </w:trPr>
        <w:tc>
          <w:tcPr>
            <w:tcW w:w="5000" w:type="pct"/>
            <w:gridSpan w:val="6"/>
            <w:shd w:val="clear" w:color="auto" w:fill="E7E6E6"/>
          </w:tcPr>
          <w:p w14:paraId="29ED0CD7" w14:textId="77777777" w:rsidR="00BC0055" w:rsidRPr="0011245B" w:rsidRDefault="00BC0055" w:rsidP="0011245B">
            <w:pPr>
              <w:spacing w:after="0"/>
              <w:jc w:val="center"/>
              <w:rPr>
                <w:b/>
                <w:bCs/>
                <w:noProof/>
                <w:sz w:val="20"/>
              </w:rPr>
            </w:pPr>
            <w:r>
              <w:rPr>
                <w:b/>
                <w:noProof/>
                <w:sz w:val="20"/>
              </w:rPr>
              <w:t xml:space="preserve">Situația actuală a revizuirilor etichetelor specifice produselor în temeiul ELR </w:t>
            </w:r>
          </w:p>
        </w:tc>
      </w:tr>
      <w:tr w:rsidR="00BC0055" w:rsidRPr="0011245B" w14:paraId="352D03BB" w14:textId="77777777" w:rsidTr="00E12928">
        <w:trPr>
          <w:trHeight w:val="340"/>
        </w:trPr>
        <w:tc>
          <w:tcPr>
            <w:tcW w:w="939" w:type="pct"/>
            <w:shd w:val="clear" w:color="auto" w:fill="E7E6E6"/>
          </w:tcPr>
          <w:p w14:paraId="0BBD5257" w14:textId="77777777" w:rsidR="00BC0055" w:rsidRPr="0011245B" w:rsidRDefault="00BC0055" w:rsidP="0011245B">
            <w:pPr>
              <w:keepNext/>
              <w:keepLines/>
              <w:spacing w:after="0"/>
              <w:jc w:val="center"/>
              <w:rPr>
                <w:noProof/>
                <w:sz w:val="20"/>
              </w:rPr>
            </w:pPr>
            <w:bookmarkStart w:id="9" w:name="_Hlk183438276"/>
            <w:bookmarkStart w:id="10" w:name="_Hlk200697003"/>
            <w:r>
              <w:rPr>
                <w:b/>
                <w:noProof/>
                <w:sz w:val="20"/>
              </w:rPr>
              <w:t>Grup de produse</w:t>
            </w:r>
          </w:p>
        </w:tc>
        <w:tc>
          <w:tcPr>
            <w:tcW w:w="797" w:type="pct"/>
            <w:shd w:val="clear" w:color="auto" w:fill="E7E6E6"/>
          </w:tcPr>
          <w:p w14:paraId="790C8B0D" w14:textId="77777777" w:rsidR="00BC0055" w:rsidRPr="0011245B" w:rsidRDefault="00BC0055" w:rsidP="0011245B">
            <w:pPr>
              <w:keepNext/>
              <w:keepLines/>
              <w:jc w:val="center"/>
              <w:rPr>
                <w:noProof/>
                <w:sz w:val="20"/>
              </w:rPr>
            </w:pPr>
            <w:r>
              <w:rPr>
                <w:b/>
                <w:noProof/>
                <w:sz w:val="20"/>
              </w:rPr>
              <w:t>Referință</w:t>
            </w:r>
          </w:p>
        </w:tc>
        <w:tc>
          <w:tcPr>
            <w:tcW w:w="797" w:type="pct"/>
            <w:shd w:val="clear" w:color="auto" w:fill="E7E6E6"/>
          </w:tcPr>
          <w:p w14:paraId="713F5B72" w14:textId="77777777" w:rsidR="00BC0055" w:rsidRPr="0011245B" w:rsidRDefault="00BC0055" w:rsidP="0011245B">
            <w:pPr>
              <w:keepNext/>
              <w:keepLines/>
              <w:spacing w:after="0"/>
              <w:jc w:val="center"/>
              <w:rPr>
                <w:b/>
                <w:bCs/>
                <w:noProof/>
                <w:sz w:val="20"/>
              </w:rPr>
            </w:pPr>
            <w:r>
              <w:rPr>
                <w:b/>
                <w:noProof/>
                <w:sz w:val="20"/>
              </w:rPr>
              <w:t>Termenul de revizuire în ELR</w:t>
            </w:r>
          </w:p>
        </w:tc>
        <w:tc>
          <w:tcPr>
            <w:tcW w:w="726" w:type="pct"/>
            <w:shd w:val="clear" w:color="auto" w:fill="E7E6E6"/>
          </w:tcPr>
          <w:p w14:paraId="26A409A5" w14:textId="77777777" w:rsidR="00BC0055" w:rsidRPr="0011245B" w:rsidRDefault="00BC0055" w:rsidP="0011245B">
            <w:pPr>
              <w:spacing w:after="0"/>
              <w:jc w:val="center"/>
              <w:rPr>
                <w:b/>
                <w:bCs/>
                <w:noProof/>
                <w:sz w:val="20"/>
              </w:rPr>
            </w:pPr>
            <w:r>
              <w:rPr>
                <w:b/>
                <w:noProof/>
                <w:sz w:val="20"/>
              </w:rPr>
              <w:t>Intrarea în vigoare a revizuirii</w:t>
            </w:r>
          </w:p>
        </w:tc>
        <w:tc>
          <w:tcPr>
            <w:tcW w:w="797" w:type="pct"/>
            <w:shd w:val="clear" w:color="auto" w:fill="E7E6E6"/>
          </w:tcPr>
          <w:p w14:paraId="7E12C1B3" w14:textId="77777777" w:rsidR="00BC0055" w:rsidRPr="0011245B" w:rsidRDefault="00BC0055" w:rsidP="0011245B">
            <w:pPr>
              <w:spacing w:after="0"/>
              <w:jc w:val="center"/>
              <w:rPr>
                <w:b/>
                <w:bCs/>
                <w:noProof/>
                <w:sz w:val="20"/>
              </w:rPr>
            </w:pPr>
            <w:r>
              <w:rPr>
                <w:b/>
                <w:noProof/>
                <w:sz w:val="20"/>
              </w:rPr>
              <w:t>Data aplicării noii etichete</w:t>
            </w:r>
          </w:p>
        </w:tc>
        <w:tc>
          <w:tcPr>
            <w:tcW w:w="943" w:type="pct"/>
            <w:shd w:val="clear" w:color="auto" w:fill="E7E6E6"/>
          </w:tcPr>
          <w:p w14:paraId="309DEA29" w14:textId="77777777" w:rsidR="00BC0055" w:rsidRPr="0011245B" w:rsidRDefault="00BC0055" w:rsidP="0011245B">
            <w:pPr>
              <w:spacing w:after="0"/>
              <w:jc w:val="center"/>
              <w:rPr>
                <w:noProof/>
                <w:sz w:val="20"/>
              </w:rPr>
            </w:pPr>
            <w:r>
              <w:rPr>
                <w:b/>
                <w:noProof/>
                <w:sz w:val="20"/>
              </w:rPr>
              <w:t>Stadiu</w:t>
            </w:r>
          </w:p>
        </w:tc>
      </w:tr>
      <w:tr w:rsidR="00BC0055" w:rsidRPr="0011245B" w14:paraId="3C94AFA5" w14:textId="77777777" w:rsidTr="00E12928">
        <w:trPr>
          <w:trHeight w:val="340"/>
        </w:trPr>
        <w:tc>
          <w:tcPr>
            <w:tcW w:w="939" w:type="pct"/>
          </w:tcPr>
          <w:p w14:paraId="1AF4F8CC" w14:textId="77777777" w:rsidR="00BC0055" w:rsidRPr="0011245B" w:rsidRDefault="00BC0055" w:rsidP="0011245B">
            <w:pPr>
              <w:keepNext/>
              <w:keepLines/>
              <w:spacing w:after="60"/>
              <w:rPr>
                <w:noProof/>
                <w:sz w:val="20"/>
              </w:rPr>
            </w:pPr>
            <w:bookmarkStart w:id="11" w:name="_Hlk206338236"/>
            <w:bookmarkEnd w:id="9"/>
            <w:r>
              <w:rPr>
                <w:noProof/>
                <w:sz w:val="20"/>
              </w:rPr>
              <w:t>Afișaje electronice (inclusiv televizoare)</w:t>
            </w:r>
          </w:p>
        </w:tc>
        <w:tc>
          <w:tcPr>
            <w:tcW w:w="797" w:type="pct"/>
          </w:tcPr>
          <w:p w14:paraId="42F9781C" w14:textId="77777777" w:rsidR="00BC0055" w:rsidRPr="0011245B" w:rsidRDefault="00515CE2" w:rsidP="0011245B">
            <w:pPr>
              <w:keepNext/>
              <w:keepLines/>
              <w:spacing w:after="60"/>
              <w:rPr>
                <w:noProof/>
                <w:sz w:val="20"/>
              </w:rPr>
            </w:pPr>
            <w:hyperlink r:id="rId21" w:history="1">
              <w:r w:rsidR="00BC0055">
                <w:rPr>
                  <w:rStyle w:val="Hyperlink"/>
                  <w:noProof/>
                  <w:sz w:val="20"/>
                </w:rPr>
                <w:t>Regulamentul (UE) 2019/2013</w:t>
              </w:r>
            </w:hyperlink>
          </w:p>
        </w:tc>
        <w:tc>
          <w:tcPr>
            <w:tcW w:w="797" w:type="pct"/>
          </w:tcPr>
          <w:p w14:paraId="7781A761" w14:textId="77777777" w:rsidR="00BC0055" w:rsidRPr="0011245B" w:rsidRDefault="00BC0055" w:rsidP="0011245B">
            <w:pPr>
              <w:keepNext/>
              <w:keepLines/>
              <w:spacing w:after="60"/>
              <w:rPr>
                <w:noProof/>
                <w:sz w:val="20"/>
              </w:rPr>
            </w:pPr>
            <w:r>
              <w:rPr>
                <w:noProof/>
                <w:sz w:val="20"/>
              </w:rPr>
              <w:t>2.8.2018</w:t>
            </w:r>
          </w:p>
        </w:tc>
        <w:tc>
          <w:tcPr>
            <w:tcW w:w="726" w:type="pct"/>
          </w:tcPr>
          <w:p w14:paraId="43FF32F1" w14:textId="77777777" w:rsidR="00BC0055" w:rsidRPr="0011245B" w:rsidRDefault="00BC0055" w:rsidP="0011245B">
            <w:pPr>
              <w:spacing w:after="60"/>
              <w:rPr>
                <w:noProof/>
                <w:sz w:val="20"/>
              </w:rPr>
            </w:pPr>
            <w:r>
              <w:rPr>
                <w:noProof/>
                <w:sz w:val="20"/>
              </w:rPr>
              <w:t>31.3.2019</w:t>
            </w:r>
          </w:p>
        </w:tc>
        <w:tc>
          <w:tcPr>
            <w:tcW w:w="797" w:type="pct"/>
          </w:tcPr>
          <w:p w14:paraId="30522763" w14:textId="77777777" w:rsidR="00BC0055" w:rsidRPr="0011245B" w:rsidRDefault="00BC0055" w:rsidP="0011245B">
            <w:pPr>
              <w:spacing w:after="60"/>
              <w:rPr>
                <w:noProof/>
                <w:sz w:val="20"/>
              </w:rPr>
            </w:pPr>
            <w:r>
              <w:rPr>
                <w:noProof/>
                <w:sz w:val="20"/>
              </w:rPr>
              <w:t xml:space="preserve">1.3.2021 </w:t>
            </w:r>
          </w:p>
        </w:tc>
        <w:tc>
          <w:tcPr>
            <w:tcW w:w="943" w:type="pct"/>
          </w:tcPr>
          <w:p w14:paraId="5ABDC0A7" w14:textId="77777777" w:rsidR="00BC0055" w:rsidRPr="0011245B" w:rsidRDefault="00BC0055" w:rsidP="0011245B">
            <w:pPr>
              <w:spacing w:after="60"/>
              <w:rPr>
                <w:noProof/>
                <w:sz w:val="20"/>
              </w:rPr>
            </w:pPr>
            <w:r>
              <w:rPr>
                <w:noProof/>
                <w:sz w:val="20"/>
              </w:rPr>
              <w:t xml:space="preserve">Adoptat </w:t>
            </w:r>
          </w:p>
        </w:tc>
      </w:tr>
      <w:bookmarkEnd w:id="11"/>
      <w:tr w:rsidR="00BC0055" w:rsidRPr="0011245B" w14:paraId="03A088F2" w14:textId="77777777" w:rsidTr="00E12928">
        <w:trPr>
          <w:trHeight w:val="340"/>
        </w:trPr>
        <w:tc>
          <w:tcPr>
            <w:tcW w:w="939" w:type="pct"/>
          </w:tcPr>
          <w:p w14:paraId="2F2312C7" w14:textId="050F8BBE" w:rsidR="00BC0055" w:rsidRPr="0011245B" w:rsidRDefault="00BC0055" w:rsidP="392F964E">
            <w:pPr>
              <w:spacing w:after="60"/>
              <w:rPr>
                <w:noProof/>
                <w:sz w:val="20"/>
              </w:rPr>
            </w:pPr>
            <w:r>
              <w:rPr>
                <w:noProof/>
                <w:sz w:val="20"/>
              </w:rPr>
              <w:t>Mașini de spălat rufe/mașini de spălat și uscat rufe</w:t>
            </w:r>
          </w:p>
        </w:tc>
        <w:tc>
          <w:tcPr>
            <w:tcW w:w="797" w:type="pct"/>
          </w:tcPr>
          <w:p w14:paraId="6F941ADB" w14:textId="77777777" w:rsidR="00BC0055" w:rsidRPr="0011245B" w:rsidRDefault="00515CE2" w:rsidP="0011245B">
            <w:pPr>
              <w:spacing w:after="60"/>
              <w:rPr>
                <w:noProof/>
                <w:sz w:val="20"/>
              </w:rPr>
            </w:pPr>
            <w:hyperlink r:id="rId22" w:history="1">
              <w:r w:rsidR="00BC0055">
                <w:rPr>
                  <w:rStyle w:val="Hyperlink"/>
                  <w:noProof/>
                  <w:sz w:val="20"/>
                </w:rPr>
                <w:t>Regulamentul (UE) 2019/2014</w:t>
              </w:r>
            </w:hyperlink>
          </w:p>
        </w:tc>
        <w:tc>
          <w:tcPr>
            <w:tcW w:w="797" w:type="pct"/>
          </w:tcPr>
          <w:p w14:paraId="1FD7371A" w14:textId="77777777" w:rsidR="00BC0055" w:rsidRPr="0011245B" w:rsidRDefault="00BC0055" w:rsidP="0011245B">
            <w:pPr>
              <w:spacing w:after="60"/>
              <w:rPr>
                <w:noProof/>
                <w:sz w:val="20"/>
              </w:rPr>
            </w:pPr>
            <w:r>
              <w:rPr>
                <w:noProof/>
                <w:sz w:val="20"/>
              </w:rPr>
              <w:t>2.8.2018</w:t>
            </w:r>
          </w:p>
        </w:tc>
        <w:tc>
          <w:tcPr>
            <w:tcW w:w="726" w:type="pct"/>
          </w:tcPr>
          <w:p w14:paraId="1E699785" w14:textId="77777777" w:rsidR="00BC0055" w:rsidRPr="0011245B" w:rsidRDefault="00BC0055" w:rsidP="0011245B">
            <w:pPr>
              <w:spacing w:after="60"/>
              <w:rPr>
                <w:noProof/>
                <w:sz w:val="20"/>
              </w:rPr>
            </w:pPr>
            <w:r>
              <w:rPr>
                <w:noProof/>
                <w:sz w:val="20"/>
              </w:rPr>
              <w:t>31.3.2019</w:t>
            </w:r>
          </w:p>
        </w:tc>
        <w:tc>
          <w:tcPr>
            <w:tcW w:w="797" w:type="pct"/>
          </w:tcPr>
          <w:p w14:paraId="53E69033" w14:textId="77777777" w:rsidR="00BC0055" w:rsidRPr="0011245B" w:rsidRDefault="00BC0055" w:rsidP="0011245B">
            <w:pPr>
              <w:spacing w:after="60"/>
              <w:rPr>
                <w:noProof/>
                <w:sz w:val="20"/>
              </w:rPr>
            </w:pPr>
            <w:r>
              <w:rPr>
                <w:noProof/>
                <w:sz w:val="20"/>
              </w:rPr>
              <w:t>1.3.2021</w:t>
            </w:r>
          </w:p>
        </w:tc>
        <w:tc>
          <w:tcPr>
            <w:tcW w:w="943" w:type="pct"/>
          </w:tcPr>
          <w:p w14:paraId="4F36C7EC" w14:textId="77777777" w:rsidR="00BC0055" w:rsidRPr="0011245B" w:rsidRDefault="00BC0055" w:rsidP="0011245B">
            <w:pPr>
              <w:spacing w:after="60"/>
              <w:rPr>
                <w:noProof/>
                <w:sz w:val="20"/>
              </w:rPr>
            </w:pPr>
            <w:r>
              <w:rPr>
                <w:noProof/>
                <w:sz w:val="20"/>
              </w:rPr>
              <w:t xml:space="preserve">Adoptat </w:t>
            </w:r>
          </w:p>
        </w:tc>
      </w:tr>
      <w:tr w:rsidR="00BC0055" w:rsidRPr="0011245B" w14:paraId="6F1AAAED" w14:textId="77777777" w:rsidTr="00E12928">
        <w:trPr>
          <w:trHeight w:val="340"/>
        </w:trPr>
        <w:tc>
          <w:tcPr>
            <w:tcW w:w="939" w:type="pct"/>
          </w:tcPr>
          <w:p w14:paraId="40B26815" w14:textId="77777777" w:rsidR="00BC0055" w:rsidRPr="0011245B" w:rsidRDefault="00BC0055" w:rsidP="0011245B">
            <w:pPr>
              <w:spacing w:after="60"/>
              <w:rPr>
                <w:noProof/>
                <w:sz w:val="20"/>
              </w:rPr>
            </w:pPr>
            <w:r>
              <w:rPr>
                <w:noProof/>
                <w:sz w:val="20"/>
              </w:rPr>
              <w:t xml:space="preserve">Surse de lumină </w:t>
            </w:r>
          </w:p>
        </w:tc>
        <w:tc>
          <w:tcPr>
            <w:tcW w:w="797" w:type="pct"/>
          </w:tcPr>
          <w:p w14:paraId="174FC200" w14:textId="77777777" w:rsidR="00BC0055" w:rsidRPr="0011245B" w:rsidRDefault="00515CE2" w:rsidP="0011245B">
            <w:pPr>
              <w:spacing w:after="60"/>
              <w:rPr>
                <w:rStyle w:val="Hyperlink"/>
                <w:noProof/>
                <w:color w:val="0070C0"/>
                <w:sz w:val="20"/>
              </w:rPr>
            </w:pPr>
            <w:hyperlink r:id="rId23" w:history="1">
              <w:r w:rsidR="00BC0055">
                <w:rPr>
                  <w:rStyle w:val="Hyperlink"/>
                  <w:noProof/>
                  <w:sz w:val="20"/>
                </w:rPr>
                <w:t>Regulamentul (UE) 2019/2015</w:t>
              </w:r>
            </w:hyperlink>
          </w:p>
        </w:tc>
        <w:tc>
          <w:tcPr>
            <w:tcW w:w="797" w:type="pct"/>
          </w:tcPr>
          <w:p w14:paraId="69D241B4" w14:textId="77777777" w:rsidR="00BC0055" w:rsidRPr="0011245B" w:rsidRDefault="00BC0055" w:rsidP="0011245B">
            <w:pPr>
              <w:spacing w:after="60"/>
              <w:rPr>
                <w:noProof/>
                <w:sz w:val="20"/>
              </w:rPr>
            </w:pPr>
            <w:r>
              <w:rPr>
                <w:noProof/>
                <w:sz w:val="20"/>
              </w:rPr>
              <w:t>2.8.2018</w:t>
            </w:r>
          </w:p>
        </w:tc>
        <w:tc>
          <w:tcPr>
            <w:tcW w:w="726" w:type="pct"/>
          </w:tcPr>
          <w:p w14:paraId="422F9013" w14:textId="77777777" w:rsidR="00BC0055" w:rsidRPr="0011245B" w:rsidRDefault="00BC0055" w:rsidP="0011245B">
            <w:pPr>
              <w:spacing w:after="60"/>
              <w:rPr>
                <w:noProof/>
                <w:sz w:val="20"/>
              </w:rPr>
            </w:pPr>
            <w:r>
              <w:rPr>
                <w:noProof/>
                <w:sz w:val="20"/>
              </w:rPr>
              <w:t>31.3.2019</w:t>
            </w:r>
          </w:p>
        </w:tc>
        <w:tc>
          <w:tcPr>
            <w:tcW w:w="797" w:type="pct"/>
          </w:tcPr>
          <w:p w14:paraId="35B70225" w14:textId="77777777" w:rsidR="00BC0055" w:rsidRPr="0011245B" w:rsidRDefault="00BC0055" w:rsidP="0011245B">
            <w:pPr>
              <w:spacing w:after="60"/>
              <w:rPr>
                <w:noProof/>
                <w:sz w:val="20"/>
              </w:rPr>
            </w:pPr>
            <w:r>
              <w:rPr>
                <w:noProof/>
                <w:sz w:val="20"/>
              </w:rPr>
              <w:t>1.9.2021</w:t>
            </w:r>
          </w:p>
        </w:tc>
        <w:tc>
          <w:tcPr>
            <w:tcW w:w="943" w:type="pct"/>
          </w:tcPr>
          <w:p w14:paraId="48DA05BB" w14:textId="77777777" w:rsidR="00BC0055" w:rsidRPr="0011245B" w:rsidRDefault="00BC0055" w:rsidP="0011245B">
            <w:pPr>
              <w:spacing w:after="60"/>
              <w:rPr>
                <w:noProof/>
                <w:sz w:val="20"/>
              </w:rPr>
            </w:pPr>
            <w:r>
              <w:rPr>
                <w:noProof/>
                <w:sz w:val="20"/>
              </w:rPr>
              <w:t xml:space="preserve">Adoptat </w:t>
            </w:r>
          </w:p>
        </w:tc>
      </w:tr>
      <w:tr w:rsidR="00BC0055" w:rsidRPr="0011245B" w14:paraId="77D43F37" w14:textId="77777777" w:rsidTr="00E12928">
        <w:trPr>
          <w:trHeight w:val="340"/>
        </w:trPr>
        <w:tc>
          <w:tcPr>
            <w:tcW w:w="939" w:type="pct"/>
          </w:tcPr>
          <w:p w14:paraId="6D1C37B0" w14:textId="77777777" w:rsidR="00BC0055" w:rsidRPr="0011245B" w:rsidRDefault="00BC0055" w:rsidP="0011245B">
            <w:pPr>
              <w:spacing w:after="60"/>
              <w:rPr>
                <w:noProof/>
                <w:sz w:val="20"/>
              </w:rPr>
            </w:pPr>
            <w:r>
              <w:rPr>
                <w:noProof/>
                <w:sz w:val="20"/>
              </w:rPr>
              <w:t xml:space="preserve">Frigidere de uz casnic </w:t>
            </w:r>
          </w:p>
        </w:tc>
        <w:tc>
          <w:tcPr>
            <w:tcW w:w="797" w:type="pct"/>
          </w:tcPr>
          <w:p w14:paraId="6E9142DC" w14:textId="77777777" w:rsidR="00BC0055" w:rsidRPr="0011245B" w:rsidRDefault="00515CE2" w:rsidP="0011245B">
            <w:pPr>
              <w:spacing w:after="60"/>
              <w:rPr>
                <w:noProof/>
                <w:sz w:val="20"/>
              </w:rPr>
            </w:pPr>
            <w:hyperlink r:id="rId24" w:history="1">
              <w:r w:rsidR="00BC0055">
                <w:rPr>
                  <w:noProof/>
                  <w:color w:val="0000FF"/>
                  <w:sz w:val="20"/>
                  <w:u w:val="single"/>
                </w:rPr>
                <w:t>Regulamentul (UE) 2019/2016</w:t>
              </w:r>
            </w:hyperlink>
          </w:p>
        </w:tc>
        <w:tc>
          <w:tcPr>
            <w:tcW w:w="797" w:type="pct"/>
          </w:tcPr>
          <w:p w14:paraId="55BEEFBA" w14:textId="77777777" w:rsidR="00BC0055" w:rsidRPr="0011245B" w:rsidRDefault="00BC0055" w:rsidP="0011245B">
            <w:pPr>
              <w:spacing w:after="60"/>
              <w:rPr>
                <w:noProof/>
                <w:sz w:val="20"/>
              </w:rPr>
            </w:pPr>
            <w:r>
              <w:rPr>
                <w:noProof/>
                <w:sz w:val="20"/>
              </w:rPr>
              <w:t>2.8.2018</w:t>
            </w:r>
          </w:p>
        </w:tc>
        <w:tc>
          <w:tcPr>
            <w:tcW w:w="726" w:type="pct"/>
          </w:tcPr>
          <w:p w14:paraId="18FF8B83" w14:textId="77777777" w:rsidR="00BC0055" w:rsidRPr="0011245B" w:rsidRDefault="00BC0055" w:rsidP="0011245B">
            <w:pPr>
              <w:spacing w:after="60"/>
              <w:rPr>
                <w:noProof/>
                <w:sz w:val="20"/>
              </w:rPr>
            </w:pPr>
            <w:r>
              <w:rPr>
                <w:noProof/>
                <w:sz w:val="20"/>
              </w:rPr>
              <w:t>31.3.2019</w:t>
            </w:r>
          </w:p>
        </w:tc>
        <w:tc>
          <w:tcPr>
            <w:tcW w:w="797" w:type="pct"/>
          </w:tcPr>
          <w:p w14:paraId="1E97EB5F" w14:textId="77777777" w:rsidR="00BC0055" w:rsidRPr="0011245B" w:rsidRDefault="00BC0055" w:rsidP="0011245B">
            <w:pPr>
              <w:spacing w:after="60"/>
              <w:rPr>
                <w:noProof/>
                <w:sz w:val="20"/>
              </w:rPr>
            </w:pPr>
            <w:r>
              <w:rPr>
                <w:noProof/>
                <w:sz w:val="20"/>
              </w:rPr>
              <w:t>1.3.2021</w:t>
            </w:r>
          </w:p>
        </w:tc>
        <w:tc>
          <w:tcPr>
            <w:tcW w:w="943" w:type="pct"/>
          </w:tcPr>
          <w:p w14:paraId="452D59A1" w14:textId="77777777" w:rsidR="00BC0055" w:rsidRPr="0011245B" w:rsidRDefault="00BC0055" w:rsidP="0011245B">
            <w:pPr>
              <w:spacing w:after="60"/>
              <w:rPr>
                <w:noProof/>
                <w:sz w:val="20"/>
              </w:rPr>
            </w:pPr>
            <w:r>
              <w:rPr>
                <w:noProof/>
                <w:sz w:val="20"/>
              </w:rPr>
              <w:t xml:space="preserve">Adoptat </w:t>
            </w:r>
          </w:p>
        </w:tc>
      </w:tr>
      <w:tr w:rsidR="00BC0055" w:rsidRPr="0011245B" w14:paraId="0F11A3BD" w14:textId="77777777" w:rsidTr="00E12928">
        <w:trPr>
          <w:trHeight w:val="340"/>
        </w:trPr>
        <w:tc>
          <w:tcPr>
            <w:tcW w:w="939" w:type="pct"/>
          </w:tcPr>
          <w:p w14:paraId="248A16FF" w14:textId="1892406D" w:rsidR="00BC0055" w:rsidRPr="0011245B" w:rsidRDefault="00BC0055" w:rsidP="392F964E">
            <w:pPr>
              <w:spacing w:after="60"/>
              <w:rPr>
                <w:noProof/>
                <w:sz w:val="20"/>
              </w:rPr>
            </w:pPr>
            <w:r>
              <w:rPr>
                <w:noProof/>
                <w:sz w:val="20"/>
              </w:rPr>
              <w:t xml:space="preserve">Mașini de spălat vase de uz casnic </w:t>
            </w:r>
          </w:p>
        </w:tc>
        <w:tc>
          <w:tcPr>
            <w:tcW w:w="797" w:type="pct"/>
          </w:tcPr>
          <w:p w14:paraId="60A0EB68" w14:textId="77777777" w:rsidR="00BC0055" w:rsidRPr="0011245B" w:rsidRDefault="00515CE2" w:rsidP="0011245B">
            <w:pPr>
              <w:spacing w:after="60"/>
              <w:rPr>
                <w:noProof/>
                <w:sz w:val="20"/>
              </w:rPr>
            </w:pPr>
            <w:hyperlink r:id="rId25" w:history="1">
              <w:r w:rsidR="00BC0055">
                <w:rPr>
                  <w:rStyle w:val="Hyperlink"/>
                  <w:noProof/>
                  <w:sz w:val="20"/>
                </w:rPr>
                <w:t>Regulamentul (UE) 2019/2017</w:t>
              </w:r>
            </w:hyperlink>
          </w:p>
        </w:tc>
        <w:tc>
          <w:tcPr>
            <w:tcW w:w="797" w:type="pct"/>
          </w:tcPr>
          <w:p w14:paraId="1873EC85" w14:textId="77777777" w:rsidR="00BC0055" w:rsidRPr="0011245B" w:rsidRDefault="00BC0055" w:rsidP="0011245B">
            <w:pPr>
              <w:spacing w:after="60"/>
              <w:rPr>
                <w:noProof/>
                <w:sz w:val="20"/>
              </w:rPr>
            </w:pPr>
            <w:r>
              <w:rPr>
                <w:noProof/>
                <w:sz w:val="20"/>
              </w:rPr>
              <w:t>2.8.2018</w:t>
            </w:r>
          </w:p>
        </w:tc>
        <w:tc>
          <w:tcPr>
            <w:tcW w:w="726" w:type="pct"/>
          </w:tcPr>
          <w:p w14:paraId="324567D5" w14:textId="77777777" w:rsidR="00BC0055" w:rsidRPr="0011245B" w:rsidRDefault="00BC0055" w:rsidP="0011245B">
            <w:pPr>
              <w:spacing w:after="60"/>
              <w:rPr>
                <w:noProof/>
                <w:sz w:val="20"/>
              </w:rPr>
            </w:pPr>
            <w:r>
              <w:rPr>
                <w:noProof/>
                <w:sz w:val="20"/>
              </w:rPr>
              <w:t>31.3.2019</w:t>
            </w:r>
          </w:p>
        </w:tc>
        <w:tc>
          <w:tcPr>
            <w:tcW w:w="797" w:type="pct"/>
          </w:tcPr>
          <w:p w14:paraId="2BAD3517" w14:textId="77777777" w:rsidR="00BC0055" w:rsidRPr="0011245B" w:rsidRDefault="00BC0055" w:rsidP="0011245B">
            <w:pPr>
              <w:spacing w:after="60"/>
              <w:rPr>
                <w:noProof/>
                <w:sz w:val="20"/>
              </w:rPr>
            </w:pPr>
            <w:r>
              <w:rPr>
                <w:noProof/>
                <w:sz w:val="20"/>
              </w:rPr>
              <w:t xml:space="preserve">1.3.2021 </w:t>
            </w:r>
          </w:p>
        </w:tc>
        <w:tc>
          <w:tcPr>
            <w:tcW w:w="943" w:type="pct"/>
          </w:tcPr>
          <w:p w14:paraId="2EDA7D9C" w14:textId="77777777" w:rsidR="00BC0055" w:rsidRPr="0011245B" w:rsidRDefault="00BC0055" w:rsidP="0011245B">
            <w:pPr>
              <w:spacing w:after="60"/>
              <w:rPr>
                <w:noProof/>
                <w:sz w:val="20"/>
              </w:rPr>
            </w:pPr>
            <w:r>
              <w:rPr>
                <w:noProof/>
                <w:sz w:val="20"/>
              </w:rPr>
              <w:t xml:space="preserve">Adoptat </w:t>
            </w:r>
          </w:p>
        </w:tc>
      </w:tr>
      <w:tr w:rsidR="00BC0055" w:rsidRPr="0011245B" w14:paraId="25870AEC" w14:textId="77777777" w:rsidTr="00E12928">
        <w:trPr>
          <w:trHeight w:val="340"/>
        </w:trPr>
        <w:tc>
          <w:tcPr>
            <w:tcW w:w="939" w:type="pct"/>
          </w:tcPr>
          <w:p w14:paraId="32C349E0" w14:textId="77777777" w:rsidR="00BC0055" w:rsidRPr="0011245B" w:rsidRDefault="00BC0055" w:rsidP="0011245B">
            <w:pPr>
              <w:spacing w:after="60"/>
              <w:rPr>
                <w:noProof/>
                <w:sz w:val="20"/>
              </w:rPr>
            </w:pPr>
            <w:r>
              <w:rPr>
                <w:noProof/>
                <w:sz w:val="20"/>
              </w:rPr>
              <w:t>Aparate frigorifice cu funcție de vânzare directă</w:t>
            </w:r>
          </w:p>
        </w:tc>
        <w:tc>
          <w:tcPr>
            <w:tcW w:w="797" w:type="pct"/>
          </w:tcPr>
          <w:p w14:paraId="08F5E368" w14:textId="77777777" w:rsidR="00BC0055" w:rsidRPr="0011245B" w:rsidRDefault="00515CE2" w:rsidP="0011245B">
            <w:pPr>
              <w:spacing w:after="60"/>
              <w:rPr>
                <w:noProof/>
                <w:sz w:val="20"/>
              </w:rPr>
            </w:pPr>
            <w:hyperlink r:id="rId26" w:history="1">
              <w:r w:rsidR="00BC0055">
                <w:rPr>
                  <w:rStyle w:val="Hyperlink"/>
                  <w:noProof/>
                  <w:sz w:val="20"/>
                </w:rPr>
                <w:t>Regulamentul (UE) 2019/2018</w:t>
              </w:r>
            </w:hyperlink>
          </w:p>
        </w:tc>
        <w:tc>
          <w:tcPr>
            <w:tcW w:w="797" w:type="pct"/>
          </w:tcPr>
          <w:p w14:paraId="5C21B5C4" w14:textId="77777777" w:rsidR="00BC0055" w:rsidRPr="0011245B" w:rsidRDefault="00BC0055" w:rsidP="0011245B">
            <w:pPr>
              <w:spacing w:after="60"/>
              <w:rPr>
                <w:noProof/>
                <w:sz w:val="20"/>
              </w:rPr>
            </w:pPr>
            <w:r>
              <w:rPr>
                <w:noProof/>
                <w:sz w:val="20"/>
              </w:rPr>
              <w:t>Nou</w:t>
            </w:r>
          </w:p>
        </w:tc>
        <w:tc>
          <w:tcPr>
            <w:tcW w:w="726" w:type="pct"/>
          </w:tcPr>
          <w:p w14:paraId="144707C2" w14:textId="77777777" w:rsidR="00BC0055" w:rsidRPr="0011245B" w:rsidRDefault="00BC0055" w:rsidP="0011245B">
            <w:pPr>
              <w:spacing w:after="60"/>
              <w:rPr>
                <w:noProof/>
                <w:sz w:val="20"/>
              </w:rPr>
            </w:pPr>
            <w:r>
              <w:rPr>
                <w:noProof/>
                <w:sz w:val="20"/>
              </w:rPr>
              <w:t>Nou</w:t>
            </w:r>
          </w:p>
        </w:tc>
        <w:tc>
          <w:tcPr>
            <w:tcW w:w="797" w:type="pct"/>
          </w:tcPr>
          <w:p w14:paraId="04015201" w14:textId="77777777" w:rsidR="00BC0055" w:rsidRPr="0011245B" w:rsidRDefault="00BC0055" w:rsidP="0011245B">
            <w:pPr>
              <w:spacing w:after="60"/>
              <w:rPr>
                <w:noProof/>
                <w:sz w:val="20"/>
              </w:rPr>
            </w:pPr>
            <w:r>
              <w:rPr>
                <w:noProof/>
                <w:sz w:val="20"/>
              </w:rPr>
              <w:t>1.3.2021</w:t>
            </w:r>
          </w:p>
        </w:tc>
        <w:tc>
          <w:tcPr>
            <w:tcW w:w="943" w:type="pct"/>
          </w:tcPr>
          <w:p w14:paraId="41B3B081" w14:textId="77777777" w:rsidR="00BC0055" w:rsidRPr="0011245B" w:rsidRDefault="00BC0055" w:rsidP="0011245B">
            <w:pPr>
              <w:spacing w:after="60"/>
              <w:rPr>
                <w:noProof/>
                <w:sz w:val="20"/>
              </w:rPr>
            </w:pPr>
            <w:r>
              <w:rPr>
                <w:noProof/>
                <w:sz w:val="20"/>
              </w:rPr>
              <w:t>Adoptat</w:t>
            </w:r>
          </w:p>
        </w:tc>
      </w:tr>
      <w:tr w:rsidR="00BC0055" w:rsidRPr="0011245B" w14:paraId="549B545D" w14:textId="77777777" w:rsidTr="00E12928">
        <w:trPr>
          <w:trHeight w:val="340"/>
        </w:trPr>
        <w:tc>
          <w:tcPr>
            <w:tcW w:w="939" w:type="pct"/>
          </w:tcPr>
          <w:p w14:paraId="48BAD334" w14:textId="77777777" w:rsidR="00BC0055" w:rsidRPr="0011245B" w:rsidRDefault="00BC0055" w:rsidP="0011245B">
            <w:pPr>
              <w:spacing w:after="60"/>
              <w:rPr>
                <w:noProof/>
                <w:sz w:val="20"/>
              </w:rPr>
            </w:pPr>
            <w:r>
              <w:rPr>
                <w:noProof/>
                <w:sz w:val="20"/>
              </w:rPr>
              <w:t>Telefoane inteligente și tablete</w:t>
            </w:r>
          </w:p>
        </w:tc>
        <w:tc>
          <w:tcPr>
            <w:tcW w:w="797" w:type="pct"/>
          </w:tcPr>
          <w:p w14:paraId="42455911" w14:textId="77777777" w:rsidR="00BC0055" w:rsidRPr="0011245B" w:rsidRDefault="00515CE2" w:rsidP="0011245B">
            <w:pPr>
              <w:spacing w:after="60"/>
              <w:rPr>
                <w:noProof/>
                <w:sz w:val="20"/>
              </w:rPr>
            </w:pPr>
            <w:hyperlink r:id="rId27" w:history="1">
              <w:r w:rsidR="00BC0055">
                <w:rPr>
                  <w:rStyle w:val="Hyperlink"/>
                  <w:noProof/>
                  <w:sz w:val="20"/>
                </w:rPr>
                <w:t>Regulamentul (UE) 2023/1669</w:t>
              </w:r>
            </w:hyperlink>
          </w:p>
        </w:tc>
        <w:tc>
          <w:tcPr>
            <w:tcW w:w="797" w:type="pct"/>
          </w:tcPr>
          <w:p w14:paraId="7976BF95" w14:textId="77777777" w:rsidR="00BC0055" w:rsidRPr="0011245B" w:rsidRDefault="00BC0055" w:rsidP="0011245B">
            <w:pPr>
              <w:spacing w:after="60"/>
              <w:rPr>
                <w:noProof/>
                <w:sz w:val="20"/>
              </w:rPr>
            </w:pPr>
            <w:r>
              <w:rPr>
                <w:noProof/>
                <w:sz w:val="20"/>
              </w:rPr>
              <w:t>Nou</w:t>
            </w:r>
          </w:p>
        </w:tc>
        <w:tc>
          <w:tcPr>
            <w:tcW w:w="726" w:type="pct"/>
          </w:tcPr>
          <w:p w14:paraId="5BA0B23C" w14:textId="77777777" w:rsidR="00BC0055" w:rsidRPr="0011245B" w:rsidRDefault="00BC0055" w:rsidP="0011245B">
            <w:pPr>
              <w:spacing w:after="60"/>
              <w:rPr>
                <w:noProof/>
                <w:sz w:val="20"/>
              </w:rPr>
            </w:pPr>
            <w:r>
              <w:rPr>
                <w:noProof/>
                <w:sz w:val="20"/>
              </w:rPr>
              <w:t>Nou</w:t>
            </w:r>
          </w:p>
        </w:tc>
        <w:tc>
          <w:tcPr>
            <w:tcW w:w="797" w:type="pct"/>
          </w:tcPr>
          <w:p w14:paraId="3EE2926C" w14:textId="77777777" w:rsidR="00BC0055" w:rsidRPr="0011245B" w:rsidRDefault="00BC0055" w:rsidP="0011245B">
            <w:pPr>
              <w:spacing w:after="60"/>
              <w:rPr>
                <w:noProof/>
                <w:sz w:val="20"/>
              </w:rPr>
            </w:pPr>
            <w:r>
              <w:rPr>
                <w:noProof/>
                <w:sz w:val="20"/>
              </w:rPr>
              <w:t>20.6.2025</w:t>
            </w:r>
          </w:p>
        </w:tc>
        <w:tc>
          <w:tcPr>
            <w:tcW w:w="943" w:type="pct"/>
          </w:tcPr>
          <w:p w14:paraId="1517FEEC" w14:textId="77777777" w:rsidR="00BC0055" w:rsidRPr="0011245B" w:rsidRDefault="00BC0055" w:rsidP="0011245B">
            <w:pPr>
              <w:spacing w:after="60"/>
              <w:rPr>
                <w:noProof/>
                <w:sz w:val="20"/>
              </w:rPr>
            </w:pPr>
            <w:r>
              <w:rPr>
                <w:noProof/>
                <w:sz w:val="20"/>
              </w:rPr>
              <w:t>Adoptat</w:t>
            </w:r>
          </w:p>
        </w:tc>
      </w:tr>
      <w:tr w:rsidR="00BC0055" w:rsidRPr="0011245B" w14:paraId="734E2811" w14:textId="77777777" w:rsidTr="00E12928">
        <w:trPr>
          <w:trHeight w:val="340"/>
        </w:trPr>
        <w:tc>
          <w:tcPr>
            <w:tcW w:w="939" w:type="pct"/>
          </w:tcPr>
          <w:p w14:paraId="66004934" w14:textId="77777777" w:rsidR="00BC0055" w:rsidRPr="0011245B" w:rsidRDefault="00BC0055" w:rsidP="0011245B">
            <w:pPr>
              <w:spacing w:after="60"/>
              <w:rPr>
                <w:noProof/>
                <w:sz w:val="20"/>
              </w:rPr>
            </w:pPr>
            <w:r>
              <w:rPr>
                <w:noProof/>
                <w:sz w:val="20"/>
              </w:rPr>
              <w:t>Aspiratoare</w:t>
            </w:r>
          </w:p>
        </w:tc>
        <w:tc>
          <w:tcPr>
            <w:tcW w:w="797" w:type="pct"/>
          </w:tcPr>
          <w:p w14:paraId="34052C6E" w14:textId="50F70053" w:rsidR="00BC0055" w:rsidRPr="0011245B" w:rsidRDefault="00BC0055" w:rsidP="392F964E">
            <w:pPr>
              <w:spacing w:after="60"/>
              <w:rPr>
                <w:noProof/>
                <w:sz w:val="20"/>
              </w:rPr>
            </w:pPr>
            <w:r>
              <w:rPr>
                <w:noProof/>
                <w:sz w:val="20"/>
              </w:rPr>
              <w:t>Etichetă anulată de Curte în 2018</w:t>
            </w:r>
          </w:p>
        </w:tc>
        <w:tc>
          <w:tcPr>
            <w:tcW w:w="797" w:type="pct"/>
          </w:tcPr>
          <w:p w14:paraId="458637F3" w14:textId="77777777" w:rsidR="00BC0055" w:rsidRPr="0011245B" w:rsidRDefault="00BC0055" w:rsidP="0011245B">
            <w:pPr>
              <w:spacing w:after="60"/>
              <w:rPr>
                <w:noProof/>
                <w:sz w:val="20"/>
              </w:rPr>
            </w:pPr>
            <w:r>
              <w:rPr>
                <w:noProof/>
                <w:sz w:val="20"/>
              </w:rPr>
              <w:t>-</w:t>
            </w:r>
          </w:p>
        </w:tc>
        <w:tc>
          <w:tcPr>
            <w:tcW w:w="726" w:type="pct"/>
          </w:tcPr>
          <w:p w14:paraId="491D43C3" w14:textId="77777777" w:rsidR="00BC0055" w:rsidRPr="0011245B" w:rsidRDefault="00BC0055" w:rsidP="0011245B">
            <w:pPr>
              <w:spacing w:after="60"/>
              <w:rPr>
                <w:noProof/>
                <w:sz w:val="20"/>
              </w:rPr>
            </w:pPr>
            <w:r>
              <w:rPr>
                <w:noProof/>
                <w:sz w:val="20"/>
              </w:rPr>
              <w:t>-</w:t>
            </w:r>
          </w:p>
        </w:tc>
        <w:tc>
          <w:tcPr>
            <w:tcW w:w="797" w:type="pct"/>
          </w:tcPr>
          <w:p w14:paraId="02BD6B8E" w14:textId="77777777" w:rsidR="00BC0055" w:rsidRPr="0011245B" w:rsidRDefault="00BC0055" w:rsidP="0011245B">
            <w:pPr>
              <w:spacing w:after="60"/>
              <w:rPr>
                <w:noProof/>
                <w:sz w:val="20"/>
              </w:rPr>
            </w:pPr>
            <w:r>
              <w:rPr>
                <w:noProof/>
                <w:sz w:val="20"/>
              </w:rPr>
              <w:t>-</w:t>
            </w:r>
          </w:p>
        </w:tc>
        <w:tc>
          <w:tcPr>
            <w:tcW w:w="943" w:type="pct"/>
          </w:tcPr>
          <w:p w14:paraId="37D3E6A7" w14:textId="77777777" w:rsidR="00BC0055" w:rsidRPr="0011245B" w:rsidRDefault="00BC0055" w:rsidP="0011245B">
            <w:pPr>
              <w:spacing w:after="60"/>
              <w:rPr>
                <w:noProof/>
                <w:sz w:val="20"/>
              </w:rPr>
            </w:pPr>
            <w:r>
              <w:rPr>
                <w:noProof/>
                <w:sz w:val="20"/>
              </w:rPr>
              <w:t xml:space="preserve">Reintroducere în pregătire </w:t>
            </w:r>
          </w:p>
          <w:p w14:paraId="574453C2" w14:textId="77777777" w:rsidR="00BC0055" w:rsidRPr="0011245B" w:rsidRDefault="00515CE2" w:rsidP="0011245B">
            <w:pPr>
              <w:spacing w:after="60"/>
              <w:rPr>
                <w:noProof/>
                <w:sz w:val="20"/>
              </w:rPr>
            </w:pPr>
            <w:hyperlink r:id="rId28" w:history="1">
              <w:r w:rsidR="00BC0055">
                <w:rPr>
                  <w:noProof/>
                  <w:color w:val="0000FF"/>
                  <w:sz w:val="20"/>
                  <w:u w:val="single"/>
                </w:rPr>
                <w:t>Exprimați-vă părerea</w:t>
              </w:r>
            </w:hyperlink>
          </w:p>
        </w:tc>
      </w:tr>
      <w:tr w:rsidR="00BC0055" w:rsidRPr="0011245B" w14:paraId="092A20BC" w14:textId="77777777" w:rsidTr="00E12928">
        <w:trPr>
          <w:trHeight w:val="340"/>
        </w:trPr>
        <w:tc>
          <w:tcPr>
            <w:tcW w:w="939" w:type="pct"/>
          </w:tcPr>
          <w:p w14:paraId="18641847" w14:textId="77777777" w:rsidR="00BC0055" w:rsidRPr="0011245B" w:rsidRDefault="00BC0055" w:rsidP="0011245B">
            <w:pPr>
              <w:spacing w:after="60"/>
              <w:rPr>
                <w:noProof/>
                <w:sz w:val="20"/>
              </w:rPr>
            </w:pPr>
            <w:r>
              <w:rPr>
                <w:noProof/>
                <w:sz w:val="20"/>
              </w:rPr>
              <w:t xml:space="preserve">Uscătoare de rufe cu tambur </w:t>
            </w:r>
          </w:p>
        </w:tc>
        <w:tc>
          <w:tcPr>
            <w:tcW w:w="797" w:type="pct"/>
          </w:tcPr>
          <w:p w14:paraId="53041842" w14:textId="77777777" w:rsidR="00BC0055" w:rsidRPr="0011245B" w:rsidRDefault="00515CE2" w:rsidP="0011245B">
            <w:pPr>
              <w:spacing w:after="60"/>
              <w:rPr>
                <w:rStyle w:val="Hyperlink"/>
                <w:noProof/>
                <w:color w:val="0070C0"/>
                <w:sz w:val="20"/>
              </w:rPr>
            </w:pPr>
            <w:hyperlink r:id="rId29" w:history="1">
              <w:r w:rsidR="00BC0055">
                <w:rPr>
                  <w:rStyle w:val="Hyperlink"/>
                  <w:noProof/>
                  <w:sz w:val="20"/>
                </w:rPr>
                <w:t>Regulamentul (UE) 2023/2534</w:t>
              </w:r>
            </w:hyperlink>
          </w:p>
        </w:tc>
        <w:tc>
          <w:tcPr>
            <w:tcW w:w="797" w:type="pct"/>
          </w:tcPr>
          <w:p w14:paraId="5F238C38" w14:textId="77777777" w:rsidR="00BC0055" w:rsidRPr="0011245B" w:rsidRDefault="00BC0055" w:rsidP="0011245B">
            <w:pPr>
              <w:spacing w:after="60"/>
              <w:rPr>
                <w:noProof/>
                <w:sz w:val="20"/>
              </w:rPr>
            </w:pPr>
            <w:r>
              <w:rPr>
                <w:noProof/>
                <w:sz w:val="20"/>
              </w:rPr>
              <w:t>2.8.2023</w:t>
            </w:r>
          </w:p>
        </w:tc>
        <w:tc>
          <w:tcPr>
            <w:tcW w:w="726" w:type="pct"/>
          </w:tcPr>
          <w:p w14:paraId="71C71DED" w14:textId="77777777" w:rsidR="00BC0055" w:rsidRPr="0011245B" w:rsidRDefault="00BC0055" w:rsidP="0011245B">
            <w:pPr>
              <w:spacing w:after="60"/>
              <w:rPr>
                <w:noProof/>
                <w:sz w:val="20"/>
              </w:rPr>
            </w:pPr>
            <w:r>
              <w:rPr>
                <w:noProof/>
                <w:sz w:val="20"/>
              </w:rPr>
              <w:t xml:space="preserve">22.11.2023 </w:t>
            </w:r>
          </w:p>
        </w:tc>
        <w:tc>
          <w:tcPr>
            <w:tcW w:w="797" w:type="pct"/>
          </w:tcPr>
          <w:p w14:paraId="7ED40847" w14:textId="77777777" w:rsidR="00BC0055" w:rsidRPr="0011245B" w:rsidRDefault="00BC0055" w:rsidP="0011245B">
            <w:pPr>
              <w:spacing w:after="60"/>
              <w:rPr>
                <w:noProof/>
                <w:sz w:val="20"/>
              </w:rPr>
            </w:pPr>
            <w:r>
              <w:rPr>
                <w:noProof/>
                <w:sz w:val="20"/>
              </w:rPr>
              <w:t>1.7.2025</w:t>
            </w:r>
          </w:p>
        </w:tc>
        <w:tc>
          <w:tcPr>
            <w:tcW w:w="943" w:type="pct"/>
          </w:tcPr>
          <w:p w14:paraId="274E7D50" w14:textId="77777777" w:rsidR="00BC0055" w:rsidRPr="0011245B" w:rsidRDefault="00BC0055" w:rsidP="0011245B">
            <w:pPr>
              <w:spacing w:after="60"/>
              <w:rPr>
                <w:noProof/>
                <w:sz w:val="20"/>
              </w:rPr>
            </w:pPr>
            <w:r>
              <w:rPr>
                <w:noProof/>
                <w:sz w:val="20"/>
              </w:rPr>
              <w:t xml:space="preserve">Adoptat </w:t>
            </w:r>
          </w:p>
        </w:tc>
      </w:tr>
      <w:tr w:rsidR="00BC0055" w:rsidRPr="0011245B" w14:paraId="4D6E4496" w14:textId="77777777" w:rsidTr="00E12928">
        <w:trPr>
          <w:trHeight w:val="340"/>
        </w:trPr>
        <w:tc>
          <w:tcPr>
            <w:tcW w:w="939" w:type="pct"/>
          </w:tcPr>
          <w:p w14:paraId="30368864" w14:textId="77777777" w:rsidR="00BC0055" w:rsidRPr="0011245B" w:rsidRDefault="00BC0055" w:rsidP="0011245B">
            <w:pPr>
              <w:spacing w:after="60"/>
              <w:rPr>
                <w:noProof/>
                <w:sz w:val="20"/>
              </w:rPr>
            </w:pPr>
            <w:r>
              <w:rPr>
                <w:noProof/>
                <w:sz w:val="20"/>
              </w:rPr>
              <w:t xml:space="preserve">Cuptoare și hote de bucătărie </w:t>
            </w:r>
          </w:p>
        </w:tc>
        <w:bookmarkStart w:id="12" w:name="_Hlk206319764"/>
        <w:tc>
          <w:tcPr>
            <w:tcW w:w="797" w:type="pct"/>
          </w:tcPr>
          <w:p w14:paraId="371B31BB" w14:textId="77777777" w:rsidR="00BC0055" w:rsidRPr="0011245B" w:rsidRDefault="00BC0055" w:rsidP="0011245B">
            <w:pPr>
              <w:spacing w:after="60"/>
              <w:rPr>
                <w:noProof/>
                <w:sz w:val="20"/>
              </w:rPr>
            </w:pPr>
            <w:r>
              <w:rPr>
                <w:noProof/>
                <w:sz w:val="20"/>
              </w:rPr>
              <w:fldChar w:fldCharType="begin"/>
            </w:r>
            <w:r>
              <w:rPr>
                <w:noProof/>
                <w:sz w:val="20"/>
              </w:rPr>
              <w:instrText>HYPERLINK "http://eur-lex.europa.eu/LexUriServ/LexUriServ.do?uri=OJ:L:2014:029:0001:0032:RO:PDF"</w:instrText>
            </w:r>
            <w:r>
              <w:rPr>
                <w:noProof/>
                <w:sz w:val="20"/>
              </w:rPr>
              <w:fldChar w:fldCharType="separate"/>
            </w:r>
            <w:r>
              <w:rPr>
                <w:rStyle w:val="Hyperlink"/>
                <w:noProof/>
                <w:sz w:val="20"/>
              </w:rPr>
              <w:t>Regulamentul (UE) nr. 65/2014</w:t>
            </w:r>
            <w:bookmarkEnd w:id="12"/>
            <w:r>
              <w:rPr>
                <w:noProof/>
                <w:sz w:val="20"/>
              </w:rPr>
              <w:fldChar w:fldCharType="end"/>
            </w:r>
          </w:p>
        </w:tc>
        <w:tc>
          <w:tcPr>
            <w:tcW w:w="797" w:type="pct"/>
          </w:tcPr>
          <w:p w14:paraId="294F9EC3" w14:textId="77777777" w:rsidR="00BC0055" w:rsidRPr="0011245B" w:rsidRDefault="00BC0055" w:rsidP="0011245B">
            <w:pPr>
              <w:spacing w:after="60"/>
              <w:rPr>
                <w:noProof/>
                <w:sz w:val="20"/>
              </w:rPr>
            </w:pPr>
            <w:r>
              <w:rPr>
                <w:noProof/>
                <w:sz w:val="20"/>
              </w:rPr>
              <w:t>2.8.2023</w:t>
            </w:r>
          </w:p>
        </w:tc>
        <w:tc>
          <w:tcPr>
            <w:tcW w:w="726" w:type="pct"/>
          </w:tcPr>
          <w:p w14:paraId="6E8A71C8" w14:textId="77777777" w:rsidR="00BC0055" w:rsidRPr="0011245B" w:rsidRDefault="00BC0055" w:rsidP="0011245B">
            <w:pPr>
              <w:spacing w:after="60"/>
              <w:rPr>
                <w:noProof/>
                <w:sz w:val="20"/>
              </w:rPr>
            </w:pPr>
            <w:r>
              <w:rPr>
                <w:noProof/>
                <w:sz w:val="20"/>
              </w:rPr>
              <w:t>-</w:t>
            </w:r>
          </w:p>
        </w:tc>
        <w:tc>
          <w:tcPr>
            <w:tcW w:w="797" w:type="pct"/>
          </w:tcPr>
          <w:p w14:paraId="503C08C8" w14:textId="77777777" w:rsidR="00BC0055" w:rsidRPr="0011245B" w:rsidRDefault="00BC0055" w:rsidP="0011245B">
            <w:pPr>
              <w:spacing w:after="60"/>
              <w:rPr>
                <w:noProof/>
                <w:sz w:val="20"/>
              </w:rPr>
            </w:pPr>
            <w:r>
              <w:rPr>
                <w:noProof/>
                <w:sz w:val="20"/>
              </w:rPr>
              <w:t>-</w:t>
            </w:r>
          </w:p>
        </w:tc>
        <w:tc>
          <w:tcPr>
            <w:tcW w:w="943" w:type="pct"/>
          </w:tcPr>
          <w:p w14:paraId="2A29B5B4" w14:textId="77777777" w:rsidR="00BC0055" w:rsidRPr="0011245B" w:rsidRDefault="00BC0055" w:rsidP="0011245B">
            <w:pPr>
              <w:spacing w:after="60"/>
              <w:rPr>
                <w:noProof/>
                <w:sz w:val="20"/>
              </w:rPr>
            </w:pPr>
            <w:r>
              <w:rPr>
                <w:noProof/>
                <w:sz w:val="20"/>
              </w:rPr>
              <w:t>În pregătire</w:t>
            </w:r>
          </w:p>
          <w:p w14:paraId="1D2C7416" w14:textId="77777777" w:rsidR="00BC0055" w:rsidRPr="0011245B" w:rsidRDefault="00BC0055" w:rsidP="0011245B">
            <w:pPr>
              <w:spacing w:after="60"/>
              <w:rPr>
                <w:noProof/>
                <w:sz w:val="20"/>
              </w:rPr>
            </w:pPr>
            <w:r>
              <w:rPr>
                <w:noProof/>
                <w:sz w:val="20"/>
              </w:rPr>
              <w:t xml:space="preserve"> </w:t>
            </w:r>
            <w:hyperlink r:id="rId30" w:history="1">
              <w:r>
                <w:rPr>
                  <w:noProof/>
                  <w:color w:val="0000FF"/>
                  <w:sz w:val="20"/>
                  <w:u w:val="single"/>
                </w:rPr>
                <w:t>Exprimați-vă părerea</w:t>
              </w:r>
            </w:hyperlink>
          </w:p>
        </w:tc>
      </w:tr>
      <w:tr w:rsidR="00BC0055" w:rsidRPr="0011245B" w14:paraId="7EA57CBC" w14:textId="77777777" w:rsidTr="00E12928">
        <w:trPr>
          <w:trHeight w:val="340"/>
        </w:trPr>
        <w:tc>
          <w:tcPr>
            <w:tcW w:w="939" w:type="pct"/>
          </w:tcPr>
          <w:p w14:paraId="1A4A0B1B" w14:textId="77777777" w:rsidR="00BC0055" w:rsidRPr="0011245B" w:rsidRDefault="00BC0055" w:rsidP="0011245B">
            <w:pPr>
              <w:spacing w:after="60"/>
              <w:rPr>
                <w:noProof/>
                <w:sz w:val="20"/>
              </w:rPr>
            </w:pPr>
            <w:r>
              <w:rPr>
                <w:noProof/>
                <w:sz w:val="20"/>
              </w:rPr>
              <w:t xml:space="preserve">Ventilație rezidențială </w:t>
            </w:r>
          </w:p>
        </w:tc>
        <w:tc>
          <w:tcPr>
            <w:tcW w:w="797" w:type="pct"/>
          </w:tcPr>
          <w:p w14:paraId="2598D1C5" w14:textId="77777777" w:rsidR="00BC0055" w:rsidRPr="0011245B" w:rsidRDefault="00515CE2" w:rsidP="0011245B">
            <w:pPr>
              <w:spacing w:after="60"/>
              <w:rPr>
                <w:noProof/>
                <w:sz w:val="20"/>
              </w:rPr>
            </w:pPr>
            <w:hyperlink r:id="rId31" w:history="1">
              <w:r w:rsidR="00BC0055">
                <w:rPr>
                  <w:rStyle w:val="Hyperlink"/>
                  <w:noProof/>
                  <w:sz w:val="20"/>
                </w:rPr>
                <w:t>Regulamentul (UE) nr. 1254/2014</w:t>
              </w:r>
            </w:hyperlink>
          </w:p>
        </w:tc>
        <w:tc>
          <w:tcPr>
            <w:tcW w:w="797" w:type="pct"/>
          </w:tcPr>
          <w:p w14:paraId="72B42690" w14:textId="77777777" w:rsidR="00BC0055" w:rsidRPr="0011245B" w:rsidRDefault="00BC0055" w:rsidP="0011245B">
            <w:pPr>
              <w:spacing w:after="60"/>
              <w:rPr>
                <w:noProof/>
                <w:sz w:val="20"/>
              </w:rPr>
            </w:pPr>
            <w:r>
              <w:rPr>
                <w:noProof/>
                <w:sz w:val="20"/>
              </w:rPr>
              <w:t>2.8.2023</w:t>
            </w:r>
          </w:p>
        </w:tc>
        <w:tc>
          <w:tcPr>
            <w:tcW w:w="726" w:type="pct"/>
          </w:tcPr>
          <w:p w14:paraId="043864C4" w14:textId="77777777" w:rsidR="00BC0055" w:rsidRPr="0011245B" w:rsidRDefault="00BC0055" w:rsidP="0011245B">
            <w:pPr>
              <w:spacing w:after="60"/>
              <w:rPr>
                <w:noProof/>
                <w:sz w:val="20"/>
              </w:rPr>
            </w:pPr>
            <w:r>
              <w:rPr>
                <w:noProof/>
                <w:sz w:val="20"/>
              </w:rPr>
              <w:t>-</w:t>
            </w:r>
          </w:p>
        </w:tc>
        <w:tc>
          <w:tcPr>
            <w:tcW w:w="797" w:type="pct"/>
          </w:tcPr>
          <w:p w14:paraId="027E6FD3" w14:textId="77777777" w:rsidR="00BC0055" w:rsidRPr="0011245B" w:rsidRDefault="00BC0055" w:rsidP="0011245B">
            <w:pPr>
              <w:spacing w:after="60"/>
              <w:rPr>
                <w:noProof/>
                <w:sz w:val="20"/>
              </w:rPr>
            </w:pPr>
            <w:r>
              <w:rPr>
                <w:noProof/>
                <w:sz w:val="20"/>
              </w:rPr>
              <w:t>-</w:t>
            </w:r>
          </w:p>
        </w:tc>
        <w:tc>
          <w:tcPr>
            <w:tcW w:w="943" w:type="pct"/>
          </w:tcPr>
          <w:p w14:paraId="4794A31B" w14:textId="77777777" w:rsidR="00BC0055" w:rsidRPr="0011245B" w:rsidRDefault="00BC0055" w:rsidP="0011245B">
            <w:pPr>
              <w:spacing w:after="60"/>
              <w:rPr>
                <w:noProof/>
                <w:sz w:val="20"/>
              </w:rPr>
            </w:pPr>
            <w:r>
              <w:rPr>
                <w:noProof/>
                <w:sz w:val="20"/>
              </w:rPr>
              <w:t>În pregătire</w:t>
            </w:r>
          </w:p>
          <w:p w14:paraId="2C421828" w14:textId="77777777" w:rsidR="00BC0055" w:rsidRPr="0011245B" w:rsidRDefault="00BC0055" w:rsidP="0011245B">
            <w:pPr>
              <w:spacing w:after="60"/>
              <w:rPr>
                <w:noProof/>
                <w:sz w:val="20"/>
              </w:rPr>
            </w:pPr>
            <w:r>
              <w:rPr>
                <w:noProof/>
                <w:sz w:val="20"/>
              </w:rPr>
              <w:t xml:space="preserve"> </w:t>
            </w:r>
            <w:hyperlink r:id="rId32" w:history="1">
              <w:r>
                <w:rPr>
                  <w:noProof/>
                  <w:color w:val="0000FF"/>
                  <w:sz w:val="20"/>
                  <w:u w:val="single"/>
                </w:rPr>
                <w:t>Exprimați-vă părerea</w:t>
              </w:r>
            </w:hyperlink>
          </w:p>
        </w:tc>
      </w:tr>
      <w:tr w:rsidR="00BC0055" w:rsidRPr="0011245B" w14:paraId="420FF681" w14:textId="77777777" w:rsidTr="00E12928">
        <w:trPr>
          <w:trHeight w:val="340"/>
        </w:trPr>
        <w:tc>
          <w:tcPr>
            <w:tcW w:w="939" w:type="pct"/>
          </w:tcPr>
          <w:p w14:paraId="2DAF4012" w14:textId="77777777" w:rsidR="00BC0055" w:rsidRPr="0011245B" w:rsidRDefault="00BC0055" w:rsidP="0011245B">
            <w:pPr>
              <w:spacing w:after="60"/>
              <w:rPr>
                <w:noProof/>
                <w:sz w:val="20"/>
              </w:rPr>
            </w:pPr>
            <w:r>
              <w:rPr>
                <w:noProof/>
                <w:sz w:val="20"/>
              </w:rPr>
              <w:t>Dulapuri frigorifice de depozitare profesionale</w:t>
            </w:r>
          </w:p>
        </w:tc>
        <w:tc>
          <w:tcPr>
            <w:tcW w:w="797" w:type="pct"/>
          </w:tcPr>
          <w:p w14:paraId="3739AB1C" w14:textId="77777777" w:rsidR="00BC0055" w:rsidRPr="0011245B" w:rsidRDefault="00515CE2" w:rsidP="0011245B">
            <w:pPr>
              <w:spacing w:after="0"/>
              <w:rPr>
                <w:noProof/>
                <w:sz w:val="20"/>
              </w:rPr>
            </w:pPr>
            <w:hyperlink r:id="rId33" w:history="1">
              <w:r w:rsidR="00BC0055">
                <w:rPr>
                  <w:rStyle w:val="Hyperlink"/>
                  <w:noProof/>
                  <w:sz w:val="20"/>
                </w:rPr>
                <w:t>Regulamentul (UE) 2015/1095</w:t>
              </w:r>
            </w:hyperlink>
          </w:p>
        </w:tc>
        <w:tc>
          <w:tcPr>
            <w:tcW w:w="797" w:type="pct"/>
          </w:tcPr>
          <w:p w14:paraId="3A663055" w14:textId="77777777" w:rsidR="00BC0055" w:rsidRPr="0011245B" w:rsidRDefault="00BC0055" w:rsidP="0011245B">
            <w:pPr>
              <w:spacing w:after="60"/>
              <w:rPr>
                <w:noProof/>
                <w:sz w:val="20"/>
              </w:rPr>
            </w:pPr>
            <w:r>
              <w:rPr>
                <w:noProof/>
                <w:sz w:val="20"/>
              </w:rPr>
              <w:t>2.8.2023</w:t>
            </w:r>
          </w:p>
          <w:p w14:paraId="7D58FA93" w14:textId="77777777" w:rsidR="00BC0055" w:rsidRPr="0011245B" w:rsidRDefault="00BC0055" w:rsidP="0011245B">
            <w:pPr>
              <w:spacing w:after="0" w:line="259" w:lineRule="auto"/>
              <w:rPr>
                <w:noProof/>
                <w:sz w:val="20"/>
              </w:rPr>
            </w:pPr>
          </w:p>
        </w:tc>
        <w:tc>
          <w:tcPr>
            <w:tcW w:w="726" w:type="pct"/>
          </w:tcPr>
          <w:p w14:paraId="5991E777" w14:textId="77777777" w:rsidR="00BC0055" w:rsidRPr="0011245B" w:rsidRDefault="00BC0055" w:rsidP="0011245B">
            <w:pPr>
              <w:spacing w:after="0" w:line="259" w:lineRule="auto"/>
              <w:rPr>
                <w:noProof/>
                <w:sz w:val="20"/>
              </w:rPr>
            </w:pPr>
            <w:r>
              <w:rPr>
                <w:noProof/>
                <w:sz w:val="20"/>
              </w:rPr>
              <w:t>-</w:t>
            </w:r>
          </w:p>
        </w:tc>
        <w:tc>
          <w:tcPr>
            <w:tcW w:w="797" w:type="pct"/>
          </w:tcPr>
          <w:p w14:paraId="4D69A90E" w14:textId="77777777" w:rsidR="00BC0055" w:rsidRPr="0011245B" w:rsidRDefault="00BC0055" w:rsidP="0011245B">
            <w:pPr>
              <w:spacing w:after="0" w:line="259" w:lineRule="auto"/>
              <w:rPr>
                <w:noProof/>
                <w:sz w:val="20"/>
              </w:rPr>
            </w:pPr>
            <w:r>
              <w:rPr>
                <w:noProof/>
                <w:sz w:val="20"/>
              </w:rPr>
              <w:t>-</w:t>
            </w:r>
          </w:p>
        </w:tc>
        <w:tc>
          <w:tcPr>
            <w:tcW w:w="943" w:type="pct"/>
          </w:tcPr>
          <w:p w14:paraId="69875C58" w14:textId="77777777" w:rsidR="00BC0055" w:rsidRPr="0011245B" w:rsidRDefault="00BC0055" w:rsidP="0011245B">
            <w:pPr>
              <w:spacing w:after="0" w:line="259" w:lineRule="auto"/>
              <w:rPr>
                <w:noProof/>
                <w:sz w:val="20"/>
              </w:rPr>
            </w:pPr>
            <w:r>
              <w:rPr>
                <w:noProof/>
                <w:sz w:val="20"/>
              </w:rPr>
              <w:t xml:space="preserve">În pregătire </w:t>
            </w:r>
          </w:p>
          <w:p w14:paraId="08EE8925" w14:textId="77777777" w:rsidR="00BC0055" w:rsidRPr="0011245B" w:rsidRDefault="00515CE2" w:rsidP="0011245B">
            <w:pPr>
              <w:spacing w:after="0" w:line="259" w:lineRule="auto"/>
              <w:rPr>
                <w:noProof/>
                <w:sz w:val="20"/>
              </w:rPr>
            </w:pPr>
            <w:hyperlink r:id="rId34" w:history="1">
              <w:r w:rsidR="00BC0055">
                <w:rPr>
                  <w:noProof/>
                  <w:color w:val="0000FF"/>
                  <w:sz w:val="20"/>
                  <w:u w:val="single"/>
                </w:rPr>
                <w:t>Exprimați-vă părerea</w:t>
              </w:r>
            </w:hyperlink>
          </w:p>
        </w:tc>
      </w:tr>
      <w:tr w:rsidR="00BC0055" w:rsidRPr="0011245B" w14:paraId="5D973296" w14:textId="77777777" w:rsidTr="00E12928">
        <w:trPr>
          <w:trHeight w:val="340"/>
        </w:trPr>
        <w:tc>
          <w:tcPr>
            <w:tcW w:w="939" w:type="pct"/>
          </w:tcPr>
          <w:p w14:paraId="79709730" w14:textId="77777777" w:rsidR="00BC0055" w:rsidRPr="0011245B" w:rsidRDefault="00BC0055" w:rsidP="0011245B">
            <w:pPr>
              <w:spacing w:after="60"/>
              <w:rPr>
                <w:noProof/>
                <w:sz w:val="20"/>
              </w:rPr>
            </w:pPr>
            <w:r>
              <w:rPr>
                <w:noProof/>
                <w:sz w:val="20"/>
              </w:rPr>
              <w:t xml:space="preserve">Aparate de climatizare, inclusiv pompe de căldură aer/aer </w:t>
            </w:r>
          </w:p>
        </w:tc>
        <w:tc>
          <w:tcPr>
            <w:tcW w:w="797" w:type="pct"/>
          </w:tcPr>
          <w:p w14:paraId="6F6514F4" w14:textId="77777777" w:rsidR="00BC0055" w:rsidRPr="0011245B" w:rsidRDefault="00515CE2" w:rsidP="0011245B">
            <w:pPr>
              <w:spacing w:after="60"/>
              <w:rPr>
                <w:rStyle w:val="Hyperlink"/>
                <w:noProof/>
                <w:color w:val="0070C0"/>
                <w:sz w:val="20"/>
              </w:rPr>
            </w:pPr>
            <w:hyperlink r:id="rId35" w:history="1">
              <w:r w:rsidR="00BC0055">
                <w:rPr>
                  <w:rStyle w:val="Hyperlink"/>
                  <w:noProof/>
                  <w:sz w:val="20"/>
                </w:rPr>
                <w:t>Regulamentul (UE) 626/2011</w:t>
              </w:r>
            </w:hyperlink>
          </w:p>
        </w:tc>
        <w:tc>
          <w:tcPr>
            <w:tcW w:w="797" w:type="pct"/>
          </w:tcPr>
          <w:p w14:paraId="13E1D30C" w14:textId="77777777" w:rsidR="00BC0055" w:rsidRPr="0011245B" w:rsidRDefault="00BC0055" w:rsidP="0011245B">
            <w:pPr>
              <w:spacing w:after="60"/>
              <w:rPr>
                <w:noProof/>
                <w:sz w:val="20"/>
              </w:rPr>
            </w:pPr>
            <w:r>
              <w:rPr>
                <w:noProof/>
                <w:sz w:val="20"/>
              </w:rPr>
              <w:t>2.8.2023</w:t>
            </w:r>
          </w:p>
        </w:tc>
        <w:tc>
          <w:tcPr>
            <w:tcW w:w="726" w:type="pct"/>
          </w:tcPr>
          <w:p w14:paraId="596A3751" w14:textId="77777777" w:rsidR="00BC0055" w:rsidRPr="0011245B" w:rsidRDefault="00BC0055" w:rsidP="0011245B">
            <w:pPr>
              <w:spacing w:after="60"/>
              <w:rPr>
                <w:noProof/>
                <w:sz w:val="20"/>
              </w:rPr>
            </w:pPr>
            <w:r>
              <w:rPr>
                <w:noProof/>
                <w:sz w:val="20"/>
              </w:rPr>
              <w:t>-</w:t>
            </w:r>
          </w:p>
        </w:tc>
        <w:tc>
          <w:tcPr>
            <w:tcW w:w="797" w:type="pct"/>
          </w:tcPr>
          <w:p w14:paraId="5AD914F6" w14:textId="77777777" w:rsidR="00BC0055" w:rsidRPr="0011245B" w:rsidRDefault="00BC0055" w:rsidP="0011245B">
            <w:pPr>
              <w:spacing w:after="60"/>
              <w:rPr>
                <w:noProof/>
                <w:sz w:val="20"/>
              </w:rPr>
            </w:pPr>
            <w:r>
              <w:rPr>
                <w:noProof/>
                <w:sz w:val="20"/>
              </w:rPr>
              <w:t>-</w:t>
            </w:r>
          </w:p>
        </w:tc>
        <w:tc>
          <w:tcPr>
            <w:tcW w:w="943" w:type="pct"/>
          </w:tcPr>
          <w:p w14:paraId="550608D8" w14:textId="77777777" w:rsidR="00BC0055" w:rsidRPr="0011245B" w:rsidRDefault="00BC0055" w:rsidP="0011245B">
            <w:pPr>
              <w:spacing w:after="60"/>
              <w:rPr>
                <w:noProof/>
                <w:sz w:val="20"/>
              </w:rPr>
            </w:pPr>
            <w:r>
              <w:rPr>
                <w:noProof/>
                <w:sz w:val="20"/>
              </w:rPr>
              <w:t xml:space="preserve">În pregătire </w:t>
            </w:r>
          </w:p>
          <w:p w14:paraId="638E1A63" w14:textId="77777777" w:rsidR="00BC0055" w:rsidRPr="0011245B" w:rsidRDefault="00515CE2" w:rsidP="0011245B">
            <w:pPr>
              <w:spacing w:after="60"/>
              <w:rPr>
                <w:noProof/>
                <w:sz w:val="20"/>
              </w:rPr>
            </w:pPr>
            <w:hyperlink r:id="rId36" w:history="1">
              <w:r w:rsidR="00BC0055">
                <w:rPr>
                  <w:noProof/>
                  <w:color w:val="0000FF"/>
                  <w:sz w:val="20"/>
                  <w:u w:val="single"/>
                </w:rPr>
                <w:t>Exprimați-vă părerea</w:t>
              </w:r>
            </w:hyperlink>
          </w:p>
        </w:tc>
      </w:tr>
      <w:tr w:rsidR="00BC0055" w:rsidRPr="0011245B" w14:paraId="5283E9B1" w14:textId="77777777" w:rsidTr="00E12928">
        <w:trPr>
          <w:trHeight w:val="340"/>
        </w:trPr>
        <w:tc>
          <w:tcPr>
            <w:tcW w:w="939" w:type="pct"/>
          </w:tcPr>
          <w:p w14:paraId="0C7C908B" w14:textId="77777777" w:rsidR="00BC0055" w:rsidRPr="0011245B" w:rsidRDefault="00BC0055" w:rsidP="0011245B">
            <w:pPr>
              <w:spacing w:after="60"/>
              <w:rPr>
                <w:noProof/>
                <w:sz w:val="20"/>
              </w:rPr>
            </w:pPr>
            <w:r>
              <w:rPr>
                <w:noProof/>
                <w:sz w:val="20"/>
              </w:rPr>
              <w:t xml:space="preserve">Aparate pentru încălzire locală </w:t>
            </w:r>
          </w:p>
        </w:tc>
        <w:tc>
          <w:tcPr>
            <w:tcW w:w="797" w:type="pct"/>
          </w:tcPr>
          <w:p w14:paraId="21C1D520" w14:textId="77777777" w:rsidR="00BC0055" w:rsidRPr="0011245B" w:rsidRDefault="00515CE2" w:rsidP="0011245B">
            <w:pPr>
              <w:spacing w:after="60"/>
              <w:rPr>
                <w:noProof/>
                <w:sz w:val="20"/>
              </w:rPr>
            </w:pPr>
            <w:hyperlink r:id="rId37" w:history="1">
              <w:r w:rsidR="00BC0055">
                <w:rPr>
                  <w:rStyle w:val="Hyperlink"/>
                  <w:noProof/>
                  <w:sz w:val="20"/>
                </w:rPr>
                <w:t>Regulamentul (UE) 2015/1186</w:t>
              </w:r>
            </w:hyperlink>
          </w:p>
        </w:tc>
        <w:tc>
          <w:tcPr>
            <w:tcW w:w="797" w:type="pct"/>
          </w:tcPr>
          <w:p w14:paraId="241A020C" w14:textId="77777777" w:rsidR="00BC0055" w:rsidRPr="0011245B" w:rsidRDefault="00BC0055" w:rsidP="0011245B">
            <w:pPr>
              <w:spacing w:after="60"/>
              <w:rPr>
                <w:noProof/>
                <w:sz w:val="20"/>
              </w:rPr>
            </w:pPr>
            <w:r>
              <w:rPr>
                <w:noProof/>
                <w:sz w:val="20"/>
              </w:rPr>
              <w:t>2.8.2023</w:t>
            </w:r>
          </w:p>
        </w:tc>
        <w:tc>
          <w:tcPr>
            <w:tcW w:w="726" w:type="pct"/>
          </w:tcPr>
          <w:p w14:paraId="14CD3C89" w14:textId="77777777" w:rsidR="00BC0055" w:rsidRPr="0011245B" w:rsidRDefault="00BC0055" w:rsidP="0011245B">
            <w:pPr>
              <w:spacing w:after="60"/>
              <w:rPr>
                <w:noProof/>
                <w:sz w:val="20"/>
              </w:rPr>
            </w:pPr>
            <w:r>
              <w:rPr>
                <w:noProof/>
                <w:sz w:val="20"/>
              </w:rPr>
              <w:t>-</w:t>
            </w:r>
          </w:p>
        </w:tc>
        <w:tc>
          <w:tcPr>
            <w:tcW w:w="797" w:type="pct"/>
          </w:tcPr>
          <w:p w14:paraId="209813C3" w14:textId="77777777" w:rsidR="00BC0055" w:rsidRPr="0011245B" w:rsidRDefault="00BC0055" w:rsidP="0011245B">
            <w:pPr>
              <w:spacing w:after="60"/>
              <w:rPr>
                <w:noProof/>
                <w:sz w:val="20"/>
              </w:rPr>
            </w:pPr>
            <w:r>
              <w:rPr>
                <w:noProof/>
                <w:sz w:val="20"/>
              </w:rPr>
              <w:t>-</w:t>
            </w:r>
          </w:p>
        </w:tc>
        <w:tc>
          <w:tcPr>
            <w:tcW w:w="943" w:type="pct"/>
          </w:tcPr>
          <w:p w14:paraId="053AD7F7" w14:textId="77777777" w:rsidR="00BC0055" w:rsidRPr="0011245B" w:rsidRDefault="00BC0055" w:rsidP="0011245B">
            <w:pPr>
              <w:spacing w:after="60"/>
              <w:rPr>
                <w:noProof/>
                <w:sz w:val="20"/>
              </w:rPr>
            </w:pPr>
            <w:r>
              <w:rPr>
                <w:noProof/>
                <w:sz w:val="20"/>
              </w:rPr>
              <w:t xml:space="preserve">În pregătire </w:t>
            </w:r>
          </w:p>
          <w:p w14:paraId="3D7BD414" w14:textId="77777777" w:rsidR="00BC0055" w:rsidRPr="0011245B" w:rsidRDefault="00515CE2" w:rsidP="0011245B">
            <w:pPr>
              <w:spacing w:after="60"/>
              <w:rPr>
                <w:noProof/>
                <w:sz w:val="20"/>
              </w:rPr>
            </w:pPr>
            <w:hyperlink r:id="rId38" w:history="1">
              <w:r w:rsidR="00BC0055">
                <w:rPr>
                  <w:noProof/>
                  <w:color w:val="0000FF"/>
                  <w:sz w:val="20"/>
                  <w:u w:val="single"/>
                </w:rPr>
                <w:t>Exprimați-vă părerea</w:t>
              </w:r>
            </w:hyperlink>
          </w:p>
        </w:tc>
      </w:tr>
      <w:tr w:rsidR="00BC0055" w:rsidRPr="0011245B" w14:paraId="35E16871" w14:textId="77777777" w:rsidTr="00E12928">
        <w:trPr>
          <w:trHeight w:val="340"/>
        </w:trPr>
        <w:tc>
          <w:tcPr>
            <w:tcW w:w="939" w:type="pct"/>
          </w:tcPr>
          <w:p w14:paraId="29A910C1" w14:textId="77777777" w:rsidR="00BC0055" w:rsidRPr="0011245B" w:rsidRDefault="00BC0055" w:rsidP="0011245B">
            <w:pPr>
              <w:spacing w:after="60"/>
              <w:rPr>
                <w:noProof/>
                <w:sz w:val="20"/>
              </w:rPr>
            </w:pPr>
            <w:r>
              <w:rPr>
                <w:noProof/>
                <w:sz w:val="20"/>
              </w:rPr>
              <w:t xml:space="preserve">Instalații pentru încălzirea incintelor și instalații de încălzire cu funcție dublă </w:t>
            </w:r>
          </w:p>
        </w:tc>
        <w:tc>
          <w:tcPr>
            <w:tcW w:w="797" w:type="pct"/>
          </w:tcPr>
          <w:p w14:paraId="55F493B4" w14:textId="77777777" w:rsidR="00BC0055" w:rsidRPr="0011245B" w:rsidRDefault="00515CE2" w:rsidP="0011245B">
            <w:pPr>
              <w:spacing w:after="60"/>
              <w:rPr>
                <w:noProof/>
                <w:sz w:val="20"/>
              </w:rPr>
            </w:pPr>
            <w:hyperlink r:id="rId39" w:history="1">
              <w:r w:rsidR="00BC0055">
                <w:rPr>
                  <w:noProof/>
                  <w:color w:val="0000FF"/>
                  <w:sz w:val="20"/>
                  <w:u w:val="single"/>
                </w:rPr>
                <w:t>Regulamentul (UE) nr. 811/2013</w:t>
              </w:r>
            </w:hyperlink>
          </w:p>
        </w:tc>
        <w:tc>
          <w:tcPr>
            <w:tcW w:w="797" w:type="pct"/>
          </w:tcPr>
          <w:p w14:paraId="22D34732" w14:textId="77777777" w:rsidR="00BC0055" w:rsidRPr="0011245B" w:rsidRDefault="00BC0055" w:rsidP="0011245B">
            <w:pPr>
              <w:spacing w:after="60"/>
              <w:rPr>
                <w:noProof/>
                <w:sz w:val="20"/>
              </w:rPr>
            </w:pPr>
            <w:r>
              <w:rPr>
                <w:noProof/>
                <w:sz w:val="20"/>
              </w:rPr>
              <w:t>2.8.2025</w:t>
            </w:r>
          </w:p>
        </w:tc>
        <w:tc>
          <w:tcPr>
            <w:tcW w:w="726" w:type="pct"/>
          </w:tcPr>
          <w:p w14:paraId="1E5F04BC" w14:textId="77777777" w:rsidR="00BC0055" w:rsidRPr="0011245B" w:rsidRDefault="00BC0055" w:rsidP="0011245B">
            <w:pPr>
              <w:spacing w:after="60"/>
              <w:rPr>
                <w:noProof/>
                <w:sz w:val="20"/>
              </w:rPr>
            </w:pPr>
            <w:r>
              <w:rPr>
                <w:noProof/>
                <w:sz w:val="20"/>
              </w:rPr>
              <w:t>-</w:t>
            </w:r>
          </w:p>
        </w:tc>
        <w:tc>
          <w:tcPr>
            <w:tcW w:w="797" w:type="pct"/>
          </w:tcPr>
          <w:p w14:paraId="3E456348" w14:textId="77777777" w:rsidR="00BC0055" w:rsidRPr="0011245B" w:rsidRDefault="00BC0055" w:rsidP="0011245B">
            <w:pPr>
              <w:spacing w:after="60"/>
              <w:rPr>
                <w:noProof/>
                <w:sz w:val="20"/>
              </w:rPr>
            </w:pPr>
            <w:r>
              <w:rPr>
                <w:noProof/>
                <w:sz w:val="20"/>
              </w:rPr>
              <w:t>-</w:t>
            </w:r>
          </w:p>
        </w:tc>
        <w:tc>
          <w:tcPr>
            <w:tcW w:w="943" w:type="pct"/>
          </w:tcPr>
          <w:p w14:paraId="06FEA9D6" w14:textId="77777777" w:rsidR="00BC0055" w:rsidRPr="0011245B" w:rsidRDefault="00BC0055" w:rsidP="0011245B">
            <w:pPr>
              <w:spacing w:after="60"/>
              <w:rPr>
                <w:noProof/>
                <w:sz w:val="20"/>
              </w:rPr>
            </w:pPr>
            <w:r>
              <w:rPr>
                <w:noProof/>
                <w:sz w:val="20"/>
              </w:rPr>
              <w:t xml:space="preserve">În pregătire </w:t>
            </w:r>
          </w:p>
          <w:p w14:paraId="72C620B3" w14:textId="77777777" w:rsidR="00BC0055" w:rsidRPr="0011245B" w:rsidRDefault="00515CE2" w:rsidP="0011245B">
            <w:pPr>
              <w:spacing w:after="60"/>
              <w:rPr>
                <w:noProof/>
                <w:sz w:val="20"/>
              </w:rPr>
            </w:pPr>
            <w:hyperlink r:id="rId40" w:history="1">
              <w:r w:rsidR="00BC0055">
                <w:rPr>
                  <w:noProof/>
                  <w:color w:val="0000FF"/>
                  <w:sz w:val="20"/>
                  <w:u w:val="single"/>
                </w:rPr>
                <w:t>Exprimați-vă părerea</w:t>
              </w:r>
            </w:hyperlink>
          </w:p>
        </w:tc>
      </w:tr>
      <w:tr w:rsidR="00BC0055" w:rsidRPr="0011245B" w14:paraId="555F6E91" w14:textId="77777777" w:rsidTr="00E12928">
        <w:trPr>
          <w:trHeight w:val="340"/>
        </w:trPr>
        <w:tc>
          <w:tcPr>
            <w:tcW w:w="939" w:type="pct"/>
          </w:tcPr>
          <w:p w14:paraId="237082CE" w14:textId="77777777" w:rsidR="00BC0055" w:rsidRPr="0011245B" w:rsidRDefault="00BC0055" w:rsidP="0011245B">
            <w:pPr>
              <w:spacing w:after="60"/>
              <w:rPr>
                <w:noProof/>
                <w:sz w:val="20"/>
              </w:rPr>
            </w:pPr>
            <w:r>
              <w:rPr>
                <w:noProof/>
                <w:sz w:val="20"/>
              </w:rPr>
              <w:t xml:space="preserve">Cazane cu combustibil solid </w:t>
            </w:r>
          </w:p>
        </w:tc>
        <w:tc>
          <w:tcPr>
            <w:tcW w:w="797" w:type="pct"/>
          </w:tcPr>
          <w:p w14:paraId="2E56E4D1" w14:textId="77777777" w:rsidR="00BC0055" w:rsidRPr="0011245B" w:rsidRDefault="00515CE2" w:rsidP="0011245B">
            <w:pPr>
              <w:spacing w:after="60"/>
              <w:rPr>
                <w:noProof/>
                <w:sz w:val="20"/>
              </w:rPr>
            </w:pPr>
            <w:hyperlink r:id="rId41" w:history="1">
              <w:r w:rsidR="00BC0055">
                <w:rPr>
                  <w:rStyle w:val="Hyperlink"/>
                  <w:noProof/>
                  <w:sz w:val="20"/>
                </w:rPr>
                <w:t>Regulamentul (UE) 2015/1187</w:t>
              </w:r>
            </w:hyperlink>
          </w:p>
        </w:tc>
        <w:tc>
          <w:tcPr>
            <w:tcW w:w="797" w:type="pct"/>
          </w:tcPr>
          <w:p w14:paraId="5694E072" w14:textId="77777777" w:rsidR="00BC0055" w:rsidRPr="0011245B" w:rsidRDefault="00BC0055" w:rsidP="0011245B">
            <w:pPr>
              <w:spacing w:after="60"/>
              <w:rPr>
                <w:noProof/>
                <w:sz w:val="20"/>
              </w:rPr>
            </w:pPr>
            <w:r>
              <w:rPr>
                <w:noProof/>
                <w:sz w:val="20"/>
              </w:rPr>
              <w:t>2.8.2025</w:t>
            </w:r>
          </w:p>
        </w:tc>
        <w:tc>
          <w:tcPr>
            <w:tcW w:w="726" w:type="pct"/>
          </w:tcPr>
          <w:p w14:paraId="287349EF" w14:textId="77777777" w:rsidR="00BC0055" w:rsidRPr="0011245B" w:rsidRDefault="00BC0055" w:rsidP="0011245B">
            <w:pPr>
              <w:spacing w:after="60"/>
              <w:rPr>
                <w:noProof/>
                <w:sz w:val="20"/>
              </w:rPr>
            </w:pPr>
            <w:r>
              <w:rPr>
                <w:noProof/>
                <w:sz w:val="20"/>
              </w:rPr>
              <w:t>-</w:t>
            </w:r>
          </w:p>
        </w:tc>
        <w:tc>
          <w:tcPr>
            <w:tcW w:w="797" w:type="pct"/>
          </w:tcPr>
          <w:p w14:paraId="69E82B77" w14:textId="77777777" w:rsidR="00BC0055" w:rsidRPr="0011245B" w:rsidRDefault="00BC0055" w:rsidP="0011245B">
            <w:pPr>
              <w:spacing w:after="60"/>
              <w:rPr>
                <w:noProof/>
                <w:sz w:val="20"/>
              </w:rPr>
            </w:pPr>
            <w:r>
              <w:rPr>
                <w:noProof/>
                <w:sz w:val="20"/>
              </w:rPr>
              <w:t>-</w:t>
            </w:r>
          </w:p>
        </w:tc>
        <w:tc>
          <w:tcPr>
            <w:tcW w:w="943" w:type="pct"/>
          </w:tcPr>
          <w:p w14:paraId="0AD865AD" w14:textId="77777777" w:rsidR="00BC0055" w:rsidRPr="0011245B" w:rsidRDefault="00BC0055" w:rsidP="0011245B">
            <w:pPr>
              <w:spacing w:after="60"/>
              <w:rPr>
                <w:noProof/>
                <w:sz w:val="20"/>
              </w:rPr>
            </w:pPr>
            <w:r>
              <w:rPr>
                <w:noProof/>
                <w:sz w:val="20"/>
              </w:rPr>
              <w:t xml:space="preserve">În pregătire </w:t>
            </w:r>
          </w:p>
          <w:p w14:paraId="2AC1517A" w14:textId="77777777" w:rsidR="00BC0055" w:rsidRPr="0011245B" w:rsidRDefault="00515CE2" w:rsidP="0011245B">
            <w:pPr>
              <w:spacing w:after="60"/>
              <w:rPr>
                <w:noProof/>
                <w:sz w:val="20"/>
              </w:rPr>
            </w:pPr>
            <w:hyperlink r:id="rId42" w:history="1">
              <w:r w:rsidR="00BC0055">
                <w:rPr>
                  <w:noProof/>
                  <w:color w:val="0000FF"/>
                  <w:sz w:val="20"/>
                  <w:u w:val="single"/>
                </w:rPr>
                <w:t>Exprimați-vă părerea</w:t>
              </w:r>
            </w:hyperlink>
          </w:p>
        </w:tc>
      </w:tr>
      <w:tr w:rsidR="00BC0055" w:rsidRPr="0011245B" w14:paraId="1654EB28" w14:textId="77777777" w:rsidTr="00E12928">
        <w:trPr>
          <w:trHeight w:val="340"/>
        </w:trPr>
        <w:tc>
          <w:tcPr>
            <w:tcW w:w="939" w:type="pct"/>
          </w:tcPr>
          <w:p w14:paraId="492181D3" w14:textId="77777777" w:rsidR="00BC0055" w:rsidRPr="0011245B" w:rsidRDefault="00BC0055" w:rsidP="0011245B">
            <w:pPr>
              <w:spacing w:after="60"/>
              <w:rPr>
                <w:noProof/>
                <w:sz w:val="20"/>
              </w:rPr>
            </w:pPr>
            <w:r>
              <w:rPr>
                <w:noProof/>
                <w:sz w:val="20"/>
              </w:rPr>
              <w:t>Instalații pentru încălzirea apei</w:t>
            </w:r>
          </w:p>
        </w:tc>
        <w:tc>
          <w:tcPr>
            <w:tcW w:w="797" w:type="pct"/>
          </w:tcPr>
          <w:p w14:paraId="257E4AA1" w14:textId="77777777" w:rsidR="00BC0055" w:rsidRPr="0011245B" w:rsidRDefault="00515CE2" w:rsidP="0011245B">
            <w:pPr>
              <w:spacing w:after="60"/>
              <w:rPr>
                <w:rStyle w:val="Hyperlink"/>
                <w:noProof/>
                <w:color w:val="0070C0"/>
                <w:sz w:val="20"/>
              </w:rPr>
            </w:pPr>
            <w:hyperlink r:id="rId43" w:history="1">
              <w:r w:rsidR="00BC0055">
                <w:rPr>
                  <w:rStyle w:val="Hyperlink"/>
                  <w:noProof/>
                  <w:sz w:val="20"/>
                </w:rPr>
                <w:t>Regulamentul (UE) nr. 812/2013</w:t>
              </w:r>
            </w:hyperlink>
            <w:r w:rsidR="00BC0055">
              <w:rPr>
                <w:rStyle w:val="Hyperlink"/>
                <w:noProof/>
                <w:color w:val="0070C0"/>
                <w:sz w:val="20"/>
              </w:rPr>
              <w:t xml:space="preserve"> </w:t>
            </w:r>
          </w:p>
        </w:tc>
        <w:tc>
          <w:tcPr>
            <w:tcW w:w="797" w:type="pct"/>
          </w:tcPr>
          <w:p w14:paraId="7901C732" w14:textId="77777777" w:rsidR="00BC0055" w:rsidRPr="0011245B" w:rsidRDefault="00BC0055" w:rsidP="0011245B">
            <w:pPr>
              <w:spacing w:after="60"/>
              <w:rPr>
                <w:noProof/>
                <w:sz w:val="20"/>
              </w:rPr>
            </w:pPr>
            <w:r>
              <w:rPr>
                <w:noProof/>
                <w:sz w:val="20"/>
              </w:rPr>
              <w:t>2.8.2025</w:t>
            </w:r>
          </w:p>
        </w:tc>
        <w:tc>
          <w:tcPr>
            <w:tcW w:w="726" w:type="pct"/>
          </w:tcPr>
          <w:p w14:paraId="5443B8A8" w14:textId="77777777" w:rsidR="00BC0055" w:rsidRPr="0011245B" w:rsidRDefault="00BC0055" w:rsidP="0011245B">
            <w:pPr>
              <w:spacing w:after="60"/>
              <w:rPr>
                <w:noProof/>
                <w:sz w:val="20"/>
              </w:rPr>
            </w:pPr>
            <w:r>
              <w:rPr>
                <w:noProof/>
                <w:sz w:val="20"/>
              </w:rPr>
              <w:t>-</w:t>
            </w:r>
          </w:p>
        </w:tc>
        <w:tc>
          <w:tcPr>
            <w:tcW w:w="797" w:type="pct"/>
          </w:tcPr>
          <w:p w14:paraId="450FE9A9" w14:textId="77777777" w:rsidR="00BC0055" w:rsidRPr="0011245B" w:rsidRDefault="00BC0055" w:rsidP="0011245B">
            <w:pPr>
              <w:spacing w:after="60"/>
              <w:rPr>
                <w:noProof/>
                <w:sz w:val="20"/>
              </w:rPr>
            </w:pPr>
            <w:r>
              <w:rPr>
                <w:noProof/>
                <w:sz w:val="20"/>
              </w:rPr>
              <w:t>-</w:t>
            </w:r>
          </w:p>
        </w:tc>
        <w:tc>
          <w:tcPr>
            <w:tcW w:w="943" w:type="pct"/>
          </w:tcPr>
          <w:p w14:paraId="0E83D010" w14:textId="77777777" w:rsidR="00BC0055" w:rsidRPr="0011245B" w:rsidRDefault="00BC0055" w:rsidP="0011245B">
            <w:pPr>
              <w:spacing w:after="60"/>
              <w:rPr>
                <w:noProof/>
                <w:sz w:val="20"/>
              </w:rPr>
            </w:pPr>
            <w:r>
              <w:rPr>
                <w:noProof/>
                <w:sz w:val="20"/>
              </w:rPr>
              <w:t xml:space="preserve">În pregătire </w:t>
            </w:r>
          </w:p>
          <w:p w14:paraId="71D1BD37" w14:textId="77777777" w:rsidR="00BC0055" w:rsidRPr="0011245B" w:rsidRDefault="00515CE2" w:rsidP="0011245B">
            <w:pPr>
              <w:keepNext/>
              <w:spacing w:after="60"/>
              <w:rPr>
                <w:noProof/>
                <w:sz w:val="20"/>
              </w:rPr>
            </w:pPr>
            <w:hyperlink r:id="rId44" w:history="1">
              <w:r w:rsidR="00BC0055">
                <w:rPr>
                  <w:noProof/>
                  <w:color w:val="0000FF"/>
                  <w:sz w:val="20"/>
                  <w:u w:val="single"/>
                </w:rPr>
                <w:t>Exprimați-vă părerea</w:t>
              </w:r>
            </w:hyperlink>
          </w:p>
        </w:tc>
      </w:tr>
      <w:bookmarkEnd w:id="10"/>
    </w:tbl>
    <w:p w14:paraId="48D0AFFB" w14:textId="77777777" w:rsidR="00BC0055" w:rsidRPr="00BA1EE7" w:rsidRDefault="00BC0055" w:rsidP="0011245B">
      <w:pPr>
        <w:spacing w:after="0"/>
        <w:rPr>
          <w:noProof/>
          <w:szCs w:val="24"/>
          <w:shd w:val="clear" w:color="auto" w:fill="FFFFFF"/>
        </w:rPr>
      </w:pPr>
    </w:p>
    <w:p w14:paraId="757385E1" w14:textId="52CCB1E5" w:rsidR="00BC0055" w:rsidRPr="00601FAB" w:rsidRDefault="00BC0055" w:rsidP="00D6681F">
      <w:pPr>
        <w:rPr>
          <w:noProof/>
          <w:shd w:val="clear" w:color="auto" w:fill="FFFFFF"/>
        </w:rPr>
      </w:pPr>
      <w:r>
        <w:rPr>
          <w:noProof/>
        </w:rPr>
        <w:t>Eticheta aspiratoarelor a fost anulată printr-o hotărâre a Tribunalului din 2018</w:t>
      </w:r>
      <w:r>
        <w:rPr>
          <w:noProof/>
          <w:vertAlign w:val="superscript"/>
        </w:rPr>
        <w:t> (</w:t>
      </w:r>
      <w:r>
        <w:rPr>
          <w:rStyle w:val="FootnoteReference"/>
          <w:noProof/>
          <w:shd w:val="clear" w:color="auto" w:fill="FFFFFF"/>
          <w:lang w:val="en-IE"/>
        </w:rPr>
        <w:footnoteReference w:id="18"/>
      </w:r>
      <w:r>
        <w:rPr>
          <w:noProof/>
          <w:vertAlign w:val="superscript"/>
        </w:rPr>
        <w:t>)</w:t>
      </w:r>
      <w:r>
        <w:rPr>
          <w:noProof/>
        </w:rPr>
        <w:t xml:space="preserve"> și, prin urmare, nu mai este în vigoare.</w:t>
      </w:r>
      <w:r>
        <w:rPr>
          <w:noProof/>
          <w:shd w:val="clear" w:color="auto" w:fill="FFFFFF"/>
        </w:rPr>
        <w:t xml:space="preserve"> De asemenea, se lucrează la posibile noi etichete energetice pentru (i) module fotovoltaice, (ii) aspiratoare, (iii) computere, (iv) emițătoare de căldură la temperatură scăzută (radiatoare), (v) mașini de spălat vase profesionale și (vi) aparate profesionale de spălat rufe. </w:t>
      </w:r>
    </w:p>
    <w:p w14:paraId="79E9FE53" w14:textId="36906731" w:rsidR="00807BDD" w:rsidRDefault="00BC0055" w:rsidP="392F964E">
      <w:pPr>
        <w:rPr>
          <w:noProof/>
        </w:rPr>
      </w:pPr>
      <w:r>
        <w:rPr>
          <w:noProof/>
          <w:shd w:val="clear" w:color="auto" w:fill="FFFFFF"/>
        </w:rPr>
        <w:t xml:space="preserve">Procesul de revizuire a unei etichete energetice a UE este stabilit în detaliu în ELR și respectă normele privind o mai bună legiferare. </w:t>
      </w:r>
      <w:r>
        <w:rPr>
          <w:noProof/>
        </w:rPr>
        <w:t>El presupune eforturi pentru (i) înțelegerea pieței în cadrul unei revizuiri, (ii) elaborarea unor metodologii de încercare reproductibile și reprezentative, (iii) colectarea de contribuții de la forumul consultativ și (iv) realizarea unei evaluări și a unui studiu de impact. Proiectul de act legislativ este apoi publicat pentru a primi feedback din partea părților interesate și este notificat Organizației Mondiale a Comerțului.</w:t>
      </w:r>
      <w:r>
        <w:rPr>
          <w:noProof/>
          <w:shd w:val="clear" w:color="auto" w:fill="FFFFFF"/>
        </w:rPr>
        <w:t xml:space="preserve"> Experții din statele membre sunt consultați înainte de adoptarea de către Comisie. Comisia notifică actul Parlamentului European și Consiliului. În cele din urmă, actul este publicat în </w:t>
      </w:r>
      <w:r>
        <w:rPr>
          <w:i/>
          <w:noProof/>
          <w:shd w:val="clear" w:color="auto" w:fill="FFFFFF"/>
        </w:rPr>
        <w:t>Jurnalul Oficial</w:t>
      </w:r>
      <w:r>
        <w:rPr>
          <w:noProof/>
          <w:shd w:val="clear" w:color="auto" w:fill="FFFFFF"/>
        </w:rPr>
        <w:t xml:space="preserve"> și intră în vigoare cu condiția ca niciuna dintre instituții să nu formuleze obiecții. Etichetele energetice revizuite în 2019 au necesitat între patru și cinci ani de la începerea procesului de revizuire până la publicare. </w:t>
      </w:r>
      <w:r>
        <w:rPr>
          <w:noProof/>
        </w:rPr>
        <w:t xml:space="preserve">De atunci, progresele au avut tendința de a fi mai lente din cauza activităților paralele legate de EPREL, a procedurilor judiciare, a situațiilor de urgență legate de pandemia de COVID-19 și de criza energetică din 2022, precum și a renegocierii cadrului privind proiectarea ecologică. </w:t>
      </w:r>
    </w:p>
    <w:p w14:paraId="6BE3F2C2" w14:textId="2175E948" w:rsidR="00BC0055" w:rsidRPr="00E42EB8" w:rsidRDefault="00807BDD" w:rsidP="392F964E">
      <w:pPr>
        <w:rPr>
          <w:noProof/>
        </w:rPr>
      </w:pPr>
      <w:r>
        <w:rPr>
          <w:noProof/>
        </w:rPr>
        <w:t xml:space="preserve">Până în prezent, au fost adoptate și publicate în </w:t>
      </w:r>
      <w:r>
        <w:rPr>
          <w:i/>
          <w:noProof/>
        </w:rPr>
        <w:t>Jurnalul Oficial</w:t>
      </w:r>
      <w:r>
        <w:rPr>
          <w:noProof/>
        </w:rPr>
        <w:t xml:space="preserve"> nouă decizii sau comunicări referitoare la standarde armonizate pentru prezumția de conformitate în temeiul ELR.</w:t>
      </w:r>
    </w:p>
    <w:p w14:paraId="22E4FD95" w14:textId="010E3185" w:rsidR="00BC0055" w:rsidRPr="00B16390" w:rsidRDefault="00BC0055" w:rsidP="00B16390">
      <w:pPr>
        <w:pStyle w:val="Heading1"/>
        <w:rPr>
          <w:noProof/>
        </w:rPr>
      </w:pPr>
      <w:bookmarkStart w:id="13" w:name="_Toc209726873"/>
      <w:r>
        <w:rPr>
          <w:noProof/>
        </w:rPr>
        <w:t>Procesul de reclasificare</w:t>
      </w:r>
      <w:bookmarkEnd w:id="13"/>
      <w:r>
        <w:rPr>
          <w:noProof/>
        </w:rPr>
        <w:t xml:space="preserve"> a etichetelor</w:t>
      </w:r>
    </w:p>
    <w:p w14:paraId="45E0EF68" w14:textId="200B593C" w:rsidR="00BC0055" w:rsidRPr="00601FAB" w:rsidRDefault="00BC0055" w:rsidP="392F964E">
      <w:pPr>
        <w:rPr>
          <w:noProof/>
          <w:shd w:val="clear" w:color="auto" w:fill="FFFFFF"/>
        </w:rPr>
      </w:pPr>
      <w:r>
        <w:rPr>
          <w:noProof/>
          <w:shd w:val="clear" w:color="auto" w:fill="FFFFFF"/>
        </w:rPr>
        <w:t xml:space="preserve">ELR stabilește o perioadă de tranziție de patru luni atunci când se introduce o etichetă reclasificată. </w:t>
      </w:r>
      <w:r>
        <w:rPr>
          <w:noProof/>
        </w:rPr>
        <w:t xml:space="preserve">În această perioadă, furnizorii trebuie să pună la dispoziție atât vechea etichetă, cât și noua etichetă și fișa cu informații despre produs. Comercianții trebuie să înlocuiască vechile etichete afișate în termen de 14 zile lucrătoare de la data specificată în actul delegat pentru fiecare produs. Materialele tehnice pentru publicitate trebuie, de asemenea, actualizate. Majoritatea comercianților (63 %) care au răspuns la sondajul efectuat în sprijinul prezentului raport au considerat că procesul de reetichetare este ușor sau foarte ușor. Unele asociații de producători (de exemplu, din sectorul produselor de iluminat) au subliniat dificultățile legate de schimbarea etichetelor atunci când produsele se află deja în tranzit sau au fost introduse anterior pe piață. </w:t>
      </w:r>
    </w:p>
    <w:p w14:paraId="614D3E0C" w14:textId="6D0D5706" w:rsidR="00BC0055" w:rsidRPr="00601FAB" w:rsidRDefault="00BC0055" w:rsidP="392F964E">
      <w:pPr>
        <w:rPr>
          <w:noProof/>
          <w:shd w:val="clear" w:color="auto" w:fill="FFFFFF"/>
        </w:rPr>
      </w:pPr>
      <w:r>
        <w:rPr>
          <w:noProof/>
          <w:shd w:val="clear" w:color="auto" w:fill="FFFFFF"/>
        </w:rPr>
        <w:t xml:space="preserve">Consumatorii pot primi produse însoțite de două etichete în această perioadă de tranziție, cea nereclasificată și cea reclasificată. Aceste etichete sunt rareori comparabile, deoarece metodele de încercare și de calcul se schimbă adesea, iar rigurozitatea scării crește. De exemplu, produsele care înainte erau clasificate A+++ pot fi clasificate B sau C la noua scară. </w:t>
      </w:r>
      <w:r>
        <w:rPr>
          <w:noProof/>
        </w:rPr>
        <w:t>ELR a anticipat faptul că schimbarea etichetei ar putea fi dificilă pentru consumatori, furnizori și comercianți și, prin urmare, a impus statelor membre să lanseze campanii de informare. Unele dintre aceste campanii au fost organizate în cadrul unor proiecte finanțate de UE, cum ar fi Label2020 (</w:t>
      </w:r>
      <w:r>
        <w:rPr>
          <w:rStyle w:val="FootnoteReference"/>
          <w:noProof/>
          <w:lang w:val="en-IE"/>
        </w:rPr>
        <w:footnoteReference w:id="19"/>
      </w:r>
      <w:r>
        <w:rPr>
          <w:noProof/>
        </w:rPr>
        <w:t>), Belt (</w:t>
      </w:r>
      <w:r>
        <w:rPr>
          <w:rStyle w:val="FootnoteReference"/>
          <w:noProof/>
          <w:lang w:val="en-IE"/>
        </w:rPr>
        <w:footnoteReference w:id="20"/>
      </w:r>
      <w:r>
        <w:rPr>
          <w:noProof/>
        </w:rPr>
        <w:t>) și Compliance Services (</w:t>
      </w:r>
      <w:r>
        <w:rPr>
          <w:rStyle w:val="FootnoteReference"/>
          <w:noProof/>
          <w:lang w:val="en-IE"/>
        </w:rPr>
        <w:footnoteReference w:id="21"/>
      </w:r>
      <w:r>
        <w:rPr>
          <w:noProof/>
        </w:rPr>
        <w:t xml:space="preserve">). Unele state membre au raportat o bună informare, în timp ce altele au subliniat dificultățile întâmpinate la introducerea primelor etichete reclasificate din cauza restricțiilor legate de pandemia de COVID-19. </w:t>
      </w:r>
    </w:p>
    <w:p w14:paraId="4E870362" w14:textId="77777777" w:rsidR="00BC0055" w:rsidRPr="00B16390" w:rsidRDefault="00BC0055" w:rsidP="00B16390">
      <w:pPr>
        <w:pStyle w:val="Heading1"/>
        <w:rPr>
          <w:noProof/>
        </w:rPr>
      </w:pPr>
      <w:bookmarkStart w:id="14" w:name="_Toc209726874"/>
      <w:bookmarkStart w:id="15" w:name="_Hlk196476302"/>
      <w:r>
        <w:rPr>
          <w:noProof/>
        </w:rPr>
        <w:t>Baza de date cu produse</w:t>
      </w:r>
      <w:bookmarkEnd w:id="14"/>
    </w:p>
    <w:p w14:paraId="69EB85B7" w14:textId="2D9A4DD3" w:rsidR="00FC2D4F" w:rsidRPr="00F01F40" w:rsidRDefault="00E21151" w:rsidP="392F964E">
      <w:pPr>
        <w:rPr>
          <w:noProof/>
          <w:shd w:val="clear" w:color="auto" w:fill="FFFFFF"/>
        </w:rPr>
      </w:pPr>
      <w:r>
        <w:rPr>
          <w:noProof/>
        </w:rPr>
        <w:t>Unul dintre principalele elemente ale revizuirii din 2017 a fost un pas înainte în ceea ce privește digitalizarea etichetei energetice a UE.</w:t>
      </w:r>
      <w:r>
        <w:rPr>
          <w:noProof/>
          <w:shd w:val="clear" w:color="auto" w:fill="FFFFFF"/>
        </w:rPr>
        <w:t xml:space="preserve"> Articolul 12 din ELR a însărcinat Comisia să creeze și să întrețină o bază de date (EPREL) cu o secțiune publică, o secțiune privind conformitatea și un portal online care să ofere acces la ambele secțiuni. </w:t>
      </w:r>
      <w:r>
        <w:rPr>
          <w:noProof/>
        </w:rPr>
        <w:t xml:space="preserve">Obiectivele au fost de (i) </w:t>
      </w:r>
      <w:bookmarkStart w:id="16" w:name="_Hlk206324488"/>
      <w:r>
        <w:rPr>
          <w:noProof/>
        </w:rPr>
        <w:t>a sprijini autoritățile de supraveghere a pieței, (ii) a furniza publicului informații privind produsele introduse pe piață și (iii) a furniza Comisiei informații actualizate pentru revizuirea legislației privind etichetarea.</w:t>
      </w:r>
      <w:r>
        <w:rPr>
          <w:noProof/>
          <w:shd w:val="clear" w:color="auto" w:fill="FFFFFF"/>
        </w:rPr>
        <w:t xml:space="preserve"> </w:t>
      </w:r>
      <w:r>
        <w:rPr>
          <w:noProof/>
        </w:rPr>
        <w:t>Această bază de date este în prezent o realitate, în urma unui efort colaborativ de amploare depus de Comisie, producători și alte părți interesate; ea conține aproximativ două milioane de modele și a înregistrat 6,6 milioane de vizite în 2025.</w:t>
      </w:r>
    </w:p>
    <w:p w14:paraId="1D425A00" w14:textId="3A492525" w:rsidR="00BC0055" w:rsidRPr="00B16390" w:rsidRDefault="00BC0055" w:rsidP="00B16390">
      <w:pPr>
        <w:pStyle w:val="Heading2"/>
        <w:rPr>
          <w:noProof/>
        </w:rPr>
      </w:pPr>
      <w:bookmarkStart w:id="17" w:name="_Toc209726875"/>
      <w:bookmarkEnd w:id="16"/>
      <w:r>
        <w:rPr>
          <w:noProof/>
        </w:rPr>
        <w:t>Punerea în aplicare</w:t>
      </w:r>
      <w:bookmarkEnd w:id="17"/>
    </w:p>
    <w:p w14:paraId="158374EA" w14:textId="2A10E875" w:rsidR="00CA0789" w:rsidRPr="00795DD9" w:rsidRDefault="00BC0055" w:rsidP="392F964E">
      <w:pPr>
        <w:rPr>
          <w:noProof/>
          <w:color w:val="000000" w:themeColor="text1"/>
          <w:shd w:val="clear" w:color="auto" w:fill="FFFFFF"/>
        </w:rPr>
      </w:pPr>
      <w:r>
        <w:rPr>
          <w:noProof/>
          <w:shd w:val="clear" w:color="auto" w:fill="FFFFFF"/>
        </w:rPr>
        <w:t xml:space="preserve">Înregistrarea produselor de către producători a fost posibilă la timp pentru primele etichete supuse revizuirii în 2019, autoritățile de supraveghere a pieței primind acces la scurt timp după aceea. Încă de la lansare, a fost disponibil un serviciu de asistență pentru a oferi ajutor în procesul de înregistrare. </w:t>
      </w:r>
      <w:r>
        <w:rPr>
          <w:noProof/>
        </w:rPr>
        <w:t>Asociațiile de întreprinderi din UE își ajută adesea membrii în această sarcină.</w:t>
      </w:r>
      <w:r>
        <w:rPr>
          <w:noProof/>
          <w:shd w:val="clear" w:color="auto" w:fill="FFFFFF"/>
        </w:rPr>
        <w:t xml:space="preserve"> Secțiunea publică a EPREL a fost accesibilă prin intermediul codurilor QR începând din martie 2021, când au devenit aplicabile primele etichete reclasificate ale produselor. Începând din 2022, o interfață de căutare EPREL oferă numeroase caracteristici (cum ar fi filtre de selecție și sortare). </w:t>
      </w:r>
      <w:r>
        <w:rPr>
          <w:noProof/>
          <w:color w:val="000000"/>
        </w:rPr>
        <w:t>Portalul online pentru accesul public la EPREL menționat la articolul 12 și la punctul 2 din anexa I la ELR este operațional din aprilie 2022</w:t>
      </w:r>
      <w:r>
        <w:rPr>
          <w:noProof/>
        </w:rPr>
        <w:t> (</w:t>
      </w:r>
      <w:r>
        <w:rPr>
          <w:rStyle w:val="FootnoteReference"/>
          <w:noProof/>
          <w:szCs w:val="24"/>
          <w:lang w:val="en-IE" w:eastAsia="en-GB"/>
        </w:rPr>
        <w:footnoteReference w:id="22"/>
      </w:r>
      <w:r>
        <w:rPr>
          <w:noProof/>
        </w:rPr>
        <w:t>).</w:t>
      </w:r>
    </w:p>
    <w:p w14:paraId="6F28F059" w14:textId="6066C631" w:rsidR="00BC0055" w:rsidRPr="00F01F40" w:rsidRDefault="00BC0055" w:rsidP="00D6681F">
      <w:pPr>
        <w:rPr>
          <w:noProof/>
          <w:szCs w:val="24"/>
          <w:shd w:val="clear" w:color="auto" w:fill="FFFFFF"/>
        </w:rPr>
      </w:pPr>
      <w:r>
        <w:rPr>
          <w:noProof/>
        </w:rPr>
        <w:t>Regulamentul de punere în aplicare adoptat în 2024 (</w:t>
      </w:r>
      <w:r>
        <w:rPr>
          <w:rStyle w:val="FootnoteReference"/>
          <w:noProof/>
          <w:lang w:val="en-IE"/>
        </w:rPr>
        <w:footnoteReference w:id="23"/>
      </w:r>
      <w:r>
        <w:rPr>
          <w:noProof/>
        </w:rPr>
        <w:t xml:space="preserve">) stabilește detalii operaționale suplimentare pentru EPREL, clarificând, printre altele, normele de gestionare a informațiilor sensibile și introducând verificarea obligatorie a furnizorilor care utilizează semnături și sigilii </w:t>
      </w:r>
      <w:bookmarkStart w:id="18" w:name="_Hlk207207521"/>
      <w:r>
        <w:rPr>
          <w:noProof/>
        </w:rPr>
        <w:t>e-IDAS</w:t>
      </w:r>
      <w:bookmarkEnd w:id="18"/>
      <w:r>
        <w:rPr>
          <w:noProof/>
        </w:rPr>
        <w:t>.</w:t>
      </w:r>
    </w:p>
    <w:p w14:paraId="10998125" w14:textId="40D6A4DC" w:rsidR="00BC0055" w:rsidRPr="005C53D9" w:rsidRDefault="00BC0055" w:rsidP="00082C74">
      <w:pPr>
        <w:spacing w:after="120"/>
        <w:rPr>
          <w:noProof/>
          <w:szCs w:val="24"/>
          <w:shd w:val="clear" w:color="auto" w:fill="FFFFFF"/>
        </w:rPr>
      </w:pPr>
      <w:r>
        <w:rPr>
          <w:noProof/>
          <w:shd w:val="clear" w:color="auto" w:fill="FFFFFF"/>
        </w:rPr>
        <w:t>La implementarea EPREL, Comisia a urmărit:</w:t>
      </w:r>
    </w:p>
    <w:p w14:paraId="6BFC10D3" w14:textId="69E27F8E" w:rsidR="00BC0055" w:rsidRPr="00082C74" w:rsidRDefault="00BC0055"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reducerea la minimum a sarcinii administrative pentru furnizori prin înregistrări în bloc, servicii de interfață de programare a aplicațiilor (API) (</w:t>
      </w:r>
      <w:r>
        <w:rPr>
          <w:rStyle w:val="FootnoteReference"/>
          <w:rFonts w:ascii="Times New Roman" w:eastAsia="Times New Roman" w:hAnsi="Times New Roman" w:cs="Times New Roman"/>
          <w:noProof/>
          <w:sz w:val="24"/>
          <w:szCs w:val="24"/>
          <w:lang w:eastAsia="en-IE"/>
        </w:rPr>
        <w:footnoteReference w:id="24"/>
      </w:r>
      <w:r>
        <w:rPr>
          <w:rFonts w:ascii="Times New Roman" w:hAnsi="Times New Roman"/>
          <w:noProof/>
          <w:sz w:val="24"/>
        </w:rPr>
        <w:t>) și generarea automată de etichete și fișe cu informații despre produs în toate limbile oficiale ale UE;</w:t>
      </w:r>
    </w:p>
    <w:p w14:paraId="7C961F73" w14:textId="14A4CB63" w:rsidR="005815DF" w:rsidRPr="00082C74" w:rsidRDefault="005815DF"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facilitarea respectării obligațiilor privind afișarea online a etichetelor energetice și a informațiilor despre produs (descărcarea API);</w:t>
      </w:r>
    </w:p>
    <w:p w14:paraId="6A02BFB7" w14:textId="1702412F" w:rsidR="00BC0055" w:rsidRPr="00082C74" w:rsidRDefault="00BC0055" w:rsidP="00082C74">
      <w:pPr>
        <w:pStyle w:val="ListParagraph"/>
        <w:numPr>
          <w:ilvl w:val="0"/>
          <w:numId w:val="50"/>
        </w:numPr>
        <w:rPr>
          <w:rFonts w:ascii="Times New Roman" w:hAnsi="Times New Roman" w:cs="Times New Roman"/>
          <w:noProof/>
          <w:sz w:val="24"/>
          <w:szCs w:val="24"/>
        </w:rPr>
      </w:pPr>
      <w:r>
        <w:rPr>
          <w:rFonts w:ascii="Times New Roman" w:hAnsi="Times New Roman"/>
          <w:noProof/>
          <w:sz w:val="24"/>
        </w:rPr>
        <w:t xml:space="preserve">facilitarea utilizării de către consumatorii individuali, cumpărătorii în vrac, precum și de către achizitorii publici și autorități, în vederea identificării claselor de eficiență cu cea mai mare pondere. </w:t>
      </w:r>
    </w:p>
    <w:p w14:paraId="0681C0ED" w14:textId="5A62B91D" w:rsidR="00BC0055" w:rsidRDefault="00BC0055" w:rsidP="392F964E">
      <w:pPr>
        <w:rPr>
          <w:noProof/>
          <w:shd w:val="clear" w:color="auto" w:fill="FFFFFF"/>
        </w:rPr>
      </w:pPr>
      <w:r>
        <w:rPr>
          <w:noProof/>
          <w:shd w:val="clear" w:color="auto" w:fill="FFFFFF"/>
        </w:rPr>
        <w:t>Producătorii au salutat faptul că actele delegate specifice produselor nu impun livrarea sistematică a fișelor cu informații despre produs imprimate [în cadrul opțiunii alternative prevăzute la articolul 3 alineatul (1) din ELR], care, în schimb, sunt disponibile prin intermediul EPREL.</w:t>
      </w:r>
    </w:p>
    <w:p w14:paraId="5F48C61D" w14:textId="14482F4B" w:rsidR="00C603C4" w:rsidRDefault="00C603C4" w:rsidP="392F964E">
      <w:pPr>
        <w:rPr>
          <w:noProof/>
        </w:rPr>
      </w:pPr>
      <w:r>
        <w:rPr>
          <w:noProof/>
        </w:rPr>
        <w:t xml:space="preserve">EPREL permite, de asemenea, oricărei persoane să monitorizeze evoluțiile de pe piețele de înregistrări ale modelelor de produse etichetate energetic. Cu toate acestea, ELR nu impune furnizorilor să pună la dispoziție date privind vânzările pentru modele, astfel încât, de obicei, sunt necesare informații suplimentare pentru a estima cota de piață a modelelor și pentru a stabili dacă este necesar să se declanșeze o revizuire a etichetei. </w:t>
      </w:r>
    </w:p>
    <w:p w14:paraId="63F961E7" w14:textId="77777777" w:rsidR="00FA4DFE" w:rsidRDefault="00C603C4" w:rsidP="392F964E">
      <w:pPr>
        <w:rPr>
          <w:noProof/>
        </w:rPr>
      </w:pPr>
      <w:r>
        <w:rPr>
          <w:noProof/>
        </w:rPr>
        <w:t xml:space="preserve">Autoritățile naționale de supraveghere a pieței afirmă că EPREL reduce timpul și eforturile depuse pentru verificarea conformității. </w:t>
      </w:r>
    </w:p>
    <w:p w14:paraId="3AD2F7B9" w14:textId="20100FBD" w:rsidR="00BC0055" w:rsidRDefault="00BC0055" w:rsidP="392F964E">
      <w:pPr>
        <w:rPr>
          <w:noProof/>
          <w:shd w:val="clear" w:color="auto" w:fill="FFFFFF"/>
        </w:rPr>
      </w:pPr>
      <w:bookmarkStart w:id="19" w:name="_Hlk206325579"/>
      <w:r>
        <w:rPr>
          <w:noProof/>
          <w:shd w:val="clear" w:color="auto" w:fill="FFFFFF"/>
        </w:rPr>
        <w:t>Baza de date este accesată în principal prin intermediul codurilor QR de pe etichete, mai degrabă decât prin intermediul site-ului.</w:t>
      </w:r>
      <w:bookmarkEnd w:id="19"/>
      <w:r>
        <w:rPr>
          <w:noProof/>
          <w:shd w:val="clear" w:color="auto" w:fill="FFFFFF"/>
        </w:rPr>
        <w:t xml:space="preserve"> Datele din sondaje și feedbackul primit de la autoritățile naționale confirmă faptul că EPREL nu este încă cunoscut pe scară largă nici de către achizitorii publici, nici de către responsabilii cu achizițiile publice. </w:t>
      </w:r>
      <w:r>
        <w:rPr>
          <w:noProof/>
        </w:rPr>
        <w:t>Baze de date similare privind produsele cu impact energetic există și în alte regiuni ale lumii [de exemplu, în Statele Unite (</w:t>
      </w:r>
      <w:r>
        <w:rPr>
          <w:rStyle w:val="FootnoteReference"/>
          <w:noProof/>
          <w:shd w:val="clear" w:color="auto" w:fill="FFFFFF"/>
        </w:rPr>
        <w:footnoteReference w:id="25"/>
      </w:r>
      <w:r>
        <w:rPr>
          <w:noProof/>
        </w:rPr>
        <w:t>), China (</w:t>
      </w:r>
      <w:r>
        <w:rPr>
          <w:rStyle w:val="FootnoteReference"/>
          <w:noProof/>
          <w:shd w:val="clear" w:color="auto" w:fill="FFFFFF"/>
        </w:rPr>
        <w:footnoteReference w:id="26"/>
      </w:r>
      <w:r>
        <w:rPr>
          <w:noProof/>
        </w:rPr>
        <w:t>), Canada (</w:t>
      </w:r>
      <w:r>
        <w:rPr>
          <w:rStyle w:val="FootnoteReference"/>
          <w:noProof/>
          <w:shd w:val="clear" w:color="auto" w:fill="FFFFFF"/>
        </w:rPr>
        <w:footnoteReference w:id="27"/>
      </w:r>
      <w:r>
        <w:rPr>
          <w:noProof/>
        </w:rPr>
        <w:t>) și Australia (</w:t>
      </w:r>
      <w:r>
        <w:rPr>
          <w:rStyle w:val="FootnoteReference"/>
          <w:noProof/>
        </w:rPr>
        <w:footnoteReference w:id="28"/>
      </w:r>
      <w:r>
        <w:rPr>
          <w:noProof/>
        </w:rPr>
        <w:t>)].</w:t>
      </w:r>
      <w:r>
        <w:rPr>
          <w:noProof/>
          <w:shd w:val="clear" w:color="auto" w:fill="FFFFFF"/>
        </w:rPr>
        <w:t xml:space="preserve"> </w:t>
      </w:r>
      <w:bookmarkStart w:id="20" w:name="_Toc209726876"/>
    </w:p>
    <w:p w14:paraId="4A7653D1" w14:textId="77777777" w:rsidR="00BC0055" w:rsidRPr="00B16390" w:rsidRDefault="00BC0055" w:rsidP="00B16390">
      <w:pPr>
        <w:pStyle w:val="Heading2"/>
        <w:rPr>
          <w:noProof/>
        </w:rPr>
      </w:pPr>
      <w:r>
        <w:rPr>
          <w:noProof/>
        </w:rPr>
        <w:t xml:space="preserve">Costurile și beneficiile </w:t>
      </w:r>
      <w:bookmarkEnd w:id="20"/>
      <w:r>
        <w:rPr>
          <w:noProof/>
        </w:rPr>
        <w:t>EPREL</w:t>
      </w:r>
    </w:p>
    <w:p w14:paraId="4202F46C" w14:textId="7B661C6E" w:rsidR="00082C74" w:rsidRDefault="00BC0055" w:rsidP="392F964E">
      <w:pPr>
        <w:spacing w:after="210"/>
        <w:rPr>
          <w:noProof/>
          <w:shd w:val="clear" w:color="auto" w:fill="FFFFFF"/>
        </w:rPr>
      </w:pPr>
      <w:bookmarkStart w:id="21" w:name="_Hlk207178580"/>
      <w:bookmarkStart w:id="22" w:name="_Hlk207178141"/>
      <w:r>
        <w:rPr>
          <w:noProof/>
          <w:shd w:val="clear" w:color="auto" w:fill="FFFFFF"/>
        </w:rPr>
        <w:t xml:space="preserve">Comisia a cheltuit 9,5 milioane EUR pentru crearea și întreținerea EPREL în perioada 2017-2024. Bugetul operațional anual a crescut la 1,9 milioane EUR în 2024. </w:t>
      </w:r>
      <w:r>
        <w:rPr>
          <w:noProof/>
        </w:rPr>
        <w:t>Costul unic estimat de 3 milioane EUR pentru crearea EPREL și bugetul anual de întreținere de 300 000 EUR au subestimat necesitățile.</w:t>
      </w:r>
      <w:r>
        <w:rPr>
          <w:noProof/>
          <w:shd w:val="clear" w:color="auto" w:fill="FFFFFF"/>
        </w:rPr>
        <w:t xml:space="preserve"> </w:t>
      </w:r>
      <w:r>
        <w:rPr>
          <w:noProof/>
        </w:rPr>
        <w:t>Acest lucru se explică în principal prin faptul că aceste cifre se bazau pe estimări referitoare la o bază de date cu echipamente radio (</w:t>
      </w:r>
      <w:r>
        <w:rPr>
          <w:rStyle w:val="FootnoteReference"/>
          <w:noProof/>
          <w:lang w:val="en-IE"/>
        </w:rPr>
        <w:footnoteReference w:id="29"/>
      </w:r>
      <w:r>
        <w:rPr>
          <w:noProof/>
        </w:rPr>
        <w:t>) care conținea mult mai puține înregistrări și părți de înregistrare și care nu dispunea de secțiunea accesibilă publicului de care dispune EPREL.</w:t>
      </w:r>
      <w:r>
        <w:rPr>
          <w:noProof/>
          <w:shd w:val="clear" w:color="auto" w:fill="FFFFFF"/>
        </w:rPr>
        <w:t xml:space="preserve"> </w:t>
      </w:r>
      <w:r>
        <w:rPr>
          <w:noProof/>
        </w:rPr>
        <w:t xml:space="preserve">De asemenea, EPREL a avut în cele din urmă mult mai multe înregistrări decât se anticipase în evaluarea impactului. Acest lucru s-a datorat parțial deciziei ulterioare de a include pneurile în EPREL (reprezentând 13 % din totalul înregistrărilor EPREL). În cele din urmă, verificarea </w:t>
      </w:r>
      <w:bookmarkStart w:id="23" w:name="_Hlk207185838"/>
      <w:bookmarkEnd w:id="21"/>
      <w:r>
        <w:rPr>
          <w:noProof/>
        </w:rPr>
        <w:t xml:space="preserve">e-IDAS nu fusese </w:t>
      </w:r>
      <w:bookmarkEnd w:id="23"/>
      <w:r>
        <w:rPr>
          <w:noProof/>
        </w:rPr>
        <w:t xml:space="preserve">planificată inițial, dar ulterior a fost considerată necesară pentru a asigura integritatea registrului și a implicat costuri unice suplimentare de dezvoltare. </w:t>
      </w:r>
    </w:p>
    <w:p w14:paraId="387A4A13" w14:textId="1811578C" w:rsidR="00BC0055" w:rsidRPr="00601FAB" w:rsidRDefault="003626BB" w:rsidP="392F964E">
      <w:pPr>
        <w:spacing w:after="210"/>
        <w:rPr>
          <w:noProof/>
          <w:shd w:val="clear" w:color="auto" w:fill="FFFFFF"/>
        </w:rPr>
      </w:pPr>
      <w:r>
        <w:rPr>
          <w:noProof/>
          <w:shd w:val="clear" w:color="auto" w:fill="FFFFFF"/>
        </w:rPr>
        <w:t xml:space="preserve">Opiniile diferă în rândul furnizorilor chestionați în cadrul sondajului cu privire la măsura în care EPREL conduce la costuri globale de asigurare a conformității mai mari sau mai mici în comparație cu cele anterioare. 38 % au raportat că costurile de conformare – inclusiv timpul, cheltuielile financiare și resursele de personal – au crescut. 28 % au indicat că costurile au scăzut în comparație cu perioada anterioară anului 2019. Restul de 33 % au declarat că costurile au rămas neschimbate. </w:t>
      </w:r>
      <w:r>
        <w:rPr>
          <w:noProof/>
        </w:rPr>
        <w:t>Majoritatea producătorilor introduc datele ei înșiși, iar un sfert dintre furnizorii chestionați externalizează sarcinile de înregistrare (</w:t>
      </w:r>
      <w:r>
        <w:rPr>
          <w:rStyle w:val="FootnoteReference"/>
          <w:noProof/>
          <w:shd w:val="clear" w:color="auto" w:fill="FFFFFF"/>
          <w:lang w:val="en-IE"/>
        </w:rPr>
        <w:footnoteReference w:id="30"/>
      </w:r>
      <w:r>
        <w:rPr>
          <w:noProof/>
        </w:rPr>
        <w:t>).</w:t>
      </w:r>
      <w:r>
        <w:rPr>
          <w:noProof/>
          <w:shd w:val="clear" w:color="auto" w:fill="FFFFFF"/>
        </w:rPr>
        <w:t xml:space="preserve"> Comercianții pot accesa gratuit informațiile din EPREL și pot obține etichete imprimate de la furnizori. Comercianții raportează niveluri mai ridicate de satisfacție față de politică decât furnizorii, dar indică lipsa unor condiții de concurență echitabile cu piețele online. </w:t>
      </w:r>
    </w:p>
    <w:p w14:paraId="194E4173" w14:textId="2198F81F" w:rsidR="00BC0055" w:rsidRPr="00601FAB" w:rsidDel="00AF7352" w:rsidRDefault="00BC0055" w:rsidP="392F964E">
      <w:pPr>
        <w:pStyle w:val="Heading1"/>
        <w:widowControl w:val="0"/>
        <w:rPr>
          <w:bCs/>
          <w:noProof/>
          <w:szCs w:val="24"/>
        </w:rPr>
      </w:pPr>
      <w:bookmarkStart w:id="24" w:name="_Toc209726877"/>
      <w:bookmarkStart w:id="25" w:name="_Hlk201231605"/>
      <w:bookmarkEnd w:id="15"/>
      <w:bookmarkEnd w:id="22"/>
      <w:r>
        <w:rPr>
          <w:noProof/>
        </w:rPr>
        <w:t>Supravegherea pieței și asigurarea respectării legislației</w:t>
      </w:r>
      <w:bookmarkEnd w:id="24"/>
    </w:p>
    <w:p w14:paraId="6A31A1E8" w14:textId="1B553A72" w:rsidR="00BC0055" w:rsidRPr="00601FAB" w:rsidRDefault="00BC0055" w:rsidP="392F964E">
      <w:pPr>
        <w:rPr>
          <w:noProof/>
        </w:rPr>
      </w:pPr>
      <w:r>
        <w:rPr>
          <w:noProof/>
        </w:rPr>
        <w:t xml:space="preserve">Supravegherea pieței pe piața unică este încadrată de Regulamentul privind supravegherea pieței [Regulamentul </w:t>
      </w:r>
      <w:r>
        <w:rPr>
          <w:rFonts w:ascii="Roboto" w:hAnsi="Roboto"/>
          <w:b/>
          <w:noProof/>
          <w:color w:val="333333"/>
          <w:sz w:val="21"/>
          <w:shd w:val="clear" w:color="auto" w:fill="FFFFFF"/>
        </w:rPr>
        <w:t>(</w:t>
      </w:r>
      <w:r>
        <w:rPr>
          <w:noProof/>
        </w:rPr>
        <w:t xml:space="preserve">CE) nr. 765/2008], care se aplică și produselor care intră sub incidența ELR. ELR a consolidat aceste dispoziții generale în 2017 prin i) dispoziții menite să încurajeze cooperarea dintre autoritățile naționale de supraveghere a pieței, ii) clarificarea modului de abordare a produselor riscante și iii) o procedură de salvgardare a Uniunii (neutilizată până în prezent). Articolul 7 alineatul (4) din ELR a obligat statele membre să stabilească norme privind sancțiunile și mecanismele de asigurare a respectării legii și să notifice aceste norme până la 1 august 2017, în cazul în care nu au fost notificate anterior în temeiul Directivei privind etichetarea. </w:t>
      </w:r>
    </w:p>
    <w:p w14:paraId="0D1D25EA" w14:textId="535C5A87" w:rsidR="00BC0055" w:rsidRDefault="00BC0055" w:rsidP="392F964E">
      <w:pPr>
        <w:rPr>
          <w:noProof/>
          <w:shd w:val="clear" w:color="auto" w:fill="FFFFFF"/>
        </w:rPr>
      </w:pPr>
      <w:bookmarkStart w:id="26" w:name="_Hlk206929615"/>
      <w:r>
        <w:rPr>
          <w:noProof/>
          <w:shd w:val="clear" w:color="auto" w:fill="FFFFFF"/>
        </w:rPr>
        <w:t>Respectarea legislației privind produsele eficiente din punct de vedere energetic se bazează în principal pe declarația pe proprie răspundere (</w:t>
      </w:r>
      <w:r>
        <w:rPr>
          <w:rStyle w:val="FootnoteReference"/>
          <w:noProof/>
          <w:lang w:val="en-IE"/>
        </w:rPr>
        <w:footnoteReference w:id="31"/>
      </w:r>
      <w:r>
        <w:rPr>
          <w:noProof/>
          <w:shd w:val="clear" w:color="auto" w:fill="FFFFFF"/>
        </w:rPr>
        <w:t>). Acest lucru necesită un nivel suficient de supraveghere a pieței și de asigurare a respectării legii pentru a asigura o concurență loială și pentru a realiza economiile de energie preconizate. Supravegherea pieței este o competență exclusivă a autorităților naționale, dar UE oferă sprijin financiar: între 2017 și 2024, peste 20 de milioane EUR pentru activități naționale de supraveghere a pieței și pentru sprijin suplimentar în vederea punerii în aplicare prin intermediul programului Orizont Europa, al Programului privind piața unică și al programului LIFE.</w:t>
      </w:r>
      <w:r>
        <w:rPr>
          <w:noProof/>
        </w:rPr>
        <w:t xml:space="preserve"> </w:t>
      </w:r>
      <w:r>
        <w:rPr>
          <w:noProof/>
          <w:shd w:val="clear" w:color="auto" w:fill="FFFFFF"/>
        </w:rPr>
        <w:t xml:space="preserve">În ceea ce privește respectarea legislației privind produsele eficiente din punct de vedere energetic pentru produsele care intră pe piața UE, controalele vamale la frontierele externe ale UE au rămas limitate și, în consecință, numărul cazurilor de neconformitate descoperite a fost scăzut.  </w:t>
      </w:r>
    </w:p>
    <w:p w14:paraId="7D714B77" w14:textId="722E0319" w:rsidR="00BC0055" w:rsidRPr="00601FAB" w:rsidRDefault="00BC0055" w:rsidP="392F964E">
      <w:pPr>
        <w:rPr>
          <w:noProof/>
          <w:shd w:val="clear" w:color="auto" w:fill="FFFFFF"/>
        </w:rPr>
      </w:pPr>
      <w:r>
        <w:rPr>
          <w:noProof/>
        </w:rPr>
        <w:t>Dovezile obținute în urma acțiunilor finanțate de UE, a verificărilor efectuate de statele membre și a unui raport special din 2020 al Curții de Conturi Europene (</w:t>
      </w:r>
      <w:r>
        <w:rPr>
          <w:rStyle w:val="FootnoteReference"/>
          <w:noProof/>
          <w:shd w:val="clear" w:color="auto" w:fill="FFFFFF"/>
          <w:lang w:val="en-IE"/>
        </w:rPr>
        <w:footnoteReference w:id="32"/>
      </w:r>
      <w:r>
        <w:rPr>
          <w:noProof/>
        </w:rPr>
        <w:t>) sugerează niveluri persistente și semnificative de neconformitate (în special în cazul magazinelor online).</w:t>
      </w:r>
      <w:r>
        <w:rPr>
          <w:noProof/>
          <w:shd w:val="clear" w:color="auto" w:fill="FFFFFF"/>
        </w:rPr>
        <w:t xml:space="preserve"> </w:t>
      </w:r>
      <w:bookmarkStart w:id="27" w:name="_Hlk201578075"/>
      <w:r>
        <w:rPr>
          <w:noProof/>
        </w:rPr>
        <w:t>De asemenea, site-urile de comparare a prețurilor adesea nu afișează integral informațiile solicitate.</w:t>
      </w:r>
      <w:bookmarkStart w:id="28" w:name="_Hlk222740686"/>
      <w:bookmarkEnd w:id="26"/>
      <w:bookmarkEnd w:id="27"/>
      <w:r>
        <w:rPr>
          <w:noProof/>
          <w:shd w:val="clear" w:color="auto" w:fill="FFFFFF"/>
        </w:rPr>
        <w:t xml:space="preserve"> </w:t>
      </w:r>
      <w:r>
        <w:rPr>
          <w:noProof/>
        </w:rPr>
        <w:t>Acțiunea concertată EEPLIANT 3 (</w:t>
      </w:r>
      <w:r>
        <w:rPr>
          <w:rStyle w:val="FootnoteReference"/>
          <w:noProof/>
          <w:shd w:val="clear" w:color="auto" w:fill="FFFFFF"/>
          <w:lang w:val="en-IE"/>
        </w:rPr>
        <w:footnoteReference w:id="33"/>
      </w:r>
      <w:r>
        <w:rPr>
          <w:noProof/>
        </w:rPr>
        <w:t>), finanțată de UE și la care au participat 24 de autorități naționale de supraveghere, a constatat, în cadrul unui exercițiu nereprezentativ, bazat pe riscuri,</w:t>
      </w:r>
      <w:r>
        <w:rPr>
          <w:noProof/>
          <w:color w:val="474747"/>
        </w:rPr>
        <w:t xml:space="preserve"> </w:t>
      </w:r>
      <w:r>
        <w:rPr>
          <w:noProof/>
        </w:rPr>
        <w:t>care a vizat șase grupuri de produse (</w:t>
      </w:r>
      <w:r>
        <w:rPr>
          <w:rStyle w:val="FootnoteReference"/>
          <w:noProof/>
          <w:shd w:val="clear" w:color="auto" w:fill="FFFFFF"/>
          <w:lang w:val="en-IE"/>
        </w:rPr>
        <w:footnoteReference w:id="34"/>
      </w:r>
      <w:r>
        <w:rPr>
          <w:noProof/>
        </w:rPr>
        <w:t xml:space="preserve">), că 82 % dintre produsele din magazine și 97 % dintre cele din magazinele online prezentau probleme minore sau majore în ceea ce privește afișarea etichetei, declarația de conformitate sau documentația tehnică (acoperind astfel întreaga documentație, inclusiv cea referitoare la proiectarea ecologică, nu doar cea privind etichetarea). </w:t>
      </w:r>
      <w:bookmarkEnd w:id="28"/>
      <w:r>
        <w:rPr>
          <w:noProof/>
        </w:rPr>
        <w:t>Neconformitatea online a reprezentat o problemă deosebită în cazul surselor de lumină (</w:t>
      </w:r>
      <w:r>
        <w:rPr>
          <w:rStyle w:val="FootnoteReference"/>
          <w:noProof/>
          <w:lang w:val="en-IE"/>
        </w:rPr>
        <w:footnoteReference w:id="35"/>
      </w:r>
      <w:r>
        <w:rPr>
          <w:noProof/>
        </w:rPr>
        <w:t xml:space="preserve">). Datele lipsă sau eronate de pe etichete, din fișa cu informații despre produs sau din alte documente tehnice nu înseamnă întotdeauna că un produs este neconform. Pentru a constata neconformitatea, sunt necesare încercări de laborator efectuate în laboratoare acreditate, iar acestea sunt costisitoare (de obicei între 1 000 și 10 000 EUR pe model, iar în cazul produselor mari sau complexe, costurile sunt mai mari). 43 % din cele 265 de produse supuse încercărilor în laborator în cadrul proiectului EEPLIANT 3 de verificare a conformității au avut probleme de performanță energetică peste nivelul de toleranță. Cu toate acestea, nivelul general de neconformitate de pe piața unică este dificil de estimat, deoarece controalele sunt aproape întotdeauna bazate pe riscuri, iar ASP-urile își concentrează resursele limitate asupra produselor pentru care se preconizează cele mai multe probleme. Constatările nu pot fi extrapolate la toate grupurile de produse și la nivelul întregii UE. </w:t>
      </w:r>
    </w:p>
    <w:p w14:paraId="7E691867" w14:textId="5FD68805" w:rsidR="00BC0055" w:rsidRPr="00601FAB" w:rsidRDefault="00BC0055" w:rsidP="392F964E">
      <w:pPr>
        <w:rPr>
          <w:noProof/>
          <w:shd w:val="clear" w:color="auto" w:fill="FFFFFF"/>
        </w:rPr>
      </w:pPr>
      <w:r>
        <w:rPr>
          <w:noProof/>
        </w:rPr>
        <w:t>Numărul total de produse inspectate anual în acest cadru a variat între 10 și 100 în unele state membre și a ajuns la 24 000 în Irlanda și la 73 000 în Germania în 2024. Majoritatea cazurilor au implicat verificări ale documentelor în magazine și online și doar câteva controale aprofundate ale performanței. Astfel cum se prevede în Regulamentul privind supravegherea pieței, statele membre au codificat, la sfârșitul anului 2025, 3 147 de cazuri de inspecții ELR aprofundate (</w:t>
      </w:r>
      <w:r>
        <w:rPr>
          <w:rStyle w:val="FootnoteReference"/>
          <w:noProof/>
          <w:lang w:val="en-IE"/>
        </w:rPr>
        <w:footnoteReference w:id="36"/>
      </w:r>
      <w:r>
        <w:rPr>
          <w:noProof/>
        </w:rPr>
        <w:t>) în baza de date ICSMS începând din 2017 (dintre care 57 % au fost cazuri de neconformitate). La jumătatea anului 2025, Comisia a inițiat două proceduri de constatare a neîndeplinirii obligațiilor împotriva Portugaliei și a României pentru că nu au raportat niciun control aprofundat în 2023 și, în noiembrie 2025, a trimis un aviz motivat Portugaliei.</w:t>
      </w:r>
    </w:p>
    <w:p w14:paraId="20DA1125" w14:textId="10FE7BD8" w:rsidR="00BC0055" w:rsidRPr="00601FAB" w:rsidRDefault="00BC0055" w:rsidP="00D6681F">
      <w:pPr>
        <w:rPr>
          <w:noProof/>
          <w:szCs w:val="24"/>
          <w:shd w:val="clear" w:color="auto" w:fill="FFFFFF"/>
        </w:rPr>
      </w:pPr>
      <w:r>
        <w:rPr>
          <w:noProof/>
        </w:rPr>
        <w:t xml:space="preserve">Un număr de 450 de modele de produse au o legătură încrucișată între ICSMS și EPREL, ceea ce ar trebui să sporească eficacitatea inspecțiilor efectuate asupra acestora. </w:t>
      </w:r>
      <w:r>
        <w:rPr>
          <w:noProof/>
          <w:shd w:val="clear" w:color="auto" w:fill="FFFFFF"/>
        </w:rPr>
        <w:t xml:space="preserve">Până în prezent, pentru 3 300 de înregistrări de modele s-a utilizat opțiunea ca utilizatorii să raporteze cu ușurință orice problemă legată de modelele înregistrate sau de informațiile conexe direct în EPREL. </w:t>
      </w:r>
      <w:r>
        <w:rPr>
          <w:noProof/>
        </w:rPr>
        <w:t xml:space="preserve">Platformele online mai mari cooperează adesea pentru a elimina produsele neconforme, dar nu au responsabilități în ceea ce privește afișarea etichetelor, iar gama lor largă de produse oferite a sporit, de asemenea, sarcina generală de asigurare a respectării legii. </w:t>
      </w:r>
    </w:p>
    <w:p w14:paraId="68D0774E" w14:textId="4816147F" w:rsidR="00BC0055" w:rsidRPr="000A2AB1" w:rsidRDefault="00BC0055" w:rsidP="392F964E">
      <w:pPr>
        <w:rPr>
          <w:noProof/>
          <w:shd w:val="clear" w:color="auto" w:fill="FFFFFF"/>
        </w:rPr>
      </w:pPr>
      <w:r>
        <w:rPr>
          <w:noProof/>
          <w:shd w:val="clear" w:color="auto" w:fill="FFFFFF"/>
        </w:rPr>
        <w:t xml:space="preserve">În 2021, Comisia a lansat Rețeaua europeană pentru conformitatea produselor (EUPCN) în temeiul Regulamentului privind supravegherea pieței. </w:t>
      </w:r>
      <w:r>
        <w:rPr>
          <w:noProof/>
        </w:rPr>
        <w:t>În 2024, Comisia a înființat prima instalație de testare a UE pentru proiectarea ecologică și etichetarea energetică (</w:t>
      </w:r>
      <w:r>
        <w:rPr>
          <w:rStyle w:val="FootnoteReference"/>
          <w:noProof/>
          <w:shd w:val="clear" w:color="auto" w:fill="FFFFFF"/>
          <w:lang w:val="en-IE"/>
        </w:rPr>
        <w:footnoteReference w:id="37"/>
      </w:r>
      <w:r>
        <w:rPr>
          <w:noProof/>
        </w:rPr>
        <w:t>).</w:t>
      </w:r>
      <w:r>
        <w:rPr>
          <w:noProof/>
          <w:shd w:val="clear" w:color="auto" w:fill="FFFFFF"/>
        </w:rPr>
        <w:t xml:space="preserve"> </w:t>
      </w:r>
      <w:r>
        <w:rPr>
          <w:noProof/>
        </w:rPr>
        <w:t>Comisia și statele membre se asigură împreună că eticheta energetică nu este imitată în cazul produselor care nu fac obiectul măsurilor delegate sau al produselor fără impact energetic și, în acest sens, au colaborat în special cu industria în vederea elaborării unei etichete unificate voluntare privind consumul de apă, pentru a-i adapta designul (</w:t>
      </w:r>
      <w:r>
        <w:rPr>
          <w:rStyle w:val="FootnoteReference"/>
          <w:noProof/>
          <w:shd w:val="clear" w:color="auto" w:fill="FFFFFF"/>
          <w:lang w:val="en-IE"/>
        </w:rPr>
        <w:footnoteReference w:id="38"/>
      </w:r>
      <w:r>
        <w:rPr>
          <w:noProof/>
        </w:rPr>
        <w:t>).</w:t>
      </w:r>
      <w:bookmarkEnd w:id="25"/>
    </w:p>
    <w:p w14:paraId="207DD463" w14:textId="19FADFA5" w:rsidR="00BC0055" w:rsidRPr="00B16390" w:rsidRDefault="001F3F53" w:rsidP="00B16390">
      <w:pPr>
        <w:pStyle w:val="Heading1"/>
        <w:rPr>
          <w:noProof/>
        </w:rPr>
      </w:pPr>
      <w:bookmarkStart w:id="29" w:name="_Toc209726878"/>
      <w:bookmarkStart w:id="30" w:name="_Ref229157784"/>
      <w:bookmarkStart w:id="31" w:name="_Hlk194935744"/>
      <w:r>
        <w:rPr>
          <w:noProof/>
        </w:rPr>
        <w:t>Eticheta ca instrument pentru piețele-pilot pentru produse eficiente</w:t>
      </w:r>
      <w:bookmarkEnd w:id="29"/>
      <w:bookmarkEnd w:id="30"/>
    </w:p>
    <w:p w14:paraId="500E38C9" w14:textId="5B976A32" w:rsidR="003E206E" w:rsidRDefault="00887955" w:rsidP="392F964E">
      <w:pPr>
        <w:rPr>
          <w:noProof/>
          <w:shd w:val="clear" w:color="auto" w:fill="FFFFFF"/>
        </w:rPr>
      </w:pPr>
      <w:r>
        <w:rPr>
          <w:noProof/>
          <w:shd w:val="clear" w:color="auto" w:fill="FFFFFF"/>
        </w:rPr>
        <w:t xml:space="preserve">Articolul 7 alineatul (2) din ELR prevede că orice măsură de stimulare oferită de statele membre pentru produsele care fac obiectul etichetării energetice a UE trebuie să vizeze produse din </w:t>
      </w:r>
      <w:r>
        <w:rPr>
          <w:i/>
          <w:noProof/>
          <w:shd w:val="clear" w:color="auto" w:fill="FFFFFF"/>
        </w:rPr>
        <w:t>cele mai des utilizate două clase de eficiență energetică sau alte clase mai înalte</w:t>
      </w:r>
      <w:r>
        <w:rPr>
          <w:noProof/>
          <w:shd w:val="clear" w:color="auto" w:fill="FFFFFF"/>
        </w:rPr>
        <w:t xml:space="preserve">. Scopul este de a orienta stimulentele destinate consumatorilor (cum ar fi împrumuturi cu dobândă mică, granturi, reduceri fiscale sau cupoane valorice) către produsele cele mai eficiente, creând astfel o piață-pilot pentru aceste produse. </w:t>
      </w:r>
    </w:p>
    <w:p w14:paraId="228F8E03" w14:textId="5EFAE26B" w:rsidR="00767483" w:rsidDel="00686027" w:rsidRDefault="003E206E" w:rsidP="392F964E">
      <w:pPr>
        <w:rPr>
          <w:noProof/>
        </w:rPr>
      </w:pPr>
      <w:r>
        <w:rPr>
          <w:noProof/>
        </w:rPr>
        <w:t>Aceleași criterii sau criterii foarte similare sunt utilizate și în alte acte legislative, inclusiv în cerințele Directivei privind eficiența energetică referitoare la achizițiile publice (</w:t>
      </w:r>
      <w:r>
        <w:rPr>
          <w:rStyle w:val="FootnoteReference"/>
          <w:noProof/>
          <w:lang w:val="en-IE"/>
        </w:rPr>
        <w:footnoteReference w:id="39"/>
      </w:r>
      <w:r>
        <w:rPr>
          <w:noProof/>
        </w:rPr>
        <w:t>), în taxonomia UE (</w:t>
      </w:r>
      <w:r>
        <w:rPr>
          <w:rStyle w:val="FootnoteReference"/>
          <w:noProof/>
          <w:lang w:val="en-IE"/>
        </w:rPr>
        <w:footnoteReference w:id="40"/>
      </w:r>
      <w:r>
        <w:rPr>
          <w:noProof/>
        </w:rPr>
        <w:t>) și în normele în materie de TVA privind cotele reduse pentru sistemele de încălzire eficiente (</w:t>
      </w:r>
      <w:r>
        <w:rPr>
          <w:rStyle w:val="FootnoteReference"/>
          <w:noProof/>
          <w:lang w:val="en-IE"/>
        </w:rPr>
        <w:footnoteReference w:id="41"/>
      </w:r>
      <w:r>
        <w:rPr>
          <w:noProof/>
        </w:rPr>
        <w:t>).</w:t>
      </w:r>
      <w:r>
        <w:rPr>
          <w:noProof/>
          <w:shd w:val="clear" w:color="auto" w:fill="FFFFFF"/>
        </w:rPr>
        <w:t xml:space="preserve"> </w:t>
      </w:r>
      <w:r>
        <w:rPr>
          <w:noProof/>
        </w:rPr>
        <w:t xml:space="preserve">Patru state membre ale UE aplică în prezent cota redusă de TVA pe această bază. </w:t>
      </w:r>
    </w:p>
    <w:p w14:paraId="1893240C" w14:textId="230A8A82" w:rsidR="00DC47DB" w:rsidRPr="005C53D9" w:rsidRDefault="00D07ED6" w:rsidP="392F964E">
      <w:pPr>
        <w:widowControl w:val="0"/>
        <w:rPr>
          <w:noProof/>
        </w:rPr>
      </w:pPr>
      <w:r>
        <w:rPr>
          <w:noProof/>
        </w:rPr>
        <w:t>Directiva-cadru privind etichetarea din 2010 conținea deja dispoziții privind promovarea utilizării etichetei ca bază pentru piețele-pilot, dar formularea mai precisă a criteriului și funcția EPREL, care permite o analiză ușoară a distribuției pe clase a oricărei subselecții de produse, facilitează operaționalizarea unor astfel de politici. Comisia și autoritățile naționale pot utiliza EPREL pentru a aplica criteriul de la articolul 7 alineatul (2) din ELR, pornind de la o simplă căutare în EPREL, reducând astfel necesitatea realizării unor studii de piață specifice și consolidând concurența prin asigurarea transparenței cu privire la produsele introduse pe piața unică. Pentru a sprijini aplicarea criteriului, Comisia a prezentat orientări în acest sens (</w:t>
      </w:r>
      <w:r>
        <w:rPr>
          <w:rStyle w:val="FootnoteReference"/>
          <w:noProof/>
          <w:lang w:val="en-IE"/>
        </w:rPr>
        <w:footnoteReference w:id="42"/>
      </w:r>
      <w:r>
        <w:rPr>
          <w:noProof/>
        </w:rPr>
        <w:t>).</w:t>
      </w:r>
    </w:p>
    <w:bookmarkEnd w:id="31"/>
    <w:p w14:paraId="7847D6A3" w14:textId="428D2102" w:rsidR="00BC0055" w:rsidRPr="00B16390" w:rsidRDefault="002D4EBE" w:rsidP="00B16390">
      <w:pPr>
        <w:pStyle w:val="Heading1"/>
        <w:rPr>
          <w:noProof/>
        </w:rPr>
      </w:pPr>
      <w:r>
        <w:rPr>
          <w:noProof/>
        </w:rPr>
        <w:t xml:space="preserve">Eficacitatea noilor etichete </w:t>
      </w:r>
    </w:p>
    <w:p w14:paraId="05158479" w14:textId="429ECF92" w:rsidR="00291A77" w:rsidRPr="00B16390" w:rsidRDefault="007C642B" w:rsidP="00291A77">
      <w:pPr>
        <w:pStyle w:val="Heading2"/>
        <w:rPr>
          <w:noProof/>
        </w:rPr>
      </w:pPr>
      <w:bookmarkStart w:id="32" w:name="_Toc209726879"/>
      <w:r>
        <w:rPr>
          <w:noProof/>
        </w:rPr>
        <w:t xml:space="preserve">Înțelegerea noilor etichete </w:t>
      </w:r>
    </w:p>
    <w:p w14:paraId="2587D69F" w14:textId="18C21297" w:rsidR="00291A77" w:rsidRDefault="00291A77" w:rsidP="392F964E">
      <w:pPr>
        <w:rPr>
          <w:noProof/>
          <w:shd w:val="clear" w:color="auto" w:fill="FFFFFF"/>
        </w:rPr>
      </w:pPr>
      <w:r>
        <w:rPr>
          <w:noProof/>
        </w:rPr>
        <w:t>Majoritatea consumatorilor chestionați în cadrul sondajului afirmă că înțeleg etichetele, iar peste 90 % dintre aceștia au declarat că le-a fost (foarte) ușor să înțeleagă eticheta și elementele acesteia. Doar câteva pictograme specifice unor produse au fost raportate de peste 10 % dintre respondenții la sondaj ca fiind dificil de înțeles. Acest rezultat pozitiv se datorează probabil faptului că modelele etichetelor sunt, în general, testate înainte de a fi propuse. 77-87 % dintre consumatorii chestionați au considerat că volumul de informații de pe o etichetă este adecvat. Restul au considerat că volumul este fie prea mare, fie prea mic (sau nu au avut nicio opinie). În ansamblu, aceste rezultate nu prezintă, prin urmare, nicio dovadă a supraîncărcării cu informații sau a insuficienței informațiilor.</w:t>
      </w:r>
    </w:p>
    <w:p w14:paraId="6741623C" w14:textId="77777777" w:rsidR="00291A77" w:rsidRDefault="00291A77" w:rsidP="392F964E">
      <w:pPr>
        <w:rPr>
          <w:noProof/>
          <w:shd w:val="clear" w:color="auto" w:fill="FFFFFF"/>
        </w:rPr>
      </w:pPr>
      <w:r>
        <w:rPr>
          <w:noProof/>
          <w:shd w:val="clear" w:color="auto" w:fill="FFFFFF"/>
        </w:rPr>
        <w:t xml:space="preserve">62 % dintre consumatorii care au participat la sondaj au declarat că au utilizat informațiile principale referitoare la consumul de energie, afișate în partea de sus a etichetei. 37 % au declarat că au utilizat și pictogramele neenergetice din partea de jos. Cei care au achiziționat recent produse electrocasnice au fost cei mai predispuși să declare că s-au bazat pe eticheta energetică atunci când au luat decizia de cumpărare (aproximativ 90 % dintre cei care au văzut eticheta). Eticheta a fost de ajutor pentru cumpărătorii de frigidere de uz comercial în 80 % din cazuri și pentru 70 % dintre cumpărătorii de televizoare și monitoare, în cazul cărora criteriile de performanță, cum ar fi rezoluția sau dimensiunea ecranului, joacă un rol important în deciziile de cumpărare. </w:t>
      </w:r>
    </w:p>
    <w:bookmarkEnd w:id="32"/>
    <w:p w14:paraId="77022B57" w14:textId="0CB4D3D6" w:rsidR="00BC0055" w:rsidRPr="00B16390" w:rsidRDefault="00B0670A" w:rsidP="00B16390">
      <w:pPr>
        <w:pStyle w:val="Heading2"/>
        <w:rPr>
          <w:noProof/>
        </w:rPr>
      </w:pPr>
      <w:r>
        <w:rPr>
          <w:noProof/>
        </w:rPr>
        <w:t>Impactul asupra disponibilității produselor eficiente la prețuri accesibile</w:t>
      </w:r>
    </w:p>
    <w:p w14:paraId="26542D5B" w14:textId="6538B159" w:rsidR="00360BCA" w:rsidRPr="00601FAB" w:rsidRDefault="00360BCA" w:rsidP="392F964E">
      <w:pPr>
        <w:spacing w:line="259" w:lineRule="auto"/>
        <w:rPr>
          <w:noProof/>
        </w:rPr>
      </w:pPr>
      <w:r>
        <w:rPr>
          <w:noProof/>
        </w:rPr>
        <w:t>Un raport din 2021 privind standardele de eficiență a aparatelor și etichetarea (</w:t>
      </w:r>
      <w:r>
        <w:rPr>
          <w:rStyle w:val="FootnoteReference"/>
          <w:noProof/>
          <w:szCs w:val="24"/>
          <w:shd w:val="clear" w:color="auto" w:fill="FFFFFF"/>
          <w:lang w:val="en-IE"/>
        </w:rPr>
        <w:footnoteReference w:id="43"/>
      </w:r>
      <w:r>
        <w:rPr>
          <w:noProof/>
        </w:rPr>
        <w:t>), elaborat de Agenția Internațională a Energiei (AIE), a arătat că cerințele de performanță energetică și etichetarea sporesc, în general, rata subiacentă de îmbunătățire a noilor modele cu un factor de doi sau trei.</w:t>
      </w:r>
      <w:r>
        <w:rPr>
          <w:noProof/>
          <w:shd w:val="clear" w:color="auto" w:fill="FFFFFF"/>
        </w:rPr>
        <w:t xml:space="preserve"> Acest lucru se traduce, în timp, printr-o creștere a eficienței medii a stocului total. </w:t>
      </w:r>
      <w:r>
        <w:rPr>
          <w:noProof/>
        </w:rPr>
        <w:t>AIE observă că prețurile medii de achiziție tind să scadă cu 2-3 % pe an din cauza concurenței (după o scurtă creștere la intrarea în vigoare a noilor norme), dar reducerile de preț observate pentru diferite produse variază, reflectând gradul de concurență de pe orice piață specifică. Aceste estimări sunt globale, o evaluare recentă privind aspiratoarele din UE constatând o scădere anuală de 1 % a prețurilor de achiziție în perioada în care eticheta era în vigoare.</w:t>
      </w:r>
      <w:r>
        <w:rPr>
          <w:noProof/>
          <w:shd w:val="clear" w:color="auto" w:fill="FFFFFF"/>
        </w:rPr>
        <w:t xml:space="preserve"> </w:t>
      </w:r>
      <w:r>
        <w:rPr>
          <w:noProof/>
        </w:rPr>
        <w:t>Cercetările publicate recent confirmă faptul că eticheta energetică a UE este eficace în ceea ce privește obiectivul de mediu de a orienta alegerile consumatorilor și constată că concurența la nivelul ofertei este un factor-cheie care stă la baza ajustării pieței, datorită unui tipar de scădere a prețurilor pe măsură ce numărul intrărilor pe piață crește și tot mai mulți producători încep să ofere produse din clasele superioare de etichetare, generând surplusul consumatorului și stimulând în același timp inovarea în continuare (</w:t>
      </w:r>
      <w:r>
        <w:rPr>
          <w:rStyle w:val="FootnoteReference"/>
          <w:noProof/>
        </w:rPr>
        <w:footnoteReference w:id="44"/>
      </w:r>
      <w:r>
        <w:rPr>
          <w:noProof/>
        </w:rPr>
        <w:t xml:space="preserve">). </w:t>
      </w:r>
    </w:p>
    <w:p w14:paraId="18495B1D" w14:textId="2D00CE25" w:rsidR="00BC0055" w:rsidRDefault="008A26ED" w:rsidP="392F964E">
      <w:pPr>
        <w:rPr>
          <w:noProof/>
        </w:rPr>
      </w:pPr>
      <w:r>
        <w:rPr>
          <w:noProof/>
        </w:rPr>
        <w:t>Pentru a garanta efectul inovării, ELR prevede că, atunci când se introduce sau se reclasifică o etichetă, Comisia trebuie să se asigure că niciun produs nu urmează să se încadreze în clasa A în momentul introducerii, iar perioada estimată după care majoritatea modelelor se pot încadra în clasa respectivă este de cel puțin 10 ani. Datele EPREL arată că distribuția pe clase a surselor de lumină, a aparatelor frigorifice, a televizoarelor și a mașinilor de spălat vase s-a dezvoltat, în mare măsură, în conformitate cu aceste cerințe începând din 2019. Cu toate acestea, 90 % dintre modelele de mașini de spălat rufe înregistrate în EPREL au atins clasa A în doar șase ani de la revizuire. În schimb, performanța afișajelor electronice s-a dezvoltat mai lent decât se anticipase, acestea fiind concentrate în clasele inferioare (25 % dintre modele fac parte din clasa G) (</w:t>
      </w:r>
      <w:r>
        <w:rPr>
          <w:rStyle w:val="FootnoteReference"/>
          <w:noProof/>
          <w:lang w:val="en-IE"/>
        </w:rPr>
        <w:footnoteReference w:id="45"/>
      </w:r>
      <w:r>
        <w:rPr>
          <w:noProof/>
        </w:rPr>
        <w:t xml:space="preserve">). </w:t>
      </w:r>
    </w:p>
    <w:p w14:paraId="6E2AF8CF" w14:textId="779E43C8" w:rsidR="00BC0055" w:rsidRPr="00601FAB" w:rsidRDefault="00A83FAF" w:rsidP="392F964E">
      <w:pPr>
        <w:rPr>
          <w:noProof/>
        </w:rPr>
      </w:pPr>
      <w:r>
        <w:rPr>
          <w:noProof/>
        </w:rPr>
        <w:t>Cota de piață a mașinilor de spălat rufe din cea mai bună clasă a crescut cu 50 % în 2024, conform unei analize de piață independente (</w:t>
      </w:r>
      <w:r>
        <w:rPr>
          <w:rStyle w:val="FootnoteReference"/>
          <w:noProof/>
          <w:szCs w:val="24"/>
          <w:shd w:val="clear" w:color="auto" w:fill="FFFFFF"/>
          <w:lang w:val="en-IE"/>
        </w:rPr>
        <w:footnoteReference w:id="46"/>
      </w:r>
      <w:r>
        <w:rPr>
          <w:noProof/>
        </w:rPr>
        <w:t>).</w:t>
      </w:r>
      <w:r>
        <w:rPr>
          <w:rStyle w:val="FootnoteReference"/>
          <w:noProof/>
          <w:shd w:val="clear" w:color="auto" w:fill="FFFFFF"/>
        </w:rPr>
        <w:t xml:space="preserve"> </w:t>
      </w:r>
      <w:r>
        <w:rPr>
          <w:noProof/>
        </w:rPr>
        <w:t>Cercetările academice bazate pe date reale de piață din 2021 sugerează că eticheta reclasificată a sporit disponibilitatea consumatorilor de a plăti pentru frigidere de calitate superioară, în comparație cu eticheta anterioară, care era mai greu de înțeles (</w:t>
      </w:r>
      <w:r>
        <w:rPr>
          <w:rStyle w:val="FootnoteReference"/>
          <w:noProof/>
          <w:szCs w:val="24"/>
          <w:shd w:val="clear" w:color="auto" w:fill="FFFFFF"/>
          <w:lang w:val="en-IE"/>
        </w:rPr>
        <w:footnoteReference w:id="47"/>
      </w:r>
      <w:r>
        <w:rPr>
          <w:noProof/>
        </w:rPr>
        <w:t>).</w:t>
      </w:r>
    </w:p>
    <w:p w14:paraId="7BAF1B0C" w14:textId="5A4AD3F1" w:rsidR="00BC0055" w:rsidRPr="005D4C5A" w:rsidRDefault="72892136" w:rsidP="005D4C5A">
      <w:pPr>
        <w:pStyle w:val="Heading1"/>
        <w:rPr>
          <w:noProof/>
        </w:rPr>
      </w:pPr>
      <w:bookmarkStart w:id="33" w:name="_Toc209726882"/>
      <w:r>
        <w:rPr>
          <w:noProof/>
        </w:rPr>
        <w:t>Concluzie</w:t>
      </w:r>
      <w:bookmarkEnd w:id="33"/>
    </w:p>
    <w:p w14:paraId="07AD872F" w14:textId="68916111" w:rsidR="00BC0055" w:rsidRDefault="00BC0055" w:rsidP="392F964E">
      <w:pPr>
        <w:rPr>
          <w:noProof/>
        </w:rPr>
      </w:pPr>
      <w:bookmarkStart w:id="34" w:name="_Hlk202352605"/>
      <w:r>
        <w:rPr>
          <w:noProof/>
        </w:rPr>
        <w:t xml:space="preserve">ELR a pus bazele unor etichete modernizate care funcționează bine până în prezent, dar tranziția nu este încă finalizată. Până în prezent, șase dintre cele 15 etichete ale grupurilor de produse au fost revizuite, iar în acest cadru au fost introduse două etichete noi. Ciclurile îndelungate de revizuire a actelor delegate specifice produselor au redus impactul global al cadrului de politică până în prezent. Asigurarea insuficientă a respectării legii pe piața națională și nivelurile ridicate de neconformitate cel puțin în unele segmente de piață (în special online) denaturează condițiile de concurență echitabile și reduc economiile de energie preconizate. </w:t>
      </w:r>
    </w:p>
    <w:p w14:paraId="10B4BFD3" w14:textId="5D5331EF" w:rsidR="002C4F0F" w:rsidRPr="00601FAB" w:rsidRDefault="002C4F0F" w:rsidP="392F964E">
      <w:pPr>
        <w:rPr>
          <w:noProof/>
        </w:rPr>
      </w:pPr>
      <w:r>
        <w:rPr>
          <w:noProof/>
        </w:rPr>
        <w:t>Contextul politic mai larg s-a schimbat substanțial din 2017 ca urmare a (i) creșterii vânzărilor online, (ii) obiectivelor UE în materie de schimbări climatice, (iii) angajamentului global de a dubla eficiența energetică până în 2030 și (iv) accentului pus pe competitivitate în Raportul Draghi și în strategia privind piața unică și, mai recent, a eforturilor legate de accesibilitatea prețurilor energiei și independența energetică. În acest context, etichetele energetice rămân relevante. Toate grupurile relevante de părți interesate care au participat la dialogul privind punerea în aplicare a legislației privind produsele cu impact energetic (</w:t>
      </w:r>
      <w:r>
        <w:rPr>
          <w:rStyle w:val="FootnoteReference"/>
          <w:noProof/>
          <w:lang w:val="en-IE"/>
        </w:rPr>
        <w:footnoteReference w:id="48"/>
      </w:r>
      <w:r>
        <w:rPr>
          <w:noProof/>
        </w:rPr>
        <w:t>) în octombrie 2025 au subliniat rolul jucat de legislația privind produsele cu impact energetic (inclusiv ELR) în promovarea eficienței energetice, a accesibilității prețurilor energiei și a competitivității industriei UE, dar au evidențiat totodată faptul că nerespectarea acesteia îi subminează eficacitatea.</w:t>
      </w:r>
    </w:p>
    <w:bookmarkEnd w:id="34"/>
    <w:p w14:paraId="02FAF828" w14:textId="49496352" w:rsidR="00BC0055" w:rsidRPr="00D6681F" w:rsidRDefault="00BC0055" w:rsidP="392F964E">
      <w:pPr>
        <w:spacing w:line="259" w:lineRule="auto"/>
        <w:rPr>
          <w:noProof/>
        </w:rPr>
      </w:pPr>
      <w:r>
        <w:rPr>
          <w:noProof/>
        </w:rPr>
        <w:t xml:space="preserve">Dovezile disponibile cu privire la modul în care funcționează etichetele energetice indică faptul că, la câteva decenii de la introducerea lor, etichetele energetice ale UE prezintă în continuare un potențial mai mare de reducere a consumului de energie și pot contribui, de asemenea, la atingerea altor obiective de politică. Registrul de produse EPREL, care cuprinde toate produsele cu impact energetic prevăzute cu o etichetă energetică a UE, permite o mai mare transparență a pieței și un proces de elaborare a politicilor bazat pe date concrete. </w:t>
      </w:r>
      <w:bookmarkStart w:id="35" w:name="_Hlk229582002"/>
      <w:r>
        <w:rPr>
          <w:noProof/>
        </w:rPr>
        <w:t>Cu toate acestea, EPREL nu este încă la fel de cunoscut sau utilizat ca eticheta în sine și ar putea fi utilizat mai mult și pentru a sprijini conformitatea și supravegherea pieței. Modificările din propunerea omnibus prezentată în paralel cu prezentul raport vizează valorificarea mai eficientă a acestor oportunități, simplificând în același timp, acolo unde este posibil, procedurile pentru furnizori și comercianții cu amănuntul.</w:t>
      </w:r>
      <w:bookmarkEnd w:id="35"/>
    </w:p>
    <w:sectPr w:rsidR="00BC0055" w:rsidRPr="00D6681F">
      <w:headerReference w:type="even" r:id="rId45"/>
      <w:headerReference w:type="default" r:id="rId46"/>
      <w:footerReference w:type="even" r:id="rId47"/>
      <w:footerReference w:type="default" r:id="rId48"/>
      <w:headerReference w:type="first" r:id="rId49"/>
      <w:footerReference w:type="first" r:id="rId5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E82D6" w14:textId="77777777" w:rsidR="00CD1094" w:rsidRDefault="00CD1094">
      <w:pPr>
        <w:spacing w:after="0"/>
      </w:pPr>
      <w:r>
        <w:separator/>
      </w:r>
    </w:p>
  </w:endnote>
  <w:endnote w:type="continuationSeparator" w:id="0">
    <w:p w14:paraId="0B38503A" w14:textId="77777777" w:rsidR="00CD1094" w:rsidRDefault="00CD10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Roboto">
    <w:altName w:val="Times New Roman"/>
    <w:charset w:val="00"/>
    <w:family w:val="auto"/>
    <w:pitch w:val="variable"/>
    <w:sig w:usb0="00000001" w:usb1="5000217F" w:usb2="00000021" w:usb3="00000000" w:csb0="000001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A0975" w14:textId="60A5DE12" w:rsidR="00515CE2" w:rsidRPr="00515CE2" w:rsidRDefault="00515CE2" w:rsidP="00515CE2">
    <w:pPr>
      <w:pStyle w:val="FooterCoverPage"/>
      <w:rPr>
        <w:rFonts w:ascii="Arial" w:hAnsi="Arial" w:cs="Arial"/>
        <w:b/>
        <w:sz w:val="48"/>
      </w:rPr>
    </w:pPr>
    <w:r w:rsidRPr="00515CE2">
      <w:rPr>
        <w:rFonts w:ascii="Arial" w:hAnsi="Arial" w:cs="Arial"/>
        <w:b/>
        <w:sz w:val="48"/>
      </w:rPr>
      <w:t>RO</w:t>
    </w:r>
    <w:r w:rsidRPr="00515CE2">
      <w:rPr>
        <w:rFonts w:ascii="Arial" w:hAnsi="Arial" w:cs="Arial"/>
        <w:b/>
        <w:sz w:val="48"/>
      </w:rPr>
      <w:tab/>
    </w:r>
    <w:r w:rsidRPr="00515CE2">
      <w:rPr>
        <w:rFonts w:ascii="Arial" w:hAnsi="Arial" w:cs="Arial"/>
        <w:b/>
        <w:sz w:val="48"/>
      </w:rPr>
      <w:tab/>
    </w:r>
    <w:r w:rsidRPr="00515CE2">
      <w:tab/>
    </w:r>
    <w:r w:rsidRPr="00515CE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07594" w14:textId="0F3851B5" w:rsidR="00515CE2" w:rsidRPr="00515CE2" w:rsidRDefault="00515CE2" w:rsidP="00515CE2">
    <w:pPr>
      <w:pStyle w:val="FooterCoverPage"/>
      <w:rPr>
        <w:rFonts w:ascii="Arial" w:hAnsi="Arial" w:cs="Arial"/>
        <w:b/>
        <w:sz w:val="48"/>
      </w:rPr>
    </w:pPr>
    <w:r w:rsidRPr="00515CE2">
      <w:rPr>
        <w:rFonts w:ascii="Arial" w:hAnsi="Arial" w:cs="Arial"/>
        <w:b/>
        <w:sz w:val="48"/>
      </w:rPr>
      <w:t>RO</w:t>
    </w:r>
    <w:r w:rsidRPr="00515CE2">
      <w:rPr>
        <w:rFonts w:ascii="Arial" w:hAnsi="Arial" w:cs="Arial"/>
        <w:b/>
        <w:sz w:val="48"/>
      </w:rPr>
      <w:tab/>
    </w:r>
    <w:r w:rsidRPr="00515CE2">
      <w:rPr>
        <w:rFonts w:ascii="Arial" w:hAnsi="Arial" w:cs="Arial"/>
        <w:b/>
        <w:sz w:val="48"/>
      </w:rPr>
      <w:tab/>
    </w:r>
    <w:r w:rsidRPr="00515CE2">
      <w:tab/>
    </w:r>
    <w:r w:rsidRPr="00515CE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B8FA1" w14:textId="77777777" w:rsidR="00515CE2" w:rsidRPr="00515CE2" w:rsidRDefault="00515CE2" w:rsidP="00515C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20A24" w14:textId="77777777" w:rsidR="00E417BC" w:rsidRDefault="00E417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114198"/>
      <w:docPartObj>
        <w:docPartGallery w:val="Page Numbers (Bottom of Page)"/>
        <w:docPartUnique/>
      </w:docPartObj>
    </w:sdtPr>
    <w:sdtEndPr>
      <w:rPr>
        <w:noProof/>
      </w:rPr>
    </w:sdtEndPr>
    <w:sdtContent>
      <w:p w14:paraId="06FA7F40" w14:textId="166CE6B5" w:rsidR="00E12928" w:rsidRDefault="00E12928">
        <w:pPr>
          <w:pStyle w:val="Footer"/>
          <w:jc w:val="center"/>
        </w:pPr>
        <w:r>
          <w:fldChar w:fldCharType="begin"/>
        </w:r>
        <w:r>
          <w:instrText xml:space="preserve"> PAGE   \* MERGEFORMAT </w:instrText>
        </w:r>
        <w:r>
          <w:fldChar w:fldCharType="separate"/>
        </w:r>
        <w:r w:rsidR="00515CE2">
          <w:rPr>
            <w:noProof/>
          </w:rPr>
          <w:t>3</w:t>
        </w:r>
        <w:r>
          <w:fldChar w:fldCharType="end"/>
        </w:r>
      </w:p>
    </w:sdtContent>
  </w:sdt>
  <w:p w14:paraId="2823B07D" w14:textId="77777777" w:rsidR="00E417BC" w:rsidRDefault="00E417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EBF9" w14:textId="77777777" w:rsidR="00E417BC" w:rsidRDefault="00E4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8E021" w14:textId="77777777" w:rsidR="00CD1094" w:rsidRDefault="00CD1094">
      <w:pPr>
        <w:spacing w:after="0"/>
      </w:pPr>
      <w:r>
        <w:separator/>
      </w:r>
    </w:p>
  </w:footnote>
  <w:footnote w:type="continuationSeparator" w:id="0">
    <w:p w14:paraId="643D56CB" w14:textId="77777777" w:rsidR="00CD1094" w:rsidRDefault="00CD1094">
      <w:pPr>
        <w:spacing w:after="0"/>
      </w:pPr>
      <w:r>
        <w:continuationSeparator/>
      </w:r>
    </w:p>
  </w:footnote>
  <w:footnote w:id="1">
    <w:p w14:paraId="7B2EC780" w14:textId="5C0589F8" w:rsidR="002538AF" w:rsidRPr="00EF047A" w:rsidRDefault="392F964E" w:rsidP="002538AF">
      <w:pPr>
        <w:pStyle w:val="FootnoteText"/>
      </w:pPr>
      <w:r>
        <w:t>(</w:t>
      </w:r>
      <w:r>
        <w:rPr>
          <w:rStyle w:val="FootnoteReference"/>
        </w:rPr>
        <w:footnoteRef/>
      </w:r>
      <w:r>
        <w:t>)</w:t>
      </w:r>
      <w:r>
        <w:tab/>
        <w:t>Recomandarea 76/496/CEE a Consiliului din 4 mai 1976 privind utilizarea rațională a energiei pentru aparatele electrocasnice, JO L 140, 28.5.1976, p. 18.</w:t>
      </w:r>
    </w:p>
  </w:footnote>
  <w:footnote w:id="2">
    <w:p w14:paraId="4CA88325" w14:textId="77777777" w:rsidR="002538AF" w:rsidRPr="00E42EB8" w:rsidRDefault="392F964E" w:rsidP="002538AF">
      <w:pPr>
        <w:pStyle w:val="FootnoteText"/>
      </w:pPr>
      <w:r>
        <w:t>(</w:t>
      </w:r>
      <w:r>
        <w:rPr>
          <w:rStyle w:val="FootnoteReference"/>
        </w:rPr>
        <w:footnoteRef/>
      </w:r>
      <w:r>
        <w:t>) </w:t>
      </w:r>
      <w:r>
        <w:tab/>
      </w:r>
      <w:hyperlink r:id="rId1" w:anchor=":~:text=The%20Special%20Eurobarometer%20555%20is%20the%20second%20specific,12%20questions%20on%20a%20variety%20of%20energy-related%20topics." w:history="1">
        <w:r>
          <w:rPr>
            <w:color w:val="0000FF"/>
            <w:u w:val="single"/>
          </w:rPr>
          <w:t>Eurobarometru special 555, 2024</w:t>
        </w:r>
      </w:hyperlink>
      <w:r>
        <w:t>.</w:t>
      </w:r>
    </w:p>
  </w:footnote>
  <w:footnote w:id="3">
    <w:p w14:paraId="54C0D653" w14:textId="7AD1B660" w:rsidR="00407106" w:rsidRPr="00E42EB8" w:rsidRDefault="392F964E" w:rsidP="00407106">
      <w:pPr>
        <w:pStyle w:val="FootnoteText"/>
      </w:pPr>
      <w:r>
        <w:t>(</w:t>
      </w:r>
      <w:r>
        <w:rPr>
          <w:rStyle w:val="FootnoteReference"/>
        </w:rPr>
        <w:footnoteRef/>
      </w:r>
      <w:r>
        <w:t>) </w:t>
      </w:r>
      <w:r>
        <w:tab/>
      </w:r>
      <w:hyperlink r:id="rId2" w:history="1">
        <w:r>
          <w:rPr>
            <w:rStyle w:val="Hyperlink"/>
          </w:rPr>
          <w:t>https://energy-efficient-products.ec.europa.eu/product-list_en</w:t>
        </w:r>
      </w:hyperlink>
      <w:r>
        <w:t>.</w:t>
      </w:r>
    </w:p>
  </w:footnote>
  <w:footnote w:id="4">
    <w:p w14:paraId="17AAF311" w14:textId="5A4E7576" w:rsidR="005D186C" w:rsidRDefault="005D186C" w:rsidP="005D186C">
      <w:pPr>
        <w:pStyle w:val="FootnoteText"/>
      </w:pPr>
      <w:r>
        <w:t>(</w:t>
      </w:r>
      <w:r>
        <w:rPr>
          <w:rStyle w:val="FootnoteReference"/>
        </w:rPr>
        <w:footnoteRef/>
      </w:r>
      <w:r>
        <w:t>)</w:t>
      </w:r>
      <w:r>
        <w:tab/>
      </w:r>
      <w:r>
        <w:rPr>
          <w:i/>
        </w:rPr>
        <w:t>Ecodesign Impact Accounting 2025 Overview report</w:t>
      </w:r>
      <w:r>
        <w:t xml:space="preserve"> (Raport de sinteză din 2025 privind contabilizarea impactului proiectării ecologice), </w:t>
      </w:r>
      <w:hyperlink w:history="1">
        <w:r>
          <w:rPr>
            <w:rStyle w:val="Hyperlink"/>
          </w:rPr>
          <w:t>https://circabc.europa.eu/ui/group/418195ae-4919-45fa-a959-3b695c9aab28/library/c06608a7-9e47-4737-b0d2-da9aec097171/details</w:t>
        </w:r>
      </w:hyperlink>
      <w:r>
        <w:t xml:space="preserve">. </w:t>
      </w:r>
    </w:p>
  </w:footnote>
  <w:footnote w:id="5">
    <w:p w14:paraId="4D70CA7A" w14:textId="5A2218E2" w:rsidR="00704AC7" w:rsidRPr="00883F0F" w:rsidRDefault="392F964E" w:rsidP="00704AC7">
      <w:pPr>
        <w:pStyle w:val="FootnoteText"/>
      </w:pPr>
      <w:r>
        <w:rPr>
          <w:rStyle w:val="FootnoteReference"/>
          <w:vertAlign w:val="baseline"/>
        </w:rPr>
        <w:t>(5)</w:t>
      </w:r>
      <w:r>
        <w:tab/>
        <w:t>Regulamentul (UE) 2017/1369 al Parlamentului European și al Consiliului din 4 iulie 2017 de stabilire a unui cadru pentru etichetarea energetică și de abrogare a Directivei 2010/30/UE, JO L 198, 28.7.2017, p. 1.</w:t>
      </w:r>
    </w:p>
  </w:footnote>
  <w:footnote w:id="6">
    <w:p w14:paraId="0E20B9D9" w14:textId="2BE6A951" w:rsidR="00DF0DF8" w:rsidRPr="00B82535" w:rsidRDefault="392F964E" w:rsidP="00DF0DF8">
      <w:pPr>
        <w:pStyle w:val="FootnoteText"/>
      </w:pPr>
      <w:r>
        <w:t>(</w:t>
      </w:r>
      <w:r>
        <w:rPr>
          <w:rStyle w:val="FootnoteReference"/>
        </w:rPr>
        <w:footnoteRef/>
      </w:r>
      <w:r>
        <w:t xml:space="preserve">) </w:t>
      </w:r>
      <w:r>
        <w:tab/>
        <w:t xml:space="preserve">Comunicarea Comisiei </w:t>
      </w:r>
      <w:hyperlink r:id="rId3" w:history="1">
        <w:r>
          <w:rPr>
            <w:color w:val="0000FF"/>
            <w:u w:val="single"/>
          </w:rPr>
          <w:t>2020/C 182/02</w:t>
        </w:r>
      </w:hyperlink>
      <w:r>
        <w:t>, JO C 183, 2.6.2020.</w:t>
      </w:r>
    </w:p>
  </w:footnote>
  <w:footnote w:id="7">
    <w:p w14:paraId="18867687" w14:textId="77777777" w:rsidR="00DF0DF8" w:rsidRPr="00B82535" w:rsidRDefault="392F964E" w:rsidP="00DF0DF8">
      <w:pPr>
        <w:pStyle w:val="FootnoteText"/>
      </w:pPr>
      <w:r>
        <w:t>(</w:t>
      </w:r>
      <w:r>
        <w:rPr>
          <w:rStyle w:val="FootnoteReference"/>
        </w:rPr>
        <w:footnoteRef/>
      </w:r>
      <w:r>
        <w:t xml:space="preserve">) </w:t>
      </w:r>
      <w:r>
        <w:tab/>
      </w:r>
      <w:hyperlink r:id="rId4" w:history="1">
        <w:r>
          <w:rPr>
            <w:color w:val="0000FF"/>
            <w:u w:val="single"/>
          </w:rPr>
          <w:t>Cauza C-761/22</w:t>
        </w:r>
      </w:hyperlink>
      <w:r>
        <w:t>.</w:t>
      </w:r>
    </w:p>
  </w:footnote>
  <w:footnote w:id="8">
    <w:p w14:paraId="736204CE" w14:textId="0EFD21FC" w:rsidR="00803761" w:rsidRPr="00883F0F" w:rsidRDefault="392F964E" w:rsidP="00803761">
      <w:pPr>
        <w:pStyle w:val="FootnoteText"/>
      </w:pPr>
      <w:r>
        <w:t>(</w:t>
      </w:r>
      <w:r>
        <w:rPr>
          <w:rStyle w:val="FootnoteReference"/>
        </w:rPr>
        <w:footnoteRef/>
      </w:r>
      <w:r>
        <w:t xml:space="preserve">) </w:t>
      </w:r>
      <w:r>
        <w:tab/>
      </w:r>
      <w:hyperlink r:id="rId5" w:history="1">
        <w:r>
          <w:rPr>
            <w:rStyle w:val="Hyperlink"/>
          </w:rPr>
          <w:t>https://eprel.ec.europa.eu</w:t>
        </w:r>
      </w:hyperlink>
      <w:r>
        <w:t xml:space="preserve">. </w:t>
      </w:r>
    </w:p>
  </w:footnote>
  <w:footnote w:id="9">
    <w:p w14:paraId="46EF5525" w14:textId="52162F8E" w:rsidR="392F964E" w:rsidRPr="009E27D4" w:rsidRDefault="616097C2" w:rsidP="009E27D4">
      <w:pPr>
        <w:pStyle w:val="FootnoteText"/>
      </w:pPr>
      <w:r>
        <w:t>(</w:t>
      </w:r>
      <w:r>
        <w:rPr>
          <w:rStyle w:val="FootnoteReference"/>
        </w:rPr>
        <w:t>9</w:t>
      </w:r>
      <w:r>
        <w:t>)</w:t>
      </w:r>
      <w:r>
        <w:tab/>
      </w:r>
      <w:hyperlink r:id="rId6" w:history="1">
        <w:r>
          <w:rPr>
            <w:rStyle w:val="Hyperlink"/>
          </w:rPr>
          <w:t>Study on consumer understanding of the EU energy labels applied since 2011</w:t>
        </w:r>
      </w:hyperlink>
      <w:r>
        <w:t xml:space="preserve"> (Studiu privind înțelegerea de către consumatori a etichetelor energetice ale UE aplicate începând cu 2011).</w:t>
      </w:r>
    </w:p>
  </w:footnote>
  <w:footnote w:id="10">
    <w:p w14:paraId="1CF8C4A5" w14:textId="77777777" w:rsidR="006377A9" w:rsidRPr="0018442B" w:rsidRDefault="392F964E" w:rsidP="006377A9">
      <w:pPr>
        <w:pStyle w:val="FootnoteText"/>
      </w:pPr>
      <w:r>
        <w:t>(</w:t>
      </w:r>
      <w:r>
        <w:rPr>
          <w:rStyle w:val="FootnoteReference"/>
        </w:rPr>
        <w:footnoteRef/>
      </w:r>
      <w:r>
        <w:t xml:space="preserve">) </w:t>
      </w:r>
      <w:r>
        <w:tab/>
        <w:t xml:space="preserve">AT, BG, DE, DK, EE, IE, IT, LT, LV, NL, PT, SI, NO, IS. </w:t>
      </w:r>
    </w:p>
  </w:footnote>
  <w:footnote w:id="11">
    <w:p w14:paraId="0E9CA5FE" w14:textId="77777777" w:rsidR="006377A9" w:rsidRPr="0018442B" w:rsidRDefault="392F964E" w:rsidP="006377A9">
      <w:pPr>
        <w:pStyle w:val="FootnoteText"/>
      </w:pPr>
      <w:r>
        <w:t>(</w:t>
      </w:r>
      <w:r>
        <w:rPr>
          <w:rStyle w:val="FootnoteReference"/>
        </w:rPr>
        <w:footnoteRef/>
      </w:r>
      <w:r>
        <w:t xml:space="preserve">) </w:t>
      </w:r>
      <w:r>
        <w:tab/>
      </w:r>
      <w:hyperlink r:id="rId7" w:history="1">
        <w:r>
          <w:rPr>
            <w:color w:val="0000FF"/>
            <w:u w:val="single"/>
          </w:rPr>
          <w:t>Registrul grupurilor de experți ai Comisiei Europene</w:t>
        </w:r>
      </w:hyperlink>
      <w:r>
        <w:t>.</w:t>
      </w:r>
    </w:p>
  </w:footnote>
  <w:footnote w:id="12">
    <w:p w14:paraId="2A98AFA8" w14:textId="77777777" w:rsidR="006377A9" w:rsidRPr="00B82535" w:rsidRDefault="392F964E" w:rsidP="006377A9">
      <w:pPr>
        <w:pStyle w:val="FootnoteText"/>
      </w:pPr>
      <w:r>
        <w:t>(</w:t>
      </w:r>
      <w:r>
        <w:rPr>
          <w:rStyle w:val="FootnoteReference"/>
        </w:rPr>
        <w:footnoteRef/>
      </w:r>
      <w:r>
        <w:t xml:space="preserve">) </w:t>
      </w:r>
      <w:r>
        <w:tab/>
      </w:r>
      <w:hyperlink r:id="rId8" w:history="1">
        <w:r>
          <w:rPr>
            <w:color w:val="0000FF"/>
            <w:u w:val="single"/>
          </w:rPr>
          <w:t>Lista grupurilor de cooperare administrativă</w:t>
        </w:r>
      </w:hyperlink>
      <w:r>
        <w:t>.</w:t>
      </w:r>
    </w:p>
  </w:footnote>
  <w:footnote w:id="13">
    <w:p w14:paraId="3E978437" w14:textId="77777777" w:rsidR="006377A9" w:rsidRPr="00686D1B" w:rsidRDefault="392F964E" w:rsidP="006377A9">
      <w:pPr>
        <w:pStyle w:val="FootnoteText"/>
      </w:pPr>
      <w:r>
        <w:t>(</w:t>
      </w:r>
      <w:r>
        <w:rPr>
          <w:rStyle w:val="FootnoteReference"/>
        </w:rPr>
        <w:footnoteRef/>
      </w:r>
      <w:r>
        <w:t xml:space="preserve">) </w:t>
      </w:r>
      <w:r>
        <w:tab/>
        <w:t xml:space="preserve">APPLiA, Europa digitală, EHI, EHPA, EPEE, EuroCommerce, Lighting Europe. </w:t>
      </w:r>
    </w:p>
  </w:footnote>
  <w:footnote w:id="14">
    <w:p w14:paraId="56FADAA8" w14:textId="06C9896A" w:rsidR="392F964E" w:rsidRDefault="00C40A93" w:rsidP="392F964E">
      <w:pPr>
        <w:pStyle w:val="FootnoteText"/>
      </w:pPr>
      <w:r>
        <w:t>(</w:t>
      </w:r>
      <w:r>
        <w:rPr>
          <w:rStyle w:val="FootnoteReference"/>
        </w:rPr>
        <w:footnoteRef/>
      </w:r>
      <w:r>
        <w:t xml:space="preserve">) </w:t>
      </w:r>
      <w:r>
        <w:tab/>
      </w:r>
      <w:hyperlink r:id="rId9">
        <w:r>
          <w:rPr>
            <w:rStyle w:val="Hyperlink"/>
          </w:rPr>
          <w:t>ICSMS</w:t>
        </w:r>
      </w:hyperlink>
      <w:r>
        <w:t>.</w:t>
      </w:r>
    </w:p>
  </w:footnote>
  <w:footnote w:id="15">
    <w:p w14:paraId="45C93C81" w14:textId="5BD048AC" w:rsidR="00BC0055" w:rsidRPr="00CF4013" w:rsidRDefault="00BC0055" w:rsidP="00CF4013">
      <w:pPr>
        <w:spacing w:after="120"/>
        <w:ind w:left="360" w:hanging="360"/>
        <w:rPr>
          <w:sz w:val="20"/>
          <w:shd w:val="clear" w:color="auto" w:fill="FFFFFF"/>
        </w:rPr>
      </w:pPr>
      <w:r>
        <w:rPr>
          <w:sz w:val="20"/>
        </w:rPr>
        <w:t>(</w:t>
      </w:r>
      <w:r>
        <w:rPr>
          <w:rStyle w:val="FootnoteReference"/>
          <w:sz w:val="20"/>
        </w:rPr>
        <w:footnoteRef/>
      </w:r>
      <w:r>
        <w:rPr>
          <w:sz w:val="20"/>
        </w:rPr>
        <w:t>) </w:t>
      </w:r>
      <w:r>
        <w:tab/>
      </w:r>
      <w:r>
        <w:rPr>
          <w:sz w:val="20"/>
          <w:shd w:val="clear" w:color="auto" w:fill="FFFFFF"/>
        </w:rPr>
        <w:t>Aceste termene ar trebui considerate ca venind în completarea datelor de revizuire la fiecare cinci ani stabilite în actele delegate pentru fiecare produs.</w:t>
      </w:r>
    </w:p>
  </w:footnote>
  <w:footnote w:id="16">
    <w:p w14:paraId="54230557" w14:textId="468F64C2" w:rsidR="00BC0055" w:rsidRPr="00CF4013" w:rsidRDefault="00BC0055" w:rsidP="00CF4013">
      <w:pPr>
        <w:pStyle w:val="FootnoteText"/>
      </w:pPr>
      <w:r>
        <w:t>(</w:t>
      </w:r>
      <w:r>
        <w:rPr>
          <w:rStyle w:val="FootnoteReference"/>
        </w:rPr>
        <w:footnoteRef/>
      </w:r>
      <w:r>
        <w:t>) </w:t>
      </w:r>
      <w:r>
        <w:tab/>
      </w:r>
      <w:r>
        <w:rPr>
          <w:shd w:val="clear" w:color="auto" w:fill="FFFFFF"/>
        </w:rPr>
        <w:t xml:space="preserve">Eticheta reclasificată pentru produsele de iluminat a fost expusă în magazine începând cu 1 septembrie 2021. </w:t>
      </w:r>
    </w:p>
  </w:footnote>
  <w:footnote w:id="17">
    <w:p w14:paraId="5E90CAB2" w14:textId="77777777" w:rsidR="00BC0055" w:rsidRPr="00874A82" w:rsidRDefault="392F964E" w:rsidP="00CF4013">
      <w:pPr>
        <w:pStyle w:val="FootnoteText"/>
      </w:pPr>
      <w:r>
        <w:t>(</w:t>
      </w:r>
      <w:r>
        <w:rPr>
          <w:rStyle w:val="FootnoteReference"/>
        </w:rPr>
        <w:footnoteRef/>
      </w:r>
      <w:r>
        <w:t>) </w:t>
      </w:r>
      <w:r>
        <w:tab/>
      </w:r>
      <w:hyperlink r:id="rId10" w:history="1">
        <w:r>
          <w:rPr>
            <w:color w:val="0000FF"/>
            <w:u w:val="single"/>
          </w:rPr>
          <w:t>Regulamentul (UE) 2021/340</w:t>
        </w:r>
      </w:hyperlink>
      <w:r>
        <w:t>.</w:t>
      </w:r>
    </w:p>
  </w:footnote>
  <w:footnote w:id="18">
    <w:p w14:paraId="73BD04AC" w14:textId="77777777" w:rsidR="00BC0055" w:rsidRPr="00874A82" w:rsidRDefault="392F964E" w:rsidP="00D6681F">
      <w:pPr>
        <w:pStyle w:val="FootnoteText"/>
      </w:pPr>
      <w:r>
        <w:t>(</w:t>
      </w:r>
      <w:r>
        <w:rPr>
          <w:rStyle w:val="FootnoteReference"/>
        </w:rPr>
        <w:footnoteRef/>
      </w:r>
      <w:r>
        <w:t>) </w:t>
      </w:r>
      <w:r>
        <w:tab/>
      </w:r>
      <w:hyperlink r:id="rId11" w:history="1">
        <w:r>
          <w:rPr>
            <w:color w:val="0000FF"/>
            <w:u w:val="single"/>
          </w:rPr>
          <w:t>Cauza T-544/13</w:t>
        </w:r>
      </w:hyperlink>
      <w:r>
        <w:t>.</w:t>
      </w:r>
    </w:p>
  </w:footnote>
  <w:footnote w:id="19">
    <w:p w14:paraId="35693DE9" w14:textId="77777777" w:rsidR="00BC0055" w:rsidRPr="00874A82" w:rsidRDefault="392F964E" w:rsidP="00D6681F">
      <w:pPr>
        <w:pStyle w:val="FootnoteText"/>
      </w:pPr>
      <w:r>
        <w:t>(</w:t>
      </w:r>
      <w:r>
        <w:rPr>
          <w:rStyle w:val="FootnoteReference"/>
        </w:rPr>
        <w:footnoteRef/>
      </w:r>
      <w:r>
        <w:t>) </w:t>
      </w:r>
      <w:r>
        <w:tab/>
      </w:r>
      <w:hyperlink r:id="rId12" w:history="1">
        <w:r>
          <w:rPr>
            <w:color w:val="0000FF"/>
            <w:u w:val="single"/>
          </w:rPr>
          <w:t>LABEL2020</w:t>
        </w:r>
      </w:hyperlink>
      <w:r>
        <w:t>.</w:t>
      </w:r>
    </w:p>
  </w:footnote>
  <w:footnote w:id="20">
    <w:p w14:paraId="2178DE33" w14:textId="77777777" w:rsidR="00BC0055" w:rsidRPr="00874A82" w:rsidRDefault="392F964E" w:rsidP="00D6681F">
      <w:pPr>
        <w:pStyle w:val="FootnoteText"/>
      </w:pPr>
      <w:r>
        <w:t>(</w:t>
      </w:r>
      <w:r>
        <w:rPr>
          <w:rStyle w:val="FootnoteReference"/>
        </w:rPr>
        <w:footnoteRef/>
      </w:r>
      <w:r>
        <w:t>)</w:t>
      </w:r>
      <w:r>
        <w:tab/>
      </w:r>
      <w:hyperlink r:id="rId13" w:history="1">
        <w:r>
          <w:rPr>
            <w:color w:val="0000FF"/>
            <w:u w:val="single"/>
          </w:rPr>
          <w:t>BELT</w:t>
        </w:r>
      </w:hyperlink>
      <w:r>
        <w:t>.</w:t>
      </w:r>
    </w:p>
  </w:footnote>
  <w:footnote w:id="21">
    <w:p w14:paraId="34F11A1A" w14:textId="77777777" w:rsidR="00BC0055" w:rsidRPr="00874A82" w:rsidRDefault="392F964E" w:rsidP="00D6681F">
      <w:pPr>
        <w:pStyle w:val="FootnoteText"/>
      </w:pPr>
      <w:r>
        <w:t>(</w:t>
      </w:r>
      <w:r>
        <w:rPr>
          <w:rStyle w:val="FootnoteReference"/>
        </w:rPr>
        <w:footnoteRef/>
      </w:r>
      <w:r>
        <w:t>) </w:t>
      </w:r>
      <w:r>
        <w:tab/>
      </w:r>
      <w:hyperlink r:id="rId14" w:history="1">
        <w:r>
          <w:rPr>
            <w:rStyle w:val="Hyperlink"/>
          </w:rPr>
          <w:t>https://www.product-compliance-services.eu</w:t>
        </w:r>
      </w:hyperlink>
      <w:r>
        <w:t>.</w:t>
      </w:r>
    </w:p>
  </w:footnote>
  <w:footnote w:id="22">
    <w:p w14:paraId="38BFBFB9" w14:textId="77777777" w:rsidR="00CA0789" w:rsidRPr="00874A82" w:rsidRDefault="392F964E" w:rsidP="00CA0789">
      <w:pPr>
        <w:pStyle w:val="FootnoteText"/>
      </w:pPr>
      <w:r>
        <w:t>(</w:t>
      </w:r>
      <w:r>
        <w:rPr>
          <w:rStyle w:val="FootnoteReference"/>
        </w:rPr>
        <w:footnoteRef/>
      </w:r>
      <w:r>
        <w:t>) </w:t>
      </w:r>
      <w:r>
        <w:tab/>
      </w:r>
      <w:hyperlink r:id="rId15" w:history="1">
        <w:r>
          <w:rPr>
            <w:rStyle w:val="Hyperlink"/>
          </w:rPr>
          <w:t>https://energy-efficient-products.ec.europa.eu/</w:t>
        </w:r>
      </w:hyperlink>
      <w:r>
        <w:t>.</w:t>
      </w:r>
    </w:p>
  </w:footnote>
  <w:footnote w:id="23">
    <w:p w14:paraId="20832D8A" w14:textId="77777777" w:rsidR="00BC0055" w:rsidRPr="00405D31" w:rsidRDefault="392F964E" w:rsidP="00D6681F">
      <w:pPr>
        <w:pStyle w:val="FootnoteText"/>
      </w:pPr>
      <w:r>
        <w:t>(</w:t>
      </w:r>
      <w:r>
        <w:rPr>
          <w:rStyle w:val="FootnoteReference"/>
        </w:rPr>
        <w:footnoteRef/>
      </w:r>
      <w:r>
        <w:t xml:space="preserve">) </w:t>
      </w:r>
      <w:r>
        <w:tab/>
      </w:r>
      <w:hyperlink r:id="rId16" w:anchor=":~:text=(1)%20In%20line%20with%20Article,Member%20State%20market%20surveillance%20authorities." w:history="1">
        <w:r>
          <w:rPr>
            <w:color w:val="0000FF"/>
            <w:u w:val="single"/>
          </w:rPr>
          <w:t>Regulamentul de punere în aplicare (UE) 2024/994</w:t>
        </w:r>
      </w:hyperlink>
      <w:r>
        <w:t>.</w:t>
      </w:r>
    </w:p>
  </w:footnote>
  <w:footnote w:id="24">
    <w:p w14:paraId="6376D5A8" w14:textId="4103FACC" w:rsidR="00BC0055" w:rsidRPr="007769E0" w:rsidRDefault="392F964E" w:rsidP="00D6681F">
      <w:pPr>
        <w:pStyle w:val="FootnoteText"/>
      </w:pPr>
      <w:r>
        <w:t>(</w:t>
      </w:r>
      <w:r>
        <w:rPr>
          <w:rStyle w:val="FootnoteReference"/>
        </w:rPr>
        <w:footnoteRef/>
      </w:r>
      <w:r>
        <w:t xml:space="preserve">) </w:t>
      </w:r>
      <w:r>
        <w:tab/>
      </w:r>
      <w:r>
        <w:rPr>
          <w:shd w:val="clear" w:color="auto" w:fill="FFFFFF"/>
        </w:rPr>
        <w:t>Până în prezent, au fost furnizate aproximativ 1 000 de chei API, în principal comercianților (54 %), dar și furnizorilor, cercetătorilor, motoarelor de căutare etc.</w:t>
      </w:r>
    </w:p>
  </w:footnote>
  <w:footnote w:id="25">
    <w:p w14:paraId="60EF75A8" w14:textId="77777777" w:rsidR="00BC0055" w:rsidRPr="00931D8A" w:rsidRDefault="00BC0055" w:rsidP="00082C74">
      <w:pPr>
        <w:pStyle w:val="FootnoteText"/>
      </w:pPr>
      <w:r>
        <w:t>(</w:t>
      </w:r>
      <w:r>
        <w:rPr>
          <w:rStyle w:val="FootnoteReference"/>
        </w:rPr>
        <w:footnoteRef/>
      </w:r>
      <w:r>
        <w:t xml:space="preserve">) </w:t>
      </w:r>
      <w:r>
        <w:tab/>
      </w:r>
      <w:hyperlink r:id="rId17" w:history="1">
        <w:r>
          <w:rPr>
            <w:rStyle w:val="Hyperlink"/>
          </w:rPr>
          <w:t>https://www.regulations.doe.gov/ccms</w:t>
        </w:r>
      </w:hyperlink>
      <w:r>
        <w:t xml:space="preserve">;  </w:t>
      </w:r>
      <w:hyperlink r:id="rId18" w:history="1">
        <w:r>
          <w:rPr>
            <w:rStyle w:val="Hyperlink"/>
          </w:rPr>
          <w:t>https://www.energystar.gov/products</w:t>
        </w:r>
      </w:hyperlink>
      <w:r>
        <w:t>.</w:t>
      </w:r>
    </w:p>
  </w:footnote>
  <w:footnote w:id="26">
    <w:p w14:paraId="5D818FE3" w14:textId="77777777" w:rsidR="00BC0055" w:rsidRPr="00931D8A" w:rsidRDefault="00BC0055" w:rsidP="00082C74">
      <w:pPr>
        <w:pStyle w:val="FootnoteText"/>
      </w:pPr>
      <w:r>
        <w:t>(</w:t>
      </w:r>
      <w:r>
        <w:rPr>
          <w:rStyle w:val="FootnoteReference"/>
        </w:rPr>
        <w:footnoteRef/>
      </w:r>
      <w:r>
        <w:t xml:space="preserve">) </w:t>
      </w:r>
      <w:r>
        <w:tab/>
      </w:r>
      <w:hyperlink r:id="rId19" w:history="1">
        <w:r>
          <w:rPr>
            <w:rStyle w:val="Hyperlink"/>
          </w:rPr>
          <w:t>https://www.energylabel.com.cn/</w:t>
        </w:r>
      </w:hyperlink>
      <w:r>
        <w:t>.</w:t>
      </w:r>
    </w:p>
  </w:footnote>
  <w:footnote w:id="27">
    <w:p w14:paraId="4E79D9D8" w14:textId="77777777" w:rsidR="00BC0055" w:rsidRPr="00B82535" w:rsidRDefault="00BC0055" w:rsidP="00082C74">
      <w:pPr>
        <w:pStyle w:val="FootnoteText"/>
      </w:pPr>
      <w:r>
        <w:t>(</w:t>
      </w:r>
      <w:r>
        <w:rPr>
          <w:rStyle w:val="FootnoteReference"/>
        </w:rPr>
        <w:footnoteRef/>
      </w:r>
      <w:r>
        <w:t>)</w:t>
      </w:r>
      <w:r>
        <w:tab/>
      </w:r>
      <w:hyperlink r:id="rId20" w:history="1">
        <w:r>
          <w:rPr>
            <w:color w:val="0000FF"/>
            <w:u w:val="single"/>
          </w:rPr>
          <w:t>Searchable product list |</w:t>
        </w:r>
      </w:hyperlink>
      <w:hyperlink r:id="rId21" w:history="1">
        <w:r>
          <w:rPr>
            <w:color w:val="0000FF"/>
            <w:u w:val="single"/>
          </w:rPr>
          <w:t xml:space="preserve"> Natural Resources Canada</w:t>
        </w:r>
      </w:hyperlink>
      <w:r>
        <w:t xml:space="preserve"> (Listă de produse cu funcție de căutare | Resurse naturale în Canada).</w:t>
      </w:r>
    </w:p>
  </w:footnote>
  <w:footnote w:id="28">
    <w:p w14:paraId="33A72044" w14:textId="77777777" w:rsidR="00BC0055" w:rsidRPr="00B82535" w:rsidRDefault="00BC0055" w:rsidP="00082C74">
      <w:pPr>
        <w:pStyle w:val="FootnoteText"/>
      </w:pPr>
      <w:r>
        <w:t>(</w:t>
      </w:r>
      <w:r>
        <w:rPr>
          <w:rStyle w:val="FootnoteReference"/>
        </w:rPr>
        <w:footnoteRef/>
      </w:r>
      <w:r>
        <w:t>)</w:t>
      </w:r>
      <w:r>
        <w:tab/>
      </w:r>
      <w:hyperlink r:id="rId22" w:history="1">
        <w:r>
          <w:rPr>
            <w:color w:val="0000FF"/>
            <w:u w:val="single"/>
          </w:rPr>
          <w:t>Energy Rating - Search the Registration Database</w:t>
        </w:r>
      </w:hyperlink>
      <w:r>
        <w:t xml:space="preserve"> (Clasificarea energetică – Căutare în baza de date a înregistrărilor).</w:t>
      </w:r>
    </w:p>
  </w:footnote>
  <w:footnote w:id="29">
    <w:p w14:paraId="2D8DA0A7" w14:textId="77777777" w:rsidR="00BC0055" w:rsidRPr="00B82535" w:rsidRDefault="00BC0055" w:rsidP="00082C74">
      <w:pPr>
        <w:pStyle w:val="FootnoteText"/>
        <w:rPr>
          <w:rStyle w:val="Hyperlink"/>
        </w:rPr>
      </w:pPr>
      <w:r>
        <w:rPr>
          <w:rStyle w:val="Hyperlink"/>
        </w:rPr>
        <w:t>(</w:t>
      </w:r>
      <w:r>
        <w:rPr>
          <w:rStyle w:val="FootnoteReference"/>
        </w:rPr>
        <w:footnoteRef/>
      </w:r>
      <w:r>
        <w:rPr>
          <w:rStyle w:val="Hyperlink"/>
        </w:rPr>
        <w:t>) </w:t>
      </w:r>
      <w:r>
        <w:tab/>
      </w:r>
      <w:hyperlink r:id="rId23" w:history="1">
        <w:r>
          <w:rPr>
            <w:rStyle w:val="Hyperlink"/>
          </w:rPr>
          <w:t>SWD(2012) 329</w:t>
        </w:r>
      </w:hyperlink>
      <w:r>
        <w:t>.</w:t>
      </w:r>
    </w:p>
  </w:footnote>
  <w:footnote w:id="30">
    <w:p w14:paraId="2D58F93E" w14:textId="77777777" w:rsidR="00BC0055" w:rsidRPr="00B82535" w:rsidRDefault="00BC0055" w:rsidP="00082C74">
      <w:pPr>
        <w:pStyle w:val="FootnoteText"/>
      </w:pPr>
      <w:r>
        <w:t>(</w:t>
      </w:r>
      <w:r>
        <w:rPr>
          <w:rStyle w:val="FootnoteReference"/>
        </w:rPr>
        <w:footnoteRef/>
      </w:r>
      <w:r>
        <w:t xml:space="preserve">) </w:t>
      </w:r>
      <w:r>
        <w:tab/>
        <w:t>„Analysis for the EPREL services project funded under LIFE” (Analiză privind proiectul de servicii EPREL finanțat în cadrul programului LIFE), mai 2025 (nepublicată).</w:t>
      </w:r>
    </w:p>
  </w:footnote>
  <w:footnote w:id="31">
    <w:p w14:paraId="048B6A7A" w14:textId="77777777" w:rsidR="00BC0055" w:rsidRPr="000F46D2" w:rsidRDefault="00BC0055" w:rsidP="00D6681F">
      <w:pPr>
        <w:pStyle w:val="FootnoteText"/>
      </w:pPr>
      <w:r>
        <w:t>(</w:t>
      </w:r>
      <w:r>
        <w:rPr>
          <w:rStyle w:val="FootnoteReference"/>
        </w:rPr>
        <w:footnoteRef/>
      </w:r>
      <w:r>
        <w:t>) </w:t>
      </w:r>
      <w:r>
        <w:tab/>
        <w:t>Certificarea de către terți este obligatorie pentru cazane.</w:t>
      </w:r>
    </w:p>
  </w:footnote>
  <w:footnote w:id="32">
    <w:p w14:paraId="73806C09" w14:textId="77777777" w:rsidR="00BC0055" w:rsidRPr="000F46D2" w:rsidRDefault="00BC0055" w:rsidP="00D6681F">
      <w:pPr>
        <w:pStyle w:val="FootnoteText"/>
      </w:pPr>
      <w:r>
        <w:t>(</w:t>
      </w:r>
      <w:r>
        <w:rPr>
          <w:rStyle w:val="FootnoteReference"/>
        </w:rPr>
        <w:footnoteRef/>
      </w:r>
      <w:r>
        <w:t>) </w:t>
      </w:r>
      <w:r>
        <w:tab/>
      </w:r>
      <w:hyperlink r:id="rId24" w:anchor=":~:text=Page%20Image-,Special%20Report%2001%2F2020%3A%20EU%20action%20on%20Ecodesign%20and%20Energy,significant%20delays%20and%20non%2Dcompliance&amp;amp;text=The%20Ecodesign%20legislation%20works%20by,for%20household%20and%20industrial%20products." w:history="1">
        <w:r>
          <w:rPr>
            <w:rStyle w:val="Hyperlink"/>
          </w:rPr>
          <w:t>Raportul special 01/2020</w:t>
        </w:r>
      </w:hyperlink>
      <w:r>
        <w:t>.</w:t>
      </w:r>
    </w:p>
  </w:footnote>
  <w:footnote w:id="33">
    <w:p w14:paraId="20BD8B6F" w14:textId="73D91F65" w:rsidR="00BC0055" w:rsidRPr="000F46D2" w:rsidRDefault="00BC0055" w:rsidP="00D6681F">
      <w:pPr>
        <w:pStyle w:val="FootnoteText"/>
      </w:pPr>
      <w:r>
        <w:rPr>
          <w:rStyle w:val="Hyperlink"/>
        </w:rPr>
        <w:t>(</w:t>
      </w:r>
      <w:r>
        <w:rPr>
          <w:rStyle w:val="FootnoteReference"/>
        </w:rPr>
        <w:footnoteRef/>
      </w:r>
      <w:r>
        <w:rPr>
          <w:rStyle w:val="Hyperlink"/>
        </w:rPr>
        <w:t>)</w:t>
      </w:r>
      <w:r>
        <w:tab/>
      </w:r>
      <w:hyperlink r:id="rId25" w:history="1">
        <w:r>
          <w:rPr>
            <w:rStyle w:val="Hyperlink"/>
          </w:rPr>
          <w:t>EEPLIANT3_Public_Report_Final.pdf</w:t>
        </w:r>
      </w:hyperlink>
      <w:r>
        <w:t>.</w:t>
      </w:r>
    </w:p>
  </w:footnote>
  <w:footnote w:id="34">
    <w:p w14:paraId="229AE609" w14:textId="77777777" w:rsidR="00BC0055" w:rsidRPr="000F46D2" w:rsidRDefault="00BC0055" w:rsidP="00D6681F">
      <w:pPr>
        <w:pStyle w:val="FootnoteText"/>
      </w:pPr>
      <w:r>
        <w:t>(</w:t>
      </w:r>
      <w:r>
        <w:rPr>
          <w:rStyle w:val="FootnoteReference"/>
        </w:rPr>
        <w:footnoteRef/>
      </w:r>
      <w:r>
        <w:t xml:space="preserve">) </w:t>
      </w:r>
      <w:r>
        <w:tab/>
        <w:t xml:space="preserve">Aparate de climatizare, aparate de iluminat, uscătoare de rufe cu tambur, instalații pentru încălzirea apei, instalații pentru încălzirea incintelor și ventilatoare. </w:t>
      </w:r>
    </w:p>
  </w:footnote>
  <w:footnote w:id="35">
    <w:p w14:paraId="42E915F8" w14:textId="77777777" w:rsidR="392F964E" w:rsidRDefault="392F964E" w:rsidP="392F964E">
      <w:pPr>
        <w:pStyle w:val="FootnoteText"/>
      </w:pPr>
      <w:r>
        <w:t>(</w:t>
      </w:r>
      <w:r>
        <w:rPr>
          <w:rStyle w:val="FootnoteReference"/>
        </w:rPr>
        <w:footnoteRef/>
      </w:r>
      <w:r>
        <w:t>) </w:t>
      </w:r>
      <w:r>
        <w:tab/>
      </w:r>
      <w:hyperlink r:id="rId26">
        <w:r>
          <w:rPr>
            <w:rStyle w:val="Hyperlink"/>
          </w:rPr>
          <w:t>Online shopping study - CLASP</w:t>
        </w:r>
      </w:hyperlink>
      <w:r>
        <w:t xml:space="preserve"> (Studiu privind cumpărăturile online).</w:t>
      </w:r>
    </w:p>
  </w:footnote>
  <w:footnote w:id="36">
    <w:p w14:paraId="29B71DAF" w14:textId="77777777" w:rsidR="00BC0055" w:rsidRPr="00B82535" w:rsidRDefault="00BC0055" w:rsidP="00D6681F">
      <w:pPr>
        <w:pStyle w:val="FootnoteText"/>
      </w:pPr>
      <w:r>
        <w:t>(</w:t>
      </w:r>
      <w:r>
        <w:rPr>
          <w:rStyle w:val="FootnoteReference"/>
        </w:rPr>
        <w:footnoteRef/>
      </w:r>
      <w:r>
        <w:t xml:space="preserve">) </w:t>
      </w:r>
      <w:r>
        <w:tab/>
        <w:t>Controalele aprofundate sunt înțelese ca incluzând controale de laborator și verificări ale documentelor cu scopul de a evalua dacă un produs este conform.</w:t>
      </w:r>
    </w:p>
  </w:footnote>
  <w:footnote w:id="37">
    <w:p w14:paraId="70FA9A3D" w14:textId="77777777" w:rsidR="00BC0055" w:rsidRPr="00B82535" w:rsidRDefault="00BC0055" w:rsidP="00D6681F">
      <w:pPr>
        <w:pStyle w:val="FootnoteText"/>
      </w:pPr>
      <w:r>
        <w:t>(</w:t>
      </w:r>
      <w:r>
        <w:rPr>
          <w:rStyle w:val="FootnoteReference"/>
        </w:rPr>
        <w:footnoteRef/>
      </w:r>
      <w:r>
        <w:t xml:space="preserve">) </w:t>
      </w:r>
      <w:r>
        <w:tab/>
      </w:r>
      <w:hyperlink r:id="rId27" w:history="1">
        <w:r>
          <w:rPr>
            <w:rStyle w:val="Hyperlink"/>
          </w:rPr>
          <w:t>Decizia de punere în aplicare (UE) 2024/1456 a Comisiei</w:t>
        </w:r>
      </w:hyperlink>
      <w:r>
        <w:t>.</w:t>
      </w:r>
    </w:p>
  </w:footnote>
  <w:footnote w:id="38">
    <w:p w14:paraId="58FC03EE" w14:textId="77777777" w:rsidR="00BC0055" w:rsidRPr="00B82535" w:rsidRDefault="00BC0055" w:rsidP="00D6681F">
      <w:pPr>
        <w:pStyle w:val="FootnoteText"/>
      </w:pPr>
      <w:r>
        <w:t>(</w:t>
      </w:r>
      <w:r>
        <w:rPr>
          <w:rStyle w:val="FootnoteReference"/>
        </w:rPr>
        <w:footnoteRef/>
      </w:r>
      <w:r>
        <w:t xml:space="preserve">) </w:t>
      </w:r>
      <w:r>
        <w:tab/>
      </w:r>
      <w:hyperlink r:id="rId28" w:history="1">
        <w:r>
          <w:rPr>
            <w:rStyle w:val="Hyperlink"/>
          </w:rPr>
          <w:t>Eticheta unificată a apei</w:t>
        </w:r>
      </w:hyperlink>
      <w:r>
        <w:t>.</w:t>
      </w:r>
    </w:p>
  </w:footnote>
  <w:footnote w:id="39">
    <w:p w14:paraId="23114E1F" w14:textId="77777777" w:rsidR="00421623" w:rsidRPr="00F56993" w:rsidRDefault="392F964E" w:rsidP="00421623">
      <w:pPr>
        <w:pStyle w:val="FootnoteText"/>
      </w:pPr>
      <w:r>
        <w:t>(</w:t>
      </w:r>
      <w:r>
        <w:rPr>
          <w:rStyle w:val="FootnoteReference"/>
        </w:rPr>
        <w:footnoteRef/>
      </w:r>
      <w:r>
        <w:t>) </w:t>
      </w:r>
      <w:r>
        <w:tab/>
      </w:r>
      <w:hyperlink r:id="rId29" w:history="1">
        <w:r>
          <w:rPr>
            <w:color w:val="0000FF"/>
            <w:u w:val="single"/>
          </w:rPr>
          <w:t>Directiva (UE) 2023/1791</w:t>
        </w:r>
      </w:hyperlink>
      <w:r>
        <w:t>.</w:t>
      </w:r>
    </w:p>
  </w:footnote>
  <w:footnote w:id="40">
    <w:p w14:paraId="3D2A7854" w14:textId="77777777" w:rsidR="00767483" w:rsidRPr="00F56993" w:rsidRDefault="392F964E" w:rsidP="00767483">
      <w:pPr>
        <w:pStyle w:val="FootnoteText"/>
      </w:pPr>
      <w:r>
        <w:t>(</w:t>
      </w:r>
      <w:r>
        <w:rPr>
          <w:rStyle w:val="FootnoteReference"/>
        </w:rPr>
        <w:footnoteRef/>
      </w:r>
      <w:r>
        <w:t>) </w:t>
      </w:r>
      <w:r>
        <w:tab/>
      </w:r>
      <w:hyperlink r:id="rId30" w:history="1">
        <w:r>
          <w:rPr>
            <w:rStyle w:val="Hyperlink"/>
          </w:rPr>
          <w:t>Regulamentul (UE) 2023/2486</w:t>
        </w:r>
      </w:hyperlink>
      <w:r>
        <w:t>.</w:t>
      </w:r>
    </w:p>
  </w:footnote>
  <w:footnote w:id="41">
    <w:p w14:paraId="03E546B4" w14:textId="77777777" w:rsidR="00E5565C" w:rsidRPr="00F56993" w:rsidRDefault="392F964E" w:rsidP="00E5565C">
      <w:pPr>
        <w:pStyle w:val="FootnoteText"/>
      </w:pPr>
      <w:r>
        <w:t>(</w:t>
      </w:r>
      <w:r>
        <w:rPr>
          <w:rStyle w:val="FootnoteReference"/>
        </w:rPr>
        <w:footnoteRef/>
      </w:r>
      <w:r>
        <w:t>)</w:t>
      </w:r>
      <w:r>
        <w:tab/>
      </w:r>
      <w:hyperlink r:id="rId31" w:history="1">
        <w:r>
          <w:rPr>
            <w:color w:val="0000FF"/>
            <w:u w:val="single"/>
          </w:rPr>
          <w:t>Directiva (UE) 2022/542 a Consiliului</w:t>
        </w:r>
      </w:hyperlink>
      <w:r>
        <w:t>.</w:t>
      </w:r>
    </w:p>
  </w:footnote>
  <w:footnote w:id="42">
    <w:p w14:paraId="59E5026B" w14:textId="0DF6D712" w:rsidR="0020627E" w:rsidRPr="00F56993" w:rsidRDefault="00F87798">
      <w:pPr>
        <w:pStyle w:val="FootnoteText"/>
      </w:pPr>
      <w:r>
        <w:t>(</w:t>
      </w:r>
      <w:r>
        <w:rPr>
          <w:rStyle w:val="FootnoteReference"/>
        </w:rPr>
        <w:footnoteRef/>
      </w:r>
      <w:r>
        <w:t>)</w:t>
      </w:r>
      <w:r>
        <w:tab/>
      </w:r>
      <w:hyperlink r:id="rId32" w:anchor="what-does-significantly-populated-mean" w:history="1">
        <w:r>
          <w:rPr>
            <w:rStyle w:val="Hyperlink"/>
          </w:rPr>
          <w:t>https://energy-efficient-products.ec.europa.eu/consumers_en#what-does-significantly-populated-mean</w:t>
        </w:r>
      </w:hyperlink>
      <w:r>
        <w:t xml:space="preserve">. </w:t>
      </w:r>
    </w:p>
  </w:footnote>
  <w:footnote w:id="43">
    <w:p w14:paraId="7CDBD526" w14:textId="77777777" w:rsidR="00360BCA" w:rsidRPr="00B82535" w:rsidRDefault="392F964E" w:rsidP="00360BCA">
      <w:pPr>
        <w:pStyle w:val="FootnoteText"/>
      </w:pPr>
      <w:r>
        <w:t>(</w:t>
      </w:r>
      <w:r>
        <w:rPr>
          <w:rStyle w:val="FootnoteReference"/>
        </w:rPr>
        <w:footnoteRef/>
      </w:r>
      <w:r>
        <w:t xml:space="preserve">) </w:t>
      </w:r>
      <w:r>
        <w:tab/>
      </w:r>
      <w:hyperlink r:id="rId33" w:history="1">
        <w:r>
          <w:rPr>
            <w:color w:val="0000FF"/>
            <w:u w:val="single"/>
          </w:rPr>
          <w:t>IEA 2021 Energy Efficiency Appliance and Equipment Standards and Labelling Programmes</w:t>
        </w:r>
      </w:hyperlink>
      <w:r>
        <w:t xml:space="preserve"> (AIE 2021, Programele de standardizare și etichetare în materie de eficiență energetică a echipamentelor și a aparatelor).</w:t>
      </w:r>
    </w:p>
  </w:footnote>
  <w:footnote w:id="44">
    <w:p w14:paraId="1AD51552" w14:textId="03EF7298" w:rsidR="001F5B8C" w:rsidRDefault="392F964E" w:rsidP="001B0BD2">
      <w:pPr>
        <w:pStyle w:val="FootnoteText"/>
      </w:pPr>
      <w:r>
        <w:t>(</w:t>
      </w:r>
      <w:r>
        <w:rPr>
          <w:rStyle w:val="FootnoteReference"/>
        </w:rPr>
        <w:footnoteRef/>
      </w:r>
      <w:r>
        <w:t>)</w:t>
      </w:r>
      <w:r>
        <w:tab/>
        <w:t xml:space="preserve">Anne Kesselring, „Energy labels in the European Union: Consumer inattention and producer responses” (Etichetele energetice în Uniunea Europeană: lipsa de atenție a consumatorilor și reacțiile producătorilor), </w:t>
      </w:r>
      <w:r>
        <w:br/>
        <w:t xml:space="preserve">Energy Economics, volumul 144, 2025, ISSN 0140-9883, </w:t>
      </w:r>
      <w:hyperlink w:history="1">
        <w:r>
          <w:rPr>
            <w:rStyle w:val="Hyperlink"/>
          </w:rPr>
          <w:t>https://doi.org/10.1016/j.eneco.2025.108275</w:t>
        </w:r>
      </w:hyperlink>
      <w:r>
        <w:t xml:space="preserve">. </w:t>
      </w:r>
    </w:p>
  </w:footnote>
  <w:footnote w:id="45">
    <w:p w14:paraId="09FF570F" w14:textId="77777777" w:rsidR="00BC0055" w:rsidRPr="00EA593D" w:rsidRDefault="00BC0055" w:rsidP="00EA593D">
      <w:pPr>
        <w:pStyle w:val="FootnoteText"/>
      </w:pPr>
      <w:r>
        <w:t>(</w:t>
      </w:r>
      <w:r>
        <w:rPr>
          <w:rStyle w:val="FootnoteReference"/>
        </w:rPr>
        <w:footnoteRef/>
      </w:r>
      <w:r>
        <w:t>) </w:t>
      </w:r>
      <w:r>
        <w:tab/>
        <w:t>O evaluare a regulamentului delegat privind afișajele este în curs. Probabil că mai mulți factori complecși explică de ce anumite modele rămân în clasele cu cele mai slabe performanțe (inclusiv preferința consumatorilor și a producătorilor pentru ecrane de dimensiuni mari și rezoluții înalte).</w:t>
      </w:r>
    </w:p>
  </w:footnote>
  <w:footnote w:id="46">
    <w:p w14:paraId="12EDA53E" w14:textId="77777777" w:rsidR="00A83FAF" w:rsidRPr="00B82535" w:rsidRDefault="392F964E" w:rsidP="00A83FAF">
      <w:pPr>
        <w:pStyle w:val="FootnoteText"/>
      </w:pPr>
      <w:r>
        <w:t>(</w:t>
      </w:r>
      <w:r>
        <w:rPr>
          <w:rStyle w:val="FootnoteReference"/>
        </w:rPr>
        <w:footnoteRef/>
      </w:r>
      <w:r>
        <w:t xml:space="preserve">) </w:t>
      </w:r>
      <w:r>
        <w:tab/>
        <w:t>GfK 2024 Market Outlook.</w:t>
      </w:r>
    </w:p>
  </w:footnote>
  <w:footnote w:id="47">
    <w:p w14:paraId="41E901CE" w14:textId="5E04ED02" w:rsidR="00A83FAF" w:rsidRPr="00E42EB8" w:rsidRDefault="392F964E" w:rsidP="00F805A7">
      <w:pPr>
        <w:pStyle w:val="FootnoteText"/>
      </w:pPr>
      <w:r>
        <w:t>(</w:t>
      </w:r>
      <w:r>
        <w:rPr>
          <w:rStyle w:val="FootnoteReference"/>
        </w:rPr>
        <w:footnoteRef/>
      </w:r>
      <w:r>
        <w:t>) </w:t>
      </w:r>
      <w:r>
        <w:tab/>
        <w:t xml:space="preserve">Corinne Faure, Marie-Charlotte Guetlein, Joachim Schleich, </w:t>
      </w:r>
      <w:r>
        <w:rPr>
          <w:i/>
        </w:rPr>
        <w:t>Effects of rescaling the EU energy label on household preferences for top-rated appliances</w:t>
      </w:r>
      <w:r>
        <w:t xml:space="preserve"> (Efectele reclasificării etichetei energetice a UE asupra preferințelor gospodăriilor pentru aparatele de calitate superioară), Energy Policy, volumul 156, 2021, ISSN 0301-4215, </w:t>
      </w:r>
      <w:r>
        <w:br/>
      </w:r>
      <w:hyperlink w:history="1">
        <w:r>
          <w:rPr>
            <w:rStyle w:val="Hyperlink"/>
          </w:rPr>
          <w:t>https://doi.org/10.1016/j.enpol.2021.112439</w:t>
        </w:r>
      </w:hyperlink>
      <w:r>
        <w:t>. Același studiu a demonstrat, de asemenea, că prezentarea ambelor etichete consumatorilor (așa cum se întâmplă în faza de tranziție către ELR) nu sporește disponibilitatea de a plăti.</w:t>
      </w:r>
    </w:p>
  </w:footnote>
  <w:footnote w:id="48">
    <w:p w14:paraId="012FB043" w14:textId="77777777" w:rsidR="002C4F0F" w:rsidRPr="00B82535" w:rsidRDefault="392F964E" w:rsidP="002C4F0F">
      <w:pPr>
        <w:pStyle w:val="FootnoteText"/>
      </w:pPr>
      <w:r>
        <w:t>(</w:t>
      </w:r>
      <w:r>
        <w:rPr>
          <w:rStyle w:val="FootnoteReference"/>
        </w:rPr>
        <w:footnoteRef/>
      </w:r>
      <w:r>
        <w:t xml:space="preserve">) </w:t>
      </w:r>
      <w:r>
        <w:tab/>
      </w:r>
      <w:hyperlink r:id="rId34" w:history="1">
        <w:r>
          <w:rPr>
            <w:color w:val="0000FF"/>
            <w:u w:val="single"/>
          </w:rPr>
          <w:t>Dialog privind punerea în aplicare a legislației privind produsele eficiente din punct de vedere energetic cu comisarul Dan Jørgensen – Energie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F12" w14:textId="77777777" w:rsidR="00515CE2" w:rsidRPr="00515CE2" w:rsidRDefault="00515CE2" w:rsidP="00515C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63C87" w14:textId="77777777" w:rsidR="00515CE2" w:rsidRPr="00515CE2" w:rsidRDefault="00515CE2" w:rsidP="00515C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18E09" w14:textId="77777777" w:rsidR="00515CE2" w:rsidRPr="00515CE2" w:rsidRDefault="00515CE2" w:rsidP="00515C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B9B7" w14:textId="77777777" w:rsidR="00E417BC" w:rsidRDefault="00E417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10EC" w14:textId="77777777" w:rsidR="00E417BC" w:rsidRDefault="00E417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5AA58" w14:textId="77777777" w:rsidR="00E417BC" w:rsidRDefault="00E41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96D"/>
    <w:multiLevelType w:val="hybridMultilevel"/>
    <w:tmpl w:val="50EA7A9A"/>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051513DE"/>
    <w:multiLevelType w:val="hybridMultilevel"/>
    <w:tmpl w:val="D29C5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630669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2384E86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6FAF30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012C0F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792CF38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28B04B4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8583D2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1360B5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9EC2110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E3AFA3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198C637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D1DC821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DFA08B7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6504B5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99BC6A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63DF"/>
    <w:multiLevelType w:val="multilevel"/>
    <w:tmpl w:val="082E37A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43D49B3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61764C7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33F246A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555CEB"/>
    <w:multiLevelType w:val="hybridMultilevel"/>
    <w:tmpl w:val="F91EA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977472E"/>
    <w:multiLevelType w:val="multilevel"/>
    <w:tmpl w:val="48B82DA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7220D6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3"/>
  </w:num>
  <w:num w:numId="3">
    <w:abstractNumId w:val="9"/>
  </w:num>
  <w:num w:numId="4">
    <w:abstractNumId w:val="14"/>
  </w:num>
  <w:num w:numId="5">
    <w:abstractNumId w:val="19"/>
  </w:num>
  <w:num w:numId="6">
    <w:abstractNumId w:val="23"/>
  </w:num>
  <w:num w:numId="7">
    <w:abstractNumId w:val="3"/>
  </w:num>
  <w:num w:numId="8">
    <w:abstractNumId w:val="8"/>
  </w:num>
  <w:num w:numId="9">
    <w:abstractNumId w:val="16"/>
  </w:num>
  <w:num w:numId="10">
    <w:abstractNumId w:val="4"/>
  </w:num>
  <w:num w:numId="11">
    <w:abstractNumId w:val="6"/>
  </w:num>
  <w:num w:numId="12">
    <w:abstractNumId w:val="7"/>
  </w:num>
  <w:num w:numId="13">
    <w:abstractNumId w:val="10"/>
  </w:num>
  <w:num w:numId="14">
    <w:abstractNumId w:val="15"/>
  </w:num>
  <w:num w:numId="15">
    <w:abstractNumId w:val="18"/>
  </w:num>
  <w:num w:numId="16">
    <w:abstractNumId w:val="24"/>
  </w:num>
  <w:num w:numId="17">
    <w:abstractNumId w:val="11"/>
  </w:num>
  <w:num w:numId="18">
    <w:abstractNumId w:val="12"/>
  </w:num>
  <w:num w:numId="19">
    <w:abstractNumId w:val="25"/>
  </w:num>
  <w:num w:numId="20">
    <w:abstractNumId w:val="17"/>
  </w:num>
  <w:num w:numId="21">
    <w:abstractNumId w:val="20"/>
  </w:num>
  <w:num w:numId="22">
    <w:abstractNumId w:val="5"/>
  </w:num>
  <w:num w:numId="23">
    <w:abstractNumId w:val="0"/>
  </w:num>
  <w:num w:numId="24">
    <w:abstractNumId w:val="22"/>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3"/>
  </w:num>
  <w:num w:numId="29">
    <w:abstractNumId w:val="9"/>
  </w:num>
  <w:num w:numId="30">
    <w:abstractNumId w:val="14"/>
  </w:num>
  <w:num w:numId="31">
    <w:abstractNumId w:val="19"/>
  </w:num>
  <w:num w:numId="32">
    <w:abstractNumId w:val="23"/>
  </w:num>
  <w:num w:numId="33">
    <w:abstractNumId w:val="3"/>
  </w:num>
  <w:num w:numId="34">
    <w:abstractNumId w:val="8"/>
  </w:num>
  <w:num w:numId="35">
    <w:abstractNumId w:val="16"/>
  </w:num>
  <w:num w:numId="36">
    <w:abstractNumId w:val="4"/>
  </w:num>
  <w:num w:numId="37">
    <w:abstractNumId w:val="6"/>
  </w:num>
  <w:num w:numId="38">
    <w:abstractNumId w:val="7"/>
  </w:num>
  <w:num w:numId="39">
    <w:abstractNumId w:val="10"/>
  </w:num>
  <w:num w:numId="40">
    <w:abstractNumId w:val="15"/>
  </w:num>
  <w:num w:numId="41">
    <w:abstractNumId w:val="18"/>
  </w:num>
  <w:num w:numId="42">
    <w:abstractNumId w:val="24"/>
  </w:num>
  <w:num w:numId="43">
    <w:abstractNumId w:val="11"/>
  </w:num>
  <w:num w:numId="44">
    <w:abstractNumId w:val="12"/>
  </w:num>
  <w:num w:numId="45">
    <w:abstractNumId w:val="25"/>
  </w:num>
  <w:num w:numId="46">
    <w:abstractNumId w:val="17"/>
  </w:num>
  <w:num w:numId="47">
    <w:abstractNumId w:val="20"/>
  </w:num>
  <w:num w:numId="48">
    <w:abstractNumId w:val="5"/>
  </w:num>
  <w:num w:numId="49">
    <w:abstractNumId w:val="21"/>
  </w:num>
  <w:num w:numId="50">
    <w:abstractNumId w:val="1"/>
  </w:num>
  <w:num w:numId="51">
    <w:abstractNumId w:val="24"/>
  </w:num>
  <w:num w:numId="52">
    <w:abstractNumId w:val="24"/>
  </w:num>
  <w:num w:numId="53">
    <w:abstractNumId w:val="24"/>
  </w:num>
  <w:num w:numId="54">
    <w:abstractNumId w:val="24"/>
  </w:num>
  <w:num w:numId="55">
    <w:abstractNumId w:val="24"/>
  </w:num>
  <w:num w:numId="56">
    <w:abstractNumId w:val="24"/>
  </w:num>
  <w:num w:numId="57">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E190B06-9112-463A-ACD9-E662C446CB13"/>
    <w:docVar w:name="LW_COVERPAGE_TYPE" w:val="1"/>
    <w:docVar w:name="LW_CROSSREFERENCE" w:val="&lt;UNUSED&gt;"/>
    <w:docVar w:name="LW_DocType" w:val="EUROLOOK"/>
    <w:docVar w:name="LW_EMISSION" w:val="24.6.2026"/>
    <w:docVar w:name="LW_EMISSION_ISODATE" w:val="2026-06-2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b__x000b__x000b_&lt;FMT:Bold&gt;Raport privind punerea în aplicare a Regulamentului (UE) 2017/1369 de stabilire a unui cadru pentru etichetarea energetic\u259?&lt;/FMT&gt;_x000b_"/>
    <w:docVar w:name="LW_TYPE.DOC.CP" w:val="RAPORT AL COMISIEI C\u258?TRE PARLAMENTUL EUROPEAN \u536?I CONSILIU"/>
    <w:docVar w:name="LwApiVersions" w:val="LW4CoDe 1.24.5.0; LW 9.2, Build 20251112"/>
  </w:docVars>
  <w:rsids>
    <w:rsidRoot w:val="00BC0055"/>
    <w:rsid w:val="000030C1"/>
    <w:rsid w:val="00007D56"/>
    <w:rsid w:val="00013199"/>
    <w:rsid w:val="00015FDE"/>
    <w:rsid w:val="00023761"/>
    <w:rsid w:val="00025488"/>
    <w:rsid w:val="00025B87"/>
    <w:rsid w:val="00044B77"/>
    <w:rsid w:val="000552FD"/>
    <w:rsid w:val="000610D0"/>
    <w:rsid w:val="00062212"/>
    <w:rsid w:val="00066E65"/>
    <w:rsid w:val="000671C2"/>
    <w:rsid w:val="000708AE"/>
    <w:rsid w:val="00076740"/>
    <w:rsid w:val="00082C74"/>
    <w:rsid w:val="0008584E"/>
    <w:rsid w:val="000A3679"/>
    <w:rsid w:val="000A46D8"/>
    <w:rsid w:val="000A7DDA"/>
    <w:rsid w:val="000B0F76"/>
    <w:rsid w:val="000B733C"/>
    <w:rsid w:val="000C01B4"/>
    <w:rsid w:val="000D4A11"/>
    <w:rsid w:val="000E153A"/>
    <w:rsid w:val="000E44EF"/>
    <w:rsid w:val="000E5000"/>
    <w:rsid w:val="000F12BA"/>
    <w:rsid w:val="000F1911"/>
    <w:rsid w:val="000F1CF2"/>
    <w:rsid w:val="000F2829"/>
    <w:rsid w:val="000F377C"/>
    <w:rsid w:val="000F7A35"/>
    <w:rsid w:val="00107ED4"/>
    <w:rsid w:val="0011245B"/>
    <w:rsid w:val="00114C89"/>
    <w:rsid w:val="00130EB0"/>
    <w:rsid w:val="00144C7D"/>
    <w:rsid w:val="001469B4"/>
    <w:rsid w:val="00146B04"/>
    <w:rsid w:val="00155F06"/>
    <w:rsid w:val="00164D3C"/>
    <w:rsid w:val="001653FD"/>
    <w:rsid w:val="0017688C"/>
    <w:rsid w:val="00177AF0"/>
    <w:rsid w:val="00181EF4"/>
    <w:rsid w:val="00186229"/>
    <w:rsid w:val="0019443F"/>
    <w:rsid w:val="00195BEC"/>
    <w:rsid w:val="001A32AC"/>
    <w:rsid w:val="001B0BD2"/>
    <w:rsid w:val="001B6CCA"/>
    <w:rsid w:val="001C6082"/>
    <w:rsid w:val="001D2B13"/>
    <w:rsid w:val="001D6CEC"/>
    <w:rsid w:val="001D7D34"/>
    <w:rsid w:val="001F1D68"/>
    <w:rsid w:val="001F3F53"/>
    <w:rsid w:val="001F5B8C"/>
    <w:rsid w:val="001F5D0B"/>
    <w:rsid w:val="0020627E"/>
    <w:rsid w:val="002116A7"/>
    <w:rsid w:val="00216230"/>
    <w:rsid w:val="00226F87"/>
    <w:rsid w:val="00230427"/>
    <w:rsid w:val="002313A3"/>
    <w:rsid w:val="00231A5C"/>
    <w:rsid w:val="00234F7F"/>
    <w:rsid w:val="002366AC"/>
    <w:rsid w:val="00244808"/>
    <w:rsid w:val="00251E60"/>
    <w:rsid w:val="002538AF"/>
    <w:rsid w:val="00254714"/>
    <w:rsid w:val="00260CD7"/>
    <w:rsid w:val="002619C2"/>
    <w:rsid w:val="0026397C"/>
    <w:rsid w:val="00263AD3"/>
    <w:rsid w:val="00265175"/>
    <w:rsid w:val="002863B1"/>
    <w:rsid w:val="00291A77"/>
    <w:rsid w:val="00292A90"/>
    <w:rsid w:val="0029657A"/>
    <w:rsid w:val="002A1948"/>
    <w:rsid w:val="002A1D9E"/>
    <w:rsid w:val="002A62ED"/>
    <w:rsid w:val="002A75D7"/>
    <w:rsid w:val="002B4BFB"/>
    <w:rsid w:val="002B6B83"/>
    <w:rsid w:val="002C4F0F"/>
    <w:rsid w:val="002C6EC9"/>
    <w:rsid w:val="002D05BB"/>
    <w:rsid w:val="002D0751"/>
    <w:rsid w:val="002D4B2A"/>
    <w:rsid w:val="002D4EBE"/>
    <w:rsid w:val="002E048D"/>
    <w:rsid w:val="002E292B"/>
    <w:rsid w:val="002F2ECA"/>
    <w:rsid w:val="002F6080"/>
    <w:rsid w:val="00306CD8"/>
    <w:rsid w:val="00311113"/>
    <w:rsid w:val="0031232B"/>
    <w:rsid w:val="00313620"/>
    <w:rsid w:val="0032178C"/>
    <w:rsid w:val="00330AE4"/>
    <w:rsid w:val="003327A9"/>
    <w:rsid w:val="00333E20"/>
    <w:rsid w:val="003359EE"/>
    <w:rsid w:val="00350091"/>
    <w:rsid w:val="00351E5C"/>
    <w:rsid w:val="00357638"/>
    <w:rsid w:val="00360BCA"/>
    <w:rsid w:val="003626BB"/>
    <w:rsid w:val="00363B66"/>
    <w:rsid w:val="00371752"/>
    <w:rsid w:val="0037356C"/>
    <w:rsid w:val="00394942"/>
    <w:rsid w:val="003971C0"/>
    <w:rsid w:val="00397C31"/>
    <w:rsid w:val="003A0E00"/>
    <w:rsid w:val="003A1781"/>
    <w:rsid w:val="003A1EAC"/>
    <w:rsid w:val="003A2F45"/>
    <w:rsid w:val="003B5FFE"/>
    <w:rsid w:val="003B7EE4"/>
    <w:rsid w:val="003D2967"/>
    <w:rsid w:val="003D63DF"/>
    <w:rsid w:val="003E13CC"/>
    <w:rsid w:val="003E206E"/>
    <w:rsid w:val="003E62E7"/>
    <w:rsid w:val="003F5050"/>
    <w:rsid w:val="00405C8C"/>
    <w:rsid w:val="00405D31"/>
    <w:rsid w:val="00407106"/>
    <w:rsid w:val="00412E6B"/>
    <w:rsid w:val="00421623"/>
    <w:rsid w:val="00423207"/>
    <w:rsid w:val="004424F0"/>
    <w:rsid w:val="004436D3"/>
    <w:rsid w:val="004519A7"/>
    <w:rsid w:val="004534F3"/>
    <w:rsid w:val="004636E4"/>
    <w:rsid w:val="0048013E"/>
    <w:rsid w:val="00480E10"/>
    <w:rsid w:val="004966CB"/>
    <w:rsid w:val="004A0E05"/>
    <w:rsid w:val="004A2E30"/>
    <w:rsid w:val="004A6633"/>
    <w:rsid w:val="004B1DE3"/>
    <w:rsid w:val="004B2575"/>
    <w:rsid w:val="004C2917"/>
    <w:rsid w:val="004C3FF4"/>
    <w:rsid w:val="004D1163"/>
    <w:rsid w:val="004D1C31"/>
    <w:rsid w:val="004E436C"/>
    <w:rsid w:val="004E6510"/>
    <w:rsid w:val="004F0E33"/>
    <w:rsid w:val="004F1D3A"/>
    <w:rsid w:val="004F3196"/>
    <w:rsid w:val="005053CB"/>
    <w:rsid w:val="00515CE2"/>
    <w:rsid w:val="005203BC"/>
    <w:rsid w:val="00520DC8"/>
    <w:rsid w:val="005223AF"/>
    <w:rsid w:val="00523889"/>
    <w:rsid w:val="00524B9E"/>
    <w:rsid w:val="00525600"/>
    <w:rsid w:val="005279CB"/>
    <w:rsid w:val="00531E91"/>
    <w:rsid w:val="0053233C"/>
    <w:rsid w:val="00534850"/>
    <w:rsid w:val="00543B2C"/>
    <w:rsid w:val="00543CCC"/>
    <w:rsid w:val="00544A35"/>
    <w:rsid w:val="005561A2"/>
    <w:rsid w:val="00571255"/>
    <w:rsid w:val="00574321"/>
    <w:rsid w:val="00575F06"/>
    <w:rsid w:val="005815DF"/>
    <w:rsid w:val="00585936"/>
    <w:rsid w:val="005C05B6"/>
    <w:rsid w:val="005C1A65"/>
    <w:rsid w:val="005C7BDE"/>
    <w:rsid w:val="005D186C"/>
    <w:rsid w:val="005D4C5A"/>
    <w:rsid w:val="005E25C3"/>
    <w:rsid w:val="005E4181"/>
    <w:rsid w:val="005F7BDF"/>
    <w:rsid w:val="00603018"/>
    <w:rsid w:val="00603487"/>
    <w:rsid w:val="006128C9"/>
    <w:rsid w:val="006377A9"/>
    <w:rsid w:val="00647B8D"/>
    <w:rsid w:val="00650759"/>
    <w:rsid w:val="00653EF1"/>
    <w:rsid w:val="00654EE2"/>
    <w:rsid w:val="00661B19"/>
    <w:rsid w:val="00662FCD"/>
    <w:rsid w:val="00671AC1"/>
    <w:rsid w:val="00672848"/>
    <w:rsid w:val="00686027"/>
    <w:rsid w:val="00691F0C"/>
    <w:rsid w:val="006944B0"/>
    <w:rsid w:val="006A01FD"/>
    <w:rsid w:val="006A53C2"/>
    <w:rsid w:val="006B2167"/>
    <w:rsid w:val="006B30D2"/>
    <w:rsid w:val="006C3BA8"/>
    <w:rsid w:val="006C4314"/>
    <w:rsid w:val="006C661B"/>
    <w:rsid w:val="006C7297"/>
    <w:rsid w:val="006D01AF"/>
    <w:rsid w:val="006D1146"/>
    <w:rsid w:val="006D11F0"/>
    <w:rsid w:val="006E2141"/>
    <w:rsid w:val="006E69D1"/>
    <w:rsid w:val="006F2F02"/>
    <w:rsid w:val="00704AC7"/>
    <w:rsid w:val="00706B4A"/>
    <w:rsid w:val="007108C7"/>
    <w:rsid w:val="0071220E"/>
    <w:rsid w:val="00713712"/>
    <w:rsid w:val="00723214"/>
    <w:rsid w:val="00724928"/>
    <w:rsid w:val="00730C90"/>
    <w:rsid w:val="007322A8"/>
    <w:rsid w:val="00734C42"/>
    <w:rsid w:val="00735A95"/>
    <w:rsid w:val="0074182F"/>
    <w:rsid w:val="00744F21"/>
    <w:rsid w:val="0074686C"/>
    <w:rsid w:val="007474EA"/>
    <w:rsid w:val="007504AB"/>
    <w:rsid w:val="00750ADF"/>
    <w:rsid w:val="007539F1"/>
    <w:rsid w:val="007567FE"/>
    <w:rsid w:val="0076250C"/>
    <w:rsid w:val="0076293B"/>
    <w:rsid w:val="00767483"/>
    <w:rsid w:val="00776A90"/>
    <w:rsid w:val="00777E6E"/>
    <w:rsid w:val="007800F9"/>
    <w:rsid w:val="00792C36"/>
    <w:rsid w:val="007A32CA"/>
    <w:rsid w:val="007A3DF2"/>
    <w:rsid w:val="007A41EB"/>
    <w:rsid w:val="007B1999"/>
    <w:rsid w:val="007B23F8"/>
    <w:rsid w:val="007B308C"/>
    <w:rsid w:val="007B62CD"/>
    <w:rsid w:val="007C0D54"/>
    <w:rsid w:val="007C160E"/>
    <w:rsid w:val="007C3DD2"/>
    <w:rsid w:val="007C61E5"/>
    <w:rsid w:val="007C642B"/>
    <w:rsid w:val="007D324B"/>
    <w:rsid w:val="007D55D1"/>
    <w:rsid w:val="007E0D9C"/>
    <w:rsid w:val="007F0072"/>
    <w:rsid w:val="007F1DF7"/>
    <w:rsid w:val="00803761"/>
    <w:rsid w:val="00807828"/>
    <w:rsid w:val="00807BDD"/>
    <w:rsid w:val="008115B2"/>
    <w:rsid w:val="00817BC1"/>
    <w:rsid w:val="008205B9"/>
    <w:rsid w:val="008232B8"/>
    <w:rsid w:val="00834B74"/>
    <w:rsid w:val="00845693"/>
    <w:rsid w:val="00850228"/>
    <w:rsid w:val="00855849"/>
    <w:rsid w:val="00855E2F"/>
    <w:rsid w:val="00862089"/>
    <w:rsid w:val="00865FEE"/>
    <w:rsid w:val="00873A65"/>
    <w:rsid w:val="00874A82"/>
    <w:rsid w:val="00887955"/>
    <w:rsid w:val="0089048B"/>
    <w:rsid w:val="00890895"/>
    <w:rsid w:val="00891643"/>
    <w:rsid w:val="00897839"/>
    <w:rsid w:val="008A26ED"/>
    <w:rsid w:val="008A4D66"/>
    <w:rsid w:val="008B59F2"/>
    <w:rsid w:val="008B60C8"/>
    <w:rsid w:val="008C24A8"/>
    <w:rsid w:val="008C4B42"/>
    <w:rsid w:val="008D1666"/>
    <w:rsid w:val="008D62F2"/>
    <w:rsid w:val="008F082B"/>
    <w:rsid w:val="008F34C0"/>
    <w:rsid w:val="00900FC0"/>
    <w:rsid w:val="009011E1"/>
    <w:rsid w:val="00904D7E"/>
    <w:rsid w:val="00905282"/>
    <w:rsid w:val="0091674E"/>
    <w:rsid w:val="009221F4"/>
    <w:rsid w:val="00926682"/>
    <w:rsid w:val="009364C8"/>
    <w:rsid w:val="009402BC"/>
    <w:rsid w:val="009474E3"/>
    <w:rsid w:val="009532D4"/>
    <w:rsid w:val="00963934"/>
    <w:rsid w:val="00965C37"/>
    <w:rsid w:val="0097316F"/>
    <w:rsid w:val="00973874"/>
    <w:rsid w:val="0097537A"/>
    <w:rsid w:val="00983CBE"/>
    <w:rsid w:val="009845F1"/>
    <w:rsid w:val="00986D6F"/>
    <w:rsid w:val="0099020A"/>
    <w:rsid w:val="00997149"/>
    <w:rsid w:val="009A2677"/>
    <w:rsid w:val="009A2F0D"/>
    <w:rsid w:val="009A3408"/>
    <w:rsid w:val="009A64F5"/>
    <w:rsid w:val="009B4241"/>
    <w:rsid w:val="009C0848"/>
    <w:rsid w:val="009C146F"/>
    <w:rsid w:val="009C303E"/>
    <w:rsid w:val="009C3345"/>
    <w:rsid w:val="009C41A9"/>
    <w:rsid w:val="009E27D4"/>
    <w:rsid w:val="009E46D4"/>
    <w:rsid w:val="009E5063"/>
    <w:rsid w:val="009F7FFB"/>
    <w:rsid w:val="00A03CE0"/>
    <w:rsid w:val="00A1003F"/>
    <w:rsid w:val="00A13410"/>
    <w:rsid w:val="00A21631"/>
    <w:rsid w:val="00A24FA0"/>
    <w:rsid w:val="00A40380"/>
    <w:rsid w:val="00A4216A"/>
    <w:rsid w:val="00A56304"/>
    <w:rsid w:val="00A641C5"/>
    <w:rsid w:val="00A76A2A"/>
    <w:rsid w:val="00A773D1"/>
    <w:rsid w:val="00A83AEB"/>
    <w:rsid w:val="00A83FAF"/>
    <w:rsid w:val="00A873EA"/>
    <w:rsid w:val="00A9729F"/>
    <w:rsid w:val="00AA2341"/>
    <w:rsid w:val="00AB1BE8"/>
    <w:rsid w:val="00AB57EA"/>
    <w:rsid w:val="00AC0165"/>
    <w:rsid w:val="00AD1AA2"/>
    <w:rsid w:val="00AD351E"/>
    <w:rsid w:val="00AD49B2"/>
    <w:rsid w:val="00AE1303"/>
    <w:rsid w:val="00AE6229"/>
    <w:rsid w:val="00AE67B8"/>
    <w:rsid w:val="00AE6934"/>
    <w:rsid w:val="00AF7352"/>
    <w:rsid w:val="00B042A2"/>
    <w:rsid w:val="00B0670A"/>
    <w:rsid w:val="00B11CED"/>
    <w:rsid w:val="00B16390"/>
    <w:rsid w:val="00B25CF9"/>
    <w:rsid w:val="00B27F9C"/>
    <w:rsid w:val="00B410CF"/>
    <w:rsid w:val="00B41DA1"/>
    <w:rsid w:val="00B41EE8"/>
    <w:rsid w:val="00B447E1"/>
    <w:rsid w:val="00B56389"/>
    <w:rsid w:val="00B86F5A"/>
    <w:rsid w:val="00B91A7C"/>
    <w:rsid w:val="00BA198A"/>
    <w:rsid w:val="00BA2847"/>
    <w:rsid w:val="00BA66BC"/>
    <w:rsid w:val="00BC0055"/>
    <w:rsid w:val="00BC4E0A"/>
    <w:rsid w:val="00BD0B95"/>
    <w:rsid w:val="00BD5892"/>
    <w:rsid w:val="00C00C9B"/>
    <w:rsid w:val="00C10290"/>
    <w:rsid w:val="00C1127D"/>
    <w:rsid w:val="00C11EA7"/>
    <w:rsid w:val="00C14A2D"/>
    <w:rsid w:val="00C16594"/>
    <w:rsid w:val="00C226B2"/>
    <w:rsid w:val="00C23E9D"/>
    <w:rsid w:val="00C24A55"/>
    <w:rsid w:val="00C3079A"/>
    <w:rsid w:val="00C3637D"/>
    <w:rsid w:val="00C40A93"/>
    <w:rsid w:val="00C56140"/>
    <w:rsid w:val="00C603C4"/>
    <w:rsid w:val="00C66EF8"/>
    <w:rsid w:val="00C6730C"/>
    <w:rsid w:val="00C703CB"/>
    <w:rsid w:val="00C706D1"/>
    <w:rsid w:val="00C829F9"/>
    <w:rsid w:val="00C84E79"/>
    <w:rsid w:val="00C952EA"/>
    <w:rsid w:val="00CA0789"/>
    <w:rsid w:val="00CA3005"/>
    <w:rsid w:val="00CA7B27"/>
    <w:rsid w:val="00CB1F05"/>
    <w:rsid w:val="00CB504C"/>
    <w:rsid w:val="00CB7A5F"/>
    <w:rsid w:val="00CC3306"/>
    <w:rsid w:val="00CC69AF"/>
    <w:rsid w:val="00CD1094"/>
    <w:rsid w:val="00CD1DC5"/>
    <w:rsid w:val="00CD1E40"/>
    <w:rsid w:val="00CD298D"/>
    <w:rsid w:val="00CE467A"/>
    <w:rsid w:val="00CE6FA8"/>
    <w:rsid w:val="00CF4013"/>
    <w:rsid w:val="00D0258D"/>
    <w:rsid w:val="00D05617"/>
    <w:rsid w:val="00D07D9B"/>
    <w:rsid w:val="00D07ED6"/>
    <w:rsid w:val="00D22D2E"/>
    <w:rsid w:val="00D3030B"/>
    <w:rsid w:val="00D33FE6"/>
    <w:rsid w:val="00D34E84"/>
    <w:rsid w:val="00D41841"/>
    <w:rsid w:val="00D41DD2"/>
    <w:rsid w:val="00D44B9D"/>
    <w:rsid w:val="00D509CE"/>
    <w:rsid w:val="00D51106"/>
    <w:rsid w:val="00D5184D"/>
    <w:rsid w:val="00D561D6"/>
    <w:rsid w:val="00D60C14"/>
    <w:rsid w:val="00D6158B"/>
    <w:rsid w:val="00D63825"/>
    <w:rsid w:val="00D64E32"/>
    <w:rsid w:val="00D735B2"/>
    <w:rsid w:val="00D800F6"/>
    <w:rsid w:val="00D84609"/>
    <w:rsid w:val="00D900D8"/>
    <w:rsid w:val="00D936EF"/>
    <w:rsid w:val="00D9438D"/>
    <w:rsid w:val="00DA3509"/>
    <w:rsid w:val="00DB121E"/>
    <w:rsid w:val="00DC1C27"/>
    <w:rsid w:val="00DC3855"/>
    <w:rsid w:val="00DC3A22"/>
    <w:rsid w:val="00DC47DB"/>
    <w:rsid w:val="00DD2534"/>
    <w:rsid w:val="00DD6670"/>
    <w:rsid w:val="00DE12CC"/>
    <w:rsid w:val="00DE3E26"/>
    <w:rsid w:val="00DF0943"/>
    <w:rsid w:val="00DF0DF8"/>
    <w:rsid w:val="00DF26F1"/>
    <w:rsid w:val="00DF7056"/>
    <w:rsid w:val="00E0213D"/>
    <w:rsid w:val="00E03E94"/>
    <w:rsid w:val="00E12928"/>
    <w:rsid w:val="00E129F5"/>
    <w:rsid w:val="00E1708D"/>
    <w:rsid w:val="00E21151"/>
    <w:rsid w:val="00E2432E"/>
    <w:rsid w:val="00E24CD7"/>
    <w:rsid w:val="00E27033"/>
    <w:rsid w:val="00E35736"/>
    <w:rsid w:val="00E37C47"/>
    <w:rsid w:val="00E417BC"/>
    <w:rsid w:val="00E42EB8"/>
    <w:rsid w:val="00E46F46"/>
    <w:rsid w:val="00E54365"/>
    <w:rsid w:val="00E5565C"/>
    <w:rsid w:val="00E57291"/>
    <w:rsid w:val="00E678C0"/>
    <w:rsid w:val="00E701AD"/>
    <w:rsid w:val="00E76D92"/>
    <w:rsid w:val="00E8042E"/>
    <w:rsid w:val="00E80B99"/>
    <w:rsid w:val="00E858F3"/>
    <w:rsid w:val="00E9723D"/>
    <w:rsid w:val="00EA31D8"/>
    <w:rsid w:val="00EA593D"/>
    <w:rsid w:val="00EB15B3"/>
    <w:rsid w:val="00EB350C"/>
    <w:rsid w:val="00EC7542"/>
    <w:rsid w:val="00EC76D6"/>
    <w:rsid w:val="00ED486A"/>
    <w:rsid w:val="00EE2BE3"/>
    <w:rsid w:val="00EE4AFB"/>
    <w:rsid w:val="00EE599E"/>
    <w:rsid w:val="00EF5E55"/>
    <w:rsid w:val="00F025E9"/>
    <w:rsid w:val="00F0312B"/>
    <w:rsid w:val="00F1394A"/>
    <w:rsid w:val="00F1741D"/>
    <w:rsid w:val="00F37027"/>
    <w:rsid w:val="00F508CE"/>
    <w:rsid w:val="00F50E23"/>
    <w:rsid w:val="00F516F9"/>
    <w:rsid w:val="00F5260D"/>
    <w:rsid w:val="00F536F0"/>
    <w:rsid w:val="00F558AC"/>
    <w:rsid w:val="00F56993"/>
    <w:rsid w:val="00F61772"/>
    <w:rsid w:val="00F676D2"/>
    <w:rsid w:val="00F67BD1"/>
    <w:rsid w:val="00F72391"/>
    <w:rsid w:val="00F747A1"/>
    <w:rsid w:val="00F805A7"/>
    <w:rsid w:val="00F87798"/>
    <w:rsid w:val="00FA2145"/>
    <w:rsid w:val="00FA4DFE"/>
    <w:rsid w:val="00FA7717"/>
    <w:rsid w:val="00FC29A2"/>
    <w:rsid w:val="00FC2D4F"/>
    <w:rsid w:val="00FD20B9"/>
    <w:rsid w:val="00FD4600"/>
    <w:rsid w:val="00FF53F4"/>
    <w:rsid w:val="00FF7A00"/>
    <w:rsid w:val="0182CF8A"/>
    <w:rsid w:val="01B6ED72"/>
    <w:rsid w:val="01CA458E"/>
    <w:rsid w:val="033EC7BA"/>
    <w:rsid w:val="03FD2E40"/>
    <w:rsid w:val="045FA288"/>
    <w:rsid w:val="04690BF9"/>
    <w:rsid w:val="04B8CCD3"/>
    <w:rsid w:val="06678336"/>
    <w:rsid w:val="0669F720"/>
    <w:rsid w:val="068032CC"/>
    <w:rsid w:val="06805036"/>
    <w:rsid w:val="0890DD77"/>
    <w:rsid w:val="09E74492"/>
    <w:rsid w:val="0A169690"/>
    <w:rsid w:val="0AD151F3"/>
    <w:rsid w:val="0B522D1C"/>
    <w:rsid w:val="0B9F947B"/>
    <w:rsid w:val="0C3E5E9D"/>
    <w:rsid w:val="0C502242"/>
    <w:rsid w:val="0CB15C4A"/>
    <w:rsid w:val="0DA5833D"/>
    <w:rsid w:val="0DC7B84F"/>
    <w:rsid w:val="0E78D707"/>
    <w:rsid w:val="0F2BA6CD"/>
    <w:rsid w:val="11D8974D"/>
    <w:rsid w:val="12DC5D0C"/>
    <w:rsid w:val="12F30890"/>
    <w:rsid w:val="143CF8BB"/>
    <w:rsid w:val="1579BB31"/>
    <w:rsid w:val="17031D9D"/>
    <w:rsid w:val="1726C936"/>
    <w:rsid w:val="191CC6FA"/>
    <w:rsid w:val="1A3D111A"/>
    <w:rsid w:val="1A4C21E9"/>
    <w:rsid w:val="1BC47449"/>
    <w:rsid w:val="1D7CC8DF"/>
    <w:rsid w:val="1D9BFB65"/>
    <w:rsid w:val="204FF64A"/>
    <w:rsid w:val="205A88A1"/>
    <w:rsid w:val="20E760E0"/>
    <w:rsid w:val="2267CA89"/>
    <w:rsid w:val="22A2B0B0"/>
    <w:rsid w:val="2445C29E"/>
    <w:rsid w:val="25D7CE45"/>
    <w:rsid w:val="260274E8"/>
    <w:rsid w:val="2762EEA0"/>
    <w:rsid w:val="28572E2A"/>
    <w:rsid w:val="2897FCAA"/>
    <w:rsid w:val="2A011B0D"/>
    <w:rsid w:val="2BA1175F"/>
    <w:rsid w:val="2D911742"/>
    <w:rsid w:val="2E643EDB"/>
    <w:rsid w:val="2EE3BA14"/>
    <w:rsid w:val="2F005FA0"/>
    <w:rsid w:val="2F582A8F"/>
    <w:rsid w:val="2F59A608"/>
    <w:rsid w:val="2F9C5C2D"/>
    <w:rsid w:val="30274A09"/>
    <w:rsid w:val="30594AE0"/>
    <w:rsid w:val="3070C898"/>
    <w:rsid w:val="3076A555"/>
    <w:rsid w:val="307E73DE"/>
    <w:rsid w:val="3105CE91"/>
    <w:rsid w:val="31A9FA3A"/>
    <w:rsid w:val="337E85D9"/>
    <w:rsid w:val="338DE696"/>
    <w:rsid w:val="34A5715A"/>
    <w:rsid w:val="35D970A2"/>
    <w:rsid w:val="35DAC984"/>
    <w:rsid w:val="37C0FB13"/>
    <w:rsid w:val="389E412C"/>
    <w:rsid w:val="38F57DCD"/>
    <w:rsid w:val="392F964E"/>
    <w:rsid w:val="39BD1E3C"/>
    <w:rsid w:val="39BEAE0A"/>
    <w:rsid w:val="39CA5113"/>
    <w:rsid w:val="39F8D77A"/>
    <w:rsid w:val="3AC5BD3D"/>
    <w:rsid w:val="3AFF28A0"/>
    <w:rsid w:val="3BC3AC66"/>
    <w:rsid w:val="3C006DC5"/>
    <w:rsid w:val="3CB52D36"/>
    <w:rsid w:val="3F906DFC"/>
    <w:rsid w:val="4028961E"/>
    <w:rsid w:val="42C500F5"/>
    <w:rsid w:val="430D215D"/>
    <w:rsid w:val="449DBE8B"/>
    <w:rsid w:val="450E5CFA"/>
    <w:rsid w:val="46354071"/>
    <w:rsid w:val="48AA41D8"/>
    <w:rsid w:val="48B6D415"/>
    <w:rsid w:val="4949B0D0"/>
    <w:rsid w:val="4A469FB5"/>
    <w:rsid w:val="4A6BC221"/>
    <w:rsid w:val="4AD6D4AC"/>
    <w:rsid w:val="4BD28C0D"/>
    <w:rsid w:val="4D28B8FB"/>
    <w:rsid w:val="4FA8F31F"/>
    <w:rsid w:val="5043986A"/>
    <w:rsid w:val="526E45C3"/>
    <w:rsid w:val="52CC254E"/>
    <w:rsid w:val="53B7ED1B"/>
    <w:rsid w:val="5510B0B3"/>
    <w:rsid w:val="58154EB5"/>
    <w:rsid w:val="5896B9B0"/>
    <w:rsid w:val="58FCE085"/>
    <w:rsid w:val="59B4ADA8"/>
    <w:rsid w:val="59BB6052"/>
    <w:rsid w:val="5A7F40C4"/>
    <w:rsid w:val="5A86ABAB"/>
    <w:rsid w:val="5B93895C"/>
    <w:rsid w:val="5DB7453E"/>
    <w:rsid w:val="5E12AEFA"/>
    <w:rsid w:val="5E59654A"/>
    <w:rsid w:val="616097C2"/>
    <w:rsid w:val="617AE942"/>
    <w:rsid w:val="617F3006"/>
    <w:rsid w:val="62E3CCC7"/>
    <w:rsid w:val="63ED9D8A"/>
    <w:rsid w:val="64DD6F8D"/>
    <w:rsid w:val="65D4C73B"/>
    <w:rsid w:val="6609FC05"/>
    <w:rsid w:val="66BB84C5"/>
    <w:rsid w:val="67978131"/>
    <w:rsid w:val="67E456D7"/>
    <w:rsid w:val="67E7E02C"/>
    <w:rsid w:val="68B1C73B"/>
    <w:rsid w:val="69AFA180"/>
    <w:rsid w:val="6C77BF5C"/>
    <w:rsid w:val="6D10FA5A"/>
    <w:rsid w:val="6D709158"/>
    <w:rsid w:val="6DF7F705"/>
    <w:rsid w:val="6E48DE96"/>
    <w:rsid w:val="6F0BCF53"/>
    <w:rsid w:val="6F30ACC7"/>
    <w:rsid w:val="6FC101A2"/>
    <w:rsid w:val="706181BA"/>
    <w:rsid w:val="70FB880D"/>
    <w:rsid w:val="720E00EE"/>
    <w:rsid w:val="72892136"/>
    <w:rsid w:val="729311C3"/>
    <w:rsid w:val="73F5378E"/>
    <w:rsid w:val="74924BE0"/>
    <w:rsid w:val="76D89C3D"/>
    <w:rsid w:val="77252163"/>
    <w:rsid w:val="7988E0A6"/>
    <w:rsid w:val="79BA88CF"/>
    <w:rsid w:val="7AEA0EBD"/>
    <w:rsid w:val="7B008669"/>
    <w:rsid w:val="7CD45B95"/>
    <w:rsid w:val="7DD6763B"/>
    <w:rsid w:val="7E10EE41"/>
    <w:rsid w:val="7E8C4C27"/>
    <w:rsid w:val="7EE33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C7BDA5"/>
  <w15:docId w15:val="{AD59C3F0-CB05-4ACB-9E9B-9707BBAB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42"/>
      </w:numPr>
      <w:spacing w:before="240"/>
      <w:outlineLvl w:val="0"/>
    </w:pPr>
    <w:rPr>
      <w:b/>
      <w:smallCaps/>
    </w:rPr>
  </w:style>
  <w:style w:type="paragraph" w:styleId="Heading2">
    <w:name w:val="heading 2"/>
    <w:basedOn w:val="Normal"/>
    <w:next w:val="Text2"/>
    <w:uiPriority w:val="10"/>
    <w:qFormat/>
    <w:pPr>
      <w:keepNext/>
      <w:numPr>
        <w:ilvl w:val="1"/>
        <w:numId w:val="42"/>
      </w:numPr>
      <w:outlineLvl w:val="1"/>
    </w:pPr>
    <w:rPr>
      <w:b/>
    </w:rPr>
  </w:style>
  <w:style w:type="paragraph" w:styleId="Heading3">
    <w:name w:val="heading 3"/>
    <w:basedOn w:val="Normal"/>
    <w:next w:val="Text3"/>
    <w:uiPriority w:val="10"/>
    <w:qFormat/>
    <w:pPr>
      <w:keepNext/>
      <w:numPr>
        <w:ilvl w:val="2"/>
        <w:numId w:val="42"/>
      </w:numPr>
      <w:outlineLvl w:val="2"/>
    </w:pPr>
    <w:rPr>
      <w:i/>
    </w:rPr>
  </w:style>
  <w:style w:type="paragraph" w:styleId="Heading4">
    <w:name w:val="heading 4"/>
    <w:basedOn w:val="Normal"/>
    <w:next w:val="Text4"/>
    <w:uiPriority w:val="10"/>
    <w:qFormat/>
    <w:pPr>
      <w:keepNext/>
      <w:numPr>
        <w:ilvl w:val="3"/>
        <w:numId w:val="42"/>
      </w:numPr>
      <w:outlineLvl w:val="3"/>
    </w:pPr>
  </w:style>
  <w:style w:type="paragraph" w:styleId="Heading5">
    <w:name w:val="heading 5"/>
    <w:basedOn w:val="Normal"/>
    <w:next w:val="Normal"/>
    <w:semiHidden/>
    <w:pPr>
      <w:keepNext/>
      <w:numPr>
        <w:ilvl w:val="4"/>
        <w:numId w:val="42"/>
      </w:numPr>
      <w:outlineLvl w:val="4"/>
    </w:pPr>
  </w:style>
  <w:style w:type="paragraph" w:styleId="Heading6">
    <w:name w:val="heading 6"/>
    <w:basedOn w:val="Normal"/>
    <w:next w:val="Normal"/>
    <w:semiHidden/>
    <w:pPr>
      <w:keepNext/>
      <w:numPr>
        <w:ilvl w:val="5"/>
        <w:numId w:val="42"/>
      </w:numPr>
      <w:outlineLvl w:val="5"/>
    </w:pPr>
  </w:style>
  <w:style w:type="paragraph" w:styleId="Heading7">
    <w:name w:val="heading 7"/>
    <w:basedOn w:val="Normal"/>
    <w:next w:val="Normal"/>
    <w:semiHidden/>
    <w:pPr>
      <w:keepNext/>
      <w:numPr>
        <w:ilvl w:val="6"/>
        <w:numId w:val="42"/>
      </w:numPr>
      <w:outlineLvl w:val="6"/>
    </w:pPr>
  </w:style>
  <w:style w:type="paragraph" w:styleId="Heading8">
    <w:name w:val="heading 8"/>
    <w:basedOn w:val="Normal"/>
    <w:next w:val="Normal"/>
    <w:semiHidden/>
    <w:pPr>
      <w:keepNext/>
      <w:numPr>
        <w:ilvl w:val="7"/>
        <w:numId w:val="42"/>
      </w:numPr>
      <w:outlineLvl w:val="7"/>
    </w:pPr>
  </w:style>
  <w:style w:type="paragraph" w:styleId="Heading9">
    <w:name w:val="heading 9"/>
    <w:basedOn w:val="Normal"/>
    <w:next w:val="Normal"/>
    <w:semiHidden/>
    <w:pPr>
      <w:keepNext/>
      <w:numPr>
        <w:ilvl w:val="8"/>
        <w:numId w:val="4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link w:val="PagedecouvertureChar"/>
    <w:rsid w:val="00BC0055"/>
    <w:pPr>
      <w:spacing w:after="0"/>
    </w:pPr>
    <w:rPr>
      <w:rFonts w:ascii="Calibri" w:eastAsia="Yu Mincho" w:hAnsi="Calibri" w:cs="Arial"/>
      <w:sz w:val="20"/>
      <w:szCs w:val="22"/>
      <w:lang w:eastAsia="en-GB"/>
    </w:rPr>
  </w:style>
  <w:style w:type="paragraph" w:customStyle="1" w:styleId="FooterCoverPage">
    <w:name w:val="Footer Cover Page"/>
    <w:basedOn w:val="Normal"/>
    <w:link w:val="FooterCoverPageChar"/>
    <w:rsid w:val="00BC0055"/>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BC0055"/>
    <w:rPr>
      <w:rFonts w:ascii="Calibri" w:eastAsia="Yu Mincho" w:hAnsi="Calibri" w:cs="Arial"/>
      <w:sz w:val="20"/>
      <w:szCs w:val="22"/>
      <w:lang w:val="ro-RO" w:eastAsia="en-GB"/>
    </w:rPr>
  </w:style>
  <w:style w:type="character" w:customStyle="1" w:styleId="FooterCoverPageChar">
    <w:name w:val="Footer Cover Page Char"/>
    <w:link w:val="FooterCoverPage"/>
    <w:rsid w:val="00BC0055"/>
  </w:style>
  <w:style w:type="paragraph" w:customStyle="1" w:styleId="HeaderCoverPage">
    <w:name w:val="Header Cover Page"/>
    <w:basedOn w:val="Normal"/>
    <w:link w:val="HeaderCoverPageChar"/>
    <w:rsid w:val="00BC0055"/>
    <w:pPr>
      <w:tabs>
        <w:tab w:val="center" w:pos="4535"/>
        <w:tab w:val="right" w:pos="9071"/>
      </w:tabs>
      <w:spacing w:after="120"/>
    </w:pPr>
  </w:style>
  <w:style w:type="character" w:customStyle="1" w:styleId="HeaderCoverPageChar">
    <w:name w:val="Header Cover Page Char"/>
    <w:link w:val="HeaderCoverPage"/>
    <w:rsid w:val="00BC0055"/>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BC0055"/>
    <w:pPr>
      <w:spacing w:after="120" w:line="264" w:lineRule="auto"/>
      <w:ind w:left="720"/>
      <w:contextualSpacing/>
      <w:jc w:val="left"/>
    </w:pPr>
    <w:rPr>
      <w:rFonts w:ascii="Calibri" w:eastAsia="Yu Mincho" w:hAnsi="Calibri" w:cs="Arial"/>
      <w:sz w:val="20"/>
      <w:lang w:eastAsia="en-GB"/>
    </w:rPr>
  </w:style>
  <w:style w:type="character" w:styleId="Hyperlink">
    <w:name w:val="Hyperlink"/>
    <w:rsid w:val="00BC0055"/>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BC0055"/>
    <w:rPr>
      <w:rFonts w:ascii="Calibri" w:eastAsia="Yu Mincho" w:hAnsi="Calibri" w:cs="Arial"/>
      <w:sz w:val="20"/>
      <w:lang w:val="ro-RO"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BC0055"/>
    <w:pPr>
      <w:spacing w:before="120" w:after="120" w:line="240" w:lineRule="exact"/>
    </w:pPr>
    <w:rPr>
      <w:vertAlign w:val="superscript"/>
    </w:rPr>
  </w:style>
  <w:style w:type="character" w:customStyle="1" w:styleId="Heading1Char">
    <w:name w:val="Heading 1 Char"/>
    <w:rsid w:val="00BC0055"/>
    <w:rPr>
      <w:b/>
      <w:smallCaps/>
    </w:rPr>
  </w:style>
  <w:style w:type="character" w:customStyle="1" w:styleId="Heading2Char">
    <w:name w:val="Heading 2 Char"/>
    <w:rsid w:val="00BC0055"/>
    <w:rPr>
      <w: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44"/>
      </w:numPr>
    </w:pPr>
  </w:style>
  <w:style w:type="paragraph" w:customStyle="1" w:styleId="ContNumLevel2">
    <w:name w:val="ContNum (Level 2)"/>
    <w:basedOn w:val="Normal"/>
    <w:uiPriority w:val="20"/>
    <w:pPr>
      <w:numPr>
        <w:ilvl w:val="1"/>
        <w:numId w:val="44"/>
      </w:numPr>
    </w:pPr>
  </w:style>
  <w:style w:type="paragraph" w:customStyle="1" w:styleId="ContNumLevel3">
    <w:name w:val="ContNum (Level 3)"/>
    <w:basedOn w:val="Normal"/>
    <w:uiPriority w:val="20"/>
    <w:pPr>
      <w:numPr>
        <w:ilvl w:val="2"/>
        <w:numId w:val="4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43"/>
      </w:numPr>
      <w:spacing w:line="360" w:lineRule="auto"/>
    </w:pPr>
  </w:style>
  <w:style w:type="paragraph" w:customStyle="1" w:styleId="LegalNumPar2">
    <w:name w:val="LegalNumPar2"/>
    <w:basedOn w:val="Normal"/>
    <w:uiPriority w:val="20"/>
    <w:pPr>
      <w:numPr>
        <w:ilvl w:val="1"/>
        <w:numId w:val="43"/>
      </w:numPr>
      <w:spacing w:line="360" w:lineRule="auto"/>
    </w:pPr>
  </w:style>
  <w:style w:type="paragraph" w:customStyle="1" w:styleId="LegalNumPar3">
    <w:name w:val="LegalNumPar3"/>
    <w:basedOn w:val="Normal"/>
    <w:uiPriority w:val="20"/>
    <w:pPr>
      <w:numPr>
        <w:ilvl w:val="2"/>
        <w:numId w:val="43"/>
      </w:numPr>
      <w:spacing w:line="360" w:lineRule="auto"/>
    </w:pPr>
  </w:style>
  <w:style w:type="paragraph" w:styleId="ListBullet">
    <w:name w:val="List Bullet"/>
    <w:basedOn w:val="Normal"/>
    <w:uiPriority w:val="35"/>
    <w:pPr>
      <w:numPr>
        <w:numId w:val="41"/>
      </w:numPr>
    </w:pPr>
  </w:style>
  <w:style w:type="paragraph" w:customStyle="1" w:styleId="ListBulletLevel2">
    <w:name w:val="List Bullet (Level 2)"/>
    <w:basedOn w:val="Normal"/>
    <w:uiPriority w:val="35"/>
    <w:semiHidden/>
    <w:unhideWhenUsed/>
    <w:pPr>
      <w:numPr>
        <w:ilvl w:val="1"/>
        <w:numId w:val="41"/>
      </w:numPr>
    </w:pPr>
  </w:style>
  <w:style w:type="paragraph" w:customStyle="1" w:styleId="ListBulletLevel3">
    <w:name w:val="List Bullet (Level 3)"/>
    <w:basedOn w:val="Normal"/>
    <w:uiPriority w:val="35"/>
    <w:semiHidden/>
    <w:unhideWhenUsed/>
    <w:pPr>
      <w:numPr>
        <w:ilvl w:val="2"/>
        <w:numId w:val="41"/>
      </w:numPr>
    </w:pPr>
  </w:style>
  <w:style w:type="paragraph" w:customStyle="1" w:styleId="ListBulletLevel4">
    <w:name w:val="List Bullet (Level 4)"/>
    <w:basedOn w:val="Normal"/>
    <w:uiPriority w:val="35"/>
    <w:semiHidden/>
    <w:unhideWhenUsed/>
    <w:pPr>
      <w:numPr>
        <w:ilvl w:val="3"/>
        <w:numId w:val="41"/>
      </w:numPr>
    </w:pPr>
  </w:style>
  <w:style w:type="paragraph" w:customStyle="1" w:styleId="ListBullet1">
    <w:name w:val="List Bullet 1"/>
    <w:basedOn w:val="Text1"/>
    <w:uiPriority w:val="35"/>
    <w:pPr>
      <w:numPr>
        <w:numId w:val="40"/>
      </w:numPr>
    </w:pPr>
  </w:style>
  <w:style w:type="paragraph" w:customStyle="1" w:styleId="ListBullet1Level2">
    <w:name w:val="List Bullet 1 (Level 2)"/>
    <w:basedOn w:val="Text1"/>
    <w:uiPriority w:val="35"/>
    <w:semiHidden/>
    <w:unhideWhenUsed/>
    <w:pPr>
      <w:numPr>
        <w:ilvl w:val="1"/>
        <w:numId w:val="40"/>
      </w:numPr>
    </w:pPr>
  </w:style>
  <w:style w:type="paragraph" w:customStyle="1" w:styleId="ListBullet1Level3">
    <w:name w:val="List Bullet 1 (Level 3)"/>
    <w:basedOn w:val="Text1"/>
    <w:uiPriority w:val="35"/>
    <w:semiHidden/>
    <w:unhideWhenUsed/>
    <w:pPr>
      <w:numPr>
        <w:ilvl w:val="2"/>
        <w:numId w:val="40"/>
      </w:numPr>
    </w:pPr>
  </w:style>
  <w:style w:type="paragraph" w:customStyle="1" w:styleId="ListBullet1Level4">
    <w:name w:val="List Bullet 1 (Level 4)"/>
    <w:basedOn w:val="Text1"/>
    <w:uiPriority w:val="35"/>
    <w:semiHidden/>
    <w:unhideWhenUsed/>
    <w:pPr>
      <w:numPr>
        <w:ilvl w:val="3"/>
        <w:numId w:val="40"/>
      </w:numPr>
    </w:pPr>
  </w:style>
  <w:style w:type="paragraph" w:styleId="ListBullet2">
    <w:name w:val="List Bullet 2"/>
    <w:basedOn w:val="Text2"/>
    <w:uiPriority w:val="35"/>
    <w:pPr>
      <w:numPr>
        <w:numId w:val="39"/>
      </w:numPr>
    </w:pPr>
  </w:style>
  <w:style w:type="paragraph" w:customStyle="1" w:styleId="ListBullet2Level2">
    <w:name w:val="List Bullet 2 (Level 2)"/>
    <w:basedOn w:val="Text2"/>
    <w:uiPriority w:val="35"/>
    <w:semiHidden/>
    <w:unhideWhenUsed/>
    <w:pPr>
      <w:numPr>
        <w:ilvl w:val="1"/>
        <w:numId w:val="39"/>
      </w:numPr>
    </w:pPr>
  </w:style>
  <w:style w:type="paragraph" w:customStyle="1" w:styleId="ListBullet2Level3">
    <w:name w:val="List Bullet 2 (Level 3)"/>
    <w:basedOn w:val="Text2"/>
    <w:uiPriority w:val="35"/>
    <w:semiHidden/>
    <w:unhideWhenUsed/>
    <w:pPr>
      <w:numPr>
        <w:ilvl w:val="2"/>
        <w:numId w:val="39"/>
      </w:numPr>
    </w:pPr>
  </w:style>
  <w:style w:type="paragraph" w:customStyle="1" w:styleId="ListBullet2Level4">
    <w:name w:val="List Bullet 2 (Level 4)"/>
    <w:basedOn w:val="Text2"/>
    <w:uiPriority w:val="35"/>
    <w:semiHidden/>
    <w:unhideWhenUsed/>
    <w:pPr>
      <w:numPr>
        <w:ilvl w:val="3"/>
        <w:numId w:val="39"/>
      </w:numPr>
    </w:pPr>
  </w:style>
  <w:style w:type="paragraph" w:styleId="ListBullet3">
    <w:name w:val="List Bullet 3"/>
    <w:basedOn w:val="Text3"/>
    <w:uiPriority w:val="35"/>
    <w:pPr>
      <w:numPr>
        <w:numId w:val="38"/>
      </w:numPr>
    </w:pPr>
  </w:style>
  <w:style w:type="paragraph" w:customStyle="1" w:styleId="ListBullet3Level2">
    <w:name w:val="List Bullet 3 (Level 2)"/>
    <w:basedOn w:val="Text3"/>
    <w:uiPriority w:val="35"/>
    <w:semiHidden/>
    <w:unhideWhenUsed/>
    <w:pPr>
      <w:numPr>
        <w:ilvl w:val="1"/>
        <w:numId w:val="38"/>
      </w:numPr>
    </w:pPr>
  </w:style>
  <w:style w:type="paragraph" w:customStyle="1" w:styleId="ListBullet3Level3">
    <w:name w:val="List Bullet 3 (Level 3)"/>
    <w:basedOn w:val="Text3"/>
    <w:uiPriority w:val="35"/>
    <w:semiHidden/>
    <w:unhideWhenUsed/>
    <w:pPr>
      <w:numPr>
        <w:ilvl w:val="2"/>
        <w:numId w:val="38"/>
      </w:numPr>
    </w:pPr>
  </w:style>
  <w:style w:type="paragraph" w:customStyle="1" w:styleId="ListBullet3Level4">
    <w:name w:val="List Bullet 3 (Level 4)"/>
    <w:basedOn w:val="Text3"/>
    <w:uiPriority w:val="35"/>
    <w:semiHidden/>
    <w:unhideWhenUsed/>
    <w:pPr>
      <w:numPr>
        <w:ilvl w:val="3"/>
        <w:numId w:val="38"/>
      </w:numPr>
    </w:pPr>
  </w:style>
  <w:style w:type="paragraph" w:styleId="ListBullet4">
    <w:name w:val="List Bullet 4"/>
    <w:basedOn w:val="Text4"/>
    <w:uiPriority w:val="35"/>
    <w:pPr>
      <w:numPr>
        <w:numId w:val="37"/>
      </w:numPr>
    </w:pPr>
  </w:style>
  <w:style w:type="paragraph" w:customStyle="1" w:styleId="ListBullet4Level2">
    <w:name w:val="List Bullet 4 (Level 2)"/>
    <w:basedOn w:val="Text4"/>
    <w:uiPriority w:val="35"/>
    <w:semiHidden/>
    <w:unhideWhenUsed/>
    <w:pPr>
      <w:numPr>
        <w:ilvl w:val="1"/>
        <w:numId w:val="37"/>
      </w:numPr>
    </w:pPr>
  </w:style>
  <w:style w:type="paragraph" w:customStyle="1" w:styleId="ListBullet4Level3">
    <w:name w:val="List Bullet 4 (Level 3)"/>
    <w:basedOn w:val="Text4"/>
    <w:uiPriority w:val="35"/>
    <w:semiHidden/>
    <w:unhideWhenUsed/>
    <w:pPr>
      <w:numPr>
        <w:ilvl w:val="2"/>
        <w:numId w:val="37"/>
      </w:numPr>
    </w:pPr>
  </w:style>
  <w:style w:type="paragraph" w:customStyle="1" w:styleId="ListBullet4Level4">
    <w:name w:val="List Bullet 4 (Level 4)"/>
    <w:basedOn w:val="Text4"/>
    <w:uiPriority w:val="35"/>
    <w:semiHidden/>
    <w:unhideWhenUsed/>
    <w:pPr>
      <w:numPr>
        <w:ilvl w:val="3"/>
        <w:numId w:val="37"/>
      </w:numPr>
    </w:pPr>
  </w:style>
  <w:style w:type="paragraph" w:customStyle="1" w:styleId="ListDash">
    <w:name w:val="List Dash"/>
    <w:basedOn w:val="Normal"/>
    <w:uiPriority w:val="35"/>
    <w:pPr>
      <w:numPr>
        <w:numId w:val="31"/>
      </w:numPr>
    </w:pPr>
  </w:style>
  <w:style w:type="paragraph" w:customStyle="1" w:styleId="ListDashLevel2">
    <w:name w:val="List Dash (Level 2)"/>
    <w:basedOn w:val="Normal"/>
    <w:semiHidden/>
    <w:unhideWhenUsed/>
    <w:pPr>
      <w:numPr>
        <w:ilvl w:val="1"/>
        <w:numId w:val="31"/>
      </w:numPr>
    </w:pPr>
  </w:style>
  <w:style w:type="paragraph" w:customStyle="1" w:styleId="ListDashLevel3">
    <w:name w:val="List Dash (Level 3)"/>
    <w:basedOn w:val="Normal"/>
    <w:semiHidden/>
    <w:unhideWhenUsed/>
    <w:pPr>
      <w:numPr>
        <w:ilvl w:val="2"/>
        <w:numId w:val="31"/>
      </w:numPr>
    </w:pPr>
  </w:style>
  <w:style w:type="paragraph" w:customStyle="1" w:styleId="ListDashLevel4">
    <w:name w:val="List Dash (Level 4)"/>
    <w:basedOn w:val="Normal"/>
    <w:semiHidden/>
    <w:unhideWhenUsed/>
    <w:pPr>
      <w:numPr>
        <w:ilvl w:val="3"/>
        <w:numId w:val="31"/>
      </w:numPr>
    </w:pPr>
  </w:style>
  <w:style w:type="paragraph" w:customStyle="1" w:styleId="ListDash1">
    <w:name w:val="List Dash 1"/>
    <w:basedOn w:val="Text1"/>
    <w:uiPriority w:val="35"/>
    <w:pPr>
      <w:numPr>
        <w:numId w:val="30"/>
      </w:numPr>
    </w:pPr>
  </w:style>
  <w:style w:type="paragraph" w:customStyle="1" w:styleId="ListDash1Level2">
    <w:name w:val="List Dash 1 (Level 2)"/>
    <w:basedOn w:val="Text1"/>
    <w:uiPriority w:val="35"/>
    <w:semiHidden/>
    <w:unhideWhenUsed/>
    <w:pPr>
      <w:numPr>
        <w:ilvl w:val="1"/>
        <w:numId w:val="30"/>
      </w:numPr>
    </w:pPr>
  </w:style>
  <w:style w:type="paragraph" w:customStyle="1" w:styleId="ListDash1Level3">
    <w:name w:val="List Dash 1 (Level 3)"/>
    <w:basedOn w:val="Text1"/>
    <w:uiPriority w:val="35"/>
    <w:semiHidden/>
    <w:unhideWhenUsed/>
    <w:pPr>
      <w:numPr>
        <w:ilvl w:val="2"/>
        <w:numId w:val="30"/>
      </w:numPr>
    </w:pPr>
  </w:style>
  <w:style w:type="paragraph" w:customStyle="1" w:styleId="ListDash1Level4">
    <w:name w:val="List Dash 1 (Level 4)"/>
    <w:basedOn w:val="Text1"/>
    <w:uiPriority w:val="35"/>
    <w:semiHidden/>
    <w:unhideWhenUsed/>
    <w:pPr>
      <w:numPr>
        <w:ilvl w:val="3"/>
        <w:numId w:val="30"/>
      </w:numPr>
    </w:pPr>
  </w:style>
  <w:style w:type="paragraph" w:customStyle="1" w:styleId="ListDash2">
    <w:name w:val="List Dash 2"/>
    <w:basedOn w:val="Text2"/>
    <w:uiPriority w:val="35"/>
    <w:pPr>
      <w:numPr>
        <w:numId w:val="29"/>
      </w:numPr>
    </w:pPr>
  </w:style>
  <w:style w:type="paragraph" w:customStyle="1" w:styleId="ListDash2Level2">
    <w:name w:val="List Dash 2 (Level 2)"/>
    <w:basedOn w:val="Text2"/>
    <w:uiPriority w:val="35"/>
    <w:semiHidden/>
    <w:unhideWhenUsed/>
    <w:pPr>
      <w:numPr>
        <w:ilvl w:val="1"/>
        <w:numId w:val="29"/>
      </w:numPr>
    </w:pPr>
  </w:style>
  <w:style w:type="paragraph" w:customStyle="1" w:styleId="ListDash2Level3">
    <w:name w:val="List Dash 2 (Level 3)"/>
    <w:basedOn w:val="Text2"/>
    <w:uiPriority w:val="35"/>
    <w:semiHidden/>
    <w:unhideWhenUsed/>
    <w:pPr>
      <w:numPr>
        <w:ilvl w:val="2"/>
        <w:numId w:val="29"/>
      </w:numPr>
    </w:pPr>
  </w:style>
  <w:style w:type="paragraph" w:customStyle="1" w:styleId="ListDash2Level4">
    <w:name w:val="List Dash 2 (Level 4)"/>
    <w:basedOn w:val="Text2"/>
    <w:uiPriority w:val="35"/>
    <w:semiHidden/>
    <w:unhideWhenUsed/>
    <w:pPr>
      <w:numPr>
        <w:ilvl w:val="3"/>
        <w:numId w:val="29"/>
      </w:numPr>
    </w:pPr>
  </w:style>
  <w:style w:type="paragraph" w:customStyle="1" w:styleId="ListDash3">
    <w:name w:val="List Dash 3"/>
    <w:basedOn w:val="Text3"/>
    <w:uiPriority w:val="35"/>
    <w:pPr>
      <w:numPr>
        <w:numId w:val="28"/>
      </w:numPr>
    </w:pPr>
  </w:style>
  <w:style w:type="paragraph" w:customStyle="1" w:styleId="ListDash3Level2">
    <w:name w:val="List Dash 3 (Level 2)"/>
    <w:basedOn w:val="Text3"/>
    <w:uiPriority w:val="35"/>
    <w:semiHidden/>
    <w:unhideWhenUsed/>
    <w:pPr>
      <w:numPr>
        <w:ilvl w:val="1"/>
        <w:numId w:val="28"/>
      </w:numPr>
    </w:pPr>
  </w:style>
  <w:style w:type="paragraph" w:customStyle="1" w:styleId="ListDash3Level3">
    <w:name w:val="List Dash 3 (Level 3)"/>
    <w:basedOn w:val="Text3"/>
    <w:uiPriority w:val="35"/>
    <w:semiHidden/>
    <w:unhideWhenUsed/>
    <w:pPr>
      <w:numPr>
        <w:ilvl w:val="2"/>
        <w:numId w:val="28"/>
      </w:numPr>
    </w:pPr>
  </w:style>
  <w:style w:type="paragraph" w:customStyle="1" w:styleId="ListDash3Level4">
    <w:name w:val="List Dash 3 (Level 4)"/>
    <w:basedOn w:val="Text3"/>
    <w:uiPriority w:val="35"/>
    <w:semiHidden/>
    <w:unhideWhenUsed/>
    <w:pPr>
      <w:numPr>
        <w:ilvl w:val="3"/>
        <w:numId w:val="28"/>
      </w:numPr>
    </w:pPr>
  </w:style>
  <w:style w:type="paragraph" w:customStyle="1" w:styleId="ListDash4">
    <w:name w:val="List Dash 4"/>
    <w:basedOn w:val="Text4"/>
    <w:uiPriority w:val="35"/>
    <w:pPr>
      <w:numPr>
        <w:numId w:val="27"/>
      </w:numPr>
    </w:pPr>
  </w:style>
  <w:style w:type="paragraph" w:customStyle="1" w:styleId="ListDash4Level2">
    <w:name w:val="List Dash 4 (Level 2)"/>
    <w:basedOn w:val="Text4"/>
    <w:uiPriority w:val="35"/>
    <w:semiHidden/>
    <w:unhideWhenUsed/>
    <w:pPr>
      <w:numPr>
        <w:ilvl w:val="1"/>
        <w:numId w:val="27"/>
      </w:numPr>
    </w:pPr>
  </w:style>
  <w:style w:type="paragraph" w:customStyle="1" w:styleId="ListDash4Level3">
    <w:name w:val="List Dash 4 (Level 3)"/>
    <w:basedOn w:val="Text4"/>
    <w:uiPriority w:val="35"/>
    <w:semiHidden/>
    <w:unhideWhenUsed/>
    <w:pPr>
      <w:numPr>
        <w:ilvl w:val="2"/>
        <w:numId w:val="27"/>
      </w:numPr>
    </w:pPr>
  </w:style>
  <w:style w:type="paragraph" w:customStyle="1" w:styleId="ListDash4Level4">
    <w:name w:val="List Dash 4 (Level 4)"/>
    <w:basedOn w:val="Text4"/>
    <w:uiPriority w:val="35"/>
    <w:semiHidden/>
    <w:unhideWhenUsed/>
    <w:pPr>
      <w:numPr>
        <w:ilvl w:val="3"/>
        <w:numId w:val="27"/>
      </w:numPr>
    </w:pPr>
  </w:style>
  <w:style w:type="paragraph" w:styleId="ListNumber">
    <w:name w:val="List Number"/>
    <w:basedOn w:val="Normal"/>
    <w:uiPriority w:val="30"/>
    <w:pPr>
      <w:numPr>
        <w:numId w:val="36"/>
      </w:numPr>
    </w:pPr>
  </w:style>
  <w:style w:type="paragraph" w:customStyle="1" w:styleId="ListNumberLevel2">
    <w:name w:val="List Number (Level 2)"/>
    <w:basedOn w:val="Normal"/>
    <w:uiPriority w:val="30"/>
    <w:pPr>
      <w:numPr>
        <w:ilvl w:val="1"/>
        <w:numId w:val="36"/>
      </w:numPr>
    </w:pPr>
  </w:style>
  <w:style w:type="paragraph" w:customStyle="1" w:styleId="ListNumberLevel3">
    <w:name w:val="List Number (Level 3)"/>
    <w:basedOn w:val="Normal"/>
    <w:uiPriority w:val="30"/>
    <w:pPr>
      <w:numPr>
        <w:ilvl w:val="2"/>
        <w:numId w:val="36"/>
      </w:numPr>
    </w:pPr>
  </w:style>
  <w:style w:type="paragraph" w:customStyle="1" w:styleId="ListNumberLevel4">
    <w:name w:val="List Number (Level 4)"/>
    <w:basedOn w:val="Normal"/>
    <w:uiPriority w:val="30"/>
    <w:pPr>
      <w:numPr>
        <w:ilvl w:val="3"/>
        <w:numId w:val="36"/>
      </w:numPr>
    </w:pPr>
  </w:style>
  <w:style w:type="paragraph" w:customStyle="1" w:styleId="ListNumber1">
    <w:name w:val="List Number 1"/>
    <w:basedOn w:val="Text1"/>
    <w:uiPriority w:val="30"/>
    <w:pPr>
      <w:numPr>
        <w:numId w:val="35"/>
      </w:numPr>
    </w:pPr>
  </w:style>
  <w:style w:type="paragraph" w:customStyle="1" w:styleId="ListNumber1Level2">
    <w:name w:val="List Number 1 (Level 2)"/>
    <w:basedOn w:val="Text1"/>
    <w:uiPriority w:val="30"/>
    <w:semiHidden/>
    <w:unhideWhenUsed/>
    <w:pPr>
      <w:numPr>
        <w:ilvl w:val="1"/>
        <w:numId w:val="35"/>
      </w:numPr>
    </w:pPr>
  </w:style>
  <w:style w:type="paragraph" w:customStyle="1" w:styleId="ListNumber1Level3">
    <w:name w:val="List Number 1 (Level 3)"/>
    <w:basedOn w:val="Text1"/>
    <w:uiPriority w:val="30"/>
    <w:semiHidden/>
    <w:unhideWhenUsed/>
    <w:pPr>
      <w:numPr>
        <w:ilvl w:val="2"/>
        <w:numId w:val="35"/>
      </w:numPr>
    </w:pPr>
  </w:style>
  <w:style w:type="paragraph" w:customStyle="1" w:styleId="ListNumber1Level4">
    <w:name w:val="List Number 1 (Level 4)"/>
    <w:basedOn w:val="Text1"/>
    <w:uiPriority w:val="30"/>
    <w:semiHidden/>
    <w:unhideWhenUsed/>
    <w:pPr>
      <w:numPr>
        <w:ilvl w:val="3"/>
        <w:numId w:val="35"/>
      </w:numPr>
    </w:pPr>
  </w:style>
  <w:style w:type="paragraph" w:styleId="ListNumber2">
    <w:name w:val="List Number 2"/>
    <w:basedOn w:val="Text2"/>
    <w:uiPriority w:val="30"/>
    <w:pPr>
      <w:numPr>
        <w:numId w:val="34"/>
      </w:numPr>
    </w:pPr>
  </w:style>
  <w:style w:type="paragraph" w:customStyle="1" w:styleId="ListNumber2Level2">
    <w:name w:val="List Number 2 (Level 2)"/>
    <w:basedOn w:val="Text2"/>
    <w:uiPriority w:val="30"/>
    <w:semiHidden/>
    <w:unhideWhenUsed/>
    <w:pPr>
      <w:numPr>
        <w:ilvl w:val="1"/>
        <w:numId w:val="34"/>
      </w:numPr>
    </w:pPr>
  </w:style>
  <w:style w:type="paragraph" w:customStyle="1" w:styleId="ListNumber2Level3">
    <w:name w:val="List Number 2 (Level 3)"/>
    <w:basedOn w:val="Text2"/>
    <w:uiPriority w:val="30"/>
    <w:semiHidden/>
    <w:unhideWhenUsed/>
    <w:pPr>
      <w:numPr>
        <w:ilvl w:val="2"/>
        <w:numId w:val="34"/>
      </w:numPr>
    </w:pPr>
  </w:style>
  <w:style w:type="paragraph" w:customStyle="1" w:styleId="ListNumber2Level4">
    <w:name w:val="List Number 2 (Level 4)"/>
    <w:basedOn w:val="Text2"/>
    <w:uiPriority w:val="30"/>
    <w:semiHidden/>
    <w:unhideWhenUsed/>
    <w:pPr>
      <w:numPr>
        <w:ilvl w:val="3"/>
        <w:numId w:val="34"/>
      </w:numPr>
    </w:pPr>
  </w:style>
  <w:style w:type="paragraph" w:styleId="ListNumber3">
    <w:name w:val="List Number 3"/>
    <w:basedOn w:val="Text3"/>
    <w:uiPriority w:val="30"/>
    <w:pPr>
      <w:numPr>
        <w:numId w:val="33"/>
      </w:numPr>
    </w:pPr>
  </w:style>
  <w:style w:type="paragraph" w:customStyle="1" w:styleId="ListNumber3Level2">
    <w:name w:val="List Number 3 (Level 2)"/>
    <w:basedOn w:val="Text3"/>
    <w:uiPriority w:val="30"/>
    <w:semiHidden/>
    <w:unhideWhenUsed/>
    <w:pPr>
      <w:numPr>
        <w:ilvl w:val="1"/>
        <w:numId w:val="33"/>
      </w:numPr>
    </w:pPr>
  </w:style>
  <w:style w:type="paragraph" w:customStyle="1" w:styleId="ListNumber3Level3">
    <w:name w:val="List Number 3 (Level 3)"/>
    <w:basedOn w:val="Text3"/>
    <w:uiPriority w:val="30"/>
    <w:semiHidden/>
    <w:unhideWhenUsed/>
    <w:pPr>
      <w:numPr>
        <w:ilvl w:val="2"/>
        <w:numId w:val="33"/>
      </w:numPr>
    </w:pPr>
  </w:style>
  <w:style w:type="paragraph" w:customStyle="1" w:styleId="ListNumber3Level4">
    <w:name w:val="List Number 3 (Level 4)"/>
    <w:basedOn w:val="Text3"/>
    <w:uiPriority w:val="30"/>
    <w:semiHidden/>
    <w:unhideWhenUsed/>
    <w:pPr>
      <w:numPr>
        <w:ilvl w:val="3"/>
        <w:numId w:val="33"/>
      </w:numPr>
    </w:pPr>
  </w:style>
  <w:style w:type="paragraph" w:styleId="ListNumber4">
    <w:name w:val="List Number 4"/>
    <w:basedOn w:val="Text4"/>
    <w:uiPriority w:val="30"/>
    <w:pPr>
      <w:numPr>
        <w:numId w:val="32"/>
      </w:numPr>
    </w:pPr>
  </w:style>
  <w:style w:type="paragraph" w:customStyle="1" w:styleId="ListNumber4Level2">
    <w:name w:val="List Number 4 (Level 2)"/>
    <w:basedOn w:val="Text4"/>
    <w:uiPriority w:val="30"/>
    <w:semiHidden/>
    <w:unhideWhenUsed/>
    <w:pPr>
      <w:numPr>
        <w:ilvl w:val="1"/>
        <w:numId w:val="32"/>
      </w:numPr>
    </w:pPr>
  </w:style>
  <w:style w:type="paragraph" w:customStyle="1" w:styleId="ListNumber4Level3">
    <w:name w:val="List Number 4 (Level 3)"/>
    <w:basedOn w:val="Text4"/>
    <w:uiPriority w:val="30"/>
    <w:semiHidden/>
    <w:unhideWhenUsed/>
    <w:pPr>
      <w:numPr>
        <w:ilvl w:val="2"/>
        <w:numId w:val="32"/>
      </w:numPr>
    </w:pPr>
  </w:style>
  <w:style w:type="paragraph" w:customStyle="1" w:styleId="ListNumber4Level4">
    <w:name w:val="List Number 4 (Level 4)"/>
    <w:basedOn w:val="Text4"/>
    <w:uiPriority w:val="30"/>
    <w:semiHidden/>
    <w:unhideWhenUsed/>
    <w:pPr>
      <w:numPr>
        <w:ilvl w:val="3"/>
        <w:numId w:val="32"/>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46"/>
      </w:numPr>
    </w:pPr>
  </w:style>
  <w:style w:type="paragraph" w:customStyle="1" w:styleId="TableListBulletLevel2">
    <w:name w:val="Table List Bullet (Level 2)"/>
    <w:basedOn w:val="TableText"/>
    <w:uiPriority w:val="55"/>
    <w:semiHidden/>
    <w:unhideWhenUsed/>
    <w:pPr>
      <w:numPr>
        <w:ilvl w:val="1"/>
        <w:numId w:val="46"/>
      </w:numPr>
    </w:pPr>
  </w:style>
  <w:style w:type="paragraph" w:customStyle="1" w:styleId="TableListBulletLevel3">
    <w:name w:val="Table List Bullet (Level 3)"/>
    <w:basedOn w:val="TableText"/>
    <w:uiPriority w:val="55"/>
    <w:semiHidden/>
    <w:unhideWhenUsed/>
    <w:pPr>
      <w:numPr>
        <w:ilvl w:val="2"/>
        <w:numId w:val="46"/>
      </w:numPr>
    </w:pPr>
  </w:style>
  <w:style w:type="paragraph" w:customStyle="1" w:styleId="TableListBulletLevel4">
    <w:name w:val="Table List Bullet (Level 4)"/>
    <w:basedOn w:val="TableText"/>
    <w:uiPriority w:val="55"/>
    <w:semiHidden/>
    <w:unhideWhenUsed/>
    <w:pPr>
      <w:numPr>
        <w:ilvl w:val="3"/>
        <w:numId w:val="46"/>
      </w:numPr>
    </w:pPr>
  </w:style>
  <w:style w:type="paragraph" w:customStyle="1" w:styleId="TableListDash">
    <w:name w:val="Table List Dash"/>
    <w:basedOn w:val="TableText"/>
    <w:uiPriority w:val="55"/>
    <w:pPr>
      <w:numPr>
        <w:numId w:val="47"/>
      </w:numPr>
    </w:pPr>
  </w:style>
  <w:style w:type="paragraph" w:customStyle="1" w:styleId="TableListDashLevel2">
    <w:name w:val="Table List Dash (Level 2)"/>
    <w:basedOn w:val="TableText"/>
    <w:uiPriority w:val="55"/>
    <w:semiHidden/>
    <w:unhideWhenUsed/>
    <w:pPr>
      <w:numPr>
        <w:ilvl w:val="1"/>
        <w:numId w:val="47"/>
      </w:numPr>
    </w:pPr>
  </w:style>
  <w:style w:type="paragraph" w:customStyle="1" w:styleId="TableListDashLevel3">
    <w:name w:val="Table List Dash (Level 3)"/>
    <w:basedOn w:val="TableText"/>
    <w:uiPriority w:val="55"/>
    <w:semiHidden/>
    <w:unhideWhenUsed/>
    <w:pPr>
      <w:numPr>
        <w:ilvl w:val="2"/>
        <w:numId w:val="47"/>
      </w:numPr>
    </w:pPr>
  </w:style>
  <w:style w:type="paragraph" w:customStyle="1" w:styleId="TableListDashLevel4">
    <w:name w:val="Table List Dash (Level 4)"/>
    <w:basedOn w:val="TableText"/>
    <w:uiPriority w:val="55"/>
    <w:semiHidden/>
    <w:unhideWhenUsed/>
    <w:pPr>
      <w:numPr>
        <w:ilvl w:val="3"/>
        <w:numId w:val="47"/>
      </w:numPr>
    </w:pPr>
  </w:style>
  <w:style w:type="paragraph" w:customStyle="1" w:styleId="TableListNumber">
    <w:name w:val="Table List Number"/>
    <w:basedOn w:val="TableText"/>
    <w:uiPriority w:val="55"/>
    <w:pPr>
      <w:numPr>
        <w:numId w:val="48"/>
      </w:numPr>
    </w:pPr>
  </w:style>
  <w:style w:type="paragraph" w:customStyle="1" w:styleId="TableListNumberLevel2">
    <w:name w:val="Table List Number (Level 2)"/>
    <w:basedOn w:val="TableText"/>
    <w:uiPriority w:val="55"/>
    <w:semiHidden/>
    <w:unhideWhenUsed/>
    <w:pPr>
      <w:numPr>
        <w:ilvl w:val="1"/>
        <w:numId w:val="48"/>
      </w:numPr>
    </w:pPr>
  </w:style>
  <w:style w:type="paragraph" w:customStyle="1" w:styleId="TableListNumberLevel3">
    <w:name w:val="Table List Number (Level 3)"/>
    <w:basedOn w:val="TableText"/>
    <w:uiPriority w:val="55"/>
    <w:semiHidden/>
    <w:unhideWhenUsed/>
    <w:pPr>
      <w:numPr>
        <w:ilvl w:val="2"/>
        <w:numId w:val="48"/>
      </w:numPr>
    </w:pPr>
  </w:style>
  <w:style w:type="paragraph" w:customStyle="1" w:styleId="TableListNumberLevel4">
    <w:name w:val="Table List Number (Level 4)"/>
    <w:basedOn w:val="TableText"/>
    <w:uiPriority w:val="55"/>
    <w:semiHidden/>
    <w:unhideWhenUsed/>
    <w:pPr>
      <w:numPr>
        <w:ilvl w:val="3"/>
        <w:numId w:val="4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uiPriority w:val="99"/>
    <w:semiHidden/>
    <w:rsid w:val="00D561D6"/>
    <w:rPr>
      <w:color w:val="96607D" w:themeColor="followedHyperlink"/>
      <w:u w:val="single"/>
    </w:rPr>
  </w:style>
  <w:style w:type="paragraph" w:styleId="Revision">
    <w:name w:val="Revision"/>
    <w:hidden/>
    <w:uiPriority w:val="99"/>
    <w:semiHidden/>
    <w:rsid w:val="00B41DA1"/>
  </w:style>
  <w:style w:type="character" w:customStyle="1" w:styleId="FootnoteTextChar">
    <w:name w:val="Footnote Text Char"/>
    <w:basedOn w:val="DefaultParagraphFont"/>
    <w:link w:val="FootnoteText"/>
    <w:semiHidden/>
    <w:rsid w:val="00803761"/>
    <w:rPr>
      <w:sz w:val="20"/>
    </w:rPr>
  </w:style>
  <w:style w:type="character" w:customStyle="1" w:styleId="UnresolvedMention">
    <w:name w:val="Unresolved Mention"/>
    <w:basedOn w:val="DefaultParagraphFont"/>
    <w:uiPriority w:val="99"/>
    <w:semiHidden/>
    <w:unhideWhenUsed/>
    <w:rsid w:val="007F1DF7"/>
    <w:rPr>
      <w:color w:val="605E5C"/>
      <w:shd w:val="clear" w:color="auto" w:fill="E1DFDD"/>
    </w:rPr>
  </w:style>
  <w:style w:type="character" w:customStyle="1" w:styleId="Marker">
    <w:name w:val="Marker"/>
    <w:basedOn w:val="DefaultParagraphFont"/>
    <w:rsid w:val="00EE599E"/>
    <w:rPr>
      <w:color w:val="0000FF"/>
      <w:shd w:val="clear" w:color="auto" w:fill="auto"/>
    </w:rPr>
  </w:style>
  <w:style w:type="paragraph" w:customStyle="1" w:styleId="FooterSensitivity">
    <w:name w:val="Footer Sensitivity"/>
    <w:basedOn w:val="Normal"/>
    <w:link w:val="FooterSensitivityChar"/>
    <w:rsid w:val="00EE59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EE599E"/>
    <w:rPr>
      <w:rFonts w:ascii="Calibri" w:eastAsia="Yu Mincho" w:hAnsi="Calibri" w:cs="Arial"/>
      <w:b/>
      <w:sz w:val="32"/>
      <w:szCs w:val="22"/>
      <w:lang w:val="ro-RO" w:eastAsia="en-GB"/>
    </w:rPr>
  </w:style>
  <w:style w:type="paragraph" w:customStyle="1" w:styleId="HeaderSensitivity">
    <w:name w:val="Header Sensitivity"/>
    <w:basedOn w:val="Normal"/>
    <w:link w:val="HeaderSensitivityChar"/>
    <w:rsid w:val="00EE599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E599E"/>
    <w:rPr>
      <w:rFonts w:ascii="Calibri" w:eastAsia="Yu Mincho" w:hAnsi="Calibri" w:cs="Arial"/>
      <w:b/>
      <w:sz w:val="32"/>
      <w:szCs w:val="22"/>
      <w:lang w:val="ro-RO" w:eastAsia="en-GB"/>
    </w:rPr>
  </w:style>
  <w:style w:type="paragraph" w:customStyle="1" w:styleId="HeaderSensitivityRight">
    <w:name w:val="Header Sensitivity Right"/>
    <w:basedOn w:val="Normal"/>
    <w:link w:val="HeaderSensitivityRightChar"/>
    <w:rsid w:val="00EE599E"/>
    <w:pPr>
      <w:spacing w:after="120"/>
      <w:jc w:val="right"/>
    </w:pPr>
    <w:rPr>
      <w:sz w:val="28"/>
    </w:rPr>
  </w:style>
  <w:style w:type="character" w:customStyle="1" w:styleId="HeaderSensitivityRightChar">
    <w:name w:val="Header Sensitivity Right Char"/>
    <w:basedOn w:val="PagedecouvertureChar"/>
    <w:link w:val="HeaderSensitivityRight"/>
    <w:rsid w:val="00EE599E"/>
    <w:rPr>
      <w:rFonts w:ascii="Calibri" w:eastAsia="Yu Mincho" w:hAnsi="Calibri" w:cs="Arial"/>
      <w:sz w:val="28"/>
      <w:szCs w:val="22"/>
      <w:lang w:val="ro-RO" w:eastAsia="en-GB"/>
    </w:rPr>
  </w:style>
  <w:style w:type="character" w:customStyle="1" w:styleId="FooterChar">
    <w:name w:val="Footer Char"/>
    <w:basedOn w:val="DefaultParagraphFont"/>
    <w:link w:val="Footer"/>
    <w:uiPriority w:val="99"/>
    <w:rsid w:val="00E12928"/>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eur-lex.europa.eu/eli/reg_del/2019/2018/oj" TargetMode="External"/><Relationship Id="rId39" Type="http://schemas.openxmlformats.org/officeDocument/2006/relationships/hyperlink" Target="https://eur-lex.europa.eu/legal-content/RO/TXT/?uri=CELEX%3A32013R0811" TargetMode="External"/><Relationship Id="rId3" Type="http://schemas.openxmlformats.org/officeDocument/2006/relationships/customXml" Target="../customXml/item3.xml"/><Relationship Id="rId21" Type="http://schemas.openxmlformats.org/officeDocument/2006/relationships/hyperlink" Target="https://eur-lex.europa.eu/legal-content/EN/TXT/?uri=uriserv:OJ.L_.2019.315.01.0001.01.ENG&amp;toc=OJ:L:2019:315:TOC" TargetMode="External"/><Relationship Id="rId34" Type="http://schemas.openxmlformats.org/officeDocument/2006/relationships/hyperlink" Target="https://ec.europa.eu/info/law/better-regulation/have-your-say/initiatives/12851-Energy-efficiency-review-of-energy-labelling-for-professional-refrigerators_ro" TargetMode="External"/><Relationship Id="rId42" Type="http://schemas.openxmlformats.org/officeDocument/2006/relationships/hyperlink" Target="https://ec.europa.eu/info/law/better-regulation/have-your-say/initiatives/13389-Energy-labelling-requirements-for-solid-fuel-boilers-review-_ro" TargetMode="External"/><Relationship Id="rId47" Type="http://schemas.openxmlformats.org/officeDocument/2006/relationships/footer" Target="footer4.xml"/><Relationship Id="rId50"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eur-lex.europa.eu/legal-content/RO/TXT/?qid=1575537989799&amp;uri=CELEX:32019R2017" TargetMode="External"/><Relationship Id="rId33" Type="http://schemas.openxmlformats.org/officeDocument/2006/relationships/hyperlink" Target="https://eur-lex.europa.eu/legal-content/RO/TXT/?uri=uriserv:OJ.L_.2015.177.01.0019.01.ENG" TargetMode="External"/><Relationship Id="rId38" Type="http://schemas.openxmlformats.org/officeDocument/2006/relationships/hyperlink" Target="https://ec.europa.eu/info/law/better-regulation/have-your-say/initiatives/12834-Energy-efficiency-ecodesign-requirements-for-local-space-heaters-review-_ro"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ur-lex.europa.eu/legal-content/RO/TXT/?uri=OJ%3AL_202302534" TargetMode="External"/><Relationship Id="rId41" Type="http://schemas.openxmlformats.org/officeDocument/2006/relationships/hyperlink" Target="http://data.europa.eu/eli/reg_del/2015/1187/oj"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eur-lex.europa.eu/legal-content/RO/TXT/?uri=celex%3A32019R2016" TargetMode="External"/><Relationship Id="rId32" Type="http://schemas.openxmlformats.org/officeDocument/2006/relationships/hyperlink" Target="https://ec.europa.eu/info/law/better-regulation/have-your-say/initiatives/12304-Energy-efficiency-energy-labelling-for-residential-ventilation-units-review-_ro" TargetMode="External"/><Relationship Id="rId37" Type="http://schemas.openxmlformats.org/officeDocument/2006/relationships/hyperlink" Target="http://eur-lex.europa.eu/legal-content/RO/TXT/?uri=uriserv:OJ.L_.2015.193.01.0020.01.ENG" TargetMode="External"/><Relationship Id="rId40" Type="http://schemas.openxmlformats.org/officeDocument/2006/relationships/hyperlink" Target="https://ec.europa.eu/info/law/better-regulation/have-your-say/initiatives/13202-Energy-efficiency-ecodesign-requirements-for-space-and-combination-heaters-review-_ro"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eur-lex.europa.eu/legal-content/RO/TXT/?uri=CELEX%3A02019R2015-20230930" TargetMode="External"/><Relationship Id="rId28" Type="http://schemas.openxmlformats.org/officeDocument/2006/relationships/hyperlink" Target="https://ec.europa.eu/info/law/better-regulation/have-your-say/initiatives/12833-Energy-labelling-requirements-for-vacuum-cleaners_ro" TargetMode="External"/><Relationship Id="rId36" Type="http://schemas.openxmlformats.org/officeDocument/2006/relationships/hyperlink" Target="https://ec.europa.eu/info/law/better-regulation/have-your-say/initiatives/13482-Energy-efficiency-labelling-minor-changes-for-air-conditioners-displays-lighting-and-refrigerating-appliances_ro" TargetMode="External"/><Relationship Id="rId49"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eur-lex.europa.eu/legal-content/RO/TXT/?uri=uriserv:OJ.L_.2014.337.01.0027.01.ENG" TargetMode="External"/><Relationship Id="rId44" Type="http://schemas.openxmlformats.org/officeDocument/2006/relationships/hyperlink" Target="https://ec.europa.eu/info/law/better-regulation/have-your-say/initiatives/13204-Energy-efficiency-labelling-requirements-for-water-heaters-and-tanks-review-rescaling-_ro"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eur-lex.europa.eu/legal-content/RO/TXT/?uri=uriserv%3AOJ.L_.2019.315.01.0029.01.ENG" TargetMode="External"/><Relationship Id="rId27" Type="http://schemas.openxmlformats.org/officeDocument/2006/relationships/hyperlink" Target="https://eur-lex.europa.eu/legal-content/RO/TXT/?uri=OJ%3AJOL_2023_214_R_0002&amp;qid=1693469508416" TargetMode="External"/><Relationship Id="rId30" Type="http://schemas.openxmlformats.org/officeDocument/2006/relationships/hyperlink" Target="https://ec.europa.eu/info/law/better-regulation/have-your-say/initiatives/13693-Cooking-appliances-energy-labelling-requirements_ro" TargetMode="External"/><Relationship Id="rId35" Type="http://schemas.openxmlformats.org/officeDocument/2006/relationships/hyperlink" Target="http://eur-lex.europa.eu/legal-content/RO/TXT/?qid=1521112473531&amp;uri=CELEX:32011R0626" TargetMode="External"/><Relationship Id="rId43" Type="http://schemas.openxmlformats.org/officeDocument/2006/relationships/hyperlink" Target="http://eur-lex.europa.eu/LexUriServ/LexUriServ.do?uri=OJ:L:2013:239:0083:0135:RO:PDF" TargetMode="External"/><Relationship Id="rId48" Type="http://schemas.openxmlformats.org/officeDocument/2006/relationships/footer" Target="footer5.xml"/><Relationship Id="rId8" Type="http://schemas.openxmlformats.org/officeDocument/2006/relationships/numbering" Target="numbering.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ngle-market-economy.ec.europa.eu/single-market/goods/building-blocks/market-surveillance/organisation/adcos_en" TargetMode="External"/><Relationship Id="rId13" Type="http://schemas.openxmlformats.org/officeDocument/2006/relationships/hyperlink" Target="https://cordis.europa.eu/project/id/847043" TargetMode="External"/><Relationship Id="rId18" Type="http://schemas.openxmlformats.org/officeDocument/2006/relationships/hyperlink" Target="https://www.energystar.gov/products" TargetMode="External"/><Relationship Id="rId26" Type="http://schemas.openxmlformats.org/officeDocument/2006/relationships/hyperlink" Target="https://www.clasp.ngo/research/all/consumer-study-online-energy-labeling/" TargetMode="External"/><Relationship Id="rId3" Type="http://schemas.openxmlformats.org/officeDocument/2006/relationships/hyperlink" Target="https://eur-lex.europa.eu/legal-content/RO/TXT/PDF/?uri=CELEX:52020XC0602(01)" TargetMode="External"/><Relationship Id="rId21" Type="http://schemas.openxmlformats.org/officeDocument/2006/relationships/hyperlink" Target="https://spl-lpi.nrcan-rncan.gc.ca/en-US" TargetMode="External"/><Relationship Id="rId34" Type="http://schemas.openxmlformats.org/officeDocument/2006/relationships/hyperlink" Target="https://energy.ec.europa.eu/events/implementation-dialogue-energy-efficient-product-legislation-commissioner-dan-jorgensen-2025-10-14_en" TargetMode="External"/><Relationship Id="rId7" Type="http://schemas.openxmlformats.org/officeDocument/2006/relationships/hyperlink" Target="https://ec.europa.eu/transparency/expert-groups-register/screen/expert-groups/consult?lang=en&amp;groupId=3609&amp;fromMeetings=true&amp;meetingId=47618" TargetMode="External"/><Relationship Id="rId12" Type="http://schemas.openxmlformats.org/officeDocument/2006/relationships/hyperlink" Target="https://www.label2020.at/" TargetMode="External"/><Relationship Id="rId17" Type="http://schemas.openxmlformats.org/officeDocument/2006/relationships/hyperlink" Target="https://www.regulations.doe.gov/ccms" TargetMode="External"/><Relationship Id="rId25" Type="http://schemas.openxmlformats.org/officeDocument/2006/relationships/hyperlink" Target="https://eepliant.eu/images/Documents/EEPLIANT3/EEPLIANT3_Public_Report_Final.pdf" TargetMode="External"/><Relationship Id="rId33" Type="http://schemas.openxmlformats.org/officeDocument/2006/relationships/hyperlink" Target="https://iea.blob.core.windows.net/assets/996ea40e-e010-48c3-ab53-9b4f72ddc815/AchievementsofEnergyEfficiencyApplianceandEquipmentStandardsandLabellingProgrammes.pdf" TargetMode="External"/><Relationship Id="rId2" Type="http://schemas.openxmlformats.org/officeDocument/2006/relationships/hyperlink" Target="https://energy-efficient-products.ec.europa.eu/product-list_en" TargetMode="External"/><Relationship Id="rId16" Type="http://schemas.openxmlformats.org/officeDocument/2006/relationships/hyperlink" Target="https://eur-lex.europa.eu/legal-content/RO/TXT/PDF/?uri=OJ:L_202400994" TargetMode="External"/><Relationship Id="rId20" Type="http://schemas.openxmlformats.org/officeDocument/2006/relationships/hyperlink" Target="https://spl-lpi.nrcan-rncan.gc.ca/en-US" TargetMode="External"/><Relationship Id="rId29" Type="http://schemas.openxmlformats.org/officeDocument/2006/relationships/hyperlink" Target="https://eur-lex.europa.eu/legal-content/RO/TXT/PDF/?uri=CELEX:32023L1791" TargetMode="External"/><Relationship Id="rId1" Type="http://schemas.openxmlformats.org/officeDocument/2006/relationships/hyperlink" Target="https://energy.ec.europa.eu/data-and-analysis/eurobarometers-energy_en" TargetMode="External"/><Relationship Id="rId6" Type="http://schemas.openxmlformats.org/officeDocument/2006/relationships/hyperlink" Target="https://data.europa.eu/doi/10.2833/0291219" TargetMode="External"/><Relationship Id="rId11" Type="http://schemas.openxmlformats.org/officeDocument/2006/relationships/hyperlink" Target="https://eur-lex.europa.eu/legal-content/RO/TXT/PDF/?uri=CELEX:62013TJ0544(01)" TargetMode="External"/><Relationship Id="rId24" Type="http://schemas.openxmlformats.org/officeDocument/2006/relationships/hyperlink" Target="https://www.eca.europa.eu/en/publications?did=52828" TargetMode="External"/><Relationship Id="rId32" Type="http://schemas.openxmlformats.org/officeDocument/2006/relationships/hyperlink" Target="https://energy-efficient-products.ec.europa.eu/consumers_en" TargetMode="External"/><Relationship Id="rId5" Type="http://schemas.openxmlformats.org/officeDocument/2006/relationships/hyperlink" Target="https://eprel.ec.europa.eu" TargetMode="External"/><Relationship Id="rId15" Type="http://schemas.openxmlformats.org/officeDocument/2006/relationships/hyperlink" Target="https://energy-efficient-products.ec.europa.eu/" TargetMode="External"/><Relationship Id="rId23" Type="http://schemas.openxmlformats.org/officeDocument/2006/relationships/hyperlink" Target="https://www.europarl.europa.eu/cmsdata/176543/20140515ATT83806.pdf" TargetMode="External"/><Relationship Id="rId28" Type="http://schemas.openxmlformats.org/officeDocument/2006/relationships/hyperlink" Target="https://uwla.eu/" TargetMode="External"/><Relationship Id="rId10" Type="http://schemas.openxmlformats.org/officeDocument/2006/relationships/hyperlink" Target="https://eur-lex.europa.eu/eli/reg_del/2021/340/oj/eng" TargetMode="External"/><Relationship Id="rId19" Type="http://schemas.openxmlformats.org/officeDocument/2006/relationships/hyperlink" Target="https://www.energylabel.com.cn/" TargetMode="External"/><Relationship Id="rId31" Type="http://schemas.openxmlformats.org/officeDocument/2006/relationships/hyperlink" Target="https://eur-lex.europa.eu/eli/dir/2022/542/oj/eng" TargetMode="External"/><Relationship Id="rId4" Type="http://schemas.openxmlformats.org/officeDocument/2006/relationships/hyperlink" Target="https://curia.europa.eu/juris/documents.jsf?num=C-761/22" TargetMode="External"/><Relationship Id="rId9" Type="http://schemas.openxmlformats.org/officeDocument/2006/relationships/hyperlink" Target="https://single-market-economy.ec.europa.eu/single-market/goods/building-blocks/information-and-communication-system-market-surveillance_en" TargetMode="External"/><Relationship Id="rId14" Type="http://schemas.openxmlformats.org/officeDocument/2006/relationships/hyperlink" Target="https://www.product-compliance-services.eu" TargetMode="External"/><Relationship Id="rId22" Type="http://schemas.openxmlformats.org/officeDocument/2006/relationships/hyperlink" Target="https://reg.energyrating.gov.au/comparator/product_types/" TargetMode="External"/><Relationship Id="rId27" Type="http://schemas.openxmlformats.org/officeDocument/2006/relationships/hyperlink" Target="https://eur-lex.europa.eu/legal-content/RO/TXT/PDF/?uri=OJ:L_202401456" TargetMode="External"/><Relationship Id="rId30" Type="http://schemas.openxmlformats.org/officeDocument/2006/relationships/hyperlink" Target="https://eur-lex.europa.eu/legal-content/RO/TXT/?uri=CELEX:32023R2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4.xml><?xml version="1.0" encoding="utf-8"?>
<EurolookProperties>
  <ProductCustomizationId>EC</ProductCustomizationId>
  <Created>
    <Version>10.0.47989.0</Version>
    <Date>2026-04-30T12:15:31</Date>
    <Language>EN</Language>
    <Note>Created using 'Convert To Eurolook'</Note>
  </Created>
  <DocumentModel>
    <Id>6cbda13a-4db2-46c6-876a-ef72275827ef</Id>
    <Name>Report</Name>
  </DocumentModel>
  <CustomTemplate>
    <Id/>
    <Name/>
  </CustomTemplate>
  <DocumentDate>2026-04-30T12:15:31</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438EC2CE-EA91-4822-A8FC-A56BB17F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4B890-FB85-4FF3-A149-ABBD38421717}">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08B6143-986E-4F69-B0E5-DABEE77361B2}">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6.xml><?xml version="1.0" encoding="utf-8"?>
<ds:datastoreItem xmlns:ds="http://schemas.openxmlformats.org/officeDocument/2006/customXml" ds:itemID="{891371A9-4687-431B-A281-E858BC52BF54}">
  <ds:schemaRefs>
    <ds:schemaRef ds:uri="http://schemas.microsoft.com/sharepoint/v3/contenttype/forms"/>
  </ds:schemaRefs>
</ds:datastoreItem>
</file>

<file path=customXml/itemProps7.xml><?xml version="1.0" encoding="utf-8"?>
<ds:datastoreItem xmlns:ds="http://schemas.openxmlformats.org/officeDocument/2006/customXml" ds:itemID="{14FA1B7D-7F08-4473-A4B4-AB72D6660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5487</Words>
  <Characters>31279</Characters>
  <Application>Microsoft Office Word</Application>
  <DocSecurity>0</DocSecurity>
  <PresentationFormat>Microsoft Word 14.0</PresentationFormat>
  <Lines>260</Lines>
  <Paragraphs>73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2026-06-17T14:42:00Z</dcterms:created>
  <dcterms:modified xsi:type="dcterms:W3CDTF">2026-08-03T07:47:00Z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2026-04-30T10:15:40Z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6e6aff2a-30fd-4f29-860e-a89f9da12703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CP-006</vt:lpwstr>
  </property>
  <property fmtid="{D5CDD505-2E9C-101B-9397-08002B2CF9AE}" pid="18" name="Last edited using">
    <vt:lpwstr>LW 9.2, Build 20250828</vt:lpwstr>
  </property>
  <property fmtid="{D5CDD505-2E9C-101B-9397-08002B2CF9AE}" pid="19" name="Created using">
    <vt:lpwstr>LW 9.2, Build 20250828</vt:lpwstr>
  </property>
</Properties>
</file>