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03DA24" w14:textId="39CE3F9B" w:rsidR="00ED5312" w:rsidRPr="00681FC7" w:rsidRDefault="00673BEA" w:rsidP="00673BEA">
      <w:pPr>
        <w:pStyle w:val="Pagedecouverture"/>
        <w:rPr>
          <w:noProof/>
        </w:rPr>
      </w:pPr>
      <w:bookmarkStart w:id="0" w:name="_Hlk223111206"/>
      <w:bookmarkStart w:id="1" w:name="LW_BM_COVERPAGE"/>
      <w:r>
        <w:rPr>
          <w:noProof/>
        </w:rPr>
        <w:pict w14:anchorId="5A261E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9A59190-A0A7-4761-9F6D-585F509C75B8" style="width:455.25pt;height:300pt">
            <v:imagedata r:id="rId8" o:title=""/>
          </v:shape>
        </w:pict>
      </w:r>
    </w:p>
    <w:bookmarkEnd w:id="1"/>
    <w:p w14:paraId="07AAF9CA" w14:textId="77777777" w:rsidR="001A12B3" w:rsidRPr="00681FC7" w:rsidRDefault="001A12B3" w:rsidP="001A12B3">
      <w:pPr>
        <w:rPr>
          <w:noProof/>
        </w:rPr>
        <w:sectPr w:rsidR="001A12B3" w:rsidRPr="00681FC7" w:rsidSect="00673BE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78BF0E6" w14:textId="58DD4166" w:rsidR="00DE4BED" w:rsidRPr="00681FC7" w:rsidRDefault="00DE4BED" w:rsidP="00DE4BED">
      <w:pPr>
        <w:pStyle w:val="ListParagraph"/>
        <w:numPr>
          <w:ilvl w:val="0"/>
          <w:numId w:val="1"/>
        </w:numPr>
        <w:rPr>
          <w:b/>
          <w:bCs/>
          <w:noProof/>
        </w:rPr>
      </w:pPr>
      <w:bookmarkStart w:id="2" w:name="_GoBack"/>
      <w:bookmarkEnd w:id="0"/>
      <w:bookmarkEnd w:id="2"/>
      <w:r>
        <w:rPr>
          <w:b/>
          <w:noProof/>
        </w:rPr>
        <w:lastRenderedPageBreak/>
        <w:t>Introducere</w:t>
      </w:r>
    </w:p>
    <w:p w14:paraId="0D1FB210" w14:textId="3D45D422" w:rsidR="00CF411B" w:rsidRPr="00681FC7" w:rsidRDefault="00CF411B" w:rsidP="00DE4BED">
      <w:pPr>
        <w:jc w:val="both"/>
        <w:rPr>
          <w:noProof/>
          <w:szCs w:val="24"/>
        </w:rPr>
      </w:pPr>
      <w:r>
        <w:rPr>
          <w:b/>
          <w:noProof/>
        </w:rPr>
        <w:t xml:space="preserve">UE ia măsuri decisive pentru a-și accelera eforturile în direcția competitivității și a securității economice într-o eră a schimbării. </w:t>
      </w:r>
      <w:r>
        <w:rPr>
          <w:noProof/>
        </w:rPr>
        <w:t>În acest sens, UE trebuie să acționeze urgent, să își extindă inovațiile într-un mod mai decisiv și să își consolideze cadrul de politică pentru ca acesta să corespundă vitezei și ambiției cursei tehnologice mondiale.</w:t>
      </w:r>
      <w:r>
        <w:rPr>
          <w:b/>
          <w:noProof/>
        </w:rPr>
        <w:t xml:space="preserve"> </w:t>
      </w:r>
      <w:r>
        <w:rPr>
          <w:noProof/>
        </w:rPr>
        <w:t xml:space="preserve">Ciclurile de inovare se scurtează, progresele tehnologice se desfășoară simultan în toate sectoarele, iar concurența pentru poziția de lider tehnologic a devenit mai acerbă și mai strategică. </w:t>
      </w:r>
    </w:p>
    <w:p w14:paraId="7EA5A368" w14:textId="504BD66E" w:rsidR="00DE4BED" w:rsidRPr="00681FC7" w:rsidRDefault="00DE4BED" w:rsidP="00DE4BED">
      <w:pPr>
        <w:jc w:val="both"/>
        <w:rPr>
          <w:noProof/>
          <w:szCs w:val="24"/>
        </w:rPr>
      </w:pPr>
      <w:r>
        <w:rPr>
          <w:b/>
          <w:noProof/>
        </w:rPr>
        <w:t>Europa este un continent cu un nivel ridicat de inovare</w:t>
      </w:r>
      <w:r>
        <w:rPr>
          <w:noProof/>
        </w:rPr>
        <w:t>. O cincime</w:t>
      </w:r>
      <w:r w:rsidR="00D5338E">
        <w:rPr>
          <w:rStyle w:val="FootnoteReference"/>
          <w:noProof/>
        </w:rPr>
        <w:footnoteReference w:id="1"/>
      </w:r>
      <w:r>
        <w:rPr>
          <w:noProof/>
        </w:rPr>
        <w:t xml:space="preserve"> din toate publicațiile științifice din întreaga lume provin din UE. Întreprinderile europene joacă, de asemenea, un rol esențial în cercetarea și dezvoltarea la nivel mondial și în crearea de proprietate intelectuală. În domeniul energiei din surse regenerabile, de exemplu, întreprinderile din UE dețin </w:t>
      </w:r>
      <w:r w:rsidRPr="00FC2382">
        <w:rPr>
          <w:noProof/>
        </w:rPr>
        <w:t>29</w:t>
      </w:r>
      <w:r>
        <w:rPr>
          <w:noProof/>
        </w:rPr>
        <w:t> % din brevetele mondiale</w:t>
      </w:r>
      <w:r w:rsidR="00807EA1">
        <w:rPr>
          <w:rStyle w:val="FootnoteReference"/>
          <w:noProof/>
        </w:rPr>
        <w:footnoteReference w:id="2"/>
      </w:r>
      <w:r>
        <w:rPr>
          <w:noProof/>
        </w:rPr>
        <w:t xml:space="preserve">. De asemenea, UE găzduiește peste </w:t>
      </w:r>
      <w:r w:rsidRPr="00FC2382">
        <w:rPr>
          <w:noProof/>
        </w:rPr>
        <w:t>40</w:t>
      </w:r>
      <w:r>
        <w:rPr>
          <w:noProof/>
        </w:rPr>
        <w:t xml:space="preserve"> </w:t>
      </w:r>
      <w:r w:rsidRPr="00FC2382">
        <w:rPr>
          <w:noProof/>
        </w:rPr>
        <w:t>000</w:t>
      </w:r>
      <w:r>
        <w:rPr>
          <w:noProof/>
        </w:rPr>
        <w:t xml:space="preserve"> de start-upuri în domeniul tehnologiei sprijinite de capitalul de risc și creează mai mult decât orice altă regiune la nivel mondial. </w:t>
      </w:r>
    </w:p>
    <w:p w14:paraId="337AD6A7" w14:textId="086E2929" w:rsidR="00DE4BED" w:rsidRPr="00681FC7" w:rsidRDefault="00EB7C17" w:rsidP="00DE4BED">
      <w:pPr>
        <w:jc w:val="both"/>
        <w:rPr>
          <w:noProof/>
        </w:rPr>
      </w:pPr>
      <w:r>
        <w:rPr>
          <w:b/>
          <w:noProof/>
        </w:rPr>
        <w:t>Cu toate acestea, întreprinderile inovatoare europene întâmpină dificultăți în a se extinde și a concura la nivel mondial</w:t>
      </w:r>
      <w:r>
        <w:rPr>
          <w:noProof/>
        </w:rPr>
        <w:t xml:space="preserve">. În </w:t>
      </w:r>
      <w:r w:rsidRPr="00FC2382">
        <w:rPr>
          <w:noProof/>
        </w:rPr>
        <w:t>2025</w:t>
      </w:r>
      <w:r>
        <w:rPr>
          <w:noProof/>
        </w:rPr>
        <w:t xml:space="preserve">, Europa avea doar </w:t>
      </w:r>
      <w:r w:rsidRPr="00FC2382">
        <w:rPr>
          <w:noProof/>
        </w:rPr>
        <w:t>331</w:t>
      </w:r>
      <w:r>
        <w:rPr>
          <w:noProof/>
        </w:rPr>
        <w:t xml:space="preserve"> de unicorni, față de </w:t>
      </w:r>
      <w:r w:rsidRPr="00FC2382">
        <w:rPr>
          <w:noProof/>
        </w:rPr>
        <w:t>1</w:t>
      </w:r>
      <w:r>
        <w:rPr>
          <w:noProof/>
        </w:rPr>
        <w:t xml:space="preserve"> </w:t>
      </w:r>
      <w:r w:rsidRPr="00FC2382">
        <w:rPr>
          <w:noProof/>
        </w:rPr>
        <w:t>963</w:t>
      </w:r>
      <w:r>
        <w:rPr>
          <w:noProof/>
        </w:rPr>
        <w:t xml:space="preserve"> în SUA</w:t>
      </w:r>
      <w:r w:rsidR="00D5338E">
        <w:rPr>
          <w:rStyle w:val="FootnoteReference"/>
          <w:noProof/>
        </w:rPr>
        <w:footnoteReference w:id="3"/>
      </w:r>
      <w:r>
        <w:rPr>
          <w:noProof/>
        </w:rPr>
        <w:t xml:space="preserve">. </w:t>
      </w:r>
    </w:p>
    <w:p w14:paraId="285F82C7" w14:textId="50019EAC" w:rsidR="00FB3F21" w:rsidRPr="00681FC7" w:rsidRDefault="00DE4BED" w:rsidP="00FB3F21">
      <w:pPr>
        <w:jc w:val="both"/>
        <w:rPr>
          <w:noProof/>
        </w:rPr>
      </w:pPr>
      <w:r>
        <w:rPr>
          <w:b/>
          <w:noProof/>
        </w:rPr>
        <w:t>UE are nevoie de un cadru mai favorabil</w:t>
      </w:r>
      <w:r>
        <w:rPr>
          <w:noProof/>
        </w:rPr>
        <w:t xml:space="preserve"> pentru a permite antreprenorilor, indiferent de sectorul în care își desfășoară activitatea, să înființeze cu ușurință o întreprindere în Europa, să aibă acces la finanțare și să se extindă în UE. UE se află într-o etapă crucială, în care este necesar să creăm punți între eforturile noastre pentru independență și competitivitate. </w:t>
      </w:r>
      <w:r>
        <w:rPr>
          <w:b/>
          <w:noProof/>
        </w:rPr>
        <w:t>Acest lucru necesită acțiuni ambițioase și urgente</w:t>
      </w:r>
      <w:r>
        <w:rPr>
          <w:noProof/>
        </w:rPr>
        <w:t>.</w:t>
      </w:r>
    </w:p>
    <w:p w14:paraId="5814E6A1" w14:textId="69310281" w:rsidR="00DE4BED" w:rsidRPr="00681FC7" w:rsidRDefault="00DE4BED" w:rsidP="00DE4BED">
      <w:pPr>
        <w:jc w:val="both"/>
        <w:rPr>
          <w:noProof/>
        </w:rPr>
      </w:pPr>
      <w:r>
        <w:rPr>
          <w:noProof/>
        </w:rPr>
        <w:t xml:space="preserve">De la începutul mandatului său, Comisia a plasat competitivitatea în centrul agendei sale. Prin </w:t>
      </w:r>
      <w:r>
        <w:rPr>
          <w:b/>
          <w:noProof/>
        </w:rPr>
        <w:t>Busola pentru competitivitate</w:t>
      </w:r>
      <w:r>
        <w:rPr>
          <w:noProof/>
        </w:rPr>
        <w:t xml:space="preserve">, adoptată în ianuarie </w:t>
      </w:r>
      <w:r w:rsidRPr="00FC2382">
        <w:rPr>
          <w:noProof/>
        </w:rPr>
        <w:t>2025</w:t>
      </w:r>
      <w:r>
        <w:rPr>
          <w:noProof/>
        </w:rPr>
        <w:t xml:space="preserve">, Comisia s-a angajat să prezinte un al </w:t>
      </w:r>
      <w:r w:rsidRPr="00FC2382">
        <w:rPr>
          <w:noProof/>
        </w:rPr>
        <w:t>28</w:t>
      </w:r>
      <w:r>
        <w:rPr>
          <w:noProof/>
        </w:rPr>
        <w:t xml:space="preserve">-lea regim, care să permită întreprinderilor noastre, în special start-upurilor și întreprinderilor în fază de extindere inovatoare, să beneficieze de un set unic și simplu de norme la nivelul UE – indiferent de locul în care investesc și își desfășoară activitatea în UE – care să valorifice pe deplin beneficiile pieței unice. </w:t>
      </w:r>
      <w:r>
        <w:rPr>
          <w:b/>
          <w:noProof/>
        </w:rPr>
        <w:t>Strategia UE privind start-upurile și întreprinderile în fază de extindere</w:t>
      </w:r>
      <w:r>
        <w:rPr>
          <w:noProof/>
        </w:rPr>
        <w:t xml:space="preserve"> și </w:t>
      </w:r>
      <w:r>
        <w:rPr>
          <w:b/>
          <w:noProof/>
        </w:rPr>
        <w:t>Strategia privind piața unică</w:t>
      </w:r>
      <w:r>
        <w:rPr>
          <w:noProof/>
        </w:rPr>
        <w:t xml:space="preserve">, adoptate în mai </w:t>
      </w:r>
      <w:r w:rsidRPr="00FC2382">
        <w:rPr>
          <w:noProof/>
        </w:rPr>
        <w:t>2025</w:t>
      </w:r>
      <w:r>
        <w:rPr>
          <w:noProof/>
        </w:rPr>
        <w:t xml:space="preserve">, urmăresc să îmbunătățească în continuare condițiile pentru start-upuri și întreprinderile în fază de extindere, reducând motivele relocării acestora în afara UE. </w:t>
      </w:r>
    </w:p>
    <w:p w14:paraId="00246DA6" w14:textId="25A22FD0" w:rsidR="00657F0F" w:rsidRPr="00681FC7" w:rsidRDefault="00F153A3" w:rsidP="00F153A3">
      <w:pPr>
        <w:jc w:val="both"/>
        <w:rPr>
          <w:noProof/>
          <w:szCs w:val="24"/>
        </w:rPr>
      </w:pPr>
      <w:r>
        <w:rPr>
          <w:b/>
          <w:noProof/>
        </w:rPr>
        <w:t>Propunerea privind EU Inc. reprezintă o piatră de temelie și punctul de plecare al răspunsului Comisiei</w:t>
      </w:r>
      <w:r>
        <w:rPr>
          <w:noProof/>
        </w:rPr>
        <w:t xml:space="preserve"> – un set cuprinzător de reguli corporatiste care acoperă întregul ciclu de viață al unei întreprinderi. Aceasta facilitează înființarea și dezvoltarea unei întreprinderi în Europa, atrage investiții și reduce costurile eșecului. Orice persoană care dorește să înființeze o nouă întreprindere în UE va avea posibilitatea de a alege fie să utilizeze noua formă de întreprindere EU Inc., fie o altă formă prevăzută de legislația națională, care va continua să fie disponibilă pentru întreprinderi în paralel cu această nouă formă.</w:t>
      </w:r>
    </w:p>
    <w:p w14:paraId="515AEC63" w14:textId="28C29010" w:rsidR="00B6716B" w:rsidRPr="00681FC7" w:rsidRDefault="0082425A" w:rsidP="00DE4BED">
      <w:pPr>
        <w:jc w:val="both"/>
        <w:rPr>
          <w:noProof/>
        </w:rPr>
      </w:pPr>
      <w:r>
        <w:rPr>
          <w:b/>
          <w:noProof/>
        </w:rPr>
        <w:t xml:space="preserve">Cel de al </w:t>
      </w:r>
      <w:r w:rsidRPr="00FC2382">
        <w:rPr>
          <w:b/>
          <w:noProof/>
        </w:rPr>
        <w:t>28</w:t>
      </w:r>
      <w:r>
        <w:rPr>
          <w:b/>
          <w:noProof/>
        </w:rPr>
        <w:t>-lea regim reprezintă oferta Europei pentru întreprinderile sale,</w:t>
      </w:r>
      <w:r w:rsidR="00FC2382">
        <w:rPr>
          <w:b/>
          <w:noProof/>
        </w:rPr>
        <w:t xml:space="preserve"> </w:t>
      </w:r>
      <w:r>
        <w:rPr>
          <w:b/>
          <w:noProof/>
        </w:rPr>
        <w:t>în special pentru start-upurile, întreprinderile în fază de extindere și întreprinderile inovatoare, astfel încât acestea să poată valorifica beneficiile pieței unice</w:t>
      </w:r>
      <w:r>
        <w:rPr>
          <w:noProof/>
        </w:rPr>
        <w:t xml:space="preserve">. Aceasta va permite întreprinderilor europene să aibă o formă de întreprindere recunoscută la nivel european, să beneficieze de un acces rapid la finanțare și să își desfășoare activitatea fără probleme la nivel transfrontalier – în ceea ce privește </w:t>
      </w:r>
      <w:r>
        <w:rPr>
          <w:i/>
          <w:noProof/>
        </w:rPr>
        <w:t>toate</w:t>
      </w:r>
      <w:r>
        <w:rPr>
          <w:noProof/>
        </w:rPr>
        <w:t xml:space="preserve"> aspectele referitoare la activitatea lor. </w:t>
      </w:r>
    </w:p>
    <w:p w14:paraId="4DBEA0C8" w14:textId="77777777" w:rsidR="00DE4BED" w:rsidRPr="00681FC7" w:rsidRDefault="00DE4BED" w:rsidP="00DE4BED">
      <w:pPr>
        <w:rPr>
          <w:b/>
          <w:bCs/>
          <w:noProof/>
        </w:rPr>
      </w:pPr>
    </w:p>
    <w:p w14:paraId="252AE54F" w14:textId="77777777" w:rsidR="00DE4BED" w:rsidRPr="00681FC7" w:rsidRDefault="00DE4BED" w:rsidP="00B95F84">
      <w:pPr>
        <w:pStyle w:val="ListParagraph"/>
        <w:keepNext/>
        <w:numPr>
          <w:ilvl w:val="0"/>
          <w:numId w:val="1"/>
        </w:numPr>
        <w:ind w:left="1077"/>
        <w:rPr>
          <w:b/>
          <w:bCs/>
          <w:noProof/>
        </w:rPr>
      </w:pPr>
      <w:r>
        <w:rPr>
          <w:b/>
          <w:noProof/>
        </w:rPr>
        <w:t xml:space="preserve">Propunerea privind EU Inc. </w:t>
      </w:r>
    </w:p>
    <w:p w14:paraId="42E5E01E" w14:textId="052DAC4A" w:rsidR="00875E03" w:rsidRDefault="00C64B36" w:rsidP="00875E03">
      <w:pPr>
        <w:jc w:val="both"/>
        <w:rPr>
          <w:noProof/>
        </w:rPr>
      </w:pPr>
      <w:bookmarkStart w:id="3" w:name="_Hlk224318976"/>
      <w:r>
        <w:rPr>
          <w:b/>
          <w:noProof/>
        </w:rPr>
        <w:t>EU Inc. răspunde nevoilor întreprinderilor inovatoare, permițându-le să se lanseze și să se extindă cu ușurință în Europa</w:t>
      </w:r>
      <w:r>
        <w:rPr>
          <w:noProof/>
        </w:rPr>
        <w:t>.</w:t>
      </w:r>
      <w:r>
        <w:rPr>
          <w:b/>
          <w:noProof/>
        </w:rPr>
        <w:t xml:space="preserve"> </w:t>
      </w:r>
      <w:r>
        <w:rPr>
          <w:noProof/>
        </w:rPr>
        <w:t>Aceasta va oferi un nou cadru juridic ambițios pentru întreprinderi în toate statele membre, disponibil tuturor celor care îl consideră adecvat pentru modelul lor de afaceri.</w:t>
      </w:r>
      <w:r>
        <w:rPr>
          <w:b/>
          <w:noProof/>
        </w:rPr>
        <w:t xml:space="preserve"> </w:t>
      </w:r>
      <w:r>
        <w:rPr>
          <w:noProof/>
        </w:rPr>
        <w:t xml:space="preserve">EU Inc. va asigura, printre altele, o înregistrare mai rapidă (în </w:t>
      </w:r>
      <w:r w:rsidRPr="00FC2382">
        <w:rPr>
          <w:noProof/>
        </w:rPr>
        <w:t>48</w:t>
      </w:r>
      <w:r>
        <w:rPr>
          <w:noProof/>
        </w:rPr>
        <w:t xml:space="preserve"> de ore), mai ieftină (maximum </w:t>
      </w:r>
      <w:r w:rsidRPr="00FC2382">
        <w:rPr>
          <w:noProof/>
        </w:rPr>
        <w:t>100</w:t>
      </w:r>
      <w:r>
        <w:rPr>
          <w:noProof/>
        </w:rPr>
        <w:t xml:space="preserve"> EUR) și complet digitală în viitorul registru central al UE, extinzând principiul înregistrării unice pentru a acoperi alte autorități și fără a fi necesar un capital social minim. </w:t>
      </w:r>
    </w:p>
    <w:p w14:paraId="77D6082F" w14:textId="41E739CF" w:rsidR="006A03E7" w:rsidRPr="00D51722" w:rsidRDefault="006A03E7" w:rsidP="006A03E7">
      <w:pPr>
        <w:jc w:val="both"/>
        <w:rPr>
          <w:noProof/>
        </w:rPr>
      </w:pPr>
      <w:r>
        <w:rPr>
          <w:b/>
          <w:noProof/>
        </w:rPr>
        <w:t>Registrul UE va oferi întreprinderilor EU Inc. o experiență de utilizare integrată și neîntreruptă</w:t>
      </w:r>
      <w:r>
        <w:rPr>
          <w:noProof/>
        </w:rPr>
        <w:t>, care le va permite, printre altele, să se înregistreze și să acceseze informații esențiale, cum ar fi cele privind structura și activitățile lor corporative.</w:t>
      </w:r>
    </w:p>
    <w:bookmarkEnd w:id="3"/>
    <w:p w14:paraId="758396E5" w14:textId="06464901" w:rsidR="00875E03" w:rsidRPr="00681FC7" w:rsidRDefault="00014644" w:rsidP="00875E03">
      <w:pPr>
        <w:jc w:val="both"/>
        <w:rPr>
          <w:noProof/>
        </w:rPr>
      </w:pPr>
      <w:r>
        <w:rPr>
          <w:b/>
          <w:noProof/>
        </w:rPr>
        <w:t>EU Inc.</w:t>
      </w:r>
      <w:r>
        <w:rPr>
          <w:noProof/>
        </w:rPr>
        <w:t xml:space="preserve"> </w:t>
      </w:r>
      <w:r>
        <w:rPr>
          <w:b/>
          <w:noProof/>
        </w:rPr>
        <w:t>va elimina formalitățile privind prezența fizică</w:t>
      </w:r>
      <w:r>
        <w:rPr>
          <w:noProof/>
        </w:rPr>
        <w:t xml:space="preserve"> și implicarea obligatorie a intermediarilor pentru transferurile de acțiuni. Acest regim va asigura proceduri complet digitale privind gestionarea capitalului și guvernanța corporativă și va permite utilizarea instrumentelor de finanțare și a contractelor standardizate. Acesta este, de exemplu, cazul acordurilor privind capitalurile proprii viitoare, cum ar fi SAFE (</w:t>
      </w:r>
      <w:r>
        <w:rPr>
          <w:i/>
          <w:noProof/>
        </w:rPr>
        <w:t>Simple Agreements for Future Equity</w:t>
      </w:r>
      <w:r>
        <w:rPr>
          <w:noProof/>
        </w:rPr>
        <w:t xml:space="preserve"> – acordurile simple pentru capitaluri proprii viitoare), care sunt preferate de investitori. De asemenea, obiectivul urmărit este de a încuraja statele membre să permită întreprinderilor EU Inc. să aibă acces la piețele reglementate.</w:t>
      </w:r>
    </w:p>
    <w:p w14:paraId="79ABDA91" w14:textId="5B38A6AB" w:rsidR="00DE4BED" w:rsidRDefault="00846DDB" w:rsidP="00DE4BED">
      <w:pPr>
        <w:jc w:val="both"/>
        <w:rPr>
          <w:noProof/>
        </w:rPr>
      </w:pPr>
      <w:r>
        <w:rPr>
          <w:noProof/>
        </w:rPr>
        <w:t xml:space="preserve">Antreprenorii, precum și întreprinderile existente vor avea </w:t>
      </w:r>
      <w:r>
        <w:rPr>
          <w:b/>
          <w:noProof/>
        </w:rPr>
        <w:t>libertatea de a alege forma juridică EU Inc.</w:t>
      </w:r>
      <w:r>
        <w:rPr>
          <w:noProof/>
        </w:rPr>
        <w:t xml:space="preserve"> Noul cadru le va permite </w:t>
      </w:r>
      <w:r>
        <w:rPr>
          <w:i/>
          <w:noProof/>
        </w:rPr>
        <w:t>tuturor</w:t>
      </w:r>
      <w:r>
        <w:rPr>
          <w:noProof/>
        </w:rPr>
        <w:t xml:space="preserve"> întreprinderilor din Europa, indiferent de dimensiunea și obiectul lor de activitate, să participe și să rămână în acest regim. </w:t>
      </w:r>
    </w:p>
    <w:p w14:paraId="1FEAF164" w14:textId="0B6EC7D0" w:rsidR="00830A17" w:rsidRPr="00681FC7" w:rsidRDefault="00830A17" w:rsidP="00DE4BED">
      <w:pPr>
        <w:jc w:val="both"/>
        <w:rPr>
          <w:noProof/>
        </w:rPr>
      </w:pPr>
      <w:bookmarkStart w:id="4" w:name="_Hlk224469112"/>
      <w:r>
        <w:rPr>
          <w:b/>
          <w:noProof/>
        </w:rPr>
        <w:t>Acest lucru va aduce tuturor întreprinderilor beneficiile care decurg din reducerea sarcinii administrative și simplificare</w:t>
      </w:r>
      <w:r>
        <w:rPr>
          <w:noProof/>
        </w:rPr>
        <w:t xml:space="preserve">. Este probabil ca majoritatea întreprinderilor EU Inc. nou-înființate să fie create de persoane fizice și să fie start-upuri și întreprinderi în fază de extindere inovatoare. Prin urmare, reducerea globală estimată a sarcinii administrative cuprinsă între </w:t>
      </w:r>
      <w:r w:rsidRPr="00FC2382">
        <w:rPr>
          <w:noProof/>
        </w:rPr>
        <w:t>328</w:t>
      </w:r>
      <w:r>
        <w:rPr>
          <w:noProof/>
        </w:rPr>
        <w:t xml:space="preserve"> de milioane EUR și </w:t>
      </w:r>
      <w:r w:rsidRPr="00FC2382">
        <w:rPr>
          <w:noProof/>
        </w:rPr>
        <w:t>440</w:t>
      </w:r>
      <w:r>
        <w:rPr>
          <w:noProof/>
        </w:rPr>
        <w:t xml:space="preserve"> de milioane EUR pe o perioadă de </w:t>
      </w:r>
      <w:r w:rsidRPr="00FC2382">
        <w:rPr>
          <w:noProof/>
        </w:rPr>
        <w:t>10</w:t>
      </w:r>
      <w:r>
        <w:rPr>
          <w:noProof/>
        </w:rPr>
        <w:t xml:space="preserve"> ani ar aduce beneficii în principal acestui grup de întreprinderi.</w:t>
      </w:r>
      <w:bookmarkEnd w:id="4"/>
    </w:p>
    <w:p w14:paraId="66B2782E" w14:textId="2ABED3C0" w:rsidR="00206557" w:rsidRPr="00681FC7" w:rsidRDefault="00206557" w:rsidP="00206557">
      <w:pPr>
        <w:jc w:val="both"/>
        <w:rPr>
          <w:noProof/>
        </w:rPr>
      </w:pPr>
      <w:r>
        <w:rPr>
          <w:b/>
          <w:noProof/>
        </w:rPr>
        <w:t>Propunerea EU Inc. va include elemente suplimentare pentru atragerea și păstrarea talentelor</w:t>
      </w:r>
      <w:r>
        <w:rPr>
          <w:noProof/>
        </w:rPr>
        <w:t>. Toate întreprinderile EU Inc. pot opta să participe la sistemul comun al UE pentru opțiunile pe acțiuni ale salariaților (</w:t>
      </w:r>
      <w:r>
        <w:rPr>
          <w:b/>
          <w:noProof/>
        </w:rPr>
        <w:t>EU-ESO</w:t>
      </w:r>
      <w:r>
        <w:rPr>
          <w:noProof/>
        </w:rPr>
        <w:t xml:space="preserve">). Angajații cărora li s-au acordat opțiuni pe acțiuni în cadrul EU-ESO vor fi supuși impozitării în UE numai în momentul cedării acțiunilor-suport, ceea ce ar preveni o situație în care ar fi fost plătite impozite în absența unui venit real. </w:t>
      </w:r>
    </w:p>
    <w:p w14:paraId="02722AE7" w14:textId="58D71EE3" w:rsidR="00FB3F21" w:rsidRPr="00681FC7" w:rsidRDefault="00206557" w:rsidP="00206557">
      <w:pPr>
        <w:jc w:val="both"/>
        <w:rPr>
          <w:noProof/>
        </w:rPr>
      </w:pPr>
      <w:r>
        <w:rPr>
          <w:noProof/>
        </w:rPr>
        <w:t xml:space="preserve">Antreprenorii ar trebui, de asemenea, să aibă șansa de a încerca și de a testa, precum și de a începe din nou. Start-upurile inovatoare înregistrate ca întreprinderi EU Inc. vor avea, prin urmare, </w:t>
      </w:r>
      <w:r>
        <w:rPr>
          <w:b/>
          <w:noProof/>
        </w:rPr>
        <w:t>acces la proceduri simplificate de insolvență</w:t>
      </w:r>
      <w:r>
        <w:rPr>
          <w:noProof/>
        </w:rPr>
        <w:t xml:space="preserve">, care să le ajute să repornească mai rapid. Prezenta propunere completează apropierea normelor de drept material în materie de insolvență realizată prin Directiva privind armonizarea anumitor aspecte ale normelor de drept în materie de insolvență, adoptată în </w:t>
      </w:r>
      <w:r w:rsidRPr="00FC2382">
        <w:rPr>
          <w:noProof/>
        </w:rPr>
        <w:t>2026</w:t>
      </w:r>
      <w:r>
        <w:rPr>
          <w:noProof/>
        </w:rPr>
        <w:t>. În acest context, obiectivul respectiv a fost realizat în special prin prevederea unei proceduri simplificate de lichidare și a unui cadru pentru licitația electronică a activelor.</w:t>
      </w:r>
    </w:p>
    <w:p w14:paraId="2BAD0C78" w14:textId="7809A3C3" w:rsidR="00DE4BED" w:rsidRPr="00681FC7" w:rsidRDefault="00DE4BED" w:rsidP="00DE4BED">
      <w:pPr>
        <w:jc w:val="both"/>
        <w:rPr>
          <w:noProof/>
        </w:rPr>
      </w:pPr>
      <w:r>
        <w:rPr>
          <w:b/>
          <w:noProof/>
        </w:rPr>
        <w:t>Întreprinderile EU Inc. vor avea libertatea de a alege statul membru în care să se constituie</w:t>
      </w:r>
      <w:r>
        <w:rPr>
          <w:noProof/>
        </w:rPr>
        <w:t xml:space="preserve"> și să își stabilească sediul, valorificând pe deplin piața unică. </w:t>
      </w:r>
      <w:r>
        <w:rPr>
          <w:b/>
          <w:noProof/>
        </w:rPr>
        <w:t>O listă neagră a practicilor naționale interzise</w:t>
      </w:r>
      <w:r>
        <w:rPr>
          <w:noProof/>
        </w:rPr>
        <w:t xml:space="preserve"> va asigura faptul că întreprinderile EU Inc., indiferent de locul în care sunt constituite, sunt tratate în același mod ca și alte societăți cu răspundere limitată constituite în temeiul legislației naționale. De exemplu, nu ar trebui să se solicite unei întreprinderi să fie stabilită sau să aibă o filială sau un reprezentant local într-un stat membru, pentru a avea acces la sprijin sub formă de ajutor de stat, pentru a exercita o activitate economică sau pentru a obține o autorizație. Acesteia nu ar trebui să i se refuze utilizarea unui cont bancar deschis într-un alt stat membru în cazul în care dorește să obțină o autorizație sau să desfășoare o activitate economică. </w:t>
      </w:r>
    </w:p>
    <w:p w14:paraId="28C43050" w14:textId="76400E16" w:rsidR="00DE4BED" w:rsidRPr="00681FC7" w:rsidRDefault="00EB4527" w:rsidP="00DE4BED">
      <w:pPr>
        <w:jc w:val="both"/>
        <w:rPr>
          <w:noProof/>
        </w:rPr>
      </w:pPr>
      <w:r>
        <w:rPr>
          <w:b/>
          <w:noProof/>
        </w:rPr>
        <w:t>În plus, propunerea va oferi garanții pentru a preveni orice risc de potențiale fraude și abuzuri</w:t>
      </w:r>
      <w:r>
        <w:rPr>
          <w:noProof/>
        </w:rPr>
        <w:t xml:space="preserve">. În acest context, EU Inc. se bazează pe măsurile de protecție existente în legislația națională și a UE. </w:t>
      </w:r>
    </w:p>
    <w:p w14:paraId="097E22F1" w14:textId="7FC8F2A1" w:rsidR="00DE4BED" w:rsidRPr="00681FC7" w:rsidRDefault="00632107" w:rsidP="00DE4BED">
      <w:pPr>
        <w:jc w:val="both"/>
        <w:rPr>
          <w:noProof/>
        </w:rPr>
      </w:pPr>
      <w:r>
        <w:rPr>
          <w:b/>
          <w:noProof/>
        </w:rPr>
        <w:t>Antreprenorii ar trebui să se poată baza pe noua formă juridică EU Inc. în același mod în întreaga UE</w:t>
      </w:r>
      <w:r>
        <w:rPr>
          <w:noProof/>
        </w:rPr>
        <w:t xml:space="preserve">. Acest lucru este, de asemenea, esențial pentru a asigura recunoașterea EU Inc. de către comunitatea mondială de investiții. Prin urmare, EU Inc. este instituită printr-un </w:t>
      </w:r>
      <w:r>
        <w:rPr>
          <w:b/>
          <w:noProof/>
        </w:rPr>
        <w:t>regulament</w:t>
      </w:r>
      <w:r>
        <w:rPr>
          <w:noProof/>
        </w:rPr>
        <w:t xml:space="preserve">, ceea ce asigură un cadru coerent și unificat de norme armonizate. În special, noua formă juridică va fi prevăzută în fiecare dintre ordinile juridice ale statelor membre ale UE. </w:t>
      </w:r>
    </w:p>
    <w:p w14:paraId="0575B4BA" w14:textId="103B9B7F" w:rsidR="00EE2811" w:rsidRPr="00681FC7" w:rsidRDefault="00EE2811" w:rsidP="00DE4BED">
      <w:pPr>
        <w:jc w:val="both"/>
        <w:rPr>
          <w:noProof/>
        </w:rPr>
      </w:pPr>
    </w:p>
    <w:p w14:paraId="306977C9" w14:textId="164DA5E3" w:rsidR="00F153A3" w:rsidRPr="00681FC7" w:rsidRDefault="00F153A3">
      <w:pPr>
        <w:rPr>
          <w:b/>
          <w:bCs/>
          <w:noProof/>
        </w:rPr>
      </w:pPr>
      <w:bookmarkStart w:id="5" w:name="_Hlk223442153"/>
    </w:p>
    <w:p w14:paraId="29A537BA" w14:textId="063008B0" w:rsidR="00DE4BED" w:rsidRPr="00681FC7" w:rsidRDefault="00846199" w:rsidP="00AF3F23">
      <w:pPr>
        <w:pStyle w:val="ListParagraph"/>
        <w:numPr>
          <w:ilvl w:val="0"/>
          <w:numId w:val="1"/>
        </w:numPr>
        <w:jc w:val="both"/>
        <w:rPr>
          <w:b/>
          <w:bCs/>
          <w:noProof/>
        </w:rPr>
      </w:pPr>
      <w:r>
        <w:rPr>
          <w:b/>
          <w:noProof/>
        </w:rPr>
        <w:t xml:space="preserve"> Întreprinderi, start-upuri și întreprinderi în fază de extindere inovatoare </w:t>
      </w:r>
    </w:p>
    <w:p w14:paraId="4257B4C9" w14:textId="13CA5AA8" w:rsidR="00DE4BED" w:rsidRPr="00681FC7" w:rsidRDefault="0013449F" w:rsidP="00DE4BED">
      <w:pPr>
        <w:spacing w:before="120" w:after="120"/>
        <w:jc w:val="both"/>
        <w:rPr>
          <w:noProof/>
          <w:szCs w:val="24"/>
        </w:rPr>
      </w:pPr>
      <w:r>
        <w:rPr>
          <w:noProof/>
        </w:rPr>
        <w:t xml:space="preserve">Inițiativa EU Inc. va sprijini în special start-upurile și întreprinderile în fază de extindere inovatoare pentru a transpune ideile inovatoare în întreprinderi de succes la nivel mondial. Cu toate acestea, în prezent nu există </w:t>
      </w:r>
      <w:r>
        <w:rPr>
          <w:b/>
          <w:noProof/>
        </w:rPr>
        <w:t>o definiție unică la nivelul UE</w:t>
      </w:r>
      <w:r>
        <w:rPr>
          <w:noProof/>
        </w:rPr>
        <w:t xml:space="preserve"> a acestor întreprinderi, în timp ce numeroase măsuri de sprijin la nivel național și la nivelul Uniunii sunt concepute pentru a viza întreprinderile, start-upurile sau întreprinderile în fază de extindere inovatoare. Acest lucru poate conduce la ineficacitatea măsurilor respective sau la aplicarea lor inconsecventă între statele membre, împiedicând buna funcționare a pieței unice a UE. </w:t>
      </w:r>
    </w:p>
    <w:p w14:paraId="313ABEFF" w14:textId="1E535C38" w:rsidR="006B08C3" w:rsidRPr="00681FC7" w:rsidRDefault="00F43341" w:rsidP="006B08C3">
      <w:pPr>
        <w:spacing w:before="120" w:after="120"/>
        <w:jc w:val="both"/>
        <w:rPr>
          <w:noProof/>
        </w:rPr>
      </w:pPr>
      <w:r>
        <w:rPr>
          <w:noProof/>
        </w:rPr>
        <w:t xml:space="preserve">Prin urmare, ca parte a propunerilor prezentate în acest pachet și astfel cum s-a anunțat în Strategia UE privind start-upurile și întreprinderile în fază de extindere, Comisia adoptă o </w:t>
      </w:r>
      <w:r>
        <w:rPr>
          <w:b/>
          <w:noProof/>
        </w:rPr>
        <w:t>recomandare a Comisiei</w:t>
      </w:r>
      <w:r>
        <w:rPr>
          <w:noProof/>
        </w:rPr>
        <w:t xml:space="preserve"> </w:t>
      </w:r>
      <w:r>
        <w:rPr>
          <w:b/>
          <w:noProof/>
        </w:rPr>
        <w:t>privind definițiile întreprinderilor, start-upurilor și întreprinderilor în fază de extindere inovatoare</w:t>
      </w:r>
      <w:r>
        <w:rPr>
          <w:noProof/>
        </w:rPr>
        <w:t xml:space="preserve">. Aceste definiții se bazează pe criterii obiective legate de investițiile în activități de inovare, vechime, dimensiune sau creștere economică și pe criterii bine stabilite din cadrul recomandărilor Comisiei privind întreprinderile mici și mijlocii (IMM-uri) și întreprinderile mici cu capitalizare medie (SMC-uri), inclusiv pragurile de mărime și caracteristicile structurale. Recomandarea Comisiei se adresează statelor membre, Băncii Europene de Investiții (BEI) și Fondului European de Investiții (FEI). De asemenea, alte entități, cum ar fi băncile și instituțiile naționale de promovare (NPBI) sunt încurajate să aplice definițiile. </w:t>
      </w:r>
    </w:p>
    <w:p w14:paraId="696103ED" w14:textId="2D9D3E12" w:rsidR="006B08C3" w:rsidRPr="00681FC7" w:rsidRDefault="006B08C3" w:rsidP="006B08C3">
      <w:pPr>
        <w:spacing w:before="120" w:after="120"/>
        <w:jc w:val="both"/>
        <w:rPr>
          <w:noProof/>
        </w:rPr>
      </w:pPr>
      <w:r>
        <w:rPr>
          <w:b/>
          <w:noProof/>
        </w:rPr>
        <w:t>Definițiile propuse</w:t>
      </w:r>
      <w:r>
        <w:rPr>
          <w:noProof/>
        </w:rPr>
        <w:t xml:space="preserve"> au fost concepute pentru a oferi modalități pragmatice de evaluare și demonstrare a îndeplinirii criteriilor. Practic, acest lucru va permite îmbunătățirea alinierii, a coerenței și a eficacității politicilor care vizează întreprinderile, start-upurile și întreprinderile în fază de extindere inovatoare din UE și va facilita colectarea de date pentru a măsura impactul acestor politici. Întrucât întreprinderile, start-upurile și întreprinderile în fază de extindere inovatoare, în special din domeniile tehnologiei profunde (</w:t>
      </w:r>
      <w:r>
        <w:rPr>
          <w:i/>
          <w:iCs/>
          <w:noProof/>
        </w:rPr>
        <w:t>deep tech</w:t>
      </w:r>
      <w:r>
        <w:rPr>
          <w:noProof/>
        </w:rPr>
        <w:t xml:space="preserve">), joacă un rol esențial în dezvoltarea și comercializarea tehnologiilor inovatoare, aceste definiții la nivelul UE marchează un pas important către o Uniune mai inovatoare și mai competitivă. </w:t>
      </w:r>
    </w:p>
    <w:bookmarkEnd w:id="5"/>
    <w:p w14:paraId="01FAC37C" w14:textId="77777777" w:rsidR="00CF290F" w:rsidRPr="00681FC7" w:rsidRDefault="00CF290F" w:rsidP="00DE4BED">
      <w:pPr>
        <w:rPr>
          <w:b/>
          <w:bCs/>
          <w:noProof/>
          <w:szCs w:val="24"/>
        </w:rPr>
      </w:pPr>
    </w:p>
    <w:p w14:paraId="7A28D93D" w14:textId="77777777" w:rsidR="00D51722" w:rsidRDefault="00D51722">
      <w:pPr>
        <w:rPr>
          <w:b/>
          <w:bCs/>
          <w:noProof/>
          <w:szCs w:val="24"/>
        </w:rPr>
      </w:pPr>
      <w:r>
        <w:rPr>
          <w:noProof/>
        </w:rPr>
        <w:br w:type="page"/>
      </w:r>
    </w:p>
    <w:p w14:paraId="4E490C57" w14:textId="5EA1A44C" w:rsidR="00DE4BED" w:rsidRPr="00681FC7" w:rsidRDefault="00DE4BED" w:rsidP="00903787">
      <w:pPr>
        <w:pStyle w:val="ListParagraph"/>
        <w:keepNext/>
        <w:numPr>
          <w:ilvl w:val="0"/>
          <w:numId w:val="1"/>
        </w:numPr>
        <w:spacing w:before="120" w:after="120"/>
        <w:jc w:val="both"/>
        <w:rPr>
          <w:noProof/>
          <w:szCs w:val="24"/>
        </w:rPr>
      </w:pPr>
      <w:r>
        <w:rPr>
          <w:b/>
          <w:noProof/>
        </w:rPr>
        <w:t xml:space="preserve">Măsuri complementare în sprijinul celui de al </w:t>
      </w:r>
      <w:r w:rsidRPr="00FC2382">
        <w:rPr>
          <w:b/>
          <w:noProof/>
        </w:rPr>
        <w:t>28</w:t>
      </w:r>
      <w:r>
        <w:rPr>
          <w:b/>
          <w:noProof/>
        </w:rPr>
        <w:t>-lea regim</w:t>
      </w:r>
    </w:p>
    <w:p w14:paraId="349F80C7" w14:textId="5361500E" w:rsidR="0046792F" w:rsidRPr="00681FC7" w:rsidRDefault="00B05FB3" w:rsidP="0046792F">
      <w:pPr>
        <w:jc w:val="both"/>
        <w:rPr>
          <w:b/>
          <w:i/>
          <w:iCs/>
          <w:noProof/>
        </w:rPr>
      </w:pPr>
      <w:r>
        <w:rPr>
          <w:i/>
          <w:noProof/>
        </w:rPr>
        <w:t>Digitalizarea</w:t>
      </w:r>
    </w:p>
    <w:p w14:paraId="26C56D0D" w14:textId="7531280F" w:rsidR="00B97962" w:rsidRPr="00681FC7" w:rsidRDefault="002F2A8D" w:rsidP="00DE4BED">
      <w:pPr>
        <w:jc w:val="both"/>
        <w:rPr>
          <w:noProof/>
        </w:rPr>
      </w:pPr>
      <w:r w:rsidRPr="00FC2382">
        <w:rPr>
          <w:noProof/>
          <w:spacing w:val="-4"/>
        </w:rPr>
        <w:t xml:space="preserve">UE își va continua eforturile de reducere a sarcinilor administrative, de îmbunătățire a agilității cadrului său juridic și de simplificare, abordând în același timp fragmentarea și obstacolele de pe piața unică. Aceste eforturi includ, în primul rând, o </w:t>
      </w:r>
      <w:r w:rsidRPr="00FC2382">
        <w:rPr>
          <w:b/>
          <w:noProof/>
          <w:spacing w:val="-4"/>
        </w:rPr>
        <w:t>digitalizare</w:t>
      </w:r>
      <w:r w:rsidRPr="00FC2382">
        <w:rPr>
          <w:noProof/>
          <w:spacing w:val="-4"/>
        </w:rPr>
        <w:t xml:space="preserve"> maximă a tuturor aspectelor legate de desfășurarea de activități economice pe piața unică. Un mediu digital 100 % permite un cadru pentru întreprinderi cu adevărat eficient și competitiv, care atrage investitori, atât din interiorul, cât și din afara UE. Pentru a sprijini un mediu de afaceri complet digital, cadrul ar trebui să rămână neutru din punct de vedere tehnologic și să permită întreprinderilor să utilizeze soluții digitale, cum ar fi tehnologia registrelor distribuite, acțiunile tokenizate și contractele inteligente</w:t>
      </w:r>
      <w:r>
        <w:rPr>
          <w:noProof/>
        </w:rPr>
        <w:t>.</w:t>
      </w:r>
    </w:p>
    <w:p w14:paraId="58E04C54" w14:textId="1CF3921F" w:rsidR="00EE2811" w:rsidRPr="00FC2382" w:rsidRDefault="00511EF4" w:rsidP="00EE2811">
      <w:pPr>
        <w:jc w:val="both"/>
        <w:rPr>
          <w:noProof/>
          <w:spacing w:val="-6"/>
        </w:rPr>
      </w:pPr>
      <w:r w:rsidRPr="00FC2382">
        <w:rPr>
          <w:b/>
          <w:noProof/>
          <w:spacing w:val="-6"/>
        </w:rPr>
        <w:t>Portofelul european pentru întreprinderi</w:t>
      </w:r>
      <w:r w:rsidRPr="00FC2382">
        <w:rPr>
          <w:noProof/>
          <w:spacing w:val="-6"/>
        </w:rPr>
        <w:t xml:space="preserve"> le va permite întreprinderilor EU Inc. să utilizeze pe deplin instrumentele digitale pentru toate interacțiunile lor cu autoritățile publice și cu operatorii economici din întreaga Uniune. După înființarea unei întreprinderi EU Inc., toate datele relevante vor fi disponibile în portofelele europene pentru întreprinderi, pentru cei care utilizează astfel de soluții. Aceasta înseamnă că o întreprindere EU Inc. poate utiliza portofelele pentru întreprinderi pentru a întreprinde cu ușurință acțiuni cum ar fi depunerea declarațiilor fiscale, solicitarea de autorizații, semnarea și schimbul de contracte cu autoritățile publice și cu partenerii de afaceri din întreaga UE, fără a fi nevoie de documentație fizică sau de interacțiuni în persoană, toate aceste acțiuni având o validitate juridică deplină. Portofelele pentru întreprinderi permit gestionarea complet automatizată a identității și a datelor întreprinderilor, inclusiv ale clienților și partenerilor de afaceri. </w:t>
      </w:r>
      <w:bookmarkStart w:id="6" w:name="_Hlk224043762"/>
    </w:p>
    <w:bookmarkEnd w:id="6"/>
    <w:p w14:paraId="2E670CB0" w14:textId="7F5CE087" w:rsidR="006B0321" w:rsidRPr="00681FC7" w:rsidRDefault="00D16B9A" w:rsidP="00A3417A">
      <w:pPr>
        <w:jc w:val="both"/>
        <w:rPr>
          <w:noProof/>
        </w:rPr>
      </w:pPr>
      <w:r>
        <w:rPr>
          <w:noProof/>
        </w:rPr>
        <w:t xml:space="preserve">În plus, este important să se asigure interoperabilitatea și să se evite suprapunerile între sistemele existente care permit deja digitalizarea întreprinderilor, cum ar fi </w:t>
      </w:r>
      <w:r>
        <w:rPr>
          <w:b/>
          <w:noProof/>
        </w:rPr>
        <w:t>sistemul de interconectare a registrelor comerțului (BRIS)</w:t>
      </w:r>
      <w:r>
        <w:rPr>
          <w:noProof/>
        </w:rPr>
        <w:t xml:space="preserve"> și </w:t>
      </w:r>
      <w:r>
        <w:rPr>
          <w:b/>
          <w:noProof/>
        </w:rPr>
        <w:t>Regulamentul privind portalul digital unic</w:t>
      </w:r>
      <w:r>
        <w:rPr>
          <w:noProof/>
        </w:rPr>
        <w:t xml:space="preserve">. În special prin Regulamentul privind portalul digital unic, Comisia obligă statele membre să ofere acces online la informațiile, procedurile și serviciile de asistență de care întreprinderile din UE ar putea avea nevoie în altă țară din UE. Prin intermediul sistemului tehnic „doar o singură dată” (OOTS), statele membre pot face schimb de elemente justificative și de documente într-un mod automatizat și securizat. Majoritatea statelor membre sunt sau vor fi în curând pregătite din punct de vedere tehnic să utilizeze acest sistem, dar nu toate procedurile și documentele relevante sunt încă integrate. Prin urmare, statele membre ar trebui să acorde acum prioritate integrării procedurilor și dovezilor care sunt esențiale pentru etapele-cheie ale ciclului de viață al unei întreprinderi EU Inc. și care generează o interacțiune transfrontalieră semnificativă. Comisia va continua să sprijine statele membre în acest demers și să extindă dovezile disponibile pentru funcționarea întreprinderilor și invită statele membre să identifice prioritățile relevante până la </w:t>
      </w:r>
      <w:r w:rsidRPr="00FC2382">
        <w:rPr>
          <w:noProof/>
        </w:rPr>
        <w:t>30</w:t>
      </w:r>
      <w:r>
        <w:rPr>
          <w:noProof/>
        </w:rPr>
        <w:t xml:space="preserve"> septembrie </w:t>
      </w:r>
      <w:r w:rsidRPr="00FC2382">
        <w:rPr>
          <w:noProof/>
        </w:rPr>
        <w:t>2026</w:t>
      </w:r>
      <w:r>
        <w:rPr>
          <w:noProof/>
        </w:rPr>
        <w:t>.</w:t>
      </w:r>
    </w:p>
    <w:p w14:paraId="6763D983" w14:textId="5A59A8B9" w:rsidR="00624164" w:rsidRPr="00681FC7" w:rsidRDefault="0082425A" w:rsidP="00DE4BED">
      <w:pPr>
        <w:jc w:val="both"/>
        <w:rPr>
          <w:noProof/>
        </w:rPr>
      </w:pPr>
      <w:r>
        <w:rPr>
          <w:noProof/>
        </w:rPr>
        <w:t xml:space="preserve">Start-upurile și întreprinderile în fază de extindere se confruntă adesea cu </w:t>
      </w:r>
      <w:r>
        <w:rPr>
          <w:b/>
          <w:noProof/>
        </w:rPr>
        <w:t>costuri ridicate și cu întârzieri din cauza obligativității de a furniza traduceri autorizate ale documentelor</w:t>
      </w:r>
      <w:r>
        <w:rPr>
          <w:noProof/>
        </w:rPr>
        <w:t xml:space="preserve">, ceea ce constituie o piedică în calea competitivității și a eficienței lor pe piață. Un sistem de traducere automată certificat, bazat pe inteligență artificială (IA), poate ajuta administrațiile publice să înțeleagă și să accepte documente care provin din alte state membre. Acest lucru ar reduce în mod semnificativ barierele lingvistice și sarcinile administrative pentru întreprinderile care desfășoară activități transfrontaliere. În plus, implementarea pe scară mai largă a serviciilor multilingve bazate pe IA va permite întreprinderilor să comunice cu organismele din sectorul public în situații transfrontaliere. </w:t>
      </w:r>
      <w:bookmarkStart w:id="7" w:name="_Hlk223166540"/>
    </w:p>
    <w:p w14:paraId="32EAEBF2" w14:textId="529BD567" w:rsidR="00D51722" w:rsidRDefault="00D51722">
      <w:pPr>
        <w:rPr>
          <w:i/>
          <w:iCs/>
          <w:noProof/>
        </w:rPr>
      </w:pPr>
    </w:p>
    <w:p w14:paraId="7A0A00DB" w14:textId="0C22ED01" w:rsidR="0046792F" w:rsidRPr="00681FC7" w:rsidRDefault="0046792F" w:rsidP="00DE4BED">
      <w:pPr>
        <w:jc w:val="both"/>
        <w:rPr>
          <w:i/>
          <w:iCs/>
          <w:noProof/>
        </w:rPr>
      </w:pPr>
      <w:r>
        <w:rPr>
          <w:i/>
          <w:noProof/>
        </w:rPr>
        <w:t>Accesul la finanțare</w:t>
      </w:r>
    </w:p>
    <w:p w14:paraId="5BE911D6" w14:textId="1DD2E8B6" w:rsidR="00DE4BED" w:rsidRPr="00681FC7" w:rsidRDefault="00511EF4" w:rsidP="00DE4BED">
      <w:pPr>
        <w:jc w:val="both"/>
        <w:rPr>
          <w:rFonts w:cs="Times New Roman"/>
          <w:noProof/>
          <w:szCs w:val="24"/>
        </w:rPr>
      </w:pPr>
      <w:r>
        <w:rPr>
          <w:noProof/>
        </w:rPr>
        <w:t xml:space="preserve">Start-upurile și întreprinderile în fază de extindere au nevoie de </w:t>
      </w:r>
      <w:r>
        <w:rPr>
          <w:b/>
          <w:noProof/>
        </w:rPr>
        <w:t>acces rapid la capital</w:t>
      </w:r>
      <w:r>
        <w:rPr>
          <w:noProof/>
        </w:rPr>
        <w:t xml:space="preserve">. Acestea vor fi în măsură să profite pe deplin de amploarea și profunzimea pieței de capital a UE, precum și de gama de oportunități de finanțare, pe baza măsurilor adoptate în cadrul Uniunii economiilor și a investițiilor, precum și a Fondului european pentru competitivitate și a Fondului pentru extinderea întreprinderilor din Europa. Revizuirea normelor privind investițiile fondurilor de pensii va consolida capacitatea întreprinderilor de a investi în titluri de capital cotate și necotate. Viitoarea revizuire a Regulamentului privind fondurile europene cu capital de risc va promova în continuare dezvoltarea unei piețe mai dinamice și mai integrate pentru fondurile cu capital de risc și de creștere. Acestea sunt esențiale pentru startup-urile și întreprinderile în fază de extindere cu venituri viitoare incerte și care nu dețin active corporale. </w:t>
      </w:r>
    </w:p>
    <w:p w14:paraId="19C882D8" w14:textId="20A98FEB" w:rsidR="0046792F" w:rsidRPr="00681FC7" w:rsidRDefault="0046792F" w:rsidP="0046792F">
      <w:pPr>
        <w:spacing w:before="120" w:after="120"/>
        <w:jc w:val="both"/>
        <w:rPr>
          <w:rFonts w:eastAsia="Calibri" w:cs="Times New Roman"/>
          <w:i/>
          <w:noProof/>
          <w:szCs w:val="24"/>
        </w:rPr>
      </w:pPr>
      <w:r>
        <w:rPr>
          <w:i/>
          <w:noProof/>
        </w:rPr>
        <w:t>Atragerea și păstrarea talentelor</w:t>
      </w:r>
    </w:p>
    <w:bookmarkEnd w:id="7"/>
    <w:p w14:paraId="175E26D2" w14:textId="1B251E9C" w:rsidR="00DE4BED" w:rsidRPr="00681FC7" w:rsidRDefault="00DE4BED" w:rsidP="00DE4BED">
      <w:pPr>
        <w:spacing w:before="120" w:after="120"/>
        <w:jc w:val="both"/>
        <w:rPr>
          <w:noProof/>
        </w:rPr>
      </w:pPr>
      <w:r>
        <w:rPr>
          <w:noProof/>
        </w:rPr>
        <w:t xml:space="preserve">Întreprinderile EU Inc. au nevoie, de asemenea, de </w:t>
      </w:r>
      <w:r>
        <w:rPr>
          <w:b/>
          <w:noProof/>
        </w:rPr>
        <w:t>condiții favorabile în materie de ocupare a forței de muncă și de impozitare</w:t>
      </w:r>
      <w:r>
        <w:rPr>
          <w:noProof/>
        </w:rPr>
        <w:t xml:space="preserve"> pentru a păstra și a atrage talente și pentru a funcționa rapid la nivel transfrontalier. </w:t>
      </w:r>
    </w:p>
    <w:p w14:paraId="18E8F43E" w14:textId="717848F5" w:rsidR="00F34E8D" w:rsidRPr="00681FC7" w:rsidRDefault="00971026" w:rsidP="00F34E8D">
      <w:pPr>
        <w:spacing w:before="120" w:after="120"/>
        <w:jc w:val="both"/>
        <w:rPr>
          <w:noProof/>
        </w:rPr>
      </w:pPr>
      <w:bookmarkStart w:id="8" w:name="_Hlk224410028"/>
      <w:r>
        <w:rPr>
          <w:noProof/>
        </w:rPr>
        <w:t xml:space="preserve">În domeniul </w:t>
      </w:r>
      <w:r>
        <w:rPr>
          <w:b/>
          <w:noProof/>
        </w:rPr>
        <w:t>ocupării forței de muncă</w:t>
      </w:r>
      <w:r>
        <w:rPr>
          <w:noProof/>
        </w:rPr>
        <w:t xml:space="preserve">, prin viitorul pachet privind mobilitatea echitabilă a forței de muncă, Comisia va analiza posibilitatea de a permite telemunca transfrontalieră în proporție de </w:t>
      </w:r>
      <w:r w:rsidRPr="00FC2382">
        <w:rPr>
          <w:noProof/>
        </w:rPr>
        <w:t>100</w:t>
      </w:r>
      <w:r>
        <w:rPr>
          <w:noProof/>
        </w:rPr>
        <w:t> % pentru startup-uri și întreprinderile în fază de extindere din întreaga Uniune, aplicând legislația în materie de securitate socială a statului membru în care se află angajatorul</w:t>
      </w:r>
      <w:bookmarkEnd w:id="8"/>
      <w:r>
        <w:rPr>
          <w:noProof/>
        </w:rPr>
        <w:t>. Comisia va elabora, de asemenea, un cadru juridic pentru a accelera digitalizarea atestatelor de securitate socială prin intermediul inițiativei privind Pașaportul european de securitate socială. Inițiativa privind portabilitatea competențelor va urmări să elimine obstacolele legate de calificări și competențe din calea mobilității lucrătorilor, inclusiv prin digitalizare. Comisia va explora modalități de simplificare a procedurilor de gestionare a recunoașterii și a validării calificărilor și a competențelor resortisanților țărilor terțe. Aceste măsuri vor fi completate de atragerea de talente din străinătate prin intermediul Regulamentului privind rezerva de talente la nivelul UE, care, odată ce va fi operațional, va facilita corelarea cererii și a ofertei de locuri de muncă în procesul de recrutare a talentelor din afara UE. Comisia va analiza în continuare fezabilitatea unor modificări specifice „omnibus” ale cadrului UE referitor la migrația legală, pentru a se asigura că acesta este aliniat la obiectivele Uniunii în materie de competitivitate și inovare.</w:t>
      </w:r>
    </w:p>
    <w:p w14:paraId="6D2F7CE2" w14:textId="75E55897" w:rsidR="004F3676" w:rsidRPr="00B57BCB" w:rsidRDefault="004F3676" w:rsidP="00F34E8D">
      <w:pPr>
        <w:spacing w:before="120" w:after="120"/>
        <w:jc w:val="both"/>
        <w:rPr>
          <w:i/>
          <w:iCs/>
          <w:noProof/>
        </w:rPr>
      </w:pPr>
      <w:r>
        <w:rPr>
          <w:i/>
          <w:noProof/>
        </w:rPr>
        <w:t>Impozitarea</w:t>
      </w:r>
    </w:p>
    <w:p w14:paraId="14B21D79" w14:textId="0AC92857" w:rsidR="00B05FB3" w:rsidRPr="00681FC7" w:rsidRDefault="00F1195C" w:rsidP="00F1195C">
      <w:pPr>
        <w:spacing w:before="120" w:after="120"/>
        <w:jc w:val="both"/>
        <w:rPr>
          <w:noProof/>
        </w:rPr>
      </w:pPr>
      <w:r>
        <w:rPr>
          <w:noProof/>
        </w:rPr>
        <w:t xml:space="preserve">În ceea ce privește </w:t>
      </w:r>
      <w:r>
        <w:rPr>
          <w:b/>
          <w:noProof/>
        </w:rPr>
        <w:t>impozitarea</w:t>
      </w:r>
      <w:r>
        <w:rPr>
          <w:noProof/>
        </w:rPr>
        <w:t>, Comisia a propus un sistem de impunere în funcție de sediul central (HOT) care ar permite întreprinderilor mici și mijlocii (IMM-uri) să aplice normele fiscale din țara lor de origine. În plus, inițiativa „Întreprinderile din Europa: cadru de impozitare a profitului” (BEFIT) urmărește să stabilească un cadru legislativ unic pentru impozitarea societăților comerciale în UE. Este necesară o adoptare rapidă a propunerilor pentru a sprijini mai bine întreprinderile, în special start-upurile și întreprinderile în fază de extindere, care se confruntă cu norme fiscale divergente și complexe în fiecare stat membru. Comisia va continua să sprijine negocierile desfășurate în cadrul Consiliului cu privire la aceste dosare. Viitorul pachet omnibus de simplificare privind impozitarea directă ar trebui să elimine și mai mult sarcinile administrative suplimentare prin simplificarea legislației existente. În cele din urmă, Comisia încurajează statele membre să califice și să impoziteze veniturile obținute din EU- ESO drept câștiguri de capital și nu venituri din muncă.</w:t>
      </w:r>
    </w:p>
    <w:p w14:paraId="14F62114" w14:textId="3FF72543" w:rsidR="00B05FB3" w:rsidRPr="00681FC7" w:rsidRDefault="00B05FB3" w:rsidP="00F1195C">
      <w:pPr>
        <w:spacing w:before="120" w:after="120"/>
        <w:jc w:val="both"/>
        <w:rPr>
          <w:i/>
          <w:iCs/>
          <w:noProof/>
        </w:rPr>
      </w:pPr>
      <w:r>
        <w:rPr>
          <w:i/>
          <w:noProof/>
        </w:rPr>
        <w:t>Un cadru juridic clar, previzibil și rapid</w:t>
      </w:r>
    </w:p>
    <w:p w14:paraId="752A7EB5" w14:textId="15B6B446" w:rsidR="00B05FB3" w:rsidRPr="00681FC7" w:rsidRDefault="009847DA" w:rsidP="00B05FB3">
      <w:pPr>
        <w:jc w:val="both"/>
        <w:rPr>
          <w:rFonts w:eastAsia="Times New Roman" w:cs="Times New Roman"/>
          <w:noProof/>
          <w:color w:val="000000" w:themeColor="text1"/>
          <w:szCs w:val="24"/>
        </w:rPr>
      </w:pPr>
      <w:r>
        <w:rPr>
          <w:noProof/>
        </w:rPr>
        <w:t xml:space="preserve">Pentru a permite o aplicare eficace, eficientă și uniformă a normelor EU Inc., statele membre ar trebui să ia în considerare desemnarea unei </w:t>
      </w:r>
      <w:r>
        <w:rPr>
          <w:b/>
          <w:noProof/>
        </w:rPr>
        <w:t>camere jurisdicționale sau instanțe specializate</w:t>
      </w:r>
      <w:r>
        <w:rPr>
          <w:noProof/>
        </w:rPr>
        <w:t xml:space="preserve"> care să aibă autoritatea de a soluționa litigiile privind dreptul întreprinderilor EU Inc.</w:t>
      </w:r>
      <w:r>
        <w:rPr>
          <w:noProof/>
          <w:color w:val="000000" w:themeColor="text1"/>
        </w:rPr>
        <w:t xml:space="preserve"> Prin centralizarea expertizei, această abordare ar contribui la îmbunătățirea coerenței hotărârilor, la reducerea la minimum a blocajelor procedurale și la aprofundarea înțelegerii aspectelor unice ale cadrului din punct de vedere judiciar – consolidând astfel încrederea investitorilor și facilitând încrederea transfrontalieră. Deși acest lucru nu ar necesita standardizarea sistemelor judiciare naționale, ar transmite un semnal clar privind angajamentul statelor membre de a asigura succesul practic al cadrului. Comisia va sprijini aplicarea sa eficace și consecventă. </w:t>
      </w:r>
    </w:p>
    <w:p w14:paraId="3A3ABECC" w14:textId="461D225C" w:rsidR="00EE2811" w:rsidRPr="00681FC7" w:rsidRDefault="00EE2811" w:rsidP="00F1195C">
      <w:pPr>
        <w:spacing w:before="120" w:after="120"/>
        <w:jc w:val="both"/>
        <w:rPr>
          <w:rFonts w:eastAsia="Times New Roman" w:cs="Times New Roman"/>
          <w:noProof/>
          <w:szCs w:val="24"/>
        </w:rPr>
      </w:pPr>
      <w:r>
        <w:rPr>
          <w:noProof/>
        </w:rPr>
        <w:t xml:space="preserve">În plus, start-upurile și întreprinderile în fază de extindere inovatoare pot deja beneficia de un cadru stabil și previzibil privind </w:t>
      </w:r>
      <w:r>
        <w:rPr>
          <w:b/>
          <w:noProof/>
        </w:rPr>
        <w:t>competența instanțelor</w:t>
      </w:r>
      <w:r>
        <w:rPr>
          <w:noProof/>
        </w:rPr>
        <w:t xml:space="preserve">, </w:t>
      </w:r>
      <w:r>
        <w:rPr>
          <w:b/>
          <w:noProof/>
        </w:rPr>
        <w:t>legislația aplicabilă, inclusiv dreptul muncii, precum și recunoașterea și executarea hotărârilor judecătorești</w:t>
      </w:r>
      <w:r>
        <w:rPr>
          <w:noProof/>
        </w:rPr>
        <w:t xml:space="preserve"> în întreaga Uniune pentru tranzacțiile lor comerciale transfrontaliere. Regulamentul Bruxelles Ia privind competența internațională și recunoașterea și executarea hotărârilor în materie civilă și comercială este, în prezent, în curs de evaluare pentru a îmbunătăți și mai mult efectele sale asupra competitivității. În plus, Comisia pune la dispoziție orientări pentru a sprijini întreprinderile, în special start-upurile și întreprinderile în fază de extindere, prin intermediul portalului european e-justiție.</w:t>
      </w:r>
      <w:r w:rsidR="00FC2382">
        <w:rPr>
          <w:noProof/>
        </w:rPr>
        <w:t xml:space="preserve"> </w:t>
      </w:r>
    </w:p>
    <w:p w14:paraId="4FB78905" w14:textId="77777777" w:rsidR="00903787" w:rsidRPr="00681FC7" w:rsidRDefault="00903787" w:rsidP="00F1195C">
      <w:pPr>
        <w:spacing w:before="120" w:after="120"/>
        <w:jc w:val="both"/>
        <w:rPr>
          <w:rFonts w:eastAsia="Times New Roman" w:cs="Times New Roman"/>
          <w:noProof/>
          <w:color w:val="403582"/>
          <w:szCs w:val="24"/>
          <w:u w:val="single"/>
        </w:rPr>
      </w:pPr>
    </w:p>
    <w:p w14:paraId="4782046F" w14:textId="77777777" w:rsidR="00EF24D6" w:rsidRPr="00681FC7" w:rsidRDefault="00EF24D6" w:rsidP="00903787">
      <w:pPr>
        <w:pStyle w:val="ListParagraph"/>
        <w:numPr>
          <w:ilvl w:val="0"/>
          <w:numId w:val="1"/>
        </w:numPr>
        <w:spacing w:before="120" w:after="120"/>
        <w:jc w:val="both"/>
        <w:rPr>
          <w:b/>
          <w:noProof/>
        </w:rPr>
      </w:pPr>
      <w:r>
        <w:rPr>
          <w:b/>
          <w:noProof/>
        </w:rPr>
        <w:t>Concluzie</w:t>
      </w:r>
    </w:p>
    <w:p w14:paraId="73570BA2" w14:textId="52E55E25" w:rsidR="00EF24D6" w:rsidRPr="00681FC7" w:rsidRDefault="00335037" w:rsidP="00EF24D6">
      <w:pPr>
        <w:spacing w:after="120" w:line="240" w:lineRule="auto"/>
        <w:jc w:val="both"/>
        <w:rPr>
          <w:bCs/>
          <w:noProof/>
        </w:rPr>
      </w:pPr>
      <w:r>
        <w:rPr>
          <w:noProof/>
        </w:rPr>
        <w:t xml:space="preserve">Prin propunerile adoptate astăzi, Comisia își continuă eforturile pentru a ajuta Europa să devină cel mai bun loc pentru înființarea și dezvoltarea unei întreprinderi, simplificând și accelerând accesul la oportunitățile oferite de piața unică și sporind competitivitatea. </w:t>
      </w:r>
    </w:p>
    <w:p w14:paraId="5EB49C50" w14:textId="2763E6A6" w:rsidR="00903787" w:rsidRPr="00681FC7" w:rsidRDefault="00511EF4" w:rsidP="00624164">
      <w:pPr>
        <w:spacing w:after="120" w:line="240" w:lineRule="auto"/>
        <w:jc w:val="both"/>
        <w:rPr>
          <w:noProof/>
        </w:rPr>
      </w:pPr>
      <w:r>
        <w:rPr>
          <w:noProof/>
        </w:rPr>
        <w:t xml:space="preserve">Este esențial să acționăm rapid. Comisia invită Parlamentul European și Consiliul să adopte rapid propunerea legislativă privind EU Inc., având în vedere importanța sa esențială pentru prosperitatea UE. Comisia va face tot posibilul pentru a sprijini colegiuitorii în acest sens, cu obiectivul clar de a ajunge la un acord până la sfârșitul anului </w:t>
      </w:r>
      <w:r w:rsidRPr="00FC2382">
        <w:rPr>
          <w:noProof/>
        </w:rPr>
        <w:t>2026</w:t>
      </w:r>
      <w:r>
        <w:rPr>
          <w:noProof/>
        </w:rPr>
        <w:t xml:space="preserve">. </w:t>
      </w:r>
    </w:p>
    <w:p w14:paraId="1F0BCFB6" w14:textId="2A08021F" w:rsidR="00903787" w:rsidRPr="00681FC7" w:rsidRDefault="00903787" w:rsidP="00624164">
      <w:pPr>
        <w:spacing w:after="120" w:line="240" w:lineRule="auto"/>
        <w:jc w:val="both"/>
        <w:rPr>
          <w:noProof/>
        </w:rPr>
      </w:pPr>
      <w:r>
        <w:rPr>
          <w:noProof/>
        </w:rPr>
        <w:t xml:space="preserve">Comisia va monitoriza progresele înregistrate în direcția adoptării rapide a propunerii în contextul foii de parcurs „O singură Europă, o singură piață”. De asemenea, aceasta va monitoriza în continuare punerea în aplicare a măsurilor auxiliare incluse în prezenta comunicare și va explora posibile măsuri suplimentare de consolidare a celui de al </w:t>
      </w:r>
      <w:r w:rsidRPr="00FC2382">
        <w:rPr>
          <w:noProof/>
        </w:rPr>
        <w:t>28</w:t>
      </w:r>
      <w:r>
        <w:rPr>
          <w:noProof/>
        </w:rPr>
        <w:t xml:space="preserve">-lea regim. </w:t>
      </w:r>
    </w:p>
    <w:p w14:paraId="75AAB4E6" w14:textId="77777777" w:rsidR="00903787" w:rsidRPr="008D7B59" w:rsidRDefault="00903787" w:rsidP="00624164">
      <w:pPr>
        <w:spacing w:after="120" w:line="240" w:lineRule="auto"/>
        <w:jc w:val="both"/>
        <w:rPr>
          <w:noProof/>
          <w:lang w:val="fr-BE"/>
        </w:rPr>
      </w:pPr>
    </w:p>
    <w:p w14:paraId="3BFF5563" w14:textId="77777777" w:rsidR="00903787" w:rsidRPr="008D7B59" w:rsidRDefault="00903787" w:rsidP="00624164">
      <w:pPr>
        <w:spacing w:after="120" w:line="240" w:lineRule="auto"/>
        <w:jc w:val="both"/>
        <w:rPr>
          <w:noProof/>
          <w:lang w:val="fr-BE"/>
        </w:rPr>
      </w:pPr>
    </w:p>
    <w:p w14:paraId="22E5C394" w14:textId="0624A703" w:rsidR="00903787" w:rsidRPr="00072A06" w:rsidRDefault="00A10838" w:rsidP="00B57BCB">
      <w:pPr>
        <w:spacing w:after="120" w:line="240" w:lineRule="auto"/>
        <w:jc w:val="both"/>
        <w:rPr>
          <w:noProof/>
        </w:rPr>
      </w:pPr>
      <w:r>
        <w:rPr>
          <w:noProof/>
        </w:rPr>
        <w:t xml:space="preserve"> </w:t>
      </w:r>
    </w:p>
    <w:p w14:paraId="33346B49" w14:textId="77777777" w:rsidR="00903787" w:rsidRPr="00EF1509" w:rsidRDefault="00903787" w:rsidP="00624164">
      <w:pPr>
        <w:spacing w:after="120" w:line="240" w:lineRule="auto"/>
        <w:jc w:val="both"/>
        <w:rPr>
          <w:b/>
          <w:bCs/>
          <w:noProof/>
        </w:rPr>
      </w:pPr>
    </w:p>
    <w:sectPr w:rsidR="00903787" w:rsidRPr="00EF1509" w:rsidSect="00B95F84">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116126" w14:textId="77777777" w:rsidR="000F5D28" w:rsidRDefault="000F5D28" w:rsidP="00ED5312">
      <w:pPr>
        <w:spacing w:after="0" w:line="240" w:lineRule="auto"/>
      </w:pPr>
      <w:r>
        <w:separator/>
      </w:r>
    </w:p>
  </w:endnote>
  <w:endnote w:type="continuationSeparator" w:id="0">
    <w:p w14:paraId="000EE9F0" w14:textId="77777777" w:rsidR="000F5D28" w:rsidRDefault="000F5D28" w:rsidP="00ED5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7F47C" w14:textId="506E6601" w:rsidR="00673BEA" w:rsidRPr="00673BEA" w:rsidRDefault="00673BEA" w:rsidP="00673BEA">
    <w:pPr>
      <w:pStyle w:val="FooterCoverPage"/>
      <w:rPr>
        <w:rFonts w:ascii="Arial" w:hAnsi="Arial" w:cs="Arial"/>
        <w:b/>
        <w:sz w:val="48"/>
      </w:rPr>
    </w:pPr>
    <w:r w:rsidRPr="00673BEA">
      <w:rPr>
        <w:rFonts w:ascii="Arial" w:hAnsi="Arial" w:cs="Arial"/>
        <w:b/>
        <w:sz w:val="48"/>
      </w:rPr>
      <w:t>RO</w:t>
    </w:r>
    <w:r w:rsidRPr="00673BEA">
      <w:rPr>
        <w:rFonts w:ascii="Arial" w:hAnsi="Arial" w:cs="Arial"/>
        <w:b/>
        <w:sz w:val="48"/>
      </w:rPr>
      <w:tab/>
    </w:r>
    <w:r w:rsidRPr="00673BEA">
      <w:rPr>
        <w:rFonts w:ascii="Arial" w:hAnsi="Arial" w:cs="Arial"/>
        <w:b/>
        <w:sz w:val="48"/>
      </w:rPr>
      <w:tab/>
    </w:r>
    <w:r w:rsidRPr="00673BEA">
      <w:tab/>
    </w:r>
    <w:r w:rsidRPr="00673BE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19937" w14:textId="662804C3" w:rsidR="00673BEA" w:rsidRPr="00673BEA" w:rsidRDefault="00673BEA" w:rsidP="00673BEA">
    <w:pPr>
      <w:pStyle w:val="FooterCoverPage"/>
      <w:rPr>
        <w:rFonts w:ascii="Arial" w:hAnsi="Arial" w:cs="Arial"/>
        <w:b/>
        <w:sz w:val="48"/>
      </w:rPr>
    </w:pPr>
    <w:r w:rsidRPr="00673BEA">
      <w:rPr>
        <w:rFonts w:ascii="Arial" w:hAnsi="Arial" w:cs="Arial"/>
        <w:b/>
        <w:sz w:val="48"/>
      </w:rPr>
      <w:t>RO</w:t>
    </w:r>
    <w:r w:rsidRPr="00673BEA">
      <w:rPr>
        <w:rFonts w:ascii="Arial" w:hAnsi="Arial" w:cs="Arial"/>
        <w:b/>
        <w:sz w:val="48"/>
      </w:rPr>
      <w:tab/>
    </w:r>
    <w:r w:rsidRPr="00673BEA">
      <w:rPr>
        <w:rFonts w:ascii="Arial" w:hAnsi="Arial" w:cs="Arial"/>
        <w:b/>
        <w:sz w:val="48"/>
      </w:rPr>
      <w:tab/>
    </w:r>
    <w:r w:rsidRPr="00673BEA">
      <w:tab/>
    </w:r>
    <w:r w:rsidRPr="00673BE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E2033" w14:textId="77777777" w:rsidR="00673BEA" w:rsidRPr="00673BEA" w:rsidRDefault="00673BEA" w:rsidP="00673BE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E91DE" w14:textId="77777777" w:rsidR="00E84A5D" w:rsidRDefault="00E84A5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808080" w:themeColor="background1" w:themeShade="80"/>
      </w:rPr>
      <w:id w:val="1208919933"/>
      <w:docPartObj>
        <w:docPartGallery w:val="Page Numbers (Bottom of Page)"/>
        <w:docPartUnique/>
      </w:docPartObj>
    </w:sdtPr>
    <w:sdtEndPr>
      <w:rPr>
        <w:noProof/>
      </w:rPr>
    </w:sdtEndPr>
    <w:sdtContent>
      <w:p w14:paraId="7C5644B9" w14:textId="5728C681" w:rsidR="00E84A5D" w:rsidRPr="00ED5312" w:rsidRDefault="00E84A5D">
        <w:pPr>
          <w:pStyle w:val="Footer"/>
          <w:jc w:val="center"/>
          <w:rPr>
            <w:color w:val="808080" w:themeColor="background1" w:themeShade="80"/>
          </w:rPr>
        </w:pPr>
        <w:r w:rsidRPr="00ED5312">
          <w:rPr>
            <w:color w:val="808080" w:themeColor="background1" w:themeShade="80"/>
          </w:rPr>
          <w:fldChar w:fldCharType="begin"/>
        </w:r>
        <w:r w:rsidRPr="00ED5312">
          <w:rPr>
            <w:color w:val="808080" w:themeColor="background1" w:themeShade="80"/>
          </w:rPr>
          <w:instrText xml:space="preserve"> PAGE   \* MERGEFORMAT </w:instrText>
        </w:r>
        <w:r w:rsidRPr="00ED5312">
          <w:rPr>
            <w:color w:val="808080" w:themeColor="background1" w:themeShade="80"/>
          </w:rPr>
          <w:fldChar w:fldCharType="separate"/>
        </w:r>
        <w:r w:rsidR="00673BEA">
          <w:rPr>
            <w:noProof/>
            <w:color w:val="808080" w:themeColor="background1" w:themeShade="80"/>
          </w:rPr>
          <w:t>6</w:t>
        </w:r>
        <w:r w:rsidRPr="00ED5312">
          <w:rPr>
            <w:color w:val="808080" w:themeColor="background1" w:themeShade="8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70401" w14:textId="77777777" w:rsidR="00E84A5D" w:rsidRDefault="00E84A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68E540" w14:textId="77777777" w:rsidR="000F5D28" w:rsidRDefault="000F5D28" w:rsidP="00ED5312">
      <w:pPr>
        <w:spacing w:after="0" w:line="240" w:lineRule="auto"/>
      </w:pPr>
      <w:r>
        <w:separator/>
      </w:r>
    </w:p>
  </w:footnote>
  <w:footnote w:type="continuationSeparator" w:id="0">
    <w:p w14:paraId="367F6DB1" w14:textId="77777777" w:rsidR="000F5D28" w:rsidRDefault="000F5D28" w:rsidP="00ED5312">
      <w:pPr>
        <w:spacing w:after="0" w:line="240" w:lineRule="auto"/>
      </w:pPr>
      <w:r>
        <w:continuationSeparator/>
      </w:r>
    </w:p>
  </w:footnote>
  <w:footnote w:id="1">
    <w:p w14:paraId="46D0B9C2" w14:textId="1F7F0A55" w:rsidR="00D5338E" w:rsidRPr="00807EA1" w:rsidRDefault="00D5338E">
      <w:pPr>
        <w:pStyle w:val="FootnoteText"/>
      </w:pPr>
      <w:r>
        <w:rPr>
          <w:rStyle w:val="FootnoteReference"/>
        </w:rPr>
        <w:footnoteRef/>
      </w:r>
      <w:r>
        <w:t xml:space="preserve"> Raportul Draghi – Viitorul competitivității europene, p. </w:t>
      </w:r>
      <w:r w:rsidRPr="00FC2382">
        <w:t>230</w:t>
      </w:r>
      <w:r>
        <w:t>.</w:t>
      </w:r>
    </w:p>
  </w:footnote>
  <w:footnote w:id="2">
    <w:p w14:paraId="5E5705C6" w14:textId="12F36BE6" w:rsidR="00807EA1" w:rsidRPr="00807EA1" w:rsidRDefault="00807EA1">
      <w:pPr>
        <w:pStyle w:val="FootnoteText"/>
      </w:pPr>
      <w:r>
        <w:rPr>
          <w:rStyle w:val="FootnoteReference"/>
        </w:rPr>
        <w:footnoteRef/>
      </w:r>
      <w:r>
        <w:t xml:space="preserve"> Cererile de brevete de mare valoare, Comisia Europeană – </w:t>
      </w:r>
      <w:r>
        <w:rPr>
          <w:i/>
          <w:iCs/>
        </w:rPr>
        <w:t>Science, research and innovation performance of the EU report</w:t>
      </w:r>
      <w:r>
        <w:t xml:space="preserve"> („Raportul privind performanțele UE din domeniul științei, al cercetării și al inovării”), </w:t>
      </w:r>
      <w:r w:rsidRPr="00FC2382">
        <w:t>2024</w:t>
      </w:r>
      <w:r>
        <w:t>.</w:t>
      </w:r>
    </w:p>
  </w:footnote>
  <w:footnote w:id="3">
    <w:p w14:paraId="5C2B4843" w14:textId="147FA28E" w:rsidR="00D5338E" w:rsidRPr="00B57BCB" w:rsidRDefault="00D5338E">
      <w:pPr>
        <w:pStyle w:val="FootnoteText"/>
      </w:pPr>
      <w:r>
        <w:rPr>
          <w:rStyle w:val="FootnoteReference"/>
        </w:rPr>
        <w:footnoteRef/>
      </w:r>
      <w:r>
        <w:t xml:space="preserve"> Baza de date Dealroom – consultată la </w:t>
      </w:r>
      <w:r w:rsidRPr="00FC2382">
        <w:t>16</w:t>
      </w:r>
      <w:r>
        <w:t xml:space="preserve"> martie </w:t>
      </w:r>
      <w:r w:rsidRPr="00FC2382">
        <w:t>2026</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87A8A" w14:textId="77777777" w:rsidR="00673BEA" w:rsidRPr="00673BEA" w:rsidRDefault="00673BEA" w:rsidP="00673BE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BC358" w14:textId="77777777" w:rsidR="00673BEA" w:rsidRPr="00673BEA" w:rsidRDefault="00673BEA" w:rsidP="00673BE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C1EF0" w14:textId="77777777" w:rsidR="00673BEA" w:rsidRPr="00673BEA" w:rsidRDefault="00673BEA" w:rsidP="00673BE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8529C" w14:textId="77777777" w:rsidR="00E84A5D" w:rsidRDefault="00E84A5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5225A" w14:textId="77777777" w:rsidR="00E84A5D" w:rsidRDefault="00E84A5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A1F00" w14:textId="77777777" w:rsidR="00E84A5D" w:rsidRDefault="00E84A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43A2F"/>
    <w:multiLevelType w:val="hybridMultilevel"/>
    <w:tmpl w:val="DEF4D3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E240EC3"/>
    <w:multiLevelType w:val="hybridMultilevel"/>
    <w:tmpl w:val="6014793C"/>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7081328"/>
    <w:multiLevelType w:val="hybridMultilevel"/>
    <w:tmpl w:val="2424EEEE"/>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0795133"/>
    <w:multiLevelType w:val="hybridMultilevel"/>
    <w:tmpl w:val="A4025E7E"/>
    <w:lvl w:ilvl="0" w:tplc="99BC26AE">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0AD20B1"/>
    <w:multiLevelType w:val="hybridMultilevel"/>
    <w:tmpl w:val="B50C262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37EB6E10"/>
    <w:multiLevelType w:val="hybridMultilevel"/>
    <w:tmpl w:val="4C48C406"/>
    <w:lvl w:ilvl="0" w:tplc="605ABAF8">
      <w:numFmt w:val="bullet"/>
      <w:lvlText w:val="-"/>
      <w:lvlJc w:val="left"/>
      <w:pPr>
        <w:ind w:left="-432" w:hanging="360"/>
      </w:pPr>
      <w:rPr>
        <w:rFonts w:ascii="Calibri" w:eastAsia="Calibri" w:hAnsi="Calibri" w:cs="Calibri" w:hint="default"/>
      </w:rPr>
    </w:lvl>
    <w:lvl w:ilvl="1" w:tplc="04070003">
      <w:start w:val="1"/>
      <w:numFmt w:val="bullet"/>
      <w:lvlText w:val="o"/>
      <w:lvlJc w:val="left"/>
      <w:pPr>
        <w:ind w:left="288" w:hanging="360"/>
      </w:pPr>
      <w:rPr>
        <w:rFonts w:ascii="Courier New" w:hAnsi="Courier New" w:cs="Courier New" w:hint="default"/>
      </w:rPr>
    </w:lvl>
    <w:lvl w:ilvl="2" w:tplc="04070005">
      <w:start w:val="1"/>
      <w:numFmt w:val="bullet"/>
      <w:lvlText w:val=""/>
      <w:lvlJc w:val="left"/>
      <w:pPr>
        <w:ind w:left="1008" w:hanging="360"/>
      </w:pPr>
      <w:rPr>
        <w:rFonts w:ascii="Wingdings" w:hAnsi="Wingdings" w:hint="default"/>
      </w:rPr>
    </w:lvl>
    <w:lvl w:ilvl="3" w:tplc="04070001">
      <w:start w:val="1"/>
      <w:numFmt w:val="bullet"/>
      <w:lvlText w:val=""/>
      <w:lvlJc w:val="left"/>
      <w:pPr>
        <w:ind w:left="1728" w:hanging="360"/>
      </w:pPr>
      <w:rPr>
        <w:rFonts w:ascii="Symbol" w:hAnsi="Symbol" w:hint="default"/>
      </w:rPr>
    </w:lvl>
    <w:lvl w:ilvl="4" w:tplc="04070003">
      <w:start w:val="1"/>
      <w:numFmt w:val="bullet"/>
      <w:lvlText w:val="o"/>
      <w:lvlJc w:val="left"/>
      <w:pPr>
        <w:ind w:left="2448" w:hanging="360"/>
      </w:pPr>
      <w:rPr>
        <w:rFonts w:ascii="Courier New" w:hAnsi="Courier New" w:cs="Courier New" w:hint="default"/>
      </w:rPr>
    </w:lvl>
    <w:lvl w:ilvl="5" w:tplc="04070005">
      <w:start w:val="1"/>
      <w:numFmt w:val="bullet"/>
      <w:lvlText w:val=""/>
      <w:lvlJc w:val="left"/>
      <w:pPr>
        <w:ind w:left="3168" w:hanging="360"/>
      </w:pPr>
      <w:rPr>
        <w:rFonts w:ascii="Wingdings" w:hAnsi="Wingdings" w:hint="default"/>
      </w:rPr>
    </w:lvl>
    <w:lvl w:ilvl="6" w:tplc="04070001">
      <w:start w:val="1"/>
      <w:numFmt w:val="bullet"/>
      <w:lvlText w:val=""/>
      <w:lvlJc w:val="left"/>
      <w:pPr>
        <w:ind w:left="3888" w:hanging="360"/>
      </w:pPr>
      <w:rPr>
        <w:rFonts w:ascii="Symbol" w:hAnsi="Symbol" w:hint="default"/>
      </w:rPr>
    </w:lvl>
    <w:lvl w:ilvl="7" w:tplc="04070003">
      <w:start w:val="1"/>
      <w:numFmt w:val="bullet"/>
      <w:lvlText w:val="o"/>
      <w:lvlJc w:val="left"/>
      <w:pPr>
        <w:ind w:left="4608" w:hanging="360"/>
      </w:pPr>
      <w:rPr>
        <w:rFonts w:ascii="Courier New" w:hAnsi="Courier New" w:cs="Courier New" w:hint="default"/>
      </w:rPr>
    </w:lvl>
    <w:lvl w:ilvl="8" w:tplc="04070005">
      <w:start w:val="1"/>
      <w:numFmt w:val="bullet"/>
      <w:lvlText w:val=""/>
      <w:lvlJc w:val="left"/>
      <w:pPr>
        <w:ind w:left="5328" w:hanging="360"/>
      </w:pPr>
      <w:rPr>
        <w:rFonts w:ascii="Wingdings" w:hAnsi="Wingdings" w:hint="default"/>
      </w:rPr>
    </w:lvl>
  </w:abstractNum>
  <w:abstractNum w:abstractNumId="6" w15:restartNumberingAfterBreak="0">
    <w:nsid w:val="5EF93114"/>
    <w:multiLevelType w:val="hybridMultilevel"/>
    <w:tmpl w:val="648228BA"/>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20F34C3"/>
    <w:multiLevelType w:val="hybridMultilevel"/>
    <w:tmpl w:val="6014793C"/>
    <w:lvl w:ilvl="0" w:tplc="FFFFFFFF">
      <w:start w:val="1"/>
      <w:numFmt w:val="upp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85427EB"/>
    <w:multiLevelType w:val="hybridMultilevel"/>
    <w:tmpl w:val="4148F30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15:restartNumberingAfterBreak="0">
    <w:nsid w:val="73362540"/>
    <w:multiLevelType w:val="hybridMultilevel"/>
    <w:tmpl w:val="70828642"/>
    <w:lvl w:ilvl="0" w:tplc="E27082E8">
      <w:start w:val="1"/>
      <w:numFmt w:val="upperRoman"/>
      <w:lvlText w:val="%1."/>
      <w:lvlJc w:val="left"/>
      <w:pPr>
        <w:ind w:left="1080" w:hanging="720"/>
      </w:pPr>
      <w:rPr>
        <w:rFonts w:hint="default"/>
        <w:b/>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9"/>
  </w:num>
  <w:num w:numId="2">
    <w:abstractNumId w:val="4"/>
  </w:num>
  <w:num w:numId="3">
    <w:abstractNumId w:val="3"/>
  </w:num>
  <w:num w:numId="4">
    <w:abstractNumId w:val="0"/>
  </w:num>
  <w:num w:numId="5">
    <w:abstractNumId w:val="8"/>
  </w:num>
  <w:num w:numId="6">
    <w:abstractNumId w:val="6"/>
  </w:num>
  <w:num w:numId="7">
    <w:abstractNumId w:val="5"/>
  </w:num>
  <w:num w:numId="8">
    <w:abstractNumId w:val="2"/>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9A59190-A0A7-4761-9F6D-585F509C75B8"/>
    <w:docVar w:name="LW_COVERPAGE_TYPE" w:val="1"/>
    <w:docVar w:name="LW_CROSSREFERENCE" w:val="&lt;UNUSED&gt;"/>
    <w:docVar w:name="LW_DocType" w:val="NORMAL"/>
    <w:docVar w:name="LW_EMISSION" w:val="18.3.2026"/>
    <w:docVar w:name="LW_EMISSION_ISODATE" w:val="2026-03-18"/>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u259?tre un al 28-lea regim pentru întreprinderile din UE"/>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ED5312"/>
    <w:rsid w:val="000020CC"/>
    <w:rsid w:val="00002C91"/>
    <w:rsid w:val="00007FE0"/>
    <w:rsid w:val="00010CB5"/>
    <w:rsid w:val="000129BD"/>
    <w:rsid w:val="00014644"/>
    <w:rsid w:val="00017C34"/>
    <w:rsid w:val="000255AD"/>
    <w:rsid w:val="000276CF"/>
    <w:rsid w:val="000314AB"/>
    <w:rsid w:val="00031F16"/>
    <w:rsid w:val="0003368B"/>
    <w:rsid w:val="000347CA"/>
    <w:rsid w:val="0003561C"/>
    <w:rsid w:val="00040610"/>
    <w:rsid w:val="0004108A"/>
    <w:rsid w:val="00041FC7"/>
    <w:rsid w:val="00046B0A"/>
    <w:rsid w:val="00057769"/>
    <w:rsid w:val="00062122"/>
    <w:rsid w:val="00063C81"/>
    <w:rsid w:val="00064AF3"/>
    <w:rsid w:val="00066855"/>
    <w:rsid w:val="00072A06"/>
    <w:rsid w:val="000802EC"/>
    <w:rsid w:val="000820EB"/>
    <w:rsid w:val="00084FAC"/>
    <w:rsid w:val="0008581C"/>
    <w:rsid w:val="00085A0B"/>
    <w:rsid w:val="000872D9"/>
    <w:rsid w:val="000932A9"/>
    <w:rsid w:val="00093D48"/>
    <w:rsid w:val="00097B9F"/>
    <w:rsid w:val="00097C52"/>
    <w:rsid w:val="000A065C"/>
    <w:rsid w:val="000A3C78"/>
    <w:rsid w:val="000A5F3A"/>
    <w:rsid w:val="000A64AF"/>
    <w:rsid w:val="000A7158"/>
    <w:rsid w:val="000B14F8"/>
    <w:rsid w:val="000B1686"/>
    <w:rsid w:val="000B17BD"/>
    <w:rsid w:val="000B4012"/>
    <w:rsid w:val="000C1A21"/>
    <w:rsid w:val="000C3061"/>
    <w:rsid w:val="000C474F"/>
    <w:rsid w:val="000D5F3B"/>
    <w:rsid w:val="000E04F3"/>
    <w:rsid w:val="000E3C1D"/>
    <w:rsid w:val="000E3EEE"/>
    <w:rsid w:val="000E64DA"/>
    <w:rsid w:val="000E6FE2"/>
    <w:rsid w:val="000F0253"/>
    <w:rsid w:val="000F0ADE"/>
    <w:rsid w:val="000F0C48"/>
    <w:rsid w:val="000F2189"/>
    <w:rsid w:val="000F36BE"/>
    <w:rsid w:val="000F5D28"/>
    <w:rsid w:val="001002D5"/>
    <w:rsid w:val="00100967"/>
    <w:rsid w:val="00103F01"/>
    <w:rsid w:val="00104778"/>
    <w:rsid w:val="00104F32"/>
    <w:rsid w:val="00110F08"/>
    <w:rsid w:val="00111CB6"/>
    <w:rsid w:val="00112D0F"/>
    <w:rsid w:val="00116C08"/>
    <w:rsid w:val="001208F6"/>
    <w:rsid w:val="001229CD"/>
    <w:rsid w:val="00122A0C"/>
    <w:rsid w:val="00130871"/>
    <w:rsid w:val="0013449F"/>
    <w:rsid w:val="00137D21"/>
    <w:rsid w:val="00151094"/>
    <w:rsid w:val="001517B0"/>
    <w:rsid w:val="0015293C"/>
    <w:rsid w:val="00153FC9"/>
    <w:rsid w:val="00155B0E"/>
    <w:rsid w:val="00155E23"/>
    <w:rsid w:val="0016195F"/>
    <w:rsid w:val="00167A24"/>
    <w:rsid w:val="00173293"/>
    <w:rsid w:val="00173A0D"/>
    <w:rsid w:val="001744E3"/>
    <w:rsid w:val="0017563A"/>
    <w:rsid w:val="00176168"/>
    <w:rsid w:val="00187BCA"/>
    <w:rsid w:val="00190AEC"/>
    <w:rsid w:val="00190B75"/>
    <w:rsid w:val="0019206B"/>
    <w:rsid w:val="001929B6"/>
    <w:rsid w:val="00192C1F"/>
    <w:rsid w:val="001937CA"/>
    <w:rsid w:val="00193EC0"/>
    <w:rsid w:val="0019591A"/>
    <w:rsid w:val="001975B4"/>
    <w:rsid w:val="001A04C9"/>
    <w:rsid w:val="001A12B3"/>
    <w:rsid w:val="001A3B31"/>
    <w:rsid w:val="001A5683"/>
    <w:rsid w:val="001A5A82"/>
    <w:rsid w:val="001A5CCF"/>
    <w:rsid w:val="001A714F"/>
    <w:rsid w:val="001A73EF"/>
    <w:rsid w:val="001B1E73"/>
    <w:rsid w:val="001B2E34"/>
    <w:rsid w:val="001B33C7"/>
    <w:rsid w:val="001B40F4"/>
    <w:rsid w:val="001B6616"/>
    <w:rsid w:val="001C16F1"/>
    <w:rsid w:val="001C2096"/>
    <w:rsid w:val="001C2218"/>
    <w:rsid w:val="001C7A48"/>
    <w:rsid w:val="001D1859"/>
    <w:rsid w:val="001D2336"/>
    <w:rsid w:val="001D64BF"/>
    <w:rsid w:val="001D69D8"/>
    <w:rsid w:val="001E175B"/>
    <w:rsid w:val="001E4940"/>
    <w:rsid w:val="001E6570"/>
    <w:rsid w:val="001E6F90"/>
    <w:rsid w:val="001E72CB"/>
    <w:rsid w:val="001F2921"/>
    <w:rsid w:val="001F5EB6"/>
    <w:rsid w:val="001F7288"/>
    <w:rsid w:val="00206557"/>
    <w:rsid w:val="00206983"/>
    <w:rsid w:val="00212666"/>
    <w:rsid w:val="002207B9"/>
    <w:rsid w:val="00222511"/>
    <w:rsid w:val="00223652"/>
    <w:rsid w:val="0022748F"/>
    <w:rsid w:val="002305C7"/>
    <w:rsid w:val="00240ABF"/>
    <w:rsid w:val="0024275E"/>
    <w:rsid w:val="00243D0E"/>
    <w:rsid w:val="002465A0"/>
    <w:rsid w:val="00246BDD"/>
    <w:rsid w:val="002504A2"/>
    <w:rsid w:val="00253593"/>
    <w:rsid w:val="0026029C"/>
    <w:rsid w:val="002669DD"/>
    <w:rsid w:val="00271CF3"/>
    <w:rsid w:val="002754F9"/>
    <w:rsid w:val="00277470"/>
    <w:rsid w:val="002822F4"/>
    <w:rsid w:val="002852E2"/>
    <w:rsid w:val="0028578B"/>
    <w:rsid w:val="00290743"/>
    <w:rsid w:val="002913EA"/>
    <w:rsid w:val="00292D45"/>
    <w:rsid w:val="0029346D"/>
    <w:rsid w:val="00297D05"/>
    <w:rsid w:val="002A47DE"/>
    <w:rsid w:val="002A4AD8"/>
    <w:rsid w:val="002B0C49"/>
    <w:rsid w:val="002B7102"/>
    <w:rsid w:val="002B763D"/>
    <w:rsid w:val="002C3EC9"/>
    <w:rsid w:val="002C412D"/>
    <w:rsid w:val="002C6217"/>
    <w:rsid w:val="002C635B"/>
    <w:rsid w:val="002C6632"/>
    <w:rsid w:val="002C7B2F"/>
    <w:rsid w:val="002D0CB9"/>
    <w:rsid w:val="002D21DD"/>
    <w:rsid w:val="002D32D2"/>
    <w:rsid w:val="002D41C8"/>
    <w:rsid w:val="002D5855"/>
    <w:rsid w:val="002D6B56"/>
    <w:rsid w:val="002D72DB"/>
    <w:rsid w:val="002E0694"/>
    <w:rsid w:val="002E47F5"/>
    <w:rsid w:val="002E53AB"/>
    <w:rsid w:val="002E5825"/>
    <w:rsid w:val="002F105D"/>
    <w:rsid w:val="002F2A8D"/>
    <w:rsid w:val="002F5A94"/>
    <w:rsid w:val="00301263"/>
    <w:rsid w:val="003046EA"/>
    <w:rsid w:val="00310070"/>
    <w:rsid w:val="00311A2A"/>
    <w:rsid w:val="003132A8"/>
    <w:rsid w:val="00313562"/>
    <w:rsid w:val="00315662"/>
    <w:rsid w:val="00322A39"/>
    <w:rsid w:val="003311A5"/>
    <w:rsid w:val="00331ED3"/>
    <w:rsid w:val="00335037"/>
    <w:rsid w:val="00335A26"/>
    <w:rsid w:val="00345798"/>
    <w:rsid w:val="0035127B"/>
    <w:rsid w:val="003543D1"/>
    <w:rsid w:val="00356F82"/>
    <w:rsid w:val="00357552"/>
    <w:rsid w:val="00360343"/>
    <w:rsid w:val="003718E2"/>
    <w:rsid w:val="00377449"/>
    <w:rsid w:val="00382559"/>
    <w:rsid w:val="0038347F"/>
    <w:rsid w:val="00383848"/>
    <w:rsid w:val="00384C6B"/>
    <w:rsid w:val="003949E2"/>
    <w:rsid w:val="00395966"/>
    <w:rsid w:val="003A2046"/>
    <w:rsid w:val="003B1C60"/>
    <w:rsid w:val="003B2E24"/>
    <w:rsid w:val="003B522B"/>
    <w:rsid w:val="003B6DC5"/>
    <w:rsid w:val="003C1434"/>
    <w:rsid w:val="003C2944"/>
    <w:rsid w:val="003C4A08"/>
    <w:rsid w:val="003C7CC1"/>
    <w:rsid w:val="003F29EA"/>
    <w:rsid w:val="003F5882"/>
    <w:rsid w:val="003F7160"/>
    <w:rsid w:val="00400D3C"/>
    <w:rsid w:val="004013CC"/>
    <w:rsid w:val="00410FBD"/>
    <w:rsid w:val="00411E98"/>
    <w:rsid w:val="004122B7"/>
    <w:rsid w:val="00416430"/>
    <w:rsid w:val="00416B5A"/>
    <w:rsid w:val="0042348B"/>
    <w:rsid w:val="00427B12"/>
    <w:rsid w:val="00430E0B"/>
    <w:rsid w:val="00434806"/>
    <w:rsid w:val="00434A73"/>
    <w:rsid w:val="00437265"/>
    <w:rsid w:val="00440ED7"/>
    <w:rsid w:val="004411A0"/>
    <w:rsid w:val="0044231A"/>
    <w:rsid w:val="0044285D"/>
    <w:rsid w:val="00444F47"/>
    <w:rsid w:val="004456E2"/>
    <w:rsid w:val="00445B80"/>
    <w:rsid w:val="00450EE7"/>
    <w:rsid w:val="00453BC2"/>
    <w:rsid w:val="00456446"/>
    <w:rsid w:val="004575D0"/>
    <w:rsid w:val="004623D1"/>
    <w:rsid w:val="00463278"/>
    <w:rsid w:val="00463E46"/>
    <w:rsid w:val="00466033"/>
    <w:rsid w:val="0046792F"/>
    <w:rsid w:val="0047271A"/>
    <w:rsid w:val="00473FDE"/>
    <w:rsid w:val="004749E7"/>
    <w:rsid w:val="004823F5"/>
    <w:rsid w:val="0048361D"/>
    <w:rsid w:val="00486C45"/>
    <w:rsid w:val="00487B40"/>
    <w:rsid w:val="00491EE2"/>
    <w:rsid w:val="00497983"/>
    <w:rsid w:val="004A373F"/>
    <w:rsid w:val="004A3B77"/>
    <w:rsid w:val="004B0CF2"/>
    <w:rsid w:val="004B2114"/>
    <w:rsid w:val="004B2B71"/>
    <w:rsid w:val="004B5581"/>
    <w:rsid w:val="004C1E85"/>
    <w:rsid w:val="004C49C2"/>
    <w:rsid w:val="004C591B"/>
    <w:rsid w:val="004D159F"/>
    <w:rsid w:val="004D6A65"/>
    <w:rsid w:val="004E2246"/>
    <w:rsid w:val="004E31E1"/>
    <w:rsid w:val="004E46F2"/>
    <w:rsid w:val="004F0187"/>
    <w:rsid w:val="004F08D2"/>
    <w:rsid w:val="004F0F16"/>
    <w:rsid w:val="004F3676"/>
    <w:rsid w:val="004F3A45"/>
    <w:rsid w:val="005021FE"/>
    <w:rsid w:val="00511EF4"/>
    <w:rsid w:val="00515E62"/>
    <w:rsid w:val="0052311B"/>
    <w:rsid w:val="00523E21"/>
    <w:rsid w:val="005330FB"/>
    <w:rsid w:val="00537FEA"/>
    <w:rsid w:val="005512BC"/>
    <w:rsid w:val="00555257"/>
    <w:rsid w:val="0055720D"/>
    <w:rsid w:val="00557A2B"/>
    <w:rsid w:val="00557E50"/>
    <w:rsid w:val="00557F51"/>
    <w:rsid w:val="00561A72"/>
    <w:rsid w:val="00563DD0"/>
    <w:rsid w:val="00565274"/>
    <w:rsid w:val="00566998"/>
    <w:rsid w:val="00575842"/>
    <w:rsid w:val="00575E37"/>
    <w:rsid w:val="00576365"/>
    <w:rsid w:val="00577AF0"/>
    <w:rsid w:val="00585B4C"/>
    <w:rsid w:val="00586CBD"/>
    <w:rsid w:val="005907F5"/>
    <w:rsid w:val="0059550D"/>
    <w:rsid w:val="00595F13"/>
    <w:rsid w:val="005A0121"/>
    <w:rsid w:val="005A2730"/>
    <w:rsid w:val="005A39C4"/>
    <w:rsid w:val="005A4D6D"/>
    <w:rsid w:val="005A6044"/>
    <w:rsid w:val="005A607C"/>
    <w:rsid w:val="005B2678"/>
    <w:rsid w:val="005B5AE5"/>
    <w:rsid w:val="005B6188"/>
    <w:rsid w:val="005B7787"/>
    <w:rsid w:val="005C016D"/>
    <w:rsid w:val="005C5F79"/>
    <w:rsid w:val="005C631C"/>
    <w:rsid w:val="005C6A4A"/>
    <w:rsid w:val="005D0FB1"/>
    <w:rsid w:val="005D1287"/>
    <w:rsid w:val="005E284B"/>
    <w:rsid w:val="005E64FF"/>
    <w:rsid w:val="005E7327"/>
    <w:rsid w:val="005E7C42"/>
    <w:rsid w:val="005F2E80"/>
    <w:rsid w:val="00601594"/>
    <w:rsid w:val="00601751"/>
    <w:rsid w:val="006031BB"/>
    <w:rsid w:val="00605A3F"/>
    <w:rsid w:val="00607409"/>
    <w:rsid w:val="006102F3"/>
    <w:rsid w:val="00614C87"/>
    <w:rsid w:val="00616A25"/>
    <w:rsid w:val="00617493"/>
    <w:rsid w:val="00624164"/>
    <w:rsid w:val="00632107"/>
    <w:rsid w:val="006343E5"/>
    <w:rsid w:val="00634B7E"/>
    <w:rsid w:val="0063598A"/>
    <w:rsid w:val="00646C32"/>
    <w:rsid w:val="006508EB"/>
    <w:rsid w:val="006549BF"/>
    <w:rsid w:val="00657F0F"/>
    <w:rsid w:val="006622C9"/>
    <w:rsid w:val="00665ECE"/>
    <w:rsid w:val="006735F2"/>
    <w:rsid w:val="00673BEA"/>
    <w:rsid w:val="00675322"/>
    <w:rsid w:val="006776BB"/>
    <w:rsid w:val="00681FC7"/>
    <w:rsid w:val="0068245C"/>
    <w:rsid w:val="006829CE"/>
    <w:rsid w:val="00690370"/>
    <w:rsid w:val="00691C86"/>
    <w:rsid w:val="006922CE"/>
    <w:rsid w:val="006943B3"/>
    <w:rsid w:val="00694E3C"/>
    <w:rsid w:val="006978F1"/>
    <w:rsid w:val="006A03E7"/>
    <w:rsid w:val="006A14BD"/>
    <w:rsid w:val="006A15E0"/>
    <w:rsid w:val="006A1663"/>
    <w:rsid w:val="006A4AF0"/>
    <w:rsid w:val="006B0321"/>
    <w:rsid w:val="006B08C3"/>
    <w:rsid w:val="006B1BED"/>
    <w:rsid w:val="006B3D61"/>
    <w:rsid w:val="006B3EE2"/>
    <w:rsid w:val="006B4EB8"/>
    <w:rsid w:val="006B5F73"/>
    <w:rsid w:val="006B779D"/>
    <w:rsid w:val="006C1237"/>
    <w:rsid w:val="006C3B9F"/>
    <w:rsid w:val="006C4638"/>
    <w:rsid w:val="006C6C11"/>
    <w:rsid w:val="006C6EA3"/>
    <w:rsid w:val="006D02CB"/>
    <w:rsid w:val="006D33D1"/>
    <w:rsid w:val="006D4997"/>
    <w:rsid w:val="006E1A18"/>
    <w:rsid w:val="006E2098"/>
    <w:rsid w:val="006E3600"/>
    <w:rsid w:val="006E7B4F"/>
    <w:rsid w:val="006F7117"/>
    <w:rsid w:val="006F7FF6"/>
    <w:rsid w:val="00700DFA"/>
    <w:rsid w:val="00705E4F"/>
    <w:rsid w:val="007071FF"/>
    <w:rsid w:val="00707556"/>
    <w:rsid w:val="00712AB9"/>
    <w:rsid w:val="00715940"/>
    <w:rsid w:val="007173D0"/>
    <w:rsid w:val="00722C3C"/>
    <w:rsid w:val="0072341D"/>
    <w:rsid w:val="00723573"/>
    <w:rsid w:val="007245EA"/>
    <w:rsid w:val="00724D45"/>
    <w:rsid w:val="007277A7"/>
    <w:rsid w:val="00733D63"/>
    <w:rsid w:val="007435B0"/>
    <w:rsid w:val="00745549"/>
    <w:rsid w:val="00745679"/>
    <w:rsid w:val="00745AFF"/>
    <w:rsid w:val="007471D3"/>
    <w:rsid w:val="00752928"/>
    <w:rsid w:val="007537DD"/>
    <w:rsid w:val="00753CCD"/>
    <w:rsid w:val="007562F2"/>
    <w:rsid w:val="00756D69"/>
    <w:rsid w:val="00763618"/>
    <w:rsid w:val="007737DD"/>
    <w:rsid w:val="00773969"/>
    <w:rsid w:val="00773DA6"/>
    <w:rsid w:val="007760CA"/>
    <w:rsid w:val="00782D5C"/>
    <w:rsid w:val="00787B04"/>
    <w:rsid w:val="007A03BE"/>
    <w:rsid w:val="007A1219"/>
    <w:rsid w:val="007A2344"/>
    <w:rsid w:val="007A3283"/>
    <w:rsid w:val="007A46FF"/>
    <w:rsid w:val="007A57B9"/>
    <w:rsid w:val="007B3864"/>
    <w:rsid w:val="007B4491"/>
    <w:rsid w:val="007B4C8A"/>
    <w:rsid w:val="007B57A2"/>
    <w:rsid w:val="007C26C0"/>
    <w:rsid w:val="007C43EF"/>
    <w:rsid w:val="007C65B5"/>
    <w:rsid w:val="007C6988"/>
    <w:rsid w:val="007D248B"/>
    <w:rsid w:val="007D3D18"/>
    <w:rsid w:val="007D58F1"/>
    <w:rsid w:val="007E3400"/>
    <w:rsid w:val="007E3F4E"/>
    <w:rsid w:val="007E4BAA"/>
    <w:rsid w:val="007E6358"/>
    <w:rsid w:val="007E6B01"/>
    <w:rsid w:val="007F24B0"/>
    <w:rsid w:val="007F4EF8"/>
    <w:rsid w:val="007F61AB"/>
    <w:rsid w:val="00807EA1"/>
    <w:rsid w:val="00810F37"/>
    <w:rsid w:val="0081198B"/>
    <w:rsid w:val="008152D2"/>
    <w:rsid w:val="00817261"/>
    <w:rsid w:val="00821B72"/>
    <w:rsid w:val="0082425A"/>
    <w:rsid w:val="00827816"/>
    <w:rsid w:val="00830A17"/>
    <w:rsid w:val="00830EA5"/>
    <w:rsid w:val="00831210"/>
    <w:rsid w:val="00836737"/>
    <w:rsid w:val="008417D9"/>
    <w:rsid w:val="0084578E"/>
    <w:rsid w:val="00846199"/>
    <w:rsid w:val="00846DDB"/>
    <w:rsid w:val="00846FCE"/>
    <w:rsid w:val="00847AA3"/>
    <w:rsid w:val="00855E24"/>
    <w:rsid w:val="00857320"/>
    <w:rsid w:val="00862F5B"/>
    <w:rsid w:val="008642B6"/>
    <w:rsid w:val="008664AA"/>
    <w:rsid w:val="008712F6"/>
    <w:rsid w:val="008720EE"/>
    <w:rsid w:val="00872DD8"/>
    <w:rsid w:val="00874CE9"/>
    <w:rsid w:val="00875E03"/>
    <w:rsid w:val="00876807"/>
    <w:rsid w:val="00893C20"/>
    <w:rsid w:val="00897864"/>
    <w:rsid w:val="008A2DB9"/>
    <w:rsid w:val="008A329A"/>
    <w:rsid w:val="008A60C6"/>
    <w:rsid w:val="008A7A0C"/>
    <w:rsid w:val="008B1447"/>
    <w:rsid w:val="008C255D"/>
    <w:rsid w:val="008C4129"/>
    <w:rsid w:val="008C6087"/>
    <w:rsid w:val="008C6B39"/>
    <w:rsid w:val="008C6CCC"/>
    <w:rsid w:val="008D24D6"/>
    <w:rsid w:val="008D3E0E"/>
    <w:rsid w:val="008D4B07"/>
    <w:rsid w:val="008D681A"/>
    <w:rsid w:val="008D7A94"/>
    <w:rsid w:val="008D7B59"/>
    <w:rsid w:val="008E3D44"/>
    <w:rsid w:val="008F5B2F"/>
    <w:rsid w:val="00903787"/>
    <w:rsid w:val="009040F6"/>
    <w:rsid w:val="009064C5"/>
    <w:rsid w:val="009065A9"/>
    <w:rsid w:val="009069C2"/>
    <w:rsid w:val="00910AD6"/>
    <w:rsid w:val="00911993"/>
    <w:rsid w:val="00921424"/>
    <w:rsid w:val="009225F2"/>
    <w:rsid w:val="00924A29"/>
    <w:rsid w:val="00925280"/>
    <w:rsid w:val="00944470"/>
    <w:rsid w:val="00945805"/>
    <w:rsid w:val="00954301"/>
    <w:rsid w:val="00961296"/>
    <w:rsid w:val="009619D8"/>
    <w:rsid w:val="00966151"/>
    <w:rsid w:val="009675B0"/>
    <w:rsid w:val="00971026"/>
    <w:rsid w:val="00972CD5"/>
    <w:rsid w:val="0097565A"/>
    <w:rsid w:val="00976E7E"/>
    <w:rsid w:val="00977E19"/>
    <w:rsid w:val="00982B82"/>
    <w:rsid w:val="009838B3"/>
    <w:rsid w:val="009847DA"/>
    <w:rsid w:val="009851F2"/>
    <w:rsid w:val="009919C1"/>
    <w:rsid w:val="00991C0A"/>
    <w:rsid w:val="00996128"/>
    <w:rsid w:val="00996DB9"/>
    <w:rsid w:val="009A48C0"/>
    <w:rsid w:val="009B1CA0"/>
    <w:rsid w:val="009B371D"/>
    <w:rsid w:val="009B4FED"/>
    <w:rsid w:val="009B7FB0"/>
    <w:rsid w:val="009C05F5"/>
    <w:rsid w:val="009D0CC9"/>
    <w:rsid w:val="009D3BC1"/>
    <w:rsid w:val="009D48DF"/>
    <w:rsid w:val="009D4E96"/>
    <w:rsid w:val="009D6BFA"/>
    <w:rsid w:val="009D77CF"/>
    <w:rsid w:val="009E5EFF"/>
    <w:rsid w:val="009F14D4"/>
    <w:rsid w:val="009F3DDE"/>
    <w:rsid w:val="009F4552"/>
    <w:rsid w:val="00A0289F"/>
    <w:rsid w:val="00A0323C"/>
    <w:rsid w:val="00A03EE3"/>
    <w:rsid w:val="00A0565B"/>
    <w:rsid w:val="00A10838"/>
    <w:rsid w:val="00A14611"/>
    <w:rsid w:val="00A26ACC"/>
    <w:rsid w:val="00A3417A"/>
    <w:rsid w:val="00A348F0"/>
    <w:rsid w:val="00A37D89"/>
    <w:rsid w:val="00A41210"/>
    <w:rsid w:val="00A43C62"/>
    <w:rsid w:val="00A4454C"/>
    <w:rsid w:val="00A4743D"/>
    <w:rsid w:val="00A52635"/>
    <w:rsid w:val="00A52DA1"/>
    <w:rsid w:val="00A5371C"/>
    <w:rsid w:val="00A56011"/>
    <w:rsid w:val="00A56CA7"/>
    <w:rsid w:val="00A60C55"/>
    <w:rsid w:val="00A61210"/>
    <w:rsid w:val="00A63C03"/>
    <w:rsid w:val="00A710D3"/>
    <w:rsid w:val="00A71828"/>
    <w:rsid w:val="00A73459"/>
    <w:rsid w:val="00A73F0B"/>
    <w:rsid w:val="00A833D4"/>
    <w:rsid w:val="00A86B19"/>
    <w:rsid w:val="00A87BDA"/>
    <w:rsid w:val="00A87E16"/>
    <w:rsid w:val="00A94644"/>
    <w:rsid w:val="00A94B6A"/>
    <w:rsid w:val="00A95506"/>
    <w:rsid w:val="00A95A29"/>
    <w:rsid w:val="00A95C62"/>
    <w:rsid w:val="00A976A9"/>
    <w:rsid w:val="00AA046C"/>
    <w:rsid w:val="00AA2404"/>
    <w:rsid w:val="00AA274C"/>
    <w:rsid w:val="00AB0230"/>
    <w:rsid w:val="00AB4D46"/>
    <w:rsid w:val="00AB6F25"/>
    <w:rsid w:val="00AB70DB"/>
    <w:rsid w:val="00AB73D4"/>
    <w:rsid w:val="00AC1848"/>
    <w:rsid w:val="00AC6300"/>
    <w:rsid w:val="00AD4B0F"/>
    <w:rsid w:val="00AD54D6"/>
    <w:rsid w:val="00AD611F"/>
    <w:rsid w:val="00AD6543"/>
    <w:rsid w:val="00AD725D"/>
    <w:rsid w:val="00AF14CA"/>
    <w:rsid w:val="00AF14E4"/>
    <w:rsid w:val="00AF20D5"/>
    <w:rsid w:val="00AF3F23"/>
    <w:rsid w:val="00AF4103"/>
    <w:rsid w:val="00AF4F6C"/>
    <w:rsid w:val="00B025B9"/>
    <w:rsid w:val="00B0335B"/>
    <w:rsid w:val="00B05E31"/>
    <w:rsid w:val="00B05FB3"/>
    <w:rsid w:val="00B10B3A"/>
    <w:rsid w:val="00B159A1"/>
    <w:rsid w:val="00B16C84"/>
    <w:rsid w:val="00B226EF"/>
    <w:rsid w:val="00B25A0B"/>
    <w:rsid w:val="00B444AB"/>
    <w:rsid w:val="00B46FB8"/>
    <w:rsid w:val="00B5156B"/>
    <w:rsid w:val="00B52E0F"/>
    <w:rsid w:val="00B56434"/>
    <w:rsid w:val="00B57BCB"/>
    <w:rsid w:val="00B60098"/>
    <w:rsid w:val="00B60746"/>
    <w:rsid w:val="00B6253E"/>
    <w:rsid w:val="00B6289D"/>
    <w:rsid w:val="00B6518F"/>
    <w:rsid w:val="00B6705F"/>
    <w:rsid w:val="00B6716B"/>
    <w:rsid w:val="00B75459"/>
    <w:rsid w:val="00B77337"/>
    <w:rsid w:val="00B87181"/>
    <w:rsid w:val="00B87AA5"/>
    <w:rsid w:val="00B9053F"/>
    <w:rsid w:val="00B90CE4"/>
    <w:rsid w:val="00B95707"/>
    <w:rsid w:val="00B95F84"/>
    <w:rsid w:val="00B97962"/>
    <w:rsid w:val="00B97D2E"/>
    <w:rsid w:val="00BA06C2"/>
    <w:rsid w:val="00BA0D3C"/>
    <w:rsid w:val="00BA194B"/>
    <w:rsid w:val="00BA1E62"/>
    <w:rsid w:val="00BA1FDF"/>
    <w:rsid w:val="00BA39B6"/>
    <w:rsid w:val="00BA3CF6"/>
    <w:rsid w:val="00BA4249"/>
    <w:rsid w:val="00BA488E"/>
    <w:rsid w:val="00BA6177"/>
    <w:rsid w:val="00BB0830"/>
    <w:rsid w:val="00BB2207"/>
    <w:rsid w:val="00BB277D"/>
    <w:rsid w:val="00BB4931"/>
    <w:rsid w:val="00BC09B8"/>
    <w:rsid w:val="00BC380F"/>
    <w:rsid w:val="00BC6E3A"/>
    <w:rsid w:val="00BD24B1"/>
    <w:rsid w:val="00BE301F"/>
    <w:rsid w:val="00BE4CF9"/>
    <w:rsid w:val="00BE526F"/>
    <w:rsid w:val="00BF0379"/>
    <w:rsid w:val="00BF4ABF"/>
    <w:rsid w:val="00C114EF"/>
    <w:rsid w:val="00C23CF5"/>
    <w:rsid w:val="00C24B55"/>
    <w:rsid w:val="00C252AA"/>
    <w:rsid w:val="00C273AE"/>
    <w:rsid w:val="00C34673"/>
    <w:rsid w:val="00C36702"/>
    <w:rsid w:val="00C36BF3"/>
    <w:rsid w:val="00C40105"/>
    <w:rsid w:val="00C43303"/>
    <w:rsid w:val="00C45E49"/>
    <w:rsid w:val="00C46ECD"/>
    <w:rsid w:val="00C4747F"/>
    <w:rsid w:val="00C503DC"/>
    <w:rsid w:val="00C5210F"/>
    <w:rsid w:val="00C54F3C"/>
    <w:rsid w:val="00C5520F"/>
    <w:rsid w:val="00C61C21"/>
    <w:rsid w:val="00C63F93"/>
    <w:rsid w:val="00C64B36"/>
    <w:rsid w:val="00C66482"/>
    <w:rsid w:val="00C75E88"/>
    <w:rsid w:val="00C77F96"/>
    <w:rsid w:val="00C80FEC"/>
    <w:rsid w:val="00C829DC"/>
    <w:rsid w:val="00C854A8"/>
    <w:rsid w:val="00C86886"/>
    <w:rsid w:val="00C86B1C"/>
    <w:rsid w:val="00C923B1"/>
    <w:rsid w:val="00C92E9F"/>
    <w:rsid w:val="00C959A0"/>
    <w:rsid w:val="00C97A4E"/>
    <w:rsid w:val="00C97DFB"/>
    <w:rsid w:val="00CA1B37"/>
    <w:rsid w:val="00CA5098"/>
    <w:rsid w:val="00CA5F87"/>
    <w:rsid w:val="00CB0982"/>
    <w:rsid w:val="00CB30D1"/>
    <w:rsid w:val="00CB6E89"/>
    <w:rsid w:val="00CB74CF"/>
    <w:rsid w:val="00CC0DDC"/>
    <w:rsid w:val="00CC52F4"/>
    <w:rsid w:val="00CC710D"/>
    <w:rsid w:val="00CD0177"/>
    <w:rsid w:val="00CD3B6C"/>
    <w:rsid w:val="00CD5BDA"/>
    <w:rsid w:val="00CD65CD"/>
    <w:rsid w:val="00CE0F78"/>
    <w:rsid w:val="00CF0921"/>
    <w:rsid w:val="00CF0F91"/>
    <w:rsid w:val="00CF290F"/>
    <w:rsid w:val="00CF399E"/>
    <w:rsid w:val="00CF411B"/>
    <w:rsid w:val="00CF519D"/>
    <w:rsid w:val="00CF5D8D"/>
    <w:rsid w:val="00CF63D8"/>
    <w:rsid w:val="00CF7237"/>
    <w:rsid w:val="00D01B60"/>
    <w:rsid w:val="00D07739"/>
    <w:rsid w:val="00D1148D"/>
    <w:rsid w:val="00D135AD"/>
    <w:rsid w:val="00D16B9A"/>
    <w:rsid w:val="00D21FDA"/>
    <w:rsid w:val="00D2471F"/>
    <w:rsid w:val="00D265FB"/>
    <w:rsid w:val="00D30A9E"/>
    <w:rsid w:val="00D31804"/>
    <w:rsid w:val="00D33B27"/>
    <w:rsid w:val="00D40B7C"/>
    <w:rsid w:val="00D43890"/>
    <w:rsid w:val="00D440BB"/>
    <w:rsid w:val="00D51722"/>
    <w:rsid w:val="00D5338E"/>
    <w:rsid w:val="00D60461"/>
    <w:rsid w:val="00D608FF"/>
    <w:rsid w:val="00D616B1"/>
    <w:rsid w:val="00D62197"/>
    <w:rsid w:val="00D67146"/>
    <w:rsid w:val="00D75E5C"/>
    <w:rsid w:val="00D8487B"/>
    <w:rsid w:val="00D8774F"/>
    <w:rsid w:val="00D94D52"/>
    <w:rsid w:val="00D97D29"/>
    <w:rsid w:val="00DA0C46"/>
    <w:rsid w:val="00DA28D7"/>
    <w:rsid w:val="00DB4B81"/>
    <w:rsid w:val="00DB5ABF"/>
    <w:rsid w:val="00DB703F"/>
    <w:rsid w:val="00DC1898"/>
    <w:rsid w:val="00DC52C3"/>
    <w:rsid w:val="00DC797B"/>
    <w:rsid w:val="00DD16AE"/>
    <w:rsid w:val="00DD2DA9"/>
    <w:rsid w:val="00DD4C34"/>
    <w:rsid w:val="00DD6D39"/>
    <w:rsid w:val="00DE0A4C"/>
    <w:rsid w:val="00DE2058"/>
    <w:rsid w:val="00DE2DAF"/>
    <w:rsid w:val="00DE4BED"/>
    <w:rsid w:val="00DE4EE9"/>
    <w:rsid w:val="00DF46B8"/>
    <w:rsid w:val="00E01884"/>
    <w:rsid w:val="00E03CB6"/>
    <w:rsid w:val="00E07BFF"/>
    <w:rsid w:val="00E1014D"/>
    <w:rsid w:val="00E10754"/>
    <w:rsid w:val="00E12010"/>
    <w:rsid w:val="00E202E0"/>
    <w:rsid w:val="00E2283E"/>
    <w:rsid w:val="00E22CB1"/>
    <w:rsid w:val="00E333AC"/>
    <w:rsid w:val="00E33B9F"/>
    <w:rsid w:val="00E35021"/>
    <w:rsid w:val="00E40148"/>
    <w:rsid w:val="00E43394"/>
    <w:rsid w:val="00E43608"/>
    <w:rsid w:val="00E444E5"/>
    <w:rsid w:val="00E44DA0"/>
    <w:rsid w:val="00E456E0"/>
    <w:rsid w:val="00E46F5E"/>
    <w:rsid w:val="00E53FE7"/>
    <w:rsid w:val="00E55CE8"/>
    <w:rsid w:val="00E67083"/>
    <w:rsid w:val="00E716F9"/>
    <w:rsid w:val="00E73E28"/>
    <w:rsid w:val="00E762FD"/>
    <w:rsid w:val="00E76534"/>
    <w:rsid w:val="00E828CC"/>
    <w:rsid w:val="00E83765"/>
    <w:rsid w:val="00E84A5D"/>
    <w:rsid w:val="00E85DE3"/>
    <w:rsid w:val="00E86403"/>
    <w:rsid w:val="00E878D6"/>
    <w:rsid w:val="00E87B14"/>
    <w:rsid w:val="00E908E1"/>
    <w:rsid w:val="00E91685"/>
    <w:rsid w:val="00E9249D"/>
    <w:rsid w:val="00EA195F"/>
    <w:rsid w:val="00EA28D5"/>
    <w:rsid w:val="00EA4691"/>
    <w:rsid w:val="00EA569D"/>
    <w:rsid w:val="00EA5B5A"/>
    <w:rsid w:val="00EB4527"/>
    <w:rsid w:val="00EB4BB4"/>
    <w:rsid w:val="00EB7ABE"/>
    <w:rsid w:val="00EB7C17"/>
    <w:rsid w:val="00ED0863"/>
    <w:rsid w:val="00ED40F2"/>
    <w:rsid w:val="00ED468B"/>
    <w:rsid w:val="00ED4811"/>
    <w:rsid w:val="00ED4A3C"/>
    <w:rsid w:val="00ED5312"/>
    <w:rsid w:val="00EE0F44"/>
    <w:rsid w:val="00EE20BA"/>
    <w:rsid w:val="00EE2811"/>
    <w:rsid w:val="00EE2A2E"/>
    <w:rsid w:val="00EE7203"/>
    <w:rsid w:val="00EF1509"/>
    <w:rsid w:val="00EF1744"/>
    <w:rsid w:val="00EF24D6"/>
    <w:rsid w:val="00EF2845"/>
    <w:rsid w:val="00EF4129"/>
    <w:rsid w:val="00EF429D"/>
    <w:rsid w:val="00EF5B37"/>
    <w:rsid w:val="00EF6634"/>
    <w:rsid w:val="00F02A28"/>
    <w:rsid w:val="00F02C15"/>
    <w:rsid w:val="00F043D8"/>
    <w:rsid w:val="00F05E9F"/>
    <w:rsid w:val="00F066F0"/>
    <w:rsid w:val="00F06A57"/>
    <w:rsid w:val="00F10EE1"/>
    <w:rsid w:val="00F1195C"/>
    <w:rsid w:val="00F153A3"/>
    <w:rsid w:val="00F21D90"/>
    <w:rsid w:val="00F2363D"/>
    <w:rsid w:val="00F27490"/>
    <w:rsid w:val="00F3452C"/>
    <w:rsid w:val="00F34E8D"/>
    <w:rsid w:val="00F37A7E"/>
    <w:rsid w:val="00F40E70"/>
    <w:rsid w:val="00F43341"/>
    <w:rsid w:val="00F43DC1"/>
    <w:rsid w:val="00F44BAB"/>
    <w:rsid w:val="00F45649"/>
    <w:rsid w:val="00F576A2"/>
    <w:rsid w:val="00F60CE6"/>
    <w:rsid w:val="00F63C33"/>
    <w:rsid w:val="00F6614F"/>
    <w:rsid w:val="00F675A3"/>
    <w:rsid w:val="00F713D5"/>
    <w:rsid w:val="00F726FE"/>
    <w:rsid w:val="00F72C78"/>
    <w:rsid w:val="00F73490"/>
    <w:rsid w:val="00F77E6A"/>
    <w:rsid w:val="00F820ED"/>
    <w:rsid w:val="00F832DC"/>
    <w:rsid w:val="00F83FDC"/>
    <w:rsid w:val="00F8593D"/>
    <w:rsid w:val="00F868D3"/>
    <w:rsid w:val="00F90961"/>
    <w:rsid w:val="00F90EF0"/>
    <w:rsid w:val="00F93A79"/>
    <w:rsid w:val="00FA0A51"/>
    <w:rsid w:val="00FA7024"/>
    <w:rsid w:val="00FB3F21"/>
    <w:rsid w:val="00FC2382"/>
    <w:rsid w:val="00FC2CCA"/>
    <w:rsid w:val="00FD4662"/>
    <w:rsid w:val="00FE3CAA"/>
    <w:rsid w:val="00FE77D9"/>
    <w:rsid w:val="00FF11C6"/>
    <w:rsid w:val="00FF6CE2"/>
    <w:rsid w:val="00FF7F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48360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D53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53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531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531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D531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D531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531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531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531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3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53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531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531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D531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D531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D531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D531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D531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D53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3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531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31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D5312"/>
    <w:pPr>
      <w:spacing w:before="160"/>
      <w:jc w:val="center"/>
    </w:pPr>
    <w:rPr>
      <w:i/>
      <w:iCs/>
      <w:color w:val="404040" w:themeColor="text1" w:themeTint="BF"/>
    </w:rPr>
  </w:style>
  <w:style w:type="character" w:customStyle="1" w:styleId="QuoteChar">
    <w:name w:val="Quote Char"/>
    <w:basedOn w:val="DefaultParagraphFont"/>
    <w:link w:val="Quote"/>
    <w:uiPriority w:val="29"/>
    <w:rsid w:val="00ED5312"/>
    <w:rPr>
      <w:i/>
      <w:iCs/>
      <w:color w:val="404040" w:themeColor="text1" w:themeTint="BF"/>
    </w:rPr>
  </w:style>
  <w:style w:type="paragraph" w:styleId="ListParagraph">
    <w:name w:val="List Paragraph"/>
    <w:basedOn w:val="Normal"/>
    <w:uiPriority w:val="34"/>
    <w:qFormat/>
    <w:rsid w:val="00ED5312"/>
    <w:pPr>
      <w:ind w:left="720"/>
      <w:contextualSpacing/>
    </w:pPr>
  </w:style>
  <w:style w:type="character" w:styleId="IntenseEmphasis">
    <w:name w:val="Intense Emphasis"/>
    <w:basedOn w:val="DefaultParagraphFont"/>
    <w:uiPriority w:val="21"/>
    <w:qFormat/>
    <w:rsid w:val="00ED5312"/>
    <w:rPr>
      <w:i/>
      <w:iCs/>
      <w:color w:val="0F4761" w:themeColor="accent1" w:themeShade="BF"/>
    </w:rPr>
  </w:style>
  <w:style w:type="paragraph" w:styleId="IntenseQuote">
    <w:name w:val="Intense Quote"/>
    <w:basedOn w:val="Normal"/>
    <w:next w:val="Normal"/>
    <w:link w:val="IntenseQuoteChar"/>
    <w:uiPriority w:val="30"/>
    <w:qFormat/>
    <w:rsid w:val="00ED53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5312"/>
    <w:rPr>
      <w:i/>
      <w:iCs/>
      <w:color w:val="0F4761" w:themeColor="accent1" w:themeShade="BF"/>
    </w:rPr>
  </w:style>
  <w:style w:type="character" w:styleId="IntenseReference">
    <w:name w:val="Intense Reference"/>
    <w:basedOn w:val="DefaultParagraphFont"/>
    <w:uiPriority w:val="32"/>
    <w:qFormat/>
    <w:rsid w:val="00ED5312"/>
    <w:rPr>
      <w:b/>
      <w:bCs/>
      <w:smallCaps/>
      <w:color w:val="0F4761" w:themeColor="accent1" w:themeShade="BF"/>
      <w:spacing w:val="5"/>
    </w:rPr>
  </w:style>
  <w:style w:type="paragraph" w:styleId="Header">
    <w:name w:val="header"/>
    <w:basedOn w:val="Normal"/>
    <w:link w:val="HeaderChar"/>
    <w:uiPriority w:val="99"/>
    <w:unhideWhenUsed/>
    <w:rsid w:val="00ED53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5312"/>
  </w:style>
  <w:style w:type="paragraph" w:styleId="Footer">
    <w:name w:val="footer"/>
    <w:basedOn w:val="Normal"/>
    <w:link w:val="FooterChar"/>
    <w:uiPriority w:val="99"/>
    <w:unhideWhenUsed/>
    <w:rsid w:val="00ED53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5312"/>
  </w:style>
  <w:style w:type="paragraph" w:customStyle="1" w:styleId="FooterCoverPage">
    <w:name w:val="Footer Cover Page"/>
    <w:basedOn w:val="Normal"/>
    <w:link w:val="FooterCoverPageChar"/>
    <w:rsid w:val="00ED5312"/>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sid w:val="00ED5312"/>
  </w:style>
  <w:style w:type="paragraph" w:styleId="FootnoteText">
    <w:name w:val="footnote text"/>
    <w:basedOn w:val="Normal"/>
    <w:link w:val="FootnoteTextChar"/>
    <w:uiPriority w:val="99"/>
    <w:semiHidden/>
    <w:unhideWhenUsed/>
    <w:rsid w:val="00ED53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5312"/>
    <w:rPr>
      <w:sz w:val="20"/>
      <w:szCs w:val="20"/>
    </w:rPr>
  </w:style>
  <w:style w:type="character" w:styleId="Hyperlink">
    <w:name w:val="Hyperlink"/>
    <w:uiPriority w:val="99"/>
    <w:unhideWhenUsed/>
    <w:rsid w:val="00ED5312"/>
    <w:rPr>
      <w:color w:val="0000FF"/>
      <w:u w:val="single"/>
    </w:rPr>
  </w:style>
  <w:style w:type="character" w:styleId="FootnoteReference">
    <w:name w:val="footnote reference"/>
    <w:aliases w:val="Footnote number,Footnote,Footnote symbol,note TESI,Ref,de nota al pie,(NECG) Footnote Reference,fr,Footnote Reference1,Footnote Reference11,o,Voetnootverwijzing,Footnotemark,FR,Footnotemark1,Footnotemark2,FR1,Footnotemark3,FR2,FR3,FR4"/>
    <w:link w:val="CharCharChar1"/>
    <w:uiPriority w:val="99"/>
    <w:unhideWhenUsed/>
    <w:qFormat/>
    <w:rsid w:val="00ED5312"/>
    <w:rPr>
      <w:vertAlign w:val="superscript"/>
    </w:rPr>
  </w:style>
  <w:style w:type="paragraph" w:customStyle="1" w:styleId="CharCharChar1">
    <w:name w:val="Char Char Char1"/>
    <w:basedOn w:val="Normal"/>
    <w:link w:val="FootnoteReference"/>
    <w:rsid w:val="00ED5312"/>
    <w:pPr>
      <w:spacing w:line="240" w:lineRule="exact"/>
      <w:jc w:val="both"/>
    </w:pPr>
    <w:rPr>
      <w:vertAlign w:val="superscript"/>
    </w:rPr>
  </w:style>
  <w:style w:type="character" w:customStyle="1" w:styleId="UnresolvedMention">
    <w:name w:val="Unresolved Mention"/>
    <w:basedOn w:val="DefaultParagraphFont"/>
    <w:uiPriority w:val="99"/>
    <w:semiHidden/>
    <w:unhideWhenUsed/>
    <w:rsid w:val="00BA4249"/>
    <w:rPr>
      <w:color w:val="605E5C"/>
      <w:shd w:val="clear" w:color="auto" w:fill="E1DFDD"/>
    </w:rPr>
  </w:style>
  <w:style w:type="character" w:styleId="CommentReference">
    <w:name w:val="annotation reference"/>
    <w:basedOn w:val="DefaultParagraphFont"/>
    <w:uiPriority w:val="99"/>
    <w:semiHidden/>
    <w:unhideWhenUsed/>
    <w:rsid w:val="00A710D3"/>
    <w:rPr>
      <w:sz w:val="16"/>
      <w:szCs w:val="16"/>
    </w:rPr>
  </w:style>
  <w:style w:type="paragraph" w:styleId="CommentText">
    <w:name w:val="annotation text"/>
    <w:basedOn w:val="Normal"/>
    <w:link w:val="CommentTextChar"/>
    <w:uiPriority w:val="99"/>
    <w:unhideWhenUsed/>
    <w:rsid w:val="00A710D3"/>
    <w:pPr>
      <w:spacing w:line="240" w:lineRule="auto"/>
    </w:pPr>
    <w:rPr>
      <w:sz w:val="20"/>
      <w:szCs w:val="20"/>
    </w:rPr>
  </w:style>
  <w:style w:type="character" w:customStyle="1" w:styleId="CommentTextChar">
    <w:name w:val="Comment Text Char"/>
    <w:basedOn w:val="DefaultParagraphFont"/>
    <w:link w:val="CommentText"/>
    <w:uiPriority w:val="99"/>
    <w:rsid w:val="00A710D3"/>
    <w:rPr>
      <w:sz w:val="20"/>
      <w:szCs w:val="20"/>
    </w:rPr>
  </w:style>
  <w:style w:type="paragraph" w:styleId="CommentSubject">
    <w:name w:val="annotation subject"/>
    <w:basedOn w:val="CommentText"/>
    <w:next w:val="CommentText"/>
    <w:link w:val="CommentSubjectChar"/>
    <w:uiPriority w:val="99"/>
    <w:semiHidden/>
    <w:unhideWhenUsed/>
    <w:rsid w:val="00A710D3"/>
    <w:rPr>
      <w:b/>
      <w:bCs/>
    </w:rPr>
  </w:style>
  <w:style w:type="character" w:customStyle="1" w:styleId="CommentSubjectChar">
    <w:name w:val="Comment Subject Char"/>
    <w:basedOn w:val="CommentTextChar"/>
    <w:link w:val="CommentSubject"/>
    <w:uiPriority w:val="99"/>
    <w:semiHidden/>
    <w:rsid w:val="00A710D3"/>
    <w:rPr>
      <w:b/>
      <w:bCs/>
      <w:sz w:val="20"/>
      <w:szCs w:val="20"/>
    </w:rPr>
  </w:style>
  <w:style w:type="paragraph" w:styleId="Revision">
    <w:name w:val="Revision"/>
    <w:hidden/>
    <w:uiPriority w:val="99"/>
    <w:semiHidden/>
    <w:rsid w:val="00A710D3"/>
    <w:pPr>
      <w:spacing w:after="0" w:line="240" w:lineRule="auto"/>
    </w:pPr>
  </w:style>
  <w:style w:type="character" w:customStyle="1" w:styleId="Marker">
    <w:name w:val="Marker"/>
    <w:basedOn w:val="DefaultParagraphFont"/>
    <w:rsid w:val="001A12B3"/>
    <w:rPr>
      <w:color w:val="0000FF"/>
      <w:shd w:val="clear" w:color="auto" w:fill="auto"/>
    </w:rPr>
  </w:style>
  <w:style w:type="paragraph" w:customStyle="1" w:styleId="Pagedecouverture">
    <w:name w:val="Page de couverture"/>
    <w:basedOn w:val="Normal"/>
    <w:next w:val="Normal"/>
    <w:link w:val="PagedecouvertureChar"/>
    <w:rsid w:val="001A12B3"/>
    <w:pPr>
      <w:spacing w:after="0" w:line="240" w:lineRule="auto"/>
      <w:jc w:val="both"/>
    </w:pPr>
    <w:rPr>
      <w:rFonts w:cs="Times New Roman"/>
    </w:rPr>
  </w:style>
  <w:style w:type="paragraph" w:customStyle="1" w:styleId="FooterSensitivity">
    <w:name w:val="Footer Sensitivity"/>
    <w:basedOn w:val="Normal"/>
    <w:link w:val="FooterSensitivityChar"/>
    <w:rsid w:val="001A12B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PagedecouvertureChar">
    <w:name w:val="Page de couverture Char"/>
    <w:basedOn w:val="DefaultParagraphFont"/>
    <w:link w:val="Pagedecouverture"/>
    <w:rsid w:val="001A12B3"/>
    <w:rPr>
      <w:rFonts w:cs="Times New Roman"/>
    </w:rPr>
  </w:style>
  <w:style w:type="character" w:customStyle="1" w:styleId="FooterSensitivityChar">
    <w:name w:val="Footer Sensitivity Char"/>
    <w:basedOn w:val="PagedecouvertureChar"/>
    <w:link w:val="FooterSensitivity"/>
    <w:rsid w:val="001A12B3"/>
    <w:rPr>
      <w:rFonts w:cs="Times New Roman"/>
      <w:b/>
      <w:sz w:val="32"/>
    </w:rPr>
  </w:style>
  <w:style w:type="paragraph" w:customStyle="1" w:styleId="HeaderCoverPage">
    <w:name w:val="Header Cover Page"/>
    <w:basedOn w:val="Normal"/>
    <w:link w:val="HeaderCoverPageChar"/>
    <w:rsid w:val="001A12B3"/>
    <w:pPr>
      <w:tabs>
        <w:tab w:val="center" w:pos="4535"/>
        <w:tab w:val="right" w:pos="9071"/>
      </w:tabs>
      <w:spacing w:after="120" w:line="240" w:lineRule="auto"/>
      <w:jc w:val="both"/>
    </w:pPr>
  </w:style>
  <w:style w:type="character" w:customStyle="1" w:styleId="HeaderCoverPageChar">
    <w:name w:val="Header Cover Page Char"/>
    <w:basedOn w:val="PagedecouvertureChar"/>
    <w:link w:val="HeaderCoverPage"/>
    <w:rsid w:val="001A12B3"/>
    <w:rPr>
      <w:rFonts w:cs="Times New Roman"/>
    </w:rPr>
  </w:style>
  <w:style w:type="paragraph" w:customStyle="1" w:styleId="HeaderSensitivity">
    <w:name w:val="Header Sensitivity"/>
    <w:basedOn w:val="Normal"/>
    <w:link w:val="HeaderSensitivityChar"/>
    <w:rsid w:val="001A12B3"/>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PagedecouvertureChar"/>
    <w:link w:val="HeaderSensitivity"/>
    <w:rsid w:val="001A12B3"/>
    <w:rPr>
      <w:rFonts w:cs="Times New Roman"/>
      <w:b/>
      <w:sz w:val="32"/>
    </w:rPr>
  </w:style>
  <w:style w:type="paragraph" w:customStyle="1" w:styleId="HeaderSensitivityRight">
    <w:name w:val="Header Sensitivity Right"/>
    <w:basedOn w:val="Normal"/>
    <w:link w:val="HeaderSensitivityRightChar"/>
    <w:rsid w:val="001A12B3"/>
    <w:pPr>
      <w:spacing w:after="120" w:line="240" w:lineRule="auto"/>
      <w:jc w:val="right"/>
    </w:pPr>
    <w:rPr>
      <w:sz w:val="28"/>
    </w:rPr>
  </w:style>
  <w:style w:type="character" w:customStyle="1" w:styleId="HeaderSensitivityRightChar">
    <w:name w:val="Header Sensitivity Right Char"/>
    <w:basedOn w:val="PagedecouvertureChar"/>
    <w:link w:val="HeaderSensitivityRight"/>
    <w:rsid w:val="001A12B3"/>
    <w:rPr>
      <w:rFonts w:cs="Times New Roman"/>
      <w:sz w:val="28"/>
    </w:rPr>
  </w:style>
  <w:style w:type="paragraph" w:customStyle="1" w:styleId="Briefingtext">
    <w:name w:val="Briefing text"/>
    <w:basedOn w:val="Normal"/>
    <w:link w:val="BriefingtextChar"/>
    <w:qFormat/>
    <w:rsid w:val="006B08C3"/>
    <w:pPr>
      <w:spacing w:after="240" w:line="240" w:lineRule="auto"/>
      <w:jc w:val="both"/>
    </w:pPr>
    <w:rPr>
      <w:rFonts w:ascii="Arial" w:eastAsia="Times New Roman" w:hAnsi="Arial" w:cs="Arial"/>
      <w:sz w:val="22"/>
      <w:szCs w:val="24"/>
    </w:rPr>
  </w:style>
  <w:style w:type="character" w:customStyle="1" w:styleId="BriefingtextChar">
    <w:name w:val="Briefing text Char"/>
    <w:link w:val="Briefingtext"/>
    <w:qFormat/>
    <w:rsid w:val="006B08C3"/>
    <w:rPr>
      <w:rFonts w:ascii="Arial" w:eastAsia="Times New Roman" w:hAnsi="Arial" w:cs="Arial"/>
      <w:sz w:val="22"/>
      <w:szCs w:val="24"/>
    </w:rPr>
  </w:style>
  <w:style w:type="paragraph" w:styleId="NormalWeb">
    <w:name w:val="Normal (Web)"/>
    <w:basedOn w:val="Normal"/>
    <w:uiPriority w:val="99"/>
    <w:semiHidden/>
    <w:unhideWhenUsed/>
    <w:rsid w:val="00A3417A"/>
    <w:rPr>
      <w:rFonts w:cs="Times New Roman"/>
      <w:szCs w:val="24"/>
    </w:rPr>
  </w:style>
  <w:style w:type="paragraph" w:customStyle="1" w:styleId="Typedudocument">
    <w:name w:val="Type du document"/>
    <w:basedOn w:val="Normal"/>
    <w:next w:val="Normal"/>
    <w:rsid w:val="00A73F0B"/>
    <w:pPr>
      <w:spacing w:before="360" w:after="0" w:line="240" w:lineRule="auto"/>
      <w:jc w:val="center"/>
    </w:pPr>
    <w:rPr>
      <w:rFonts w:cs="Times New Roman"/>
      <w:b/>
    </w:rPr>
  </w:style>
  <w:style w:type="paragraph" w:customStyle="1" w:styleId="Titreobjet">
    <w:name w:val="Titre objet"/>
    <w:basedOn w:val="Normal"/>
    <w:next w:val="Normal"/>
    <w:rsid w:val="00A73F0B"/>
    <w:pPr>
      <w:spacing w:before="360" w:after="360" w:line="240" w:lineRule="auto"/>
      <w:jc w:val="center"/>
    </w:pPr>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604560">
      <w:bodyDiv w:val="1"/>
      <w:marLeft w:val="0"/>
      <w:marRight w:val="0"/>
      <w:marTop w:val="0"/>
      <w:marBottom w:val="0"/>
      <w:divBdr>
        <w:top w:val="none" w:sz="0" w:space="0" w:color="auto"/>
        <w:left w:val="none" w:sz="0" w:space="0" w:color="auto"/>
        <w:bottom w:val="none" w:sz="0" w:space="0" w:color="auto"/>
        <w:right w:val="none" w:sz="0" w:space="0" w:color="auto"/>
      </w:divBdr>
    </w:div>
    <w:div w:id="158816223">
      <w:bodyDiv w:val="1"/>
      <w:marLeft w:val="0"/>
      <w:marRight w:val="0"/>
      <w:marTop w:val="0"/>
      <w:marBottom w:val="0"/>
      <w:divBdr>
        <w:top w:val="none" w:sz="0" w:space="0" w:color="auto"/>
        <w:left w:val="none" w:sz="0" w:space="0" w:color="auto"/>
        <w:bottom w:val="none" w:sz="0" w:space="0" w:color="auto"/>
        <w:right w:val="none" w:sz="0" w:space="0" w:color="auto"/>
      </w:divBdr>
    </w:div>
    <w:div w:id="170535323">
      <w:bodyDiv w:val="1"/>
      <w:marLeft w:val="0"/>
      <w:marRight w:val="0"/>
      <w:marTop w:val="0"/>
      <w:marBottom w:val="0"/>
      <w:divBdr>
        <w:top w:val="none" w:sz="0" w:space="0" w:color="auto"/>
        <w:left w:val="none" w:sz="0" w:space="0" w:color="auto"/>
        <w:bottom w:val="none" w:sz="0" w:space="0" w:color="auto"/>
        <w:right w:val="none" w:sz="0" w:space="0" w:color="auto"/>
      </w:divBdr>
    </w:div>
    <w:div w:id="170685516">
      <w:bodyDiv w:val="1"/>
      <w:marLeft w:val="0"/>
      <w:marRight w:val="0"/>
      <w:marTop w:val="0"/>
      <w:marBottom w:val="0"/>
      <w:divBdr>
        <w:top w:val="none" w:sz="0" w:space="0" w:color="auto"/>
        <w:left w:val="none" w:sz="0" w:space="0" w:color="auto"/>
        <w:bottom w:val="none" w:sz="0" w:space="0" w:color="auto"/>
        <w:right w:val="none" w:sz="0" w:space="0" w:color="auto"/>
      </w:divBdr>
    </w:div>
    <w:div w:id="287401054">
      <w:bodyDiv w:val="1"/>
      <w:marLeft w:val="0"/>
      <w:marRight w:val="0"/>
      <w:marTop w:val="0"/>
      <w:marBottom w:val="0"/>
      <w:divBdr>
        <w:top w:val="none" w:sz="0" w:space="0" w:color="auto"/>
        <w:left w:val="none" w:sz="0" w:space="0" w:color="auto"/>
        <w:bottom w:val="none" w:sz="0" w:space="0" w:color="auto"/>
        <w:right w:val="none" w:sz="0" w:space="0" w:color="auto"/>
      </w:divBdr>
    </w:div>
    <w:div w:id="299041726">
      <w:bodyDiv w:val="1"/>
      <w:marLeft w:val="0"/>
      <w:marRight w:val="0"/>
      <w:marTop w:val="0"/>
      <w:marBottom w:val="0"/>
      <w:divBdr>
        <w:top w:val="none" w:sz="0" w:space="0" w:color="auto"/>
        <w:left w:val="none" w:sz="0" w:space="0" w:color="auto"/>
        <w:bottom w:val="none" w:sz="0" w:space="0" w:color="auto"/>
        <w:right w:val="none" w:sz="0" w:space="0" w:color="auto"/>
      </w:divBdr>
    </w:div>
    <w:div w:id="306864269">
      <w:bodyDiv w:val="1"/>
      <w:marLeft w:val="0"/>
      <w:marRight w:val="0"/>
      <w:marTop w:val="0"/>
      <w:marBottom w:val="0"/>
      <w:divBdr>
        <w:top w:val="none" w:sz="0" w:space="0" w:color="auto"/>
        <w:left w:val="none" w:sz="0" w:space="0" w:color="auto"/>
        <w:bottom w:val="none" w:sz="0" w:space="0" w:color="auto"/>
        <w:right w:val="none" w:sz="0" w:space="0" w:color="auto"/>
      </w:divBdr>
    </w:div>
    <w:div w:id="327944950">
      <w:bodyDiv w:val="1"/>
      <w:marLeft w:val="0"/>
      <w:marRight w:val="0"/>
      <w:marTop w:val="0"/>
      <w:marBottom w:val="0"/>
      <w:divBdr>
        <w:top w:val="none" w:sz="0" w:space="0" w:color="auto"/>
        <w:left w:val="none" w:sz="0" w:space="0" w:color="auto"/>
        <w:bottom w:val="none" w:sz="0" w:space="0" w:color="auto"/>
        <w:right w:val="none" w:sz="0" w:space="0" w:color="auto"/>
      </w:divBdr>
    </w:div>
    <w:div w:id="366301041">
      <w:bodyDiv w:val="1"/>
      <w:marLeft w:val="0"/>
      <w:marRight w:val="0"/>
      <w:marTop w:val="0"/>
      <w:marBottom w:val="0"/>
      <w:divBdr>
        <w:top w:val="none" w:sz="0" w:space="0" w:color="auto"/>
        <w:left w:val="none" w:sz="0" w:space="0" w:color="auto"/>
        <w:bottom w:val="none" w:sz="0" w:space="0" w:color="auto"/>
        <w:right w:val="none" w:sz="0" w:space="0" w:color="auto"/>
      </w:divBdr>
    </w:div>
    <w:div w:id="382869640">
      <w:bodyDiv w:val="1"/>
      <w:marLeft w:val="0"/>
      <w:marRight w:val="0"/>
      <w:marTop w:val="0"/>
      <w:marBottom w:val="0"/>
      <w:divBdr>
        <w:top w:val="none" w:sz="0" w:space="0" w:color="auto"/>
        <w:left w:val="none" w:sz="0" w:space="0" w:color="auto"/>
        <w:bottom w:val="none" w:sz="0" w:space="0" w:color="auto"/>
        <w:right w:val="none" w:sz="0" w:space="0" w:color="auto"/>
      </w:divBdr>
    </w:div>
    <w:div w:id="422266863">
      <w:bodyDiv w:val="1"/>
      <w:marLeft w:val="0"/>
      <w:marRight w:val="0"/>
      <w:marTop w:val="0"/>
      <w:marBottom w:val="0"/>
      <w:divBdr>
        <w:top w:val="none" w:sz="0" w:space="0" w:color="auto"/>
        <w:left w:val="none" w:sz="0" w:space="0" w:color="auto"/>
        <w:bottom w:val="none" w:sz="0" w:space="0" w:color="auto"/>
        <w:right w:val="none" w:sz="0" w:space="0" w:color="auto"/>
      </w:divBdr>
    </w:div>
    <w:div w:id="424806005">
      <w:bodyDiv w:val="1"/>
      <w:marLeft w:val="0"/>
      <w:marRight w:val="0"/>
      <w:marTop w:val="0"/>
      <w:marBottom w:val="0"/>
      <w:divBdr>
        <w:top w:val="none" w:sz="0" w:space="0" w:color="auto"/>
        <w:left w:val="none" w:sz="0" w:space="0" w:color="auto"/>
        <w:bottom w:val="none" w:sz="0" w:space="0" w:color="auto"/>
        <w:right w:val="none" w:sz="0" w:space="0" w:color="auto"/>
      </w:divBdr>
    </w:div>
    <w:div w:id="535849934">
      <w:bodyDiv w:val="1"/>
      <w:marLeft w:val="0"/>
      <w:marRight w:val="0"/>
      <w:marTop w:val="0"/>
      <w:marBottom w:val="0"/>
      <w:divBdr>
        <w:top w:val="none" w:sz="0" w:space="0" w:color="auto"/>
        <w:left w:val="none" w:sz="0" w:space="0" w:color="auto"/>
        <w:bottom w:val="none" w:sz="0" w:space="0" w:color="auto"/>
        <w:right w:val="none" w:sz="0" w:space="0" w:color="auto"/>
      </w:divBdr>
    </w:div>
    <w:div w:id="580334616">
      <w:bodyDiv w:val="1"/>
      <w:marLeft w:val="0"/>
      <w:marRight w:val="0"/>
      <w:marTop w:val="0"/>
      <w:marBottom w:val="0"/>
      <w:divBdr>
        <w:top w:val="none" w:sz="0" w:space="0" w:color="auto"/>
        <w:left w:val="none" w:sz="0" w:space="0" w:color="auto"/>
        <w:bottom w:val="none" w:sz="0" w:space="0" w:color="auto"/>
        <w:right w:val="none" w:sz="0" w:space="0" w:color="auto"/>
      </w:divBdr>
    </w:div>
    <w:div w:id="655065063">
      <w:bodyDiv w:val="1"/>
      <w:marLeft w:val="0"/>
      <w:marRight w:val="0"/>
      <w:marTop w:val="0"/>
      <w:marBottom w:val="0"/>
      <w:divBdr>
        <w:top w:val="none" w:sz="0" w:space="0" w:color="auto"/>
        <w:left w:val="none" w:sz="0" w:space="0" w:color="auto"/>
        <w:bottom w:val="none" w:sz="0" w:space="0" w:color="auto"/>
        <w:right w:val="none" w:sz="0" w:space="0" w:color="auto"/>
      </w:divBdr>
    </w:div>
    <w:div w:id="737824067">
      <w:bodyDiv w:val="1"/>
      <w:marLeft w:val="0"/>
      <w:marRight w:val="0"/>
      <w:marTop w:val="0"/>
      <w:marBottom w:val="0"/>
      <w:divBdr>
        <w:top w:val="none" w:sz="0" w:space="0" w:color="auto"/>
        <w:left w:val="none" w:sz="0" w:space="0" w:color="auto"/>
        <w:bottom w:val="none" w:sz="0" w:space="0" w:color="auto"/>
        <w:right w:val="none" w:sz="0" w:space="0" w:color="auto"/>
      </w:divBdr>
    </w:div>
    <w:div w:id="745147857">
      <w:bodyDiv w:val="1"/>
      <w:marLeft w:val="0"/>
      <w:marRight w:val="0"/>
      <w:marTop w:val="0"/>
      <w:marBottom w:val="0"/>
      <w:divBdr>
        <w:top w:val="none" w:sz="0" w:space="0" w:color="auto"/>
        <w:left w:val="none" w:sz="0" w:space="0" w:color="auto"/>
        <w:bottom w:val="none" w:sz="0" w:space="0" w:color="auto"/>
        <w:right w:val="none" w:sz="0" w:space="0" w:color="auto"/>
      </w:divBdr>
    </w:div>
    <w:div w:id="880940650">
      <w:bodyDiv w:val="1"/>
      <w:marLeft w:val="0"/>
      <w:marRight w:val="0"/>
      <w:marTop w:val="0"/>
      <w:marBottom w:val="0"/>
      <w:divBdr>
        <w:top w:val="none" w:sz="0" w:space="0" w:color="auto"/>
        <w:left w:val="none" w:sz="0" w:space="0" w:color="auto"/>
        <w:bottom w:val="none" w:sz="0" w:space="0" w:color="auto"/>
        <w:right w:val="none" w:sz="0" w:space="0" w:color="auto"/>
      </w:divBdr>
    </w:div>
    <w:div w:id="988099835">
      <w:bodyDiv w:val="1"/>
      <w:marLeft w:val="0"/>
      <w:marRight w:val="0"/>
      <w:marTop w:val="0"/>
      <w:marBottom w:val="0"/>
      <w:divBdr>
        <w:top w:val="none" w:sz="0" w:space="0" w:color="auto"/>
        <w:left w:val="none" w:sz="0" w:space="0" w:color="auto"/>
        <w:bottom w:val="none" w:sz="0" w:space="0" w:color="auto"/>
        <w:right w:val="none" w:sz="0" w:space="0" w:color="auto"/>
      </w:divBdr>
    </w:div>
    <w:div w:id="1098523532">
      <w:bodyDiv w:val="1"/>
      <w:marLeft w:val="0"/>
      <w:marRight w:val="0"/>
      <w:marTop w:val="0"/>
      <w:marBottom w:val="0"/>
      <w:divBdr>
        <w:top w:val="none" w:sz="0" w:space="0" w:color="auto"/>
        <w:left w:val="none" w:sz="0" w:space="0" w:color="auto"/>
        <w:bottom w:val="none" w:sz="0" w:space="0" w:color="auto"/>
        <w:right w:val="none" w:sz="0" w:space="0" w:color="auto"/>
      </w:divBdr>
    </w:div>
    <w:div w:id="1122305931">
      <w:bodyDiv w:val="1"/>
      <w:marLeft w:val="0"/>
      <w:marRight w:val="0"/>
      <w:marTop w:val="0"/>
      <w:marBottom w:val="0"/>
      <w:divBdr>
        <w:top w:val="none" w:sz="0" w:space="0" w:color="auto"/>
        <w:left w:val="none" w:sz="0" w:space="0" w:color="auto"/>
        <w:bottom w:val="none" w:sz="0" w:space="0" w:color="auto"/>
        <w:right w:val="none" w:sz="0" w:space="0" w:color="auto"/>
      </w:divBdr>
    </w:div>
    <w:div w:id="1275746371">
      <w:bodyDiv w:val="1"/>
      <w:marLeft w:val="0"/>
      <w:marRight w:val="0"/>
      <w:marTop w:val="0"/>
      <w:marBottom w:val="0"/>
      <w:divBdr>
        <w:top w:val="none" w:sz="0" w:space="0" w:color="auto"/>
        <w:left w:val="none" w:sz="0" w:space="0" w:color="auto"/>
        <w:bottom w:val="none" w:sz="0" w:space="0" w:color="auto"/>
        <w:right w:val="none" w:sz="0" w:space="0" w:color="auto"/>
      </w:divBdr>
    </w:div>
    <w:div w:id="1305238777">
      <w:bodyDiv w:val="1"/>
      <w:marLeft w:val="0"/>
      <w:marRight w:val="0"/>
      <w:marTop w:val="0"/>
      <w:marBottom w:val="0"/>
      <w:divBdr>
        <w:top w:val="none" w:sz="0" w:space="0" w:color="auto"/>
        <w:left w:val="none" w:sz="0" w:space="0" w:color="auto"/>
        <w:bottom w:val="none" w:sz="0" w:space="0" w:color="auto"/>
        <w:right w:val="none" w:sz="0" w:space="0" w:color="auto"/>
      </w:divBdr>
    </w:div>
    <w:div w:id="1401638277">
      <w:bodyDiv w:val="1"/>
      <w:marLeft w:val="0"/>
      <w:marRight w:val="0"/>
      <w:marTop w:val="0"/>
      <w:marBottom w:val="0"/>
      <w:divBdr>
        <w:top w:val="none" w:sz="0" w:space="0" w:color="auto"/>
        <w:left w:val="none" w:sz="0" w:space="0" w:color="auto"/>
        <w:bottom w:val="none" w:sz="0" w:space="0" w:color="auto"/>
        <w:right w:val="none" w:sz="0" w:space="0" w:color="auto"/>
      </w:divBdr>
    </w:div>
    <w:div w:id="1493057712">
      <w:bodyDiv w:val="1"/>
      <w:marLeft w:val="0"/>
      <w:marRight w:val="0"/>
      <w:marTop w:val="0"/>
      <w:marBottom w:val="0"/>
      <w:divBdr>
        <w:top w:val="none" w:sz="0" w:space="0" w:color="auto"/>
        <w:left w:val="none" w:sz="0" w:space="0" w:color="auto"/>
        <w:bottom w:val="none" w:sz="0" w:space="0" w:color="auto"/>
        <w:right w:val="none" w:sz="0" w:space="0" w:color="auto"/>
      </w:divBdr>
    </w:div>
    <w:div w:id="1506869712">
      <w:bodyDiv w:val="1"/>
      <w:marLeft w:val="0"/>
      <w:marRight w:val="0"/>
      <w:marTop w:val="0"/>
      <w:marBottom w:val="0"/>
      <w:divBdr>
        <w:top w:val="none" w:sz="0" w:space="0" w:color="auto"/>
        <w:left w:val="none" w:sz="0" w:space="0" w:color="auto"/>
        <w:bottom w:val="none" w:sz="0" w:space="0" w:color="auto"/>
        <w:right w:val="none" w:sz="0" w:space="0" w:color="auto"/>
      </w:divBdr>
    </w:div>
    <w:div w:id="1554269748">
      <w:bodyDiv w:val="1"/>
      <w:marLeft w:val="0"/>
      <w:marRight w:val="0"/>
      <w:marTop w:val="0"/>
      <w:marBottom w:val="0"/>
      <w:divBdr>
        <w:top w:val="none" w:sz="0" w:space="0" w:color="auto"/>
        <w:left w:val="none" w:sz="0" w:space="0" w:color="auto"/>
        <w:bottom w:val="none" w:sz="0" w:space="0" w:color="auto"/>
        <w:right w:val="none" w:sz="0" w:space="0" w:color="auto"/>
      </w:divBdr>
    </w:div>
    <w:div w:id="1621567997">
      <w:bodyDiv w:val="1"/>
      <w:marLeft w:val="0"/>
      <w:marRight w:val="0"/>
      <w:marTop w:val="0"/>
      <w:marBottom w:val="0"/>
      <w:divBdr>
        <w:top w:val="none" w:sz="0" w:space="0" w:color="auto"/>
        <w:left w:val="none" w:sz="0" w:space="0" w:color="auto"/>
        <w:bottom w:val="none" w:sz="0" w:space="0" w:color="auto"/>
        <w:right w:val="none" w:sz="0" w:space="0" w:color="auto"/>
      </w:divBdr>
    </w:div>
    <w:div w:id="1756512984">
      <w:bodyDiv w:val="1"/>
      <w:marLeft w:val="0"/>
      <w:marRight w:val="0"/>
      <w:marTop w:val="0"/>
      <w:marBottom w:val="0"/>
      <w:divBdr>
        <w:top w:val="none" w:sz="0" w:space="0" w:color="auto"/>
        <w:left w:val="none" w:sz="0" w:space="0" w:color="auto"/>
        <w:bottom w:val="none" w:sz="0" w:space="0" w:color="auto"/>
        <w:right w:val="none" w:sz="0" w:space="0" w:color="auto"/>
      </w:divBdr>
    </w:div>
    <w:div w:id="1756515366">
      <w:bodyDiv w:val="1"/>
      <w:marLeft w:val="0"/>
      <w:marRight w:val="0"/>
      <w:marTop w:val="0"/>
      <w:marBottom w:val="0"/>
      <w:divBdr>
        <w:top w:val="none" w:sz="0" w:space="0" w:color="auto"/>
        <w:left w:val="none" w:sz="0" w:space="0" w:color="auto"/>
        <w:bottom w:val="none" w:sz="0" w:space="0" w:color="auto"/>
        <w:right w:val="none" w:sz="0" w:space="0" w:color="auto"/>
      </w:divBdr>
    </w:div>
    <w:div w:id="1759670871">
      <w:bodyDiv w:val="1"/>
      <w:marLeft w:val="0"/>
      <w:marRight w:val="0"/>
      <w:marTop w:val="0"/>
      <w:marBottom w:val="0"/>
      <w:divBdr>
        <w:top w:val="none" w:sz="0" w:space="0" w:color="auto"/>
        <w:left w:val="none" w:sz="0" w:space="0" w:color="auto"/>
        <w:bottom w:val="none" w:sz="0" w:space="0" w:color="auto"/>
        <w:right w:val="none" w:sz="0" w:space="0" w:color="auto"/>
      </w:divBdr>
    </w:div>
    <w:div w:id="1771006148">
      <w:bodyDiv w:val="1"/>
      <w:marLeft w:val="0"/>
      <w:marRight w:val="0"/>
      <w:marTop w:val="0"/>
      <w:marBottom w:val="0"/>
      <w:divBdr>
        <w:top w:val="none" w:sz="0" w:space="0" w:color="auto"/>
        <w:left w:val="none" w:sz="0" w:space="0" w:color="auto"/>
        <w:bottom w:val="none" w:sz="0" w:space="0" w:color="auto"/>
        <w:right w:val="none" w:sz="0" w:space="0" w:color="auto"/>
      </w:divBdr>
    </w:div>
    <w:div w:id="1795516711">
      <w:bodyDiv w:val="1"/>
      <w:marLeft w:val="0"/>
      <w:marRight w:val="0"/>
      <w:marTop w:val="0"/>
      <w:marBottom w:val="0"/>
      <w:divBdr>
        <w:top w:val="none" w:sz="0" w:space="0" w:color="auto"/>
        <w:left w:val="none" w:sz="0" w:space="0" w:color="auto"/>
        <w:bottom w:val="none" w:sz="0" w:space="0" w:color="auto"/>
        <w:right w:val="none" w:sz="0" w:space="0" w:color="auto"/>
      </w:divBdr>
    </w:div>
    <w:div w:id="1832403447">
      <w:bodyDiv w:val="1"/>
      <w:marLeft w:val="0"/>
      <w:marRight w:val="0"/>
      <w:marTop w:val="0"/>
      <w:marBottom w:val="0"/>
      <w:divBdr>
        <w:top w:val="none" w:sz="0" w:space="0" w:color="auto"/>
        <w:left w:val="none" w:sz="0" w:space="0" w:color="auto"/>
        <w:bottom w:val="none" w:sz="0" w:space="0" w:color="auto"/>
        <w:right w:val="none" w:sz="0" w:space="0" w:color="auto"/>
      </w:divBdr>
    </w:div>
    <w:div w:id="1874805472">
      <w:bodyDiv w:val="1"/>
      <w:marLeft w:val="0"/>
      <w:marRight w:val="0"/>
      <w:marTop w:val="0"/>
      <w:marBottom w:val="0"/>
      <w:divBdr>
        <w:top w:val="none" w:sz="0" w:space="0" w:color="auto"/>
        <w:left w:val="none" w:sz="0" w:space="0" w:color="auto"/>
        <w:bottom w:val="none" w:sz="0" w:space="0" w:color="auto"/>
        <w:right w:val="none" w:sz="0" w:space="0" w:color="auto"/>
      </w:divBdr>
    </w:div>
    <w:div w:id="1896507492">
      <w:bodyDiv w:val="1"/>
      <w:marLeft w:val="0"/>
      <w:marRight w:val="0"/>
      <w:marTop w:val="0"/>
      <w:marBottom w:val="0"/>
      <w:divBdr>
        <w:top w:val="none" w:sz="0" w:space="0" w:color="auto"/>
        <w:left w:val="none" w:sz="0" w:space="0" w:color="auto"/>
        <w:bottom w:val="none" w:sz="0" w:space="0" w:color="auto"/>
        <w:right w:val="none" w:sz="0" w:space="0" w:color="auto"/>
      </w:divBdr>
    </w:div>
    <w:div w:id="1935287879">
      <w:bodyDiv w:val="1"/>
      <w:marLeft w:val="0"/>
      <w:marRight w:val="0"/>
      <w:marTop w:val="0"/>
      <w:marBottom w:val="0"/>
      <w:divBdr>
        <w:top w:val="none" w:sz="0" w:space="0" w:color="auto"/>
        <w:left w:val="none" w:sz="0" w:space="0" w:color="auto"/>
        <w:bottom w:val="none" w:sz="0" w:space="0" w:color="auto"/>
        <w:right w:val="none" w:sz="0" w:space="0" w:color="auto"/>
      </w:divBdr>
    </w:div>
    <w:div w:id="1944651692">
      <w:bodyDiv w:val="1"/>
      <w:marLeft w:val="0"/>
      <w:marRight w:val="0"/>
      <w:marTop w:val="0"/>
      <w:marBottom w:val="0"/>
      <w:divBdr>
        <w:top w:val="none" w:sz="0" w:space="0" w:color="auto"/>
        <w:left w:val="none" w:sz="0" w:space="0" w:color="auto"/>
        <w:bottom w:val="none" w:sz="0" w:space="0" w:color="auto"/>
        <w:right w:val="none" w:sz="0" w:space="0" w:color="auto"/>
      </w:divBdr>
    </w:div>
    <w:div w:id="1977878368">
      <w:bodyDiv w:val="1"/>
      <w:marLeft w:val="0"/>
      <w:marRight w:val="0"/>
      <w:marTop w:val="0"/>
      <w:marBottom w:val="0"/>
      <w:divBdr>
        <w:top w:val="none" w:sz="0" w:space="0" w:color="auto"/>
        <w:left w:val="none" w:sz="0" w:space="0" w:color="auto"/>
        <w:bottom w:val="none" w:sz="0" w:space="0" w:color="auto"/>
        <w:right w:val="none" w:sz="0" w:space="0" w:color="auto"/>
      </w:divBdr>
    </w:div>
    <w:div w:id="2008286375">
      <w:bodyDiv w:val="1"/>
      <w:marLeft w:val="0"/>
      <w:marRight w:val="0"/>
      <w:marTop w:val="0"/>
      <w:marBottom w:val="0"/>
      <w:divBdr>
        <w:top w:val="none" w:sz="0" w:space="0" w:color="auto"/>
        <w:left w:val="none" w:sz="0" w:space="0" w:color="auto"/>
        <w:bottom w:val="none" w:sz="0" w:space="0" w:color="auto"/>
        <w:right w:val="none" w:sz="0" w:space="0" w:color="auto"/>
      </w:divBdr>
    </w:div>
    <w:div w:id="2043969494">
      <w:bodyDiv w:val="1"/>
      <w:marLeft w:val="0"/>
      <w:marRight w:val="0"/>
      <w:marTop w:val="0"/>
      <w:marBottom w:val="0"/>
      <w:divBdr>
        <w:top w:val="none" w:sz="0" w:space="0" w:color="auto"/>
        <w:left w:val="none" w:sz="0" w:space="0" w:color="auto"/>
        <w:bottom w:val="none" w:sz="0" w:space="0" w:color="auto"/>
        <w:right w:val="none" w:sz="0" w:space="0" w:color="auto"/>
      </w:divBdr>
    </w:div>
    <w:div w:id="208170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F244F-4D86-4755-8FCE-701321A26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3253</Words>
  <Characters>18547</Characters>
  <Application>Microsoft Office Word</Application>
  <DocSecurity>0</DocSecurity>
  <Lines>154</Lines>
  <Paragraphs>43</Paragraphs>
  <ScaleCrop>false</ScaleCrop>
  <Manager/>
  <Company/>
  <LinksUpToDate>false</LinksUpToDate>
  <CharactersWithSpaces>21757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2026-03-18T07:22:00Z</dcterms:created>
  <dcterms:modified xsi:type="dcterms:W3CDTF">2026-03-19T11:40:00Z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2026-03-17T21:40:55Z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06195ce3-a136-454a-9590-4b7468ccb4b7</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