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C45DA0" w14:textId="3FC52B80" w:rsidR="00BD21A9" w:rsidRPr="0012765D" w:rsidRDefault="00F50CB9" w:rsidP="00F50CB9">
      <w:pPr>
        <w:pStyle w:val="Pagedecouverture"/>
        <w:rPr>
          <w:noProof/>
        </w:rPr>
      </w:pPr>
      <w:bookmarkStart w:id="0" w:name="LW_BM_COVERPAGE"/>
      <w:r>
        <w:rPr>
          <w:noProof/>
        </w:rPr>
        <w:pict w14:anchorId="4F1D4A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4A7447D4-DC83-4C5F-B362-76759950E2A8" style="width:455.25pt;height:313.5pt">
            <v:imagedata r:id="rId8" o:title=""/>
          </v:shape>
        </w:pict>
      </w:r>
    </w:p>
    <w:bookmarkEnd w:id="0"/>
    <w:p w14:paraId="49920233" w14:textId="77777777" w:rsidR="009D1780" w:rsidRPr="0012765D" w:rsidRDefault="009D1780" w:rsidP="009D1780">
      <w:pPr>
        <w:rPr>
          <w:noProof/>
        </w:rPr>
        <w:sectPr w:rsidR="009D1780" w:rsidRPr="0012765D" w:rsidSect="00F50CB9">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05740DD3" w14:textId="689C51D9" w:rsidR="00A12EA7" w:rsidRPr="0012765D" w:rsidRDefault="00A12EA7" w:rsidP="00A12EA7">
      <w:pPr>
        <w:pStyle w:val="ListParagraph"/>
        <w:numPr>
          <w:ilvl w:val="0"/>
          <w:numId w:val="1"/>
        </w:numPr>
        <w:spacing w:after="0"/>
        <w:jc w:val="both"/>
        <w:rPr>
          <w:rFonts w:ascii="Times New Roman" w:hAnsi="Times New Roman" w:cs="Times New Roman"/>
          <w:b/>
          <w:bCs/>
          <w:noProof/>
          <w:sz w:val="24"/>
          <w:szCs w:val="24"/>
        </w:rPr>
      </w:pPr>
      <w:bookmarkStart w:id="1" w:name="_GoBack"/>
      <w:bookmarkEnd w:id="1"/>
      <w:r>
        <w:rPr>
          <w:rFonts w:ascii="Times New Roman" w:hAnsi="Times New Roman"/>
          <w:b/>
          <w:noProof/>
          <w:sz w:val="24"/>
        </w:rPr>
        <w:lastRenderedPageBreak/>
        <w:t>CONTEXT</w:t>
      </w:r>
    </w:p>
    <w:p w14:paraId="35B01703" w14:textId="77777777" w:rsidR="00A12EA7" w:rsidRPr="0012765D" w:rsidRDefault="00A12EA7" w:rsidP="00A12EA7">
      <w:pPr>
        <w:pStyle w:val="ListParagraph"/>
        <w:spacing w:after="0"/>
        <w:jc w:val="both"/>
        <w:rPr>
          <w:rFonts w:ascii="Times New Roman" w:hAnsi="Times New Roman" w:cs="Times New Roman"/>
          <w:noProof/>
          <w:sz w:val="24"/>
          <w:szCs w:val="24"/>
        </w:rPr>
      </w:pPr>
    </w:p>
    <w:p w14:paraId="29E95AD5" w14:textId="7586C978" w:rsidR="007E264F" w:rsidRDefault="00A12EA7" w:rsidP="008A1614">
      <w:pPr>
        <w:spacing w:after="120"/>
        <w:jc w:val="both"/>
        <w:rPr>
          <w:rFonts w:ascii="Times New Roman" w:hAnsi="Times New Roman" w:cs="Times New Roman"/>
          <w:noProof/>
          <w:sz w:val="24"/>
          <w:szCs w:val="24"/>
        </w:rPr>
      </w:pPr>
      <w:r>
        <w:rPr>
          <w:rFonts w:ascii="Times New Roman" w:hAnsi="Times New Roman"/>
          <w:noProof/>
          <w:sz w:val="24"/>
        </w:rPr>
        <w:t>Rețeaua europeană de migrație (denumită în continuare „REM”) este o rețea finanțată de UE, instituită prin Decizia 2008/381/CE a Consiliului</w:t>
      </w:r>
      <w:r>
        <w:rPr>
          <w:rStyle w:val="FootnoteReference"/>
          <w:rFonts w:ascii="Times New Roman" w:hAnsi="Times New Roman" w:cs="Times New Roman"/>
          <w:noProof/>
          <w:sz w:val="24"/>
          <w:szCs w:val="24"/>
        </w:rPr>
        <w:footnoteReference w:id="2"/>
      </w:r>
      <w:r>
        <w:rPr>
          <w:rFonts w:ascii="Times New Roman" w:hAnsi="Times New Roman"/>
          <w:noProof/>
          <w:sz w:val="24"/>
        </w:rPr>
        <w:t xml:space="preserve"> și modificată prin Regulamentul (UE) nr. 516/2014 al Parlamentului European și al Consiliului</w:t>
      </w:r>
      <w:r>
        <w:rPr>
          <w:rStyle w:val="FootnoteReference"/>
          <w:rFonts w:ascii="Times New Roman" w:hAnsi="Times New Roman" w:cs="Times New Roman"/>
          <w:noProof/>
          <w:sz w:val="24"/>
          <w:szCs w:val="24"/>
        </w:rPr>
        <w:footnoteReference w:id="3"/>
      </w:r>
      <w:r>
        <w:rPr>
          <w:rFonts w:ascii="Times New Roman" w:hAnsi="Times New Roman"/>
          <w:noProof/>
          <w:sz w:val="24"/>
        </w:rPr>
        <w:t>, cu scopul de a colecta și de a face schimb de informații privind migrația și azilul între instituțiile Uniunii și autoritățile și instituțiile statelor membre, ca răspuns</w:t>
      </w:r>
      <w:r>
        <w:rPr>
          <w:rStyle w:val="BodyChar"/>
          <w:rFonts w:ascii="Times New Roman" w:eastAsiaTheme="minorHAnsi" w:hAnsi="Times New Roman"/>
          <w:noProof/>
          <w:sz w:val="24"/>
        </w:rPr>
        <w:t xml:space="preserve"> la nevoile factorilor de decizie și ale altor părți interesate din domeniile respective.</w:t>
      </w:r>
      <w:r>
        <w:rPr>
          <w:rFonts w:ascii="Times New Roman" w:hAnsi="Times New Roman"/>
          <w:noProof/>
          <w:sz w:val="24"/>
        </w:rPr>
        <w:t xml:space="preserve"> </w:t>
      </w:r>
    </w:p>
    <w:p w14:paraId="0BA03906" w14:textId="1C29C1D5" w:rsidR="00302F06" w:rsidRPr="008A1614" w:rsidRDefault="00302F06" w:rsidP="00C60AB6">
      <w:pPr>
        <w:spacing w:after="120"/>
        <w:jc w:val="both"/>
        <w:rPr>
          <w:rFonts w:ascii="Times New Roman" w:hAnsi="Times New Roman" w:cs="Times New Roman"/>
          <w:noProof/>
          <w:sz w:val="24"/>
          <w:szCs w:val="24"/>
        </w:rPr>
      </w:pPr>
      <w:r>
        <w:rPr>
          <w:rStyle w:val="BodyChar"/>
          <w:rFonts w:ascii="Times New Roman" w:eastAsiaTheme="minorHAnsi" w:hAnsi="Times New Roman"/>
          <w:noProof/>
          <w:sz w:val="24"/>
        </w:rPr>
        <w:t>REM urmărește, de asemenea, să sprijine dezvoltarea cooperării la nivel practic în domeniul migrației și azilului între Uniune și anumite țări terțe, inclusiv schimbul de bune practici și de informații prin încheierea de acorduri administrative.</w:t>
      </w:r>
    </w:p>
    <w:p w14:paraId="50C40929" w14:textId="0906B1AD" w:rsidR="00302F06" w:rsidRPr="008A1614" w:rsidRDefault="008D3DA7" w:rsidP="00C60AB6">
      <w:pPr>
        <w:spacing w:after="120"/>
        <w:jc w:val="both"/>
        <w:rPr>
          <w:rFonts w:ascii="Times New Roman" w:hAnsi="Times New Roman" w:cs="Times New Roman"/>
          <w:noProof/>
          <w:sz w:val="24"/>
          <w:szCs w:val="24"/>
        </w:rPr>
      </w:pPr>
      <w:r>
        <w:rPr>
          <w:rFonts w:ascii="Times New Roman" w:hAnsi="Times New Roman"/>
          <w:noProof/>
          <w:sz w:val="24"/>
        </w:rPr>
        <w:t>În conformitate cu articolul 13 din Decizia 2008/381/CE a Consiliului, Comisia prezintă Parlamentului European, Consiliului, Comitetului Economic și Social și Comitetului Regiunilor un raport privind dezvoltarea REM, întocmit în baza unei evaluări externe și independente. Prezenta evaluare analizează perioada de patru ani cuprinsă între 2018 și 2021</w:t>
      </w:r>
      <w:r>
        <w:rPr>
          <w:rStyle w:val="FootnoteReference"/>
          <w:rFonts w:ascii="Times New Roman" w:hAnsi="Times New Roman" w:cs="Times New Roman"/>
          <w:noProof/>
          <w:sz w:val="24"/>
          <w:szCs w:val="24"/>
        </w:rPr>
        <w:footnoteReference w:id="4"/>
      </w:r>
      <w:r>
        <w:rPr>
          <w:rFonts w:ascii="Times New Roman" w:hAnsi="Times New Roman"/>
          <w:noProof/>
          <w:sz w:val="24"/>
        </w:rPr>
        <w:t>. Perioada 2018-2021 a fost marcată de pandemia de COVID-19 și de restricțiile de mobilitate aferente, care au afectat dinamica migrației și a azilului și au creat nevoi operaționale și de informare care evoluează rapid. În paralel, Comisia a propus, în septembrie 2020, noul Pact privind migrația și azilul, care stabilește principala reformă a politicilor UE. Propunerea Comisiei privind noul pact a fost un element important care a impulsionat activitățile și rezultatele REM după formularea propunerii. În ceea ce privește domeniul geografic de aplicare, raportul acoperă toate statele membre, cu excepția Danemarcei, având în vedere că aceasta nu participă la Decizia 2008/381/CE a Consiliului de instituire a RME, care a fost propusă ca măsură în temeiul articolului 66 din TCE (în prezent titlul V din partea a treia din TFUE) și în conformitate cu Protocolul privind poziția Danemarcei. Evaluarea vizează, de asemenea, Georgia, Moldova și Norvegia, care participă la REM în calitate de observatori.</w:t>
      </w:r>
    </w:p>
    <w:p w14:paraId="4BD097CA" w14:textId="4A4DD522" w:rsidR="008D79BF" w:rsidRPr="008A1614" w:rsidRDefault="00A12EA7" w:rsidP="00C60AB6">
      <w:pPr>
        <w:spacing w:after="120"/>
        <w:jc w:val="both"/>
        <w:rPr>
          <w:rFonts w:ascii="Times New Roman" w:hAnsi="Times New Roman" w:cs="Times New Roman"/>
          <w:noProof/>
          <w:sz w:val="24"/>
          <w:szCs w:val="24"/>
        </w:rPr>
      </w:pPr>
      <w:r>
        <w:rPr>
          <w:rFonts w:ascii="Times New Roman" w:hAnsi="Times New Roman"/>
          <w:noProof/>
          <w:sz w:val="24"/>
        </w:rPr>
        <w:t xml:space="preserve">Evaluarea se axează pe relevanța, eficacitatea, eficiența, coerența și valoarea adăugată europeană a REM. De asemenea, evaluarea analizează dacă mandatul REM este actualizat și dacă REM corespunde obiectivelor pentru care a fost înființată, precum și eficacitatea modificărilor aduse domeniului de activitate. De asemenea, reexaminează practicile de lucru ale REM și ale furnizorului de servicii al REM, inclusiv fluxul de informații, și oferă învățăminte și recomandări pentru a răspunde mai bine </w:t>
      </w:r>
      <w:r>
        <w:rPr>
          <w:rStyle w:val="BodyChar"/>
          <w:rFonts w:ascii="Times New Roman" w:eastAsiaTheme="minorHAnsi" w:hAnsi="Times New Roman"/>
          <w:noProof/>
          <w:sz w:val="24"/>
        </w:rPr>
        <w:t>provocărilor</w:t>
      </w:r>
      <w:r>
        <w:rPr>
          <w:rFonts w:ascii="Times New Roman" w:hAnsi="Times New Roman"/>
          <w:noProof/>
          <w:sz w:val="24"/>
        </w:rPr>
        <w:t xml:space="preserve"> cu care se confruntă REM din cauza unui mediu în continuă schimbare.</w:t>
      </w:r>
    </w:p>
    <w:p w14:paraId="48CB81B3" w14:textId="4516C02E" w:rsidR="00A12EA7" w:rsidRPr="006070F6" w:rsidRDefault="00A12EA7" w:rsidP="00C60AB6">
      <w:pPr>
        <w:spacing w:after="120"/>
        <w:jc w:val="both"/>
        <w:rPr>
          <w:rFonts w:ascii="Times New Roman" w:hAnsi="Times New Roman" w:cs="Times New Roman"/>
          <w:noProof/>
          <w:sz w:val="24"/>
          <w:szCs w:val="24"/>
        </w:rPr>
      </w:pPr>
      <w:r>
        <w:rPr>
          <w:rFonts w:ascii="Times New Roman" w:hAnsi="Times New Roman"/>
          <w:noProof/>
          <w:sz w:val="24"/>
        </w:rPr>
        <w:t>Un consorțiu privat a efectuat, în numele Comisiei, un studiu independent de evaluare a REM, finalizat în 2024, pentru a sprijini și a fundamenta evaluarea. Au fost colectate dovezi din următoarele surse:</w:t>
      </w:r>
    </w:p>
    <w:p w14:paraId="423B8B11" w14:textId="4ECA8CBA"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un sondaj online adresat unui număr de 29 de puncte naționale de contact (PNC) și unui număr de 555 de membri ai Rețelei naționale de migrație;</w:t>
      </w:r>
    </w:p>
    <w:p w14:paraId="0152D941" w14:textId="4C55299E"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3 interviuri strategice cu serviciile Comisiei și cu alte părți interesate de la nivelul UE;</w:t>
      </w:r>
    </w:p>
    <w:p w14:paraId="6265506D" w14:textId="7CFAEDC1"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33 de interviuri specifice și 10 interviuri rapide cu diferitele părți interesate;</w:t>
      </w:r>
    </w:p>
    <w:p w14:paraId="63CB602E" w14:textId="1B33A7E0"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6 studii de caz, care combină examinarea documentelor cu 6 interviuri de grup cu puncte de contact naționale și 5 grupuri tematice cu membri ai rețelelor naționale de migrație;</w:t>
      </w:r>
    </w:p>
    <w:p w14:paraId="0C35B050" w14:textId="49CAD193"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un atelier cu 24 de coordonatori ai PNC;</w:t>
      </w:r>
    </w:p>
    <w:p w14:paraId="02B99A40" w14:textId="42BDEF26" w:rsidR="00A12EA7" w:rsidRPr="008A1614" w:rsidRDefault="00A12EA7" w:rsidP="00A12EA7">
      <w:pPr>
        <w:pStyle w:val="ListParagraph"/>
        <w:numPr>
          <w:ilvl w:val="0"/>
          <w:numId w:val="2"/>
        </w:numPr>
        <w:jc w:val="both"/>
        <w:rPr>
          <w:rFonts w:ascii="Times New Roman" w:hAnsi="Times New Roman" w:cs="Times New Roman"/>
          <w:noProof/>
          <w:sz w:val="24"/>
          <w:szCs w:val="24"/>
        </w:rPr>
      </w:pPr>
      <w:r>
        <w:rPr>
          <w:rFonts w:ascii="Times New Roman" w:hAnsi="Times New Roman"/>
          <w:noProof/>
          <w:sz w:val="24"/>
        </w:rPr>
        <w:t>cercetare documentară.</w:t>
      </w:r>
    </w:p>
    <w:p w14:paraId="4E698252" w14:textId="4B85A31F" w:rsidR="00A12EA7" w:rsidRPr="008A1614" w:rsidRDefault="00A12EA7" w:rsidP="00C60AB6">
      <w:pPr>
        <w:spacing w:after="120"/>
        <w:jc w:val="both"/>
        <w:rPr>
          <w:rFonts w:ascii="Times New Roman" w:hAnsi="Times New Roman" w:cs="Times New Roman"/>
          <w:noProof/>
          <w:sz w:val="24"/>
          <w:szCs w:val="24"/>
        </w:rPr>
      </w:pPr>
      <w:r>
        <w:rPr>
          <w:rFonts w:ascii="Times New Roman" w:hAnsi="Times New Roman"/>
          <w:noProof/>
          <w:sz w:val="24"/>
        </w:rPr>
        <w:t>Principalul set de dovezi a constat în răspunsurile respondenților la sondaj. Resursele documentare au furnizat date relevante și dovezi concrete privind funcționarea REM, inclusiv structura, guvernanța, activitățile și produsele sale. Activitățile de cercetare pe teren au contribuit la colectarea de informații calitative cu privire la modul și motivele pentru care au fost obținute rezultate specifice și au identificat învățămintele desprinse. Rapoartele de situație anuale ale REM</w:t>
      </w:r>
      <w:r>
        <w:rPr>
          <w:rStyle w:val="FootnoteReference"/>
          <w:rFonts w:ascii="Times New Roman" w:hAnsi="Times New Roman" w:cs="Times New Roman"/>
          <w:noProof/>
          <w:sz w:val="24"/>
          <w:szCs w:val="24"/>
        </w:rPr>
        <w:footnoteReference w:id="5"/>
      </w:r>
      <w:r>
        <w:rPr>
          <w:rFonts w:ascii="Times New Roman" w:hAnsi="Times New Roman"/>
          <w:noProof/>
          <w:sz w:val="24"/>
        </w:rPr>
        <w:t xml:space="preserve"> au fost utile, deoarece prezintă o imagine de ansamblu detaliată a activităților desfășurate de REM într-un anumit an. Fiabilitatea și validitatea rezultatelor au fost asigurate prin aplicarea unei triangulări sistematice a datelor și informațiilor colectate atât din surse documentare, cât și din surse de pe teren.</w:t>
      </w:r>
    </w:p>
    <w:p w14:paraId="22084DAD" w14:textId="04AC0F90" w:rsidR="00122A5C" w:rsidRPr="0012765D" w:rsidRDefault="00BD21A9" w:rsidP="00DD73B5">
      <w:pPr>
        <w:jc w:val="both"/>
        <w:rPr>
          <w:rFonts w:ascii="Times New Roman" w:hAnsi="Times New Roman" w:cs="Times New Roman"/>
          <w:noProof/>
          <w:sz w:val="24"/>
          <w:szCs w:val="24"/>
        </w:rPr>
      </w:pPr>
      <w:r>
        <w:rPr>
          <w:rFonts w:ascii="Times New Roman" w:hAnsi="Times New Roman"/>
          <w:noProof/>
          <w:sz w:val="24"/>
        </w:rPr>
        <w:t>Prezentul raport este prezentat Parlamentului European, Consiliului, Comitetului Economic și Social și Comitetului Regiunilor și este însoțit de un document de lucru al serviciilor Comisiei care prezintă rezultatul evaluării.</w:t>
      </w:r>
    </w:p>
    <w:p w14:paraId="52587828" w14:textId="59662394" w:rsidR="00DD73B5" w:rsidRPr="0012765D" w:rsidRDefault="00DD73B5" w:rsidP="00DD73B5">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CONSTATĂRILE PRINCIPALE ALE EVALUĂRII</w:t>
      </w:r>
    </w:p>
    <w:p w14:paraId="1BF01463" w14:textId="12FC0AFC" w:rsidR="00094C94" w:rsidRPr="008A1614" w:rsidRDefault="00E551F8" w:rsidP="00C60AB6">
      <w:pPr>
        <w:spacing w:after="120"/>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eficacitatea</w:t>
      </w:r>
      <w:r>
        <w:rPr>
          <w:rFonts w:ascii="Times New Roman" w:hAnsi="Times New Roman"/>
          <w:noProof/>
          <w:sz w:val="24"/>
        </w:rPr>
        <w:t>, evaluarea a constatat că principalele documente de programare ale REM respectă și reflectă obiectivele temeiului său juridic. Acest lucru este confirmat de părțile interesate care au perceput, într-o proporție covârșitoare, că acțiunile și activitățile REM din perioada 2018-2021 au reflectat într-o manieră corespunzătoare obiectivele stabilite în mandatul său.</w:t>
      </w:r>
    </w:p>
    <w:p w14:paraId="72ACA058" w14:textId="069307EA" w:rsidR="00094C94" w:rsidRPr="008A1614" w:rsidRDefault="00094C94" w:rsidP="00C60AB6">
      <w:pPr>
        <w:spacing w:after="120"/>
        <w:jc w:val="both"/>
        <w:rPr>
          <w:rFonts w:ascii="Times New Roman" w:hAnsi="Times New Roman" w:cs="Times New Roman"/>
          <w:noProof/>
          <w:sz w:val="24"/>
          <w:szCs w:val="24"/>
        </w:rPr>
      </w:pPr>
      <w:r>
        <w:rPr>
          <w:rFonts w:ascii="Times New Roman" w:hAnsi="Times New Roman"/>
          <w:noProof/>
          <w:sz w:val="24"/>
        </w:rPr>
        <w:t>REM a oferit sprijin factorilor de decizie din UE în domeniul migrației și azilului, acesta având scopul de a răspunde priorităților de politică ale UE și de a concepe și a pune în aplicare noi inițiative de politică. La nivel național, acesta a contribuit la sporirea cunoștințelor și la îmbunătățirea procesului de elaborare a politicilor naționale în domeniul migrației și azilului. Informațiile produse de REM au fost considerate pe scară largă ca fiind accesibile, comparabile, ușor de citit, obiective, fiabile și actualizate periodic. Părțile interesate au considerat că informațiile produse de REM, pe lângă faptul că sunt de înaltă calitate, sunt relevante pentru politici și răspund nevoilor lor atât la nivelul UE, cât și la nivel național.</w:t>
      </w:r>
    </w:p>
    <w:p w14:paraId="2E138B30" w14:textId="08EF830D" w:rsidR="00094C94" w:rsidRPr="003030D1" w:rsidRDefault="00094C94" w:rsidP="00C60AB6">
      <w:pPr>
        <w:spacing w:after="120"/>
        <w:jc w:val="both"/>
        <w:rPr>
          <w:rFonts w:ascii="Times New Roman" w:hAnsi="Times New Roman" w:cs="Times New Roman"/>
          <w:noProof/>
          <w:sz w:val="24"/>
          <w:szCs w:val="24"/>
        </w:rPr>
      </w:pPr>
      <w:r>
        <w:rPr>
          <w:rFonts w:ascii="Times New Roman" w:hAnsi="Times New Roman"/>
          <w:noProof/>
          <w:sz w:val="24"/>
        </w:rPr>
        <w:t>O îmbunătățire semnificativă a accesului la informațiile produse de REM a venit odată cu transferul Sistemului de schimb de informații al REM (Information Exchange System – IES) către o nouă platformă, care a contribuit la îmbunătățirea performanței sale</w:t>
      </w:r>
      <w:r>
        <w:rPr>
          <w:rStyle w:val="FootnoteReference"/>
          <w:rFonts w:ascii="Times New Roman" w:hAnsi="Times New Roman" w:cs="Times New Roman"/>
          <w:noProof/>
          <w:sz w:val="24"/>
          <w:szCs w:val="24"/>
        </w:rPr>
        <w:footnoteReference w:id="6"/>
      </w:r>
      <w:r>
        <w:rPr>
          <w:rFonts w:ascii="Times New Roman" w:hAnsi="Times New Roman"/>
          <w:noProof/>
          <w:sz w:val="24"/>
        </w:rPr>
        <w:t xml:space="preserve">. </w:t>
      </w:r>
    </w:p>
    <w:p w14:paraId="3BB92ECD" w14:textId="67833867" w:rsidR="00094C94" w:rsidRPr="008A1614" w:rsidRDefault="00094C94" w:rsidP="00947E5C">
      <w:pPr>
        <w:jc w:val="both"/>
        <w:rPr>
          <w:rFonts w:ascii="Times New Roman" w:hAnsi="Times New Roman" w:cs="Times New Roman"/>
          <w:noProof/>
          <w:sz w:val="24"/>
          <w:szCs w:val="24"/>
        </w:rPr>
      </w:pPr>
      <w:r>
        <w:rPr>
          <w:rFonts w:ascii="Times New Roman" w:hAnsi="Times New Roman"/>
          <w:noProof/>
          <w:sz w:val="24"/>
        </w:rPr>
        <w:t>REM a colaborat cu organizații internaționale pentru pregătirea produselor și a evenimentelor: au fost elaborate patru informări</w:t>
      </w:r>
      <w:r>
        <w:rPr>
          <w:rStyle w:val="FootnoteReference"/>
          <w:rFonts w:ascii="Times New Roman" w:hAnsi="Times New Roman" w:cs="Times New Roman"/>
          <w:noProof/>
          <w:szCs w:val="24"/>
        </w:rPr>
        <w:footnoteReference w:id="7"/>
      </w:r>
      <w:r>
        <w:rPr>
          <w:rFonts w:ascii="Times New Roman" w:hAnsi="Times New Roman"/>
          <w:noProof/>
          <w:sz w:val="24"/>
        </w:rPr>
        <w:t xml:space="preserve"> privind impactul COVID-19 în cooperare cu OCDE în 2020 și una în 2021, în colaborare cu Agenția Uniunii Europene pentru Azil (EUAA) și cu Frontex</w:t>
      </w:r>
      <w:r>
        <w:rPr>
          <w:rStyle w:val="FootnoteReference"/>
          <w:rFonts w:ascii="Times New Roman" w:hAnsi="Times New Roman" w:cs="Times New Roman"/>
          <w:noProof/>
          <w:sz w:val="24"/>
          <w:szCs w:val="24"/>
        </w:rPr>
        <w:footnoteReference w:id="8"/>
      </w:r>
      <w:r>
        <w:rPr>
          <w:rFonts w:ascii="Times New Roman" w:hAnsi="Times New Roman"/>
          <w:noProof/>
          <w:sz w:val="24"/>
        </w:rPr>
        <w:t>. În plus, în 2021, PNC Finlanda în colaborare cu OCDE și cu Consiliul Europei a organizat o conferință a REM.</w:t>
      </w:r>
    </w:p>
    <w:p w14:paraId="4A45404B" w14:textId="6582389E" w:rsidR="00094C94" w:rsidRPr="008A1614" w:rsidRDefault="00E97DFB" w:rsidP="00C60AB6">
      <w:pPr>
        <w:spacing w:after="120"/>
        <w:jc w:val="both"/>
        <w:rPr>
          <w:rFonts w:ascii="Times New Roman" w:hAnsi="Times New Roman" w:cs="Times New Roman"/>
          <w:noProof/>
          <w:sz w:val="24"/>
          <w:szCs w:val="24"/>
        </w:rPr>
      </w:pPr>
      <w:r>
        <w:rPr>
          <w:rFonts w:ascii="Times New Roman" w:hAnsi="Times New Roman"/>
          <w:noProof/>
          <w:sz w:val="24"/>
        </w:rPr>
        <w:t xml:space="preserve">REM a contribuit la promovarea schimbului de bune practici prin continuarea rolului său de facilitator în facilitarea accesului la bunele practici identificate în statele membre și a </w:t>
      </w:r>
      <w:r>
        <w:rPr>
          <w:rFonts w:ascii="Times New Roman" w:hAnsi="Times New Roman"/>
          <w:noProof/>
          <w:color w:val="000000" w:themeColor="text1"/>
          <w:sz w:val="24"/>
        </w:rPr>
        <w:t>schimbului de informații privind practicile în materie de migrație ale statelor membre.</w:t>
      </w:r>
    </w:p>
    <w:p w14:paraId="5DC06492" w14:textId="04E65736" w:rsidR="00094C94" w:rsidRPr="008A1614" w:rsidRDefault="00E97DFB" w:rsidP="00C60AB6">
      <w:pPr>
        <w:spacing w:after="120"/>
        <w:jc w:val="both"/>
        <w:rPr>
          <w:rFonts w:ascii="Times New Roman" w:hAnsi="Times New Roman" w:cs="Times New Roman"/>
          <w:noProof/>
          <w:sz w:val="24"/>
          <w:szCs w:val="24"/>
        </w:rPr>
      </w:pPr>
      <w:r>
        <w:rPr>
          <w:rFonts w:ascii="Times New Roman" w:hAnsi="Times New Roman"/>
          <w:noProof/>
          <w:sz w:val="24"/>
        </w:rPr>
        <w:t>O evoluție importantă în relațiile externe a fost angajamentul REM față de țările terțe în cursul perioadei de evaluare. În 2021, Georgia și Republica Moldova s-au alăturat REM în calitate de observatori</w:t>
      </w:r>
      <w:r>
        <w:rPr>
          <w:rStyle w:val="FootnoteReference"/>
          <w:rFonts w:ascii="Times New Roman" w:hAnsi="Times New Roman" w:cs="Times New Roman"/>
          <w:noProof/>
          <w:sz w:val="24"/>
          <w:szCs w:val="24"/>
        </w:rPr>
        <w:footnoteReference w:id="9"/>
      </w:r>
      <w:r>
        <w:rPr>
          <w:rFonts w:ascii="Times New Roman" w:hAnsi="Times New Roman"/>
          <w:noProof/>
          <w:sz w:val="24"/>
        </w:rPr>
        <w:t>, în timp ce Armenia, Muntenegru, Serbia și Ucraina și-au exprimat interesul de a adera la REM</w:t>
      </w:r>
      <w:r>
        <w:rPr>
          <w:rStyle w:val="FootnoteReference"/>
          <w:rFonts w:ascii="Times New Roman" w:hAnsi="Times New Roman" w:cs="Times New Roman"/>
          <w:noProof/>
          <w:sz w:val="24"/>
          <w:szCs w:val="24"/>
        </w:rPr>
        <w:footnoteReference w:id="10"/>
      </w:r>
      <w:r>
        <w:rPr>
          <w:rFonts w:ascii="Times New Roman" w:hAnsi="Times New Roman"/>
          <w:noProof/>
          <w:sz w:val="24"/>
        </w:rPr>
        <w:t>. Comisia, asistată de Grupul de lucru pentru cooperarea cu țările terțe (GL CTC), a lansat schimburi preliminare cu aceste țări</w:t>
      </w:r>
      <w:r>
        <w:rPr>
          <w:rStyle w:val="FootnoteReference"/>
          <w:rFonts w:ascii="Times New Roman" w:hAnsi="Times New Roman" w:cs="Times New Roman"/>
          <w:noProof/>
          <w:sz w:val="24"/>
          <w:szCs w:val="24"/>
        </w:rPr>
        <w:footnoteReference w:id="11"/>
      </w:r>
      <w:r>
        <w:rPr>
          <w:rFonts w:ascii="Times New Roman" w:hAnsi="Times New Roman"/>
          <w:noProof/>
          <w:sz w:val="24"/>
        </w:rPr>
        <w:t>.</w:t>
      </w:r>
    </w:p>
    <w:p w14:paraId="173BC789" w14:textId="41830539" w:rsidR="00094C94" w:rsidRPr="008A1614" w:rsidRDefault="00E97DFB" w:rsidP="00C60AB6">
      <w:pPr>
        <w:spacing w:after="120"/>
        <w:jc w:val="both"/>
        <w:rPr>
          <w:rFonts w:ascii="Times New Roman" w:hAnsi="Times New Roman" w:cs="Times New Roman"/>
          <w:b/>
          <w:bCs/>
          <w:noProof/>
          <w:sz w:val="24"/>
          <w:szCs w:val="24"/>
        </w:rPr>
      </w:pPr>
      <w:r>
        <w:rPr>
          <w:rFonts w:ascii="Times New Roman" w:hAnsi="Times New Roman"/>
          <w:noProof/>
          <w:sz w:val="24"/>
        </w:rPr>
        <w:t>Atunci când a analizat furnizarea de informații publicului larg</w:t>
      </w:r>
      <w:bookmarkStart w:id="2" w:name="_Ref148692000"/>
      <w:r>
        <w:rPr>
          <w:rFonts w:ascii="Times New Roman" w:hAnsi="Times New Roman"/>
          <w:noProof/>
          <w:sz w:val="24"/>
        </w:rPr>
        <w:t>, evaluarea a identificat necesitatea consolidării în continuare a rolului pe care punctele naționale de contact l-au jucat în mobilizarea partenerilor naționali pentru a promova activitățile REM, inclusiv o mai bună coordonare cu factorii de decizie</w:t>
      </w:r>
      <w:bookmarkEnd w:id="2"/>
      <w:r>
        <w:rPr>
          <w:noProof/>
          <w:sz w:val="24"/>
        </w:rPr>
        <w:t>.</w:t>
      </w:r>
      <w:r>
        <w:rPr>
          <w:rFonts w:ascii="Times New Roman" w:hAnsi="Times New Roman"/>
          <w:b/>
          <w:noProof/>
          <w:sz w:val="24"/>
        </w:rPr>
        <w:t xml:space="preserve"> </w:t>
      </w:r>
      <w:r>
        <w:rPr>
          <w:rFonts w:ascii="Times New Roman" w:hAnsi="Times New Roman"/>
          <w:noProof/>
          <w:sz w:val="24"/>
        </w:rPr>
        <w:t>Evaluarea a confirmat că eforturile sporite de îmbunătățire a furnizării de informații către publicul larg, inclusiv producerea de materiale care ar putea fi adaptate la nevoile naționale specifice, au avut un impact în 2021</w:t>
      </w:r>
      <w:r>
        <w:rPr>
          <w:rStyle w:val="FootnoteReference"/>
          <w:rFonts w:ascii="Times New Roman" w:hAnsi="Times New Roman" w:cs="Times New Roman"/>
          <w:noProof/>
          <w:szCs w:val="24"/>
        </w:rPr>
        <w:footnoteReference w:id="12"/>
      </w:r>
      <w:r>
        <w:rPr>
          <w:rFonts w:ascii="Times New Roman" w:hAnsi="Times New Roman"/>
          <w:noProof/>
          <w:sz w:val="24"/>
        </w:rPr>
        <w:t>.</w:t>
      </w:r>
    </w:p>
    <w:p w14:paraId="1980E8E8" w14:textId="06726526" w:rsidR="00036A10" w:rsidRPr="008A1614" w:rsidRDefault="00AC0B78" w:rsidP="00C60AB6">
      <w:pPr>
        <w:spacing w:after="120"/>
        <w:jc w:val="both"/>
        <w:rPr>
          <w:rFonts w:ascii="Times New Roman" w:hAnsi="Times New Roman" w:cs="Times New Roman"/>
          <w:noProof/>
          <w:sz w:val="24"/>
          <w:szCs w:val="24"/>
        </w:rPr>
      </w:pPr>
      <w:r>
        <w:rPr>
          <w:rFonts w:ascii="Times New Roman" w:hAnsi="Times New Roman"/>
          <w:noProof/>
          <w:sz w:val="24"/>
        </w:rPr>
        <w:t xml:space="preserve">În ceea ce privește </w:t>
      </w:r>
      <w:r>
        <w:rPr>
          <w:rFonts w:ascii="Times New Roman" w:hAnsi="Times New Roman"/>
          <w:b/>
          <w:noProof/>
          <w:sz w:val="24"/>
        </w:rPr>
        <w:t>eficiența</w:t>
      </w:r>
      <w:r>
        <w:rPr>
          <w:rFonts w:ascii="Times New Roman" w:hAnsi="Times New Roman"/>
          <w:noProof/>
          <w:sz w:val="24"/>
        </w:rPr>
        <w:t>, REM a fost considerată sustenabilă din punct de vedere financiar și eficientă din punctul de vedere al costurilor, finanțarea din Fondul pentru azil, migrație și integrare (FAMI) a fost considerată adecvată, iar costurile de punere în aplicare ale REM au fost proporționale cu beneficiile. Punctele de contact naționale au raportat că elementele cu cea mai mare utilizare a resurselor au avut tendința de a fi organizarea de evenimente naționale, participarea la reuniunile REM și contribuția la produsele REM, cum ar fi ARM-urile și studiile.</w:t>
      </w:r>
      <w:r w:rsidR="007F6DFB">
        <w:rPr>
          <w:rFonts w:ascii="Times New Roman" w:hAnsi="Times New Roman"/>
          <w:noProof/>
          <w:sz w:val="24"/>
        </w:rPr>
        <w:t xml:space="preserve"> </w:t>
      </w:r>
      <w:r>
        <w:rPr>
          <w:rFonts w:ascii="Times New Roman" w:hAnsi="Times New Roman"/>
          <w:noProof/>
          <w:sz w:val="24"/>
        </w:rPr>
        <w:t xml:space="preserve">Părțile interesate au remarcat că, deși ciclul anual de acordare a granturilor a implicat mai multe etape administrative, iar alocarea bugetară se poate materializa în practică după începerea punerii în aplicare, punctele naționale de contact au fost, în general, în măsură să continue activitățile planificate și să obțină realizările preconizate. În plus, măsurile de raționalizare introduse în 2018 pentru a oferi punctelor de contact naționale o mai mare autonomie pentru mici ajustări bugetare fără aprobare prealabilă au sprijinit o punere în aplicare mai ușoară și au contribuit la eficiența globală. Finanțarea REM s-a dovedit a fi esențială pentru a se asigura faptul că rezultatele și beneficiile obținute de rețea sunt realizabile și durabile. </w:t>
      </w:r>
    </w:p>
    <w:p w14:paraId="2440D66B" w14:textId="0D09841B" w:rsidR="00F44219" w:rsidRPr="008A1614" w:rsidRDefault="00491141" w:rsidP="00C60AB6">
      <w:pPr>
        <w:spacing w:after="120"/>
        <w:jc w:val="both"/>
        <w:rPr>
          <w:rFonts w:ascii="Times New Roman" w:hAnsi="Times New Roman" w:cs="Times New Roman"/>
          <w:noProof/>
          <w:sz w:val="24"/>
          <w:szCs w:val="24"/>
        </w:rPr>
      </w:pPr>
      <w:r>
        <w:rPr>
          <w:rFonts w:ascii="Times New Roman" w:hAnsi="Times New Roman"/>
          <w:noProof/>
          <w:sz w:val="24"/>
        </w:rPr>
        <w:t>În ceea ce privește guvernanța, evaluarea a confirmat că diferitele componente ale REM au funcționat în conformitate cu temeiul juridic al REM pe parcursul perioadei analizate, inclusiv participarea la reuniunile Comitetului director și îndeplinirea rolului acestora în conformitate cu Decizia 2008/381/CE a Consiliului. Având în vedere numărul mare de subiecte apărute ca urmare a pandemiei de COVID-19 ca factor-cheie care afectează sistemul de migrație și azil al UE, în 2021 au fost organizate două reuniuni suplimentare ale Comitetului director.</w:t>
      </w:r>
      <w:r w:rsidR="007F6DFB">
        <w:rPr>
          <w:rFonts w:ascii="Times New Roman" w:hAnsi="Times New Roman"/>
          <w:noProof/>
          <w:sz w:val="24"/>
        </w:rPr>
        <w:t xml:space="preserve"> </w:t>
      </w:r>
      <w:r>
        <w:rPr>
          <w:rFonts w:ascii="Times New Roman" w:hAnsi="Times New Roman"/>
          <w:noProof/>
          <w:sz w:val="24"/>
        </w:rPr>
        <w:t>Guvernanța REM a oferit rețelei orientări strategice și politice substanțiale, ceea ce a fost considerat ca reprezentând o îmbunătățire semnificativă a situației constatate în evaluarea anterioară din 2015. Cu toate acestea, s-a constatat, de asemenea, că experții științifici nu au fost încă implicați în asistarea Comitetului director, astfel cum se prevede la articolul 4 din Decizia 2008/381/CE a Consiliului, nefiind înregistrat niciun progres cu privire la această chestiune de la evaluarea din 2015.</w:t>
      </w:r>
    </w:p>
    <w:p w14:paraId="4A8BA8F1" w14:textId="60E673C1" w:rsidR="00AC0B78" w:rsidRPr="008A1614" w:rsidRDefault="00491141" w:rsidP="00AC0B78">
      <w:pPr>
        <w:spacing w:after="120"/>
        <w:jc w:val="both"/>
        <w:rPr>
          <w:rFonts w:ascii="Times New Roman" w:hAnsi="Times New Roman" w:cs="Times New Roman"/>
          <w:noProof/>
          <w:sz w:val="24"/>
          <w:szCs w:val="24"/>
        </w:rPr>
      </w:pPr>
      <w:r>
        <w:rPr>
          <w:rFonts w:ascii="Times New Roman" w:hAnsi="Times New Roman"/>
          <w:noProof/>
          <w:sz w:val="24"/>
        </w:rPr>
        <w:t xml:space="preserve">Componența punctelor naționale de contact a fost conformă cu Decizia 2008/381/CE a Consiliului, iar evaluarea a </w:t>
      </w:r>
      <w:r>
        <w:rPr>
          <w:rStyle w:val="BodyChar"/>
          <w:rFonts w:ascii="Times New Roman" w:eastAsiaTheme="minorHAnsi" w:hAnsi="Times New Roman"/>
          <w:noProof/>
          <w:sz w:val="24"/>
        </w:rPr>
        <w:t>confirmat</w:t>
      </w:r>
      <w:r>
        <w:rPr>
          <w:rFonts w:ascii="Times New Roman" w:hAnsi="Times New Roman"/>
          <w:noProof/>
          <w:sz w:val="24"/>
        </w:rPr>
        <w:t xml:space="preserve"> că acestea și-au îndeplinit sarcinile în conformitate cu dispozițiile acestei decizii.</w:t>
      </w:r>
    </w:p>
    <w:p w14:paraId="6ADCFA11" w14:textId="0A4ECA41" w:rsidR="00AC0B78" w:rsidRPr="008A1614" w:rsidRDefault="00AC0B78" w:rsidP="00C60AB6">
      <w:pPr>
        <w:spacing w:after="120"/>
        <w:jc w:val="both"/>
        <w:rPr>
          <w:rFonts w:ascii="Times New Roman" w:hAnsi="Times New Roman" w:cs="Times New Roman"/>
          <w:noProof/>
          <w:sz w:val="24"/>
          <w:szCs w:val="24"/>
        </w:rPr>
      </w:pPr>
      <w:r>
        <w:rPr>
          <w:rFonts w:ascii="Times New Roman" w:hAnsi="Times New Roman"/>
          <w:noProof/>
          <w:sz w:val="24"/>
        </w:rPr>
        <w:t xml:space="preserve">Contribuția furnizorului de servicii al REM la funcționarea REM s-a dovedit a fi eficientă și a avut </w:t>
      </w:r>
      <w:r>
        <w:rPr>
          <w:rStyle w:val="BodyChar"/>
          <w:rFonts w:ascii="Times New Roman" w:eastAsiaTheme="minorHAnsi" w:hAnsi="Times New Roman"/>
          <w:noProof/>
          <w:sz w:val="24"/>
        </w:rPr>
        <w:t>rol de susținere</w:t>
      </w:r>
      <w:r>
        <w:rPr>
          <w:rFonts w:ascii="Times New Roman" w:hAnsi="Times New Roman"/>
          <w:noProof/>
          <w:sz w:val="24"/>
        </w:rPr>
        <w:t>, deși a fost identificată necesitatea îmbunătățirii în continuare a promptitudinii transmiterii documentelor, inclusiv a proceselor-verbale ale reuniunilor.</w:t>
      </w:r>
    </w:p>
    <w:p w14:paraId="3A725A2F" w14:textId="595FD31E" w:rsidR="00AC0B78" w:rsidRPr="008A1614" w:rsidRDefault="00AC0B78" w:rsidP="00C60AB6">
      <w:pPr>
        <w:spacing w:after="120"/>
        <w:jc w:val="both"/>
        <w:rPr>
          <w:rFonts w:ascii="Times New Roman" w:hAnsi="Times New Roman" w:cs="Times New Roman"/>
          <w:noProof/>
          <w:sz w:val="24"/>
          <w:szCs w:val="24"/>
        </w:rPr>
      </w:pPr>
      <w:r>
        <w:rPr>
          <w:rFonts w:ascii="Times New Roman" w:hAnsi="Times New Roman"/>
          <w:noProof/>
          <w:sz w:val="24"/>
        </w:rPr>
        <w:t xml:space="preserve">În ansamblu, evaluarea a confirmat caracterul adecvat al structurii interne a REM, care i-a permis să își gestioneze </w:t>
      </w:r>
      <w:r>
        <w:rPr>
          <w:rStyle w:val="BodyChar"/>
          <w:rFonts w:ascii="Times New Roman" w:eastAsiaTheme="minorHAnsi" w:hAnsi="Times New Roman"/>
          <w:noProof/>
          <w:sz w:val="24"/>
        </w:rPr>
        <w:t>în mod eficient</w:t>
      </w:r>
      <w:r>
        <w:rPr>
          <w:rFonts w:ascii="Times New Roman" w:hAnsi="Times New Roman"/>
          <w:noProof/>
          <w:sz w:val="24"/>
        </w:rPr>
        <w:t xml:space="preserve"> activitățile, precum și un nivel adecvat de conștientizare cu privire la distribuția internă a rolurilor și responsabilităților.</w:t>
      </w:r>
    </w:p>
    <w:p w14:paraId="0A49689B" w14:textId="599ED71B" w:rsidR="0035755F" w:rsidRPr="008A1614" w:rsidRDefault="3A9B86D7" w:rsidP="00C60AB6">
      <w:pPr>
        <w:spacing w:after="120"/>
        <w:jc w:val="both"/>
        <w:rPr>
          <w:rFonts w:ascii="Times New Roman" w:hAnsi="Times New Roman" w:cs="Times New Roman"/>
          <w:noProof/>
          <w:sz w:val="24"/>
          <w:szCs w:val="24"/>
        </w:rPr>
      </w:pPr>
      <w:r>
        <w:rPr>
          <w:rFonts w:ascii="Times New Roman" w:hAnsi="Times New Roman"/>
          <w:noProof/>
          <w:sz w:val="24"/>
        </w:rPr>
        <w:t xml:space="preserve">Evaluarea a constatat că activitatea REM este </w:t>
      </w:r>
      <w:r>
        <w:rPr>
          <w:rFonts w:ascii="Times New Roman" w:hAnsi="Times New Roman"/>
          <w:b/>
          <w:noProof/>
          <w:sz w:val="24"/>
        </w:rPr>
        <w:t>coerentă</w:t>
      </w:r>
      <w:r>
        <w:rPr>
          <w:rFonts w:ascii="Times New Roman" w:hAnsi="Times New Roman"/>
          <w:noProof/>
          <w:sz w:val="24"/>
        </w:rPr>
        <w:t xml:space="preserve"> cu politica europeană în materie de migrație și azil, inclusiv cu Pactul privind migrația și azilul și cu alte inițiative-cheie </w:t>
      </w:r>
      <w:r>
        <w:rPr>
          <w:rStyle w:val="BodyChar"/>
          <w:rFonts w:ascii="Times New Roman" w:eastAsiaTheme="minorHAnsi" w:hAnsi="Times New Roman"/>
          <w:noProof/>
          <w:sz w:val="24"/>
        </w:rPr>
        <w:t>selectate</w:t>
      </w:r>
      <w:r>
        <w:rPr>
          <w:rFonts w:ascii="Times New Roman" w:hAnsi="Times New Roman"/>
          <w:noProof/>
          <w:sz w:val="24"/>
        </w:rPr>
        <w:t xml:space="preserve"> în materie de politică în domeniul migrației. Livrabilele REM pentru sprijinirea elaborării politicilor și informarea publicului larg au fost în concordanță cu obiectivul Comisiei de a asigura politici echitabile și eficiente în materie de azil, returnare și integrare, precum și o mai bună gestionare a frontierelor externe ale UE. Contribuția REM la facilitarea cooperării practice și a schimbului de bune practici a reprezentat un instrument important pentru o aplicare mai coordonată a </w:t>
      </w:r>
      <w:r>
        <w:rPr>
          <w:rFonts w:ascii="Times New Roman" w:hAnsi="Times New Roman"/>
          <w:i/>
          <w:noProof/>
          <w:sz w:val="24"/>
        </w:rPr>
        <w:t>acquis-ului</w:t>
      </w:r>
      <w:r>
        <w:rPr>
          <w:rFonts w:ascii="Times New Roman" w:hAnsi="Times New Roman"/>
          <w:noProof/>
          <w:sz w:val="24"/>
        </w:rPr>
        <w:t xml:space="preserve"> UE existent. Contribuția a fost utilă pentru promovarea eforturilor de armonizare a punerii în aplicare a standardelor comune care reglementează procedurile de azil, condițiile de primire și recunoașterea resortisanților țărilor terțe care solicită protecție internațională. Înțelegerea comună a aspectelor legate de migrație, astfel cum a fost promovată de REM, a sprijinit introducerea unui nou mecanism de solidaritate în abordarea unei situații de presiune a migrației. Colectarea și schimbul de informații fiabile și actualizate au sprijinit dezvoltarea unei mai bune pregătiri pentru situații de criză și a unor răspunsuri mai bune la acestea, precum și dezvoltarea de noi căi legale în domeniul migrației și azilului.</w:t>
      </w:r>
    </w:p>
    <w:p w14:paraId="3D3EAC0B" w14:textId="024D7D37" w:rsidR="0035755F" w:rsidRPr="008A1614" w:rsidRDefault="0035755F" w:rsidP="00C60AB6">
      <w:pPr>
        <w:spacing w:after="120"/>
        <w:jc w:val="both"/>
        <w:rPr>
          <w:rFonts w:ascii="Times New Roman" w:hAnsi="Times New Roman" w:cs="Times New Roman"/>
          <w:noProof/>
          <w:sz w:val="24"/>
          <w:szCs w:val="24"/>
        </w:rPr>
      </w:pPr>
      <w:r>
        <w:rPr>
          <w:rFonts w:ascii="Times New Roman" w:hAnsi="Times New Roman"/>
          <w:noProof/>
          <w:sz w:val="24"/>
        </w:rPr>
        <w:t>REM a colectat și a furnizat informații relevante pentru Directiva privind cartea albastră a UE</w:t>
      </w:r>
      <w:r>
        <w:rPr>
          <w:rStyle w:val="FootnoteReference"/>
          <w:rFonts w:ascii="Times New Roman" w:hAnsi="Times New Roman" w:cs="Times New Roman"/>
          <w:noProof/>
          <w:sz w:val="24"/>
          <w:szCs w:val="24"/>
        </w:rPr>
        <w:footnoteReference w:id="13"/>
      </w:r>
      <w:r>
        <w:rPr>
          <w:rFonts w:ascii="Times New Roman" w:hAnsi="Times New Roman"/>
          <w:noProof/>
          <w:sz w:val="24"/>
        </w:rPr>
        <w:t>. Rapoartele anuale privind migrația și azilul (ARM) și fișele informative pe țări au raportat anual – iar buletinele trimestrial – măsurile naționale puse în aplicare de statele membre pentru a reglementa intrarea și șederea resortisanților țărilor terțe. Acest lucru a fost în deplină concordanță cu directiva, care stabilește condițiile de intrare și de ședere a resortisanților țărilor terțe pentru ocuparea unor locuri de muncă înalt calificate în statele membre. În plus, sprijinul REM pentru elaborarea unor indicatori de migrație îmbunătățiți, inclusiv în colaborare cu organismele relevante ale UE, s-a dovedit a fi în concordanță cu directiva respectivă.</w:t>
      </w:r>
    </w:p>
    <w:p w14:paraId="285B0281" w14:textId="0ADE0C74" w:rsidR="0035755F" w:rsidRPr="008A1614" w:rsidRDefault="0035755F" w:rsidP="00C60AB6">
      <w:pPr>
        <w:spacing w:after="120"/>
        <w:jc w:val="both"/>
        <w:rPr>
          <w:noProof/>
          <w:szCs w:val="24"/>
        </w:rPr>
      </w:pPr>
      <w:r>
        <w:rPr>
          <w:rFonts w:ascii="Times New Roman" w:hAnsi="Times New Roman"/>
          <w:noProof/>
          <w:sz w:val="24"/>
        </w:rPr>
        <w:t>S-a constatat, de asemenea, că obiectivele și activitățile REM sunt coerente cu cele ale planului de acțiune al UE împotriva introducerii ilegale de migranți</w:t>
      </w:r>
      <w:r>
        <w:rPr>
          <w:rStyle w:val="FootnoteReference"/>
          <w:rFonts w:ascii="Times New Roman" w:hAnsi="Times New Roman" w:cs="Times New Roman"/>
          <w:noProof/>
          <w:sz w:val="24"/>
          <w:szCs w:val="24"/>
        </w:rPr>
        <w:footnoteReference w:id="14"/>
      </w:r>
      <w:r>
        <w:rPr>
          <w:rFonts w:ascii="Times New Roman" w:hAnsi="Times New Roman"/>
          <w:noProof/>
          <w:sz w:val="24"/>
        </w:rPr>
        <w:t>. Ambele inițiative au avut în vedere colectarea de informații privind introducerea ilegală de migranți, asistența acordată migranților vulnerabili, precum și o cooperare mai strânsă cu țările terțe pentru combaterea migrației ilegale. În acest sens, în perioada 2018-2021, rapoartele anuale privind migrația și azilul și fișele informative pe țări ale REM au inclus o prezentare generală a celor mai recente evoluții ale politicilor naționale privind combaterea introducerii ilegale de migranți. REM și planul de acțiune al UE au sprijinit cooperarea cu țările terțe și cu agențiile relevante ale UE și producerea de informații obiective, actualizate, fiabile, relevante și comparabile.</w:t>
      </w:r>
    </w:p>
    <w:p w14:paraId="1A56162B" w14:textId="7A37521E" w:rsidR="0035755F" w:rsidRPr="008A1614" w:rsidRDefault="00502971" w:rsidP="00E413A4">
      <w:pPr>
        <w:spacing w:after="0"/>
        <w:jc w:val="both"/>
        <w:rPr>
          <w:rFonts w:ascii="Times New Roman" w:hAnsi="Times New Roman" w:cs="Times New Roman"/>
          <w:noProof/>
          <w:sz w:val="24"/>
          <w:szCs w:val="24"/>
        </w:rPr>
      </w:pPr>
      <w:r>
        <w:rPr>
          <w:rFonts w:ascii="Times New Roman" w:hAnsi="Times New Roman"/>
          <w:noProof/>
          <w:sz w:val="24"/>
        </w:rPr>
        <w:t>La nivel național, statele membre au adoptat evoluții ale politicilor în toate domeniile de politică acoperite de REM în perioada 2018-2021</w:t>
      </w:r>
      <w:r>
        <w:rPr>
          <w:rStyle w:val="FootnoteReference"/>
          <w:rFonts w:ascii="Times New Roman" w:hAnsi="Times New Roman" w:cs="Times New Roman"/>
          <w:noProof/>
          <w:sz w:val="24"/>
          <w:szCs w:val="24"/>
        </w:rPr>
        <w:footnoteReference w:id="15"/>
      </w:r>
      <w:r>
        <w:rPr>
          <w:rFonts w:ascii="Times New Roman" w:hAnsi="Times New Roman"/>
          <w:noProof/>
          <w:sz w:val="24"/>
        </w:rPr>
        <w:t>.</w:t>
      </w:r>
    </w:p>
    <w:p w14:paraId="31B84DF8" w14:textId="5229B411" w:rsidR="0035755F" w:rsidRPr="008A1614" w:rsidRDefault="00D112DA" w:rsidP="00C60AB6">
      <w:pPr>
        <w:spacing w:after="120"/>
        <w:jc w:val="both"/>
        <w:rPr>
          <w:rFonts w:ascii="Times New Roman" w:hAnsi="Times New Roman" w:cs="Times New Roman"/>
          <w:noProof/>
          <w:sz w:val="24"/>
          <w:szCs w:val="24"/>
        </w:rPr>
      </w:pPr>
      <w:r>
        <w:rPr>
          <w:rFonts w:ascii="Times New Roman" w:hAnsi="Times New Roman"/>
          <w:noProof/>
          <w:sz w:val="24"/>
        </w:rPr>
        <w:t>Analiza cooperării dintre REM și agențiile relevante (EUAA, Frontex și FRA) a indicat un grad ridicat de coerență și consecvență în ceea ce privește obiectivele și activitățile lor. Temeiurile</w:t>
      </w:r>
      <w:r>
        <w:rPr>
          <w:rFonts w:ascii="Times New Roman" w:hAnsi="Times New Roman"/>
          <w:b/>
          <w:noProof/>
          <w:sz w:val="24"/>
        </w:rPr>
        <w:t xml:space="preserve"> </w:t>
      </w:r>
      <w:r>
        <w:rPr>
          <w:rFonts w:ascii="Times New Roman" w:hAnsi="Times New Roman"/>
          <w:noProof/>
          <w:sz w:val="24"/>
        </w:rPr>
        <w:t>juridice</w:t>
      </w:r>
      <w:r>
        <w:rPr>
          <w:rFonts w:ascii="Times New Roman" w:hAnsi="Times New Roman"/>
          <w:b/>
          <w:noProof/>
          <w:sz w:val="24"/>
        </w:rPr>
        <w:t xml:space="preserve"> </w:t>
      </w:r>
      <w:r>
        <w:rPr>
          <w:rFonts w:ascii="Times New Roman" w:hAnsi="Times New Roman"/>
          <w:noProof/>
          <w:sz w:val="24"/>
        </w:rPr>
        <w:t>atât ale REM, cât și ale agențiilor, includ dispoziții specifice menite să evite suprapunerile, îmbunătățind în același timp sinergiile reciproce. În plus, reprezentanți ai agențiilor au fost invitați periodic la reuniunile REM pentru a încuraja colaborarea și a evita duplicarea activităților.</w:t>
      </w:r>
    </w:p>
    <w:p w14:paraId="52A572B4" w14:textId="50D9F61A" w:rsidR="006B4117" w:rsidRPr="008A1614" w:rsidRDefault="006B4117" w:rsidP="00C60AB6">
      <w:pPr>
        <w:spacing w:after="120"/>
        <w:jc w:val="both"/>
        <w:rPr>
          <w:rFonts w:ascii="Times New Roman" w:hAnsi="Times New Roman" w:cs="Times New Roman"/>
          <w:bCs/>
          <w:noProof/>
          <w:sz w:val="24"/>
          <w:szCs w:val="24"/>
        </w:rPr>
      </w:pPr>
      <w:r>
        <w:rPr>
          <w:rFonts w:ascii="Times New Roman" w:hAnsi="Times New Roman"/>
          <w:b/>
          <w:noProof/>
          <w:sz w:val="24"/>
        </w:rPr>
        <w:t>Valoarea adăugată europeană</w:t>
      </w:r>
      <w:r>
        <w:rPr>
          <w:rFonts w:ascii="Times New Roman" w:hAnsi="Times New Roman"/>
          <w:noProof/>
          <w:sz w:val="24"/>
        </w:rPr>
        <w:t xml:space="preserve"> a REM a fost reconfirmată în cursul evaluării, care a demonstrat că multe dintre realizările REM nu ar fi putut fi obținute fără activitatea și sprijinul său, în special în ceea ce privește schimbul de bune practici și consolidarea unei cooperări stabile și practice între statele membre, precum și abordarea nevoilor de informare ale factorilor de decizie de la nivel național.</w:t>
      </w:r>
    </w:p>
    <w:p w14:paraId="302E4D0A" w14:textId="32B2080A" w:rsidR="006B4117" w:rsidRPr="008A1614" w:rsidRDefault="006B4117" w:rsidP="00C60AB6">
      <w:pPr>
        <w:spacing w:after="120"/>
        <w:jc w:val="both"/>
        <w:rPr>
          <w:rFonts w:ascii="Times New Roman" w:hAnsi="Times New Roman" w:cs="Times New Roman"/>
          <w:noProof/>
          <w:sz w:val="24"/>
          <w:szCs w:val="24"/>
        </w:rPr>
      </w:pPr>
      <w:r>
        <w:rPr>
          <w:rFonts w:ascii="Times New Roman" w:hAnsi="Times New Roman"/>
          <w:noProof/>
          <w:sz w:val="24"/>
        </w:rPr>
        <w:t>Părțile interesate au reafirmat că REM a adus o valoare adăugată remarcabilă, inclusiv sprijin direct pentru cooperarea consolidată, atât în cadrul Uniunii, cât și în afara acesteia. Caracterul stabil al REM și accesul extins al acesteia la o gamă largă de părți interesate, atât din sectorul guvernamental, cât și din cel neguvernamental au creat un mediu în care s-au construit relații și s-a putut dezvolta încrederea reciprocă între actorii din domeniul migrației și azilului, atât între statele membre, cât și în interiorul acestora. Dezvoltarea unor relații stabile cu actorii naționali a fost esențială pentru obținerea accesului la date concrete și pentru asigurarea producerii de informații actualizate și cuprinzătoare.</w:t>
      </w:r>
    </w:p>
    <w:p w14:paraId="41DD75DF" w14:textId="609AE2A8" w:rsidR="006B4117" w:rsidRPr="008A1614" w:rsidRDefault="00226246" w:rsidP="00C60AB6">
      <w:pPr>
        <w:spacing w:after="120"/>
        <w:jc w:val="both"/>
        <w:rPr>
          <w:rFonts w:ascii="Times New Roman" w:hAnsi="Times New Roman" w:cs="Times New Roman"/>
          <w:noProof/>
          <w:sz w:val="24"/>
          <w:szCs w:val="24"/>
        </w:rPr>
      </w:pPr>
      <w:r>
        <w:rPr>
          <w:rFonts w:ascii="Times New Roman" w:hAnsi="Times New Roman"/>
          <w:noProof/>
          <w:sz w:val="24"/>
        </w:rPr>
        <w:t>De asemenea, evaluarea a confirmat faptul că informațiile produse de REM au fost foarte bune în ceea ce privește calitatea, exhaustivitatea și relevanța în comparație cu alte surse disponibile la nivel național. Nicio altă rețea sau organizație la nivelul UE nu a fost în măsură să ofere aceleași proceduri structurate și standarde de calitate pentru colectarea și schimbul de informații, precum și să asigure comunicarea și schimbul de date între toți membrii REM. REM a fost considerată de majoritatea părților interesate drept un „ghișeu unic” pentru informațiile legate de migrație care nu sunt disponibile în altă parte. Evaluarea a arătat, de asemenea, că, în cazul în care REM ar fi fost desființată, ar fi fost dificil să se asigure o furnizare stabilă a activităților și a livrabilelor sale la un nivel comparabil.</w:t>
      </w:r>
    </w:p>
    <w:p w14:paraId="4FBEB084" w14:textId="756BCCCE" w:rsidR="0078377A" w:rsidRPr="008A1614" w:rsidRDefault="0078377A" w:rsidP="00C60AB6">
      <w:pPr>
        <w:spacing w:after="120"/>
        <w:jc w:val="both"/>
        <w:rPr>
          <w:rFonts w:ascii="Times New Roman" w:hAnsi="Times New Roman" w:cs="Times New Roman"/>
          <w:noProof/>
          <w:sz w:val="24"/>
          <w:szCs w:val="24"/>
        </w:rPr>
      </w:pPr>
      <w:r>
        <w:rPr>
          <w:rFonts w:ascii="Times New Roman" w:hAnsi="Times New Roman"/>
          <w:b/>
          <w:noProof/>
          <w:sz w:val="24"/>
        </w:rPr>
        <w:t>Relevanța</w:t>
      </w:r>
      <w:r>
        <w:rPr>
          <w:rFonts w:ascii="Times New Roman" w:hAnsi="Times New Roman"/>
          <w:noProof/>
          <w:sz w:val="24"/>
        </w:rPr>
        <w:t xml:space="preserve"> REM a fost confirmată de nivelul ridicat de aliniere dintre domeniul de aplicare al livrabilelor, al conferințelor și al evenimentelor REM, pe de o parte, și provocările și prioritățile din domeniul migrației și azilului în UE, pe de altă parte. Deși principalele obiective ale REM au rămas neschimbate în cursul perioadei de evaluare, obiectivele specifice enumerate în programele sale de lucru au evoluat, cu un accent tot mai mare pe noile tehnologii și pe cooperarea consolidată cu țările terțe. Această orientare în continuă evoluție a reflectat provocările emergente și evoluțiile în materie de politici care au influențat contextul UE în materie de migrație și azil de-a lungul anilor.</w:t>
      </w:r>
    </w:p>
    <w:p w14:paraId="00AD8791" w14:textId="2C055E97" w:rsidR="00122A5C" w:rsidRPr="0012765D" w:rsidRDefault="0078377A" w:rsidP="0078377A">
      <w:pPr>
        <w:jc w:val="both"/>
        <w:rPr>
          <w:rFonts w:ascii="Times New Roman" w:hAnsi="Times New Roman" w:cs="Times New Roman"/>
          <w:bCs/>
          <w:noProof/>
          <w:sz w:val="24"/>
          <w:szCs w:val="24"/>
        </w:rPr>
      </w:pPr>
      <w:r>
        <w:rPr>
          <w:rFonts w:ascii="Times New Roman" w:hAnsi="Times New Roman"/>
          <w:noProof/>
          <w:sz w:val="24"/>
        </w:rPr>
        <w:t>Alinierea dintre atenția acordată produselor REM și subiectele prioritare propuse de statele membre a fost confirmată în evaluare. Deși REM a fost considerată adecvată scopului în ceea ce privește nevoile factorilor de decizie de la nivel național, a fost confirmată doar o aliniere parțială la nevoile publicului larg</w:t>
      </w:r>
      <w:r>
        <w:rPr>
          <w:rStyle w:val="FootnoteReference"/>
          <w:rFonts w:ascii="Times New Roman" w:hAnsi="Times New Roman" w:cs="Times New Roman"/>
          <w:bCs/>
          <w:noProof/>
          <w:sz w:val="24"/>
          <w:szCs w:val="24"/>
          <w:lang w:eastAsia="fr-FR"/>
        </w:rPr>
        <w:footnoteReference w:id="16"/>
      </w:r>
      <w:r>
        <w:rPr>
          <w:rFonts w:ascii="Times New Roman" w:hAnsi="Times New Roman"/>
          <w:noProof/>
          <w:sz w:val="24"/>
        </w:rPr>
        <w:t xml:space="preserve">. </w:t>
      </w:r>
    </w:p>
    <w:p w14:paraId="0391B08C" w14:textId="435E84B3" w:rsidR="00122A5C" w:rsidRPr="0012765D" w:rsidRDefault="7FC8B933" w:rsidP="366D7DA6">
      <w:pPr>
        <w:pStyle w:val="ListParagraph"/>
        <w:numPr>
          <w:ilvl w:val="0"/>
          <w:numId w:val="1"/>
        </w:numPr>
        <w:jc w:val="both"/>
        <w:rPr>
          <w:rFonts w:ascii="Times New Roman" w:hAnsi="Times New Roman" w:cs="Times New Roman"/>
          <w:b/>
          <w:bCs/>
          <w:noProof/>
          <w:sz w:val="24"/>
          <w:szCs w:val="24"/>
        </w:rPr>
      </w:pPr>
      <w:r>
        <w:rPr>
          <w:rFonts w:ascii="Times New Roman" w:hAnsi="Times New Roman"/>
          <w:b/>
          <w:noProof/>
          <w:sz w:val="24"/>
        </w:rPr>
        <w:t>CONCLUZII ȘI ÎNVĂȚĂMINTE DESPRINSE</w:t>
      </w:r>
    </w:p>
    <w:p w14:paraId="47A319C8" w14:textId="1BFD464B" w:rsidR="00122A5C" w:rsidRPr="0012765D" w:rsidRDefault="00075EDD" w:rsidP="00C60AB6">
      <w:pPr>
        <w:spacing w:after="120"/>
        <w:jc w:val="both"/>
        <w:rPr>
          <w:rFonts w:ascii="Times New Roman" w:hAnsi="Times New Roman" w:cs="Times New Roman"/>
          <w:bCs/>
          <w:noProof/>
          <w:sz w:val="24"/>
          <w:szCs w:val="24"/>
        </w:rPr>
      </w:pPr>
      <w:r>
        <w:rPr>
          <w:rFonts w:ascii="Times New Roman" w:hAnsi="Times New Roman"/>
          <w:noProof/>
          <w:sz w:val="24"/>
        </w:rPr>
        <w:t xml:space="preserve">Evaluarea a confirmat că, în perioada 2018-2021, performanța REM a fost conformă cu mandatul său și a sprijinit atingerea obiectivelor sale. Punerea în aplicare a activităților REM s-a dovedit a fi eficientă din punctul de vedere al costurilor, inclusiv pentru activitățile cu valoare ridicată (evenimente naționale și participarea la reuniunile REM). </w:t>
      </w:r>
    </w:p>
    <w:p w14:paraId="681B501D" w14:textId="2FD3FF35" w:rsidR="00FF26F8" w:rsidRDefault="00FA15DB" w:rsidP="00C60AB6">
      <w:pPr>
        <w:spacing w:after="120"/>
        <w:jc w:val="both"/>
        <w:rPr>
          <w:rFonts w:ascii="Times New Roman" w:hAnsi="Times New Roman" w:cs="Times New Roman"/>
          <w:bCs/>
          <w:noProof/>
          <w:sz w:val="24"/>
          <w:szCs w:val="24"/>
        </w:rPr>
      </w:pPr>
      <w:r>
        <w:rPr>
          <w:rFonts w:ascii="Times New Roman" w:hAnsi="Times New Roman"/>
          <w:b/>
          <w:noProof/>
          <w:sz w:val="24"/>
        </w:rPr>
        <w:t>Eficacitatea</w:t>
      </w:r>
      <w:r>
        <w:rPr>
          <w:rFonts w:ascii="Times New Roman" w:hAnsi="Times New Roman"/>
          <w:noProof/>
          <w:sz w:val="24"/>
        </w:rPr>
        <w:t xml:space="preserve"> crescândă a REM a fost, de asemenea, confirmată prin concentrarea asupra activităților care îi sporesc vizibilitatea (prin prezența sa online, publicații și evenimente). Consolidarea în continuare a acestui rol a fost considerată necesară pentru o mai bună mobilizare a partenerilor naționali în vederea promovării activităților REM.</w:t>
      </w:r>
    </w:p>
    <w:p w14:paraId="7ADD6417" w14:textId="2788EC7F" w:rsidR="00FF26F8" w:rsidRPr="00A22A47" w:rsidRDefault="00FF26F8" w:rsidP="00C60AB6">
      <w:pPr>
        <w:spacing w:after="120"/>
        <w:jc w:val="both"/>
        <w:rPr>
          <w:rFonts w:ascii="Times New Roman" w:hAnsi="Times New Roman" w:cs="Times New Roman"/>
          <w:bCs/>
          <w:noProof/>
          <w:sz w:val="24"/>
          <w:szCs w:val="24"/>
        </w:rPr>
      </w:pPr>
      <w:r>
        <w:rPr>
          <w:rFonts w:ascii="Times New Roman" w:hAnsi="Times New Roman"/>
          <w:noProof/>
          <w:sz w:val="24"/>
        </w:rPr>
        <w:t xml:space="preserve">Analizarea </w:t>
      </w:r>
      <w:r>
        <w:rPr>
          <w:rFonts w:ascii="Times New Roman" w:hAnsi="Times New Roman"/>
          <w:b/>
          <w:noProof/>
          <w:sz w:val="24"/>
        </w:rPr>
        <w:t>eficienței</w:t>
      </w:r>
      <w:r>
        <w:rPr>
          <w:rFonts w:ascii="Times New Roman" w:hAnsi="Times New Roman"/>
          <w:noProof/>
          <w:sz w:val="24"/>
        </w:rPr>
        <w:t xml:space="preserve"> REM în cadrul evaluării a reprezentat o provocare din cauza constrângerilor metodologice în ceea ce privește disponibilitatea datelor financiare, având în vedere decalajul temporal dintre anii evaluați și perioada de colectare a dovezilor, precum și lipsa datelor pentru perioada specifică 2018-2021, având în vedere nealinierea perioadei de evaluare la programele de lucru ale REM. Pentru atenuarea acestei probleme, </w:t>
      </w:r>
      <w:bookmarkStart w:id="3" w:name="_Hlk214621316"/>
      <w:r>
        <w:rPr>
          <w:rFonts w:ascii="Times New Roman" w:hAnsi="Times New Roman"/>
          <w:noProof/>
          <w:sz w:val="24"/>
        </w:rPr>
        <w:t>analiza s-a bazat pe alocările bugetare</w:t>
      </w:r>
      <w:bookmarkEnd w:id="3"/>
      <w:r>
        <w:rPr>
          <w:rFonts w:ascii="Times New Roman" w:hAnsi="Times New Roman"/>
          <w:noProof/>
          <w:sz w:val="24"/>
        </w:rPr>
        <w:t xml:space="preserve"> și s-a ținut cont de datele financiare disponibile din anii 2017 și 2022. În pofida limitărilor, evaluarea a confirmat că finanțarea din FAMI a fost în mare măsură suficientă pentru a acoperi funcționarea REM și proporțională cu varietatea de activități desfășurate de REM. S-a constatat, de asemenea, că arhitectura guvernanței REM a fost adecvată pentru punerea în aplicare a diferitelor activități în conformitate cu programele de lucru în perioada supusă evaluării. De asemenea, furnizorul de servicii al REM a jucat un rol important în asigurarea bunei funcționări a rețelei. </w:t>
      </w:r>
    </w:p>
    <w:p w14:paraId="1A55B45A" w14:textId="2A08AAE0" w:rsidR="00FF26F8" w:rsidRPr="00A22A47" w:rsidRDefault="00FF26F8" w:rsidP="00C60AB6">
      <w:pPr>
        <w:spacing w:after="120"/>
        <w:jc w:val="both"/>
        <w:rPr>
          <w:rFonts w:ascii="Times New Roman" w:hAnsi="Times New Roman" w:cs="Times New Roman"/>
          <w:noProof/>
          <w:sz w:val="24"/>
          <w:szCs w:val="24"/>
        </w:rPr>
      </w:pPr>
      <w:r>
        <w:rPr>
          <w:rFonts w:ascii="Times New Roman" w:hAnsi="Times New Roman"/>
          <w:noProof/>
          <w:sz w:val="24"/>
        </w:rPr>
        <w:t xml:space="preserve">La nivelul UE, evaluarea a confirmat un nivel ridicat de </w:t>
      </w:r>
      <w:r>
        <w:rPr>
          <w:rFonts w:ascii="Times New Roman" w:hAnsi="Times New Roman"/>
          <w:b/>
          <w:noProof/>
          <w:sz w:val="24"/>
        </w:rPr>
        <w:t>coerență</w:t>
      </w:r>
      <w:r>
        <w:rPr>
          <w:rFonts w:ascii="Times New Roman" w:hAnsi="Times New Roman"/>
          <w:noProof/>
          <w:sz w:val="24"/>
        </w:rPr>
        <w:t xml:space="preserve"> între activitățile REM și prioritățile-cheie ale UE în domeniul migrației și azilului. S-a constatat că obiectivele REM sunt aliniate la inițiativele relevante selectate luate în UE în cursul perioadei de evaluare, și anume Pactul privind migrația și azilul, Directiva revizuită privind cartea albastră a UE și Planul de acțiune al UE împotriva introducerii ilegale de migranți. Aceste inițiative au fost evidențiate datorită relevanței lor directe pentru activitățile analitice și cele legate de schimbul de informații ale REM. Cadrele internaționale evaluate au fost limitate de mandatul REM în ceea ce privește activitățile legate de migrație în statele membre ale UE și în țările cu statut de observator în cadrul REM. S-a constatat, de asemenea, că abordarea cuprinzătoare a REM în ceea ce privește migrația este în concordanță cu domeniul de acțiune specific al fiecăreia dintre aceste inițiative. Unicitatea produselor REM constă în gama largă de subiecte abordate în livrabilele sale, precum și în capacitatea de a colecta date și informații direct de către statele membre, care s-a transpus într-o mai mare fiabilitate și comparabilitate. În final, cooperarea consolidată dintre REM și reprezentanții de la nivelul UE a contribuit la asigurarea faptului că scopurile comune nu duc la duplicarea eforturilor.</w:t>
      </w:r>
    </w:p>
    <w:p w14:paraId="64F4AD0C" w14:textId="313722C5" w:rsidR="00FF26F8" w:rsidRPr="00A22A47" w:rsidRDefault="00FF26F8" w:rsidP="00C60AB6">
      <w:pPr>
        <w:spacing w:after="120"/>
        <w:jc w:val="both"/>
        <w:rPr>
          <w:rFonts w:ascii="Times New Roman" w:hAnsi="Times New Roman" w:cs="Times New Roman"/>
          <w:bCs/>
          <w:noProof/>
          <w:sz w:val="24"/>
          <w:szCs w:val="24"/>
        </w:rPr>
      </w:pPr>
      <w:r>
        <w:rPr>
          <w:rFonts w:ascii="Times New Roman" w:hAnsi="Times New Roman"/>
          <w:noProof/>
          <w:sz w:val="24"/>
        </w:rPr>
        <w:t>La nivel național, a fost identificat, de asemenea, un nivel ridicat de coerență între temele acoperite de rezultatele REM și evoluțiile politicilor statelor membre în perioada 2018-2021. Acest lucru a fost în primul rând rezultatul procesului consultativ de selecție a temelor de către REM care trebuiau să fie prioritizate în cadrul produselor sale, ceea ce a necesitat mai multe runde de consultări între Comisie și statele membre, atât în cadrul Comitetului director, cât și în cadrul punctelor naționale de contact, care au contribuit la satisfacerea nevoilor diferitelor părți interesate la nivel național. Procesul consultativ, o caracteristică distinctivă a rețelei, a avut ca inconvenient faptul că rundele repetate de consultări au necesitat mult timp. Totuși, costul perceput al rundelor de consultări s-a dovedit a fi depășit de beneficiile procesului și de consensul la care s-a ajuns.</w:t>
      </w:r>
    </w:p>
    <w:p w14:paraId="199F82B9" w14:textId="77777777" w:rsidR="00FF26F8" w:rsidRPr="00A22A47" w:rsidRDefault="00FF26F8" w:rsidP="00C60AB6">
      <w:pPr>
        <w:spacing w:after="120"/>
        <w:jc w:val="both"/>
        <w:rPr>
          <w:rFonts w:ascii="Times New Roman" w:hAnsi="Times New Roman" w:cs="Times New Roman"/>
          <w:bCs/>
          <w:noProof/>
          <w:sz w:val="24"/>
          <w:szCs w:val="24"/>
        </w:rPr>
      </w:pPr>
      <w:r>
        <w:rPr>
          <w:rFonts w:ascii="Times New Roman" w:hAnsi="Times New Roman"/>
          <w:noProof/>
          <w:sz w:val="24"/>
        </w:rPr>
        <w:t>Evaluarea a constatat, de asemenea, că capacitatea de reacție a REM la nevoile publicului larg rămâne un domeniu care necesită îmbunătățiri suplimentare. Informațiile produse de REM au fost uneori de natură tehnică și, prin urmare, nu au fost adaptate în mod adecvat la nevoile publicului larg. Au fost identificate, de asemenea, posibilități de îmbunătățire în ceea ce privește modul în care sunt comunicate rezultatele REM. În pofida obținerii unei vizibilități sporite a REM la nivelul UE, activitățile de schimb de informații la nivel național, inclusiv comunicarea cu mass-media, s-au dovedit a fi oarecum limitate, atât în ceea ce privește numărul lor, cât și raza de acțiune, iar comunicarea activităților REM a rămas în principal limitată la cercul factorilor de decizie. Pentru a aborda acest aspect, în 2021, REM a întreprins mai multe acțiuni menite să îmbunătățească diseminarea activităților și rezultatelor sale în rândul publicului larg și publicarea acestora. Efectele acestor eforturi vor fi analizate în cadrul următoarei evaluări a REM.</w:t>
      </w:r>
    </w:p>
    <w:p w14:paraId="1766B320" w14:textId="77777777" w:rsidR="00FF26F8" w:rsidRPr="00A22A47" w:rsidRDefault="00FF26F8" w:rsidP="00C60AB6">
      <w:pPr>
        <w:spacing w:after="120"/>
        <w:jc w:val="both"/>
        <w:rPr>
          <w:rFonts w:ascii="Times New Roman" w:hAnsi="Times New Roman" w:cs="Times New Roman"/>
          <w:bCs/>
          <w:noProof/>
          <w:sz w:val="24"/>
          <w:szCs w:val="24"/>
        </w:rPr>
      </w:pPr>
      <w:bookmarkStart w:id="4" w:name="_Toc139545010"/>
      <w:r>
        <w:rPr>
          <w:rFonts w:ascii="Times New Roman" w:hAnsi="Times New Roman"/>
          <w:noProof/>
          <w:sz w:val="24"/>
        </w:rPr>
        <w:t xml:space="preserve">Evaluarea a confirmat că REM a adus o </w:t>
      </w:r>
      <w:r>
        <w:rPr>
          <w:rFonts w:ascii="Times New Roman" w:hAnsi="Times New Roman"/>
          <w:b/>
          <w:noProof/>
          <w:sz w:val="24"/>
        </w:rPr>
        <w:t>valoare adăugată europeană</w:t>
      </w:r>
      <w:r>
        <w:rPr>
          <w:rFonts w:ascii="Times New Roman" w:hAnsi="Times New Roman"/>
          <w:noProof/>
          <w:sz w:val="24"/>
        </w:rPr>
        <w:t xml:space="preserve"> remarcabilă. Promovarea schimbului și a furnizării de informații comparative și de înaltă calitate și de bune practici în domeniul migrației și azilului, precum și consolidarea cooperării practice în domeniul politicii privind migrația între statele membre, UE și organizațiile internaționale, precum și între actorii naționali, nu ar fi putut fi realizate la un nivel comparabil fără activitățile rețelei. În plus, rapoartele REM au contribuit la o înțelegere comună a principalelor caracteristici legate de migrație în rândul factorilor de decizie din statele membre ale UE.</w:t>
      </w:r>
    </w:p>
    <w:p w14:paraId="290CB8D3" w14:textId="3B6365C4" w:rsidR="00FF26F8" w:rsidRPr="0012765D" w:rsidRDefault="00FF26F8" w:rsidP="00C60AB6">
      <w:pPr>
        <w:spacing w:after="120"/>
        <w:jc w:val="both"/>
        <w:rPr>
          <w:rFonts w:ascii="Times New Roman" w:hAnsi="Times New Roman" w:cs="Times New Roman"/>
          <w:bCs/>
          <w:noProof/>
          <w:sz w:val="24"/>
          <w:szCs w:val="24"/>
        </w:rPr>
      </w:pPr>
      <w:r>
        <w:rPr>
          <w:rFonts w:ascii="Times New Roman" w:hAnsi="Times New Roman"/>
          <w:noProof/>
          <w:sz w:val="24"/>
        </w:rPr>
        <w:t xml:space="preserve">Dacă REM ar fi fost desființată, ar fi fost dificil să se asigure continuarea activităților sale, în special existența rețelelor naționale de migrație, schimbul de informații cu țările terțe și elaborarea de rapoarte naționale privind migrația și azilul în toate statele membre. În acest context, temeiul juridic al REM a fost considerat adecvat, deoarece a oferit un mandat suficient, care a fost însoțit de resurse proporționale </w:t>
      </w:r>
      <w:bookmarkEnd w:id="4"/>
      <w:r>
        <w:rPr>
          <w:rFonts w:ascii="Times New Roman" w:hAnsi="Times New Roman"/>
          <w:noProof/>
          <w:sz w:val="24"/>
        </w:rPr>
        <w:t>pentru a atinge obiectivele REM.</w:t>
      </w:r>
    </w:p>
    <w:p w14:paraId="2FF019D5" w14:textId="081C79D2" w:rsidR="00460BE2" w:rsidRPr="0012765D" w:rsidRDefault="000E6ECF" w:rsidP="00C60AB6">
      <w:pPr>
        <w:spacing w:after="120"/>
        <w:jc w:val="both"/>
        <w:rPr>
          <w:rFonts w:ascii="Times New Roman" w:hAnsi="Times New Roman" w:cs="Times New Roman"/>
          <w:noProof/>
          <w:sz w:val="24"/>
          <w:szCs w:val="24"/>
        </w:rPr>
      </w:pPr>
      <w:r>
        <w:rPr>
          <w:rFonts w:ascii="Times New Roman" w:hAnsi="Times New Roman"/>
          <w:noProof/>
          <w:sz w:val="24"/>
        </w:rPr>
        <w:t xml:space="preserve">Evaluarea a identificat cinci domenii în care ar fi necesară o atenție suplimentară în viitor pentru a consolida funcționarea REM atât la nivelul UE, cât și la nivel național. </w:t>
      </w:r>
      <w:r>
        <w:rPr>
          <w:rFonts w:ascii="Times New Roman" w:hAnsi="Times New Roman"/>
          <w:b/>
          <w:noProof/>
          <w:sz w:val="24"/>
        </w:rPr>
        <w:t xml:space="preserve">Cele cinci învățăminte desprinse </w:t>
      </w:r>
      <w:r>
        <w:rPr>
          <w:rFonts w:ascii="Times New Roman" w:hAnsi="Times New Roman"/>
          <w:noProof/>
          <w:sz w:val="24"/>
        </w:rPr>
        <w:t>sunt:</w:t>
      </w:r>
    </w:p>
    <w:p w14:paraId="6EE55438" w14:textId="305107BD"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menținerea coerenței depline între evoluția priorităților de politică ale UE și activitățile REM definite în programele de lucru;</w:t>
      </w:r>
    </w:p>
    <w:p w14:paraId="6EDCD895" w14:textId="2FA2B028"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asigurarea implicării periodice a Centrului Comun de Cercetare (JRC) în reuniunile Comitetului director și ale punctelor de contact naționale;</w:t>
      </w:r>
    </w:p>
    <w:p w14:paraId="296DD03B" w14:textId="0F9B9718"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asigurarea includerii unei secțiuni privind bunele practici naționale în rapoartele anuale privind migrația și azilul și studiile REM;</w:t>
      </w:r>
    </w:p>
    <w:p w14:paraId="74DA23E6" w14:textId="5F001D3A"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elaborarea de orientări privind întocmirea de statistici naționale privind migrația, în colaborare cu Eurostat;</w:t>
      </w:r>
    </w:p>
    <w:p w14:paraId="6FA01ECB" w14:textId="226E2C0A" w:rsidR="00460BE2" w:rsidRPr="0012765D" w:rsidRDefault="005C4DB9" w:rsidP="00460BE2">
      <w:pPr>
        <w:pStyle w:val="ListParagraph"/>
        <w:numPr>
          <w:ilvl w:val="0"/>
          <w:numId w:val="4"/>
        </w:numPr>
        <w:jc w:val="both"/>
        <w:rPr>
          <w:rFonts w:ascii="Times New Roman" w:hAnsi="Times New Roman" w:cs="Times New Roman"/>
          <w:noProof/>
          <w:sz w:val="24"/>
          <w:szCs w:val="24"/>
        </w:rPr>
      </w:pPr>
      <w:r>
        <w:rPr>
          <w:rFonts w:ascii="Times New Roman" w:hAnsi="Times New Roman"/>
          <w:noProof/>
          <w:sz w:val="24"/>
        </w:rPr>
        <w:t>elaborarea unei strategii privind modul de înființare și gestionare a rețelelor naționale de migrație.</w:t>
      </w:r>
    </w:p>
    <w:p w14:paraId="01790844" w14:textId="7265ED72" w:rsidR="00A13F09" w:rsidRPr="0012765D" w:rsidRDefault="00CB56A9" w:rsidP="00C60AB6">
      <w:pPr>
        <w:spacing w:after="120"/>
        <w:jc w:val="both"/>
        <w:rPr>
          <w:rFonts w:ascii="Times New Roman" w:hAnsi="Times New Roman" w:cs="Times New Roman"/>
          <w:noProof/>
          <w:sz w:val="24"/>
          <w:szCs w:val="24"/>
        </w:rPr>
      </w:pPr>
      <w:r>
        <w:rPr>
          <w:rFonts w:ascii="Times New Roman" w:hAnsi="Times New Roman"/>
          <w:noProof/>
          <w:sz w:val="24"/>
        </w:rPr>
        <w:t xml:space="preserve">În ansamblu, evaluarea a recunoscut </w:t>
      </w:r>
      <w:r>
        <w:rPr>
          <w:rFonts w:ascii="Times New Roman" w:hAnsi="Times New Roman"/>
          <w:b/>
          <w:noProof/>
          <w:sz w:val="24"/>
        </w:rPr>
        <w:t>contribuția pozitivă</w:t>
      </w:r>
      <w:r>
        <w:rPr>
          <w:rFonts w:ascii="Times New Roman" w:hAnsi="Times New Roman"/>
          <w:noProof/>
          <w:sz w:val="24"/>
        </w:rPr>
        <w:t xml:space="preserve"> a Rețelei europene de migrație la nevoile și obiectivele de politică ale politicii UE în domeniul migrației. În cazul tuturor celor cinci criterii evaluate, s-a constatat în mod constant că REM a obținut rezultate bune, fiind eficace în desfășurarea activităților relevante, oferind o valoare adăugată europeană solidă, utilizând în mod adecvat și eficient resursele disponibile și într-un mod coerent în cadrul pe care îl exploatează. Evaluarea nu a propus modificări în vederea revizuirii Deciziei 2008/381/CE a Consiliului.</w:t>
      </w:r>
    </w:p>
    <w:p w14:paraId="36420E2F" w14:textId="7C197831" w:rsidR="000248E5" w:rsidRPr="0012765D" w:rsidRDefault="000248E5" w:rsidP="00C60AB6">
      <w:pPr>
        <w:spacing w:after="120"/>
        <w:jc w:val="both"/>
        <w:rPr>
          <w:rFonts w:ascii="Times New Roman" w:hAnsi="Times New Roman" w:cs="Times New Roman"/>
          <w:noProof/>
          <w:sz w:val="24"/>
          <w:szCs w:val="24"/>
        </w:rPr>
      </w:pPr>
    </w:p>
    <w:sectPr w:rsidR="000248E5" w:rsidRPr="0012765D" w:rsidSect="009D1780">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EF5FA7" w14:textId="77777777" w:rsidR="00651DA0" w:rsidRPr="0012765D" w:rsidRDefault="00651DA0" w:rsidP="00A12EA7">
      <w:pPr>
        <w:spacing w:after="0" w:line="240" w:lineRule="auto"/>
      </w:pPr>
      <w:r>
        <w:separator/>
      </w:r>
    </w:p>
  </w:endnote>
  <w:endnote w:type="continuationSeparator" w:id="0">
    <w:p w14:paraId="4279356A" w14:textId="77777777" w:rsidR="00651DA0" w:rsidRPr="0012765D" w:rsidRDefault="00651DA0" w:rsidP="00A12EA7">
      <w:pPr>
        <w:spacing w:after="0" w:line="240" w:lineRule="auto"/>
      </w:pPr>
      <w:r>
        <w:continuationSeparator/>
      </w:r>
    </w:p>
  </w:endnote>
  <w:endnote w:type="continuationNotice" w:id="1">
    <w:p w14:paraId="707ED3D9" w14:textId="77777777" w:rsidR="00651DA0" w:rsidRPr="0012765D" w:rsidRDefault="00651DA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533C1F" w14:textId="19C99B84" w:rsidR="00F50CB9" w:rsidRPr="00F50CB9" w:rsidRDefault="00F50CB9" w:rsidP="00F50CB9">
    <w:pPr>
      <w:pStyle w:val="FooterCoverPage"/>
      <w:rPr>
        <w:rFonts w:ascii="Arial" w:hAnsi="Arial" w:cs="Arial"/>
        <w:b/>
        <w:sz w:val="48"/>
      </w:rPr>
    </w:pPr>
    <w:r w:rsidRPr="00F50CB9">
      <w:rPr>
        <w:rFonts w:ascii="Arial" w:hAnsi="Arial" w:cs="Arial"/>
        <w:b/>
        <w:sz w:val="48"/>
      </w:rPr>
      <w:t>RO</w:t>
    </w:r>
    <w:r w:rsidRPr="00F50CB9">
      <w:rPr>
        <w:rFonts w:ascii="Arial" w:hAnsi="Arial" w:cs="Arial"/>
        <w:b/>
        <w:sz w:val="48"/>
      </w:rPr>
      <w:tab/>
    </w:r>
    <w:r w:rsidRPr="00F50CB9">
      <w:rPr>
        <w:rFonts w:ascii="Arial" w:hAnsi="Arial" w:cs="Arial"/>
        <w:b/>
        <w:sz w:val="48"/>
      </w:rPr>
      <w:tab/>
    </w:r>
    <w:r w:rsidRPr="00F50CB9">
      <w:tab/>
    </w:r>
    <w:r w:rsidRPr="00F50CB9">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06C3B" w14:textId="23285FFC" w:rsidR="00F50CB9" w:rsidRPr="00F50CB9" w:rsidRDefault="00F50CB9" w:rsidP="00F50CB9">
    <w:pPr>
      <w:pStyle w:val="FooterCoverPage"/>
      <w:rPr>
        <w:rFonts w:ascii="Arial" w:hAnsi="Arial" w:cs="Arial"/>
        <w:b/>
        <w:sz w:val="48"/>
      </w:rPr>
    </w:pPr>
    <w:r w:rsidRPr="00F50CB9">
      <w:rPr>
        <w:rFonts w:ascii="Arial" w:hAnsi="Arial" w:cs="Arial"/>
        <w:b/>
        <w:sz w:val="48"/>
      </w:rPr>
      <w:t>RO</w:t>
    </w:r>
    <w:r w:rsidRPr="00F50CB9">
      <w:rPr>
        <w:rFonts w:ascii="Arial" w:hAnsi="Arial" w:cs="Arial"/>
        <w:b/>
        <w:sz w:val="48"/>
      </w:rPr>
      <w:tab/>
    </w:r>
    <w:r w:rsidRPr="00F50CB9">
      <w:rPr>
        <w:rFonts w:ascii="Arial" w:hAnsi="Arial" w:cs="Arial"/>
        <w:b/>
        <w:sz w:val="48"/>
      </w:rPr>
      <w:tab/>
    </w:r>
    <w:r w:rsidRPr="00F50CB9">
      <w:tab/>
    </w:r>
    <w:r w:rsidRPr="00F50CB9">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3F175" w14:textId="77777777" w:rsidR="00F50CB9" w:rsidRPr="00F50CB9" w:rsidRDefault="00F50CB9" w:rsidP="00F50CB9">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FA1ED" w14:textId="77777777" w:rsidR="009D1780" w:rsidRPr="0012765D" w:rsidRDefault="009D178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666049"/>
      <w:docPartObj>
        <w:docPartGallery w:val="Page Numbers (Bottom of Page)"/>
        <w:docPartUnique/>
      </w:docPartObj>
    </w:sdtPr>
    <w:sdtEndPr/>
    <w:sdtContent>
      <w:p w14:paraId="5CC8B99F" w14:textId="3CE845B2" w:rsidR="00A52C40" w:rsidRPr="0012765D" w:rsidRDefault="00A52C40">
        <w:pPr>
          <w:pStyle w:val="Footer"/>
          <w:jc w:val="center"/>
        </w:pPr>
        <w:r>
          <w:fldChar w:fldCharType="begin"/>
        </w:r>
        <w:r>
          <w:instrText xml:space="preserve"> PAGE   \* MERGEFORMAT </w:instrText>
        </w:r>
        <w:r>
          <w:fldChar w:fldCharType="separate"/>
        </w:r>
        <w:r w:rsidR="00F50CB9">
          <w:rPr>
            <w:noProof/>
          </w:rPr>
          <w:t>1</w:t>
        </w:r>
        <w:r>
          <w:fldChar w:fldCharType="end"/>
        </w:r>
      </w:p>
    </w:sdtContent>
  </w:sdt>
  <w:p w14:paraId="4B3CF46F" w14:textId="77777777" w:rsidR="009D1780" w:rsidRPr="0012765D" w:rsidRDefault="009D178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C966F" w14:textId="77777777" w:rsidR="009D1780" w:rsidRPr="0012765D" w:rsidRDefault="009D1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6FEB34" w14:textId="77777777" w:rsidR="00651DA0" w:rsidRPr="0012765D" w:rsidRDefault="00651DA0" w:rsidP="00A12EA7">
      <w:pPr>
        <w:spacing w:after="0" w:line="240" w:lineRule="auto"/>
      </w:pPr>
      <w:r>
        <w:separator/>
      </w:r>
    </w:p>
  </w:footnote>
  <w:footnote w:type="continuationSeparator" w:id="0">
    <w:p w14:paraId="30FCDBFC" w14:textId="77777777" w:rsidR="00651DA0" w:rsidRPr="0012765D" w:rsidRDefault="00651DA0" w:rsidP="00A12EA7">
      <w:pPr>
        <w:spacing w:after="0" w:line="240" w:lineRule="auto"/>
      </w:pPr>
      <w:r>
        <w:continuationSeparator/>
      </w:r>
    </w:p>
  </w:footnote>
  <w:footnote w:type="continuationNotice" w:id="1">
    <w:p w14:paraId="06408374" w14:textId="77777777" w:rsidR="00651DA0" w:rsidRPr="0012765D" w:rsidRDefault="00651DA0">
      <w:pPr>
        <w:spacing w:after="0" w:line="240" w:lineRule="auto"/>
      </w:pPr>
    </w:p>
  </w:footnote>
  <w:footnote w:id="2">
    <w:p w14:paraId="01140BAB" w14:textId="6461167F" w:rsidR="00A12EA7" w:rsidRPr="0012765D" w:rsidRDefault="00A12EA7" w:rsidP="00861EC6">
      <w:pPr>
        <w:pStyle w:val="FootnoteText"/>
        <w:spacing w:after="0"/>
      </w:pPr>
      <w:r>
        <w:rPr>
          <w:rStyle w:val="FootnoteReference"/>
        </w:rPr>
        <w:footnoteRef/>
      </w:r>
      <w:r>
        <w:tab/>
        <w:t>Decizia Consiliului din 14 mai 2008 de instituire a unei Rețele europene de migrație (2008/381/CE), JO L 131, 21.5.2008, p. 7.</w:t>
      </w:r>
    </w:p>
  </w:footnote>
  <w:footnote w:id="3">
    <w:p w14:paraId="27CB6CEA" w14:textId="7D336622" w:rsidR="00211794" w:rsidRPr="00211794" w:rsidRDefault="00211794" w:rsidP="00C60AB6">
      <w:pPr>
        <w:pStyle w:val="FootnoteText"/>
        <w:spacing w:after="0"/>
      </w:pPr>
      <w:r>
        <w:rPr>
          <w:rStyle w:val="FootnoteReference"/>
        </w:rPr>
        <w:footnoteRef/>
      </w:r>
      <w:r>
        <w:tab/>
        <w:t>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w:t>
      </w:r>
    </w:p>
  </w:footnote>
  <w:footnote w:id="4">
    <w:p w14:paraId="010C4A47" w14:textId="6472D96A" w:rsidR="003A6B8F" w:rsidRPr="003A6B8F" w:rsidRDefault="003A6B8F" w:rsidP="00C60AB6">
      <w:pPr>
        <w:pStyle w:val="FootnoteText"/>
        <w:spacing w:after="0"/>
      </w:pPr>
      <w:r>
        <w:rPr>
          <w:rStyle w:val="FootnoteReference"/>
        </w:rPr>
        <w:footnoteRef/>
      </w:r>
      <w:r>
        <w:tab/>
        <w:t>Din cauza calendarelor programelor de lucru ale REM (2017-2018, 2019-2020, 2021-2022), evaluarea a analizat, de asemenea, parțial datele din programul de lucru pentru perioada 2021-2022, acolo unde datele specifice pentru 2021 au fost inaccesibile.</w:t>
      </w:r>
    </w:p>
  </w:footnote>
  <w:footnote w:id="5">
    <w:p w14:paraId="59EF8E90" w14:textId="4D572DE3" w:rsidR="00F50622" w:rsidRPr="00C60AB6" w:rsidRDefault="00F50CB9" w:rsidP="00C60AB6">
      <w:pPr>
        <w:pStyle w:val="FootnoteText"/>
        <w:spacing w:after="0"/>
      </w:pPr>
      <w:hyperlink r:id="rId1" w:history="1">
        <w:r w:rsidR="00F50622">
          <w:rPr>
            <w:rStyle w:val="Hyperlink"/>
          </w:rPr>
          <w:t>https://home-affairs.ec.europa.eu/networks/european-migration-network-emn/emn-publications/emn-status-reports_en</w:t>
        </w:r>
      </w:hyperlink>
      <w:r w:rsidR="00F50622">
        <w:t>.</w:t>
      </w:r>
    </w:p>
  </w:footnote>
  <w:footnote w:id="6">
    <w:p w14:paraId="69171E3B" w14:textId="1ED0BA2B" w:rsidR="003030D1" w:rsidRPr="00C60AB6" w:rsidRDefault="003030D1" w:rsidP="00C60AB6">
      <w:pPr>
        <w:pStyle w:val="FootnoteText"/>
        <w:spacing w:after="0"/>
      </w:pPr>
      <w:r>
        <w:rPr>
          <w:rStyle w:val="FootnoteReference"/>
        </w:rPr>
        <w:footnoteRef/>
      </w:r>
      <w:r>
        <w:tab/>
        <w:t>O revizuire majoră a IES a fost efectuată în 2024, dincolo de intervalul de timp al acestei evaluări.</w:t>
      </w:r>
    </w:p>
  </w:footnote>
  <w:footnote w:id="7">
    <w:p w14:paraId="36BFCDE4" w14:textId="320D5EA1" w:rsidR="00CB4C8D" w:rsidRPr="00C60AB6" w:rsidRDefault="00CB4C8D">
      <w:pPr>
        <w:pStyle w:val="FootnoteText"/>
      </w:pPr>
      <w:r>
        <w:rPr>
          <w:rStyle w:val="FootnoteReference"/>
        </w:rPr>
        <w:footnoteRef/>
      </w:r>
      <w:r>
        <w:tab/>
        <w:t>Informările REM oferă factorilor de decizie politică constatări esențiale și mesaje referitoare la un anumit subiect. Informațiile prezentate se bazează pe rezultatele informațiilor colectate și analizate de REM, de exemplu din rapoarte și studii sau din interogări ad-hoc.</w:t>
      </w:r>
    </w:p>
  </w:footnote>
  <w:footnote w:id="8">
    <w:p w14:paraId="6B628532" w14:textId="5C753000" w:rsidR="00094C94" w:rsidRPr="0012765D" w:rsidRDefault="00094C94" w:rsidP="00C60AB6">
      <w:pPr>
        <w:pStyle w:val="FootnoteText"/>
        <w:spacing w:after="0"/>
        <w:rPr>
          <w:color w:val="4472C4" w:themeColor="accent1"/>
        </w:rPr>
      </w:pPr>
      <w:r>
        <w:rPr>
          <w:rStyle w:val="FootnoteReference"/>
        </w:rPr>
        <w:footnoteRef/>
      </w:r>
      <w:r>
        <w:rPr>
          <w:vertAlign w:val="superscript"/>
        </w:rPr>
        <w:t xml:space="preserve"> </w:t>
      </w:r>
      <w:r>
        <w:tab/>
        <w:t xml:space="preserve">Comisia Europeană (2020), Raportul de situație al REM pentru 2020. Disponibil la adresa: </w:t>
      </w:r>
      <w:hyperlink r:id="rId2" w:history="1">
        <w:r>
          <w:rPr>
            <w:color w:val="4472C4" w:themeColor="accent1"/>
            <w:u w:val="single"/>
          </w:rPr>
          <w:t>https://home-affairs.ec.europa.eu/system/files/2021-11/00_eu_emn_status_report_2020_en.pdf</w:t>
        </w:r>
      </w:hyperlink>
      <w:r>
        <w:rPr>
          <w:color w:val="4472C4" w:themeColor="accent1"/>
        </w:rPr>
        <w:t>.</w:t>
      </w:r>
    </w:p>
  </w:footnote>
  <w:footnote w:id="9">
    <w:p w14:paraId="3D9CB25F" w14:textId="0F42787B" w:rsidR="00094C94" w:rsidRPr="0012765D" w:rsidRDefault="00094C94" w:rsidP="00C60AB6">
      <w:pPr>
        <w:pStyle w:val="FootnoteText"/>
        <w:spacing w:after="0"/>
      </w:pPr>
      <w:r>
        <w:rPr>
          <w:rStyle w:val="FootnoteReference"/>
        </w:rPr>
        <w:footnoteRef/>
      </w:r>
      <w:r>
        <w:t xml:space="preserve"> Raportul de situație pentru 2021. Disponibil la adresa: </w:t>
      </w:r>
      <w:hyperlink r:id="rId3" w:history="1">
        <w:r>
          <w:rPr>
            <w:rStyle w:val="Hyperlink"/>
          </w:rPr>
          <w:t>https://home-affairs.ec.europa.eu/system/files/2023-01/EMN%20status%20report%202021%20final.pdf</w:t>
        </w:r>
      </w:hyperlink>
      <w:r>
        <w:t>.</w:t>
      </w:r>
    </w:p>
  </w:footnote>
  <w:footnote w:id="10">
    <w:p w14:paraId="3F73ACDF" w14:textId="106064F1" w:rsidR="00094C94" w:rsidRPr="0012765D" w:rsidRDefault="00094C94" w:rsidP="00C60AB6">
      <w:pPr>
        <w:pStyle w:val="FootnoteText"/>
        <w:spacing w:after="0"/>
      </w:pPr>
      <w:r>
        <w:rPr>
          <w:rStyle w:val="FootnoteReference"/>
        </w:rPr>
        <w:footnoteRef/>
      </w:r>
      <w:r>
        <w:t xml:space="preserve"> Raportul de situație pentru 2021. Disponibil la adresa: </w:t>
      </w:r>
      <w:hyperlink r:id="rId4" w:history="1">
        <w:r>
          <w:rPr>
            <w:rStyle w:val="Hyperlink"/>
          </w:rPr>
          <w:t>https://home-affairs.ec.europa.eu/system/files/2023-01/EMN%20status%20report%202021%20final.pdf</w:t>
        </w:r>
      </w:hyperlink>
      <w:r>
        <w:t>.</w:t>
      </w:r>
    </w:p>
  </w:footnote>
  <w:footnote w:id="11">
    <w:p w14:paraId="53BBAFFE" w14:textId="1751F6C8" w:rsidR="00094C94" w:rsidRPr="0012765D" w:rsidRDefault="00094C94" w:rsidP="00C60AB6">
      <w:pPr>
        <w:pStyle w:val="FootnoteText"/>
        <w:spacing w:after="0"/>
      </w:pPr>
      <w:r>
        <w:rPr>
          <w:rStyle w:val="FootnoteReference"/>
        </w:rPr>
        <w:footnoteRef/>
      </w:r>
      <w:r>
        <w:t xml:space="preserve"> A 27-a reuniune a Comitetului director.</w:t>
      </w:r>
    </w:p>
  </w:footnote>
  <w:footnote w:id="12">
    <w:p w14:paraId="481E913F" w14:textId="17D15EE6" w:rsidR="00B34C2E" w:rsidRPr="00B34C2E" w:rsidRDefault="00B34C2E">
      <w:pPr>
        <w:pStyle w:val="FootnoteText"/>
      </w:pPr>
      <w:r>
        <w:rPr>
          <w:rStyle w:val="FootnoteReference"/>
        </w:rPr>
        <w:footnoteRef/>
      </w:r>
      <w:r>
        <w:t xml:space="preserve"> Strategia de comunicare a REM pentru perioada 2021-2025 și impactul acesteia nu se încadrează în intervalul de timp al acestei evaluări. </w:t>
      </w:r>
    </w:p>
  </w:footnote>
  <w:footnote w:id="13">
    <w:p w14:paraId="0C6F78D3" w14:textId="7465ABE7" w:rsidR="0068291E" w:rsidRPr="0068291E" w:rsidRDefault="0068291E" w:rsidP="00861EC6">
      <w:pPr>
        <w:pStyle w:val="FootnoteText"/>
        <w:spacing w:after="0"/>
      </w:pPr>
      <w:r>
        <w:rPr>
          <w:rStyle w:val="FootnoteReference"/>
        </w:rPr>
        <w:footnoteRef/>
      </w:r>
      <w:r>
        <w:t xml:space="preserve"> Directiva (UE) 2021/1883 a Parlamentului European și a Consiliului din 20 octombrie 2021 privind condițiile de intrare și de ședere a resortisanților țărilor terțe pentru ocuparea unor locuri de muncă înalt calificate și de abrogare a Directivei 2009/50/CE a Consiliului, JO L 382, 28.10.2021, p. 1.</w:t>
      </w:r>
    </w:p>
  </w:footnote>
  <w:footnote w:id="14">
    <w:p w14:paraId="1484A964" w14:textId="1B0AD066" w:rsidR="00504B02" w:rsidRPr="00504B02" w:rsidRDefault="00504B02" w:rsidP="00861EC6">
      <w:pPr>
        <w:pStyle w:val="FootnoteText"/>
        <w:spacing w:after="0"/>
      </w:pPr>
      <w:r>
        <w:rPr>
          <w:rStyle w:val="FootnoteReference"/>
        </w:rPr>
        <w:footnoteRef/>
      </w:r>
      <w:r>
        <w:t xml:space="preserve"> Comunicarea Comisiei către Parlamentul European, Consiliu, Comitetul Economic și Social European și Comitetul Regiunilor – Planul de acțiune al UE împotriva introducerii ilegale de migranți (2015 - 2020), COM(2015) 285 final.</w:t>
      </w:r>
    </w:p>
  </w:footnote>
  <w:footnote w:id="15">
    <w:p w14:paraId="0693DDFE" w14:textId="5DDE9BE7" w:rsidR="0035755F" w:rsidRPr="0012765D" w:rsidRDefault="0035755F" w:rsidP="00C60AB6">
      <w:pPr>
        <w:pStyle w:val="FootnoteText"/>
        <w:spacing w:after="0"/>
      </w:pPr>
      <w:r>
        <w:rPr>
          <w:rStyle w:val="FootnoteReference"/>
        </w:rPr>
        <w:footnoteRef/>
      </w:r>
      <w:r>
        <w:t xml:space="preserve"> Migrația legală, protecția internațională, minorii neînsoțiți și alte grupuri vulnerabile, integrarea și incluziunea, cetățenia și apatridia, frontierele, vizele și spațiul Schengen, migrația ilegală, inclusiv introducerea ilegală de migranți, traficul de persoane, returnarea și readmisia, precum și migrația și cooperarea pentru dezvoltare.</w:t>
      </w:r>
    </w:p>
  </w:footnote>
  <w:footnote w:id="16">
    <w:p w14:paraId="37B52EC2" w14:textId="7254CA80" w:rsidR="00226246" w:rsidRPr="00C60AB6" w:rsidRDefault="00226246" w:rsidP="00C60AB6">
      <w:pPr>
        <w:pStyle w:val="FootnoteText"/>
        <w:spacing w:after="0"/>
      </w:pPr>
      <w:r>
        <w:rPr>
          <w:rStyle w:val="FootnoteReference"/>
        </w:rPr>
        <w:footnoteRef/>
      </w:r>
      <w:r>
        <w:t xml:space="preserve"> Pentru a remedia această deficiență, planul de comunicare al REM pentru perioada 2021-2025 a prevăzut o serie de îmbunătățiri.</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35B4E4" w14:textId="77777777" w:rsidR="00F50CB9" w:rsidRPr="00F50CB9" w:rsidRDefault="00F50CB9" w:rsidP="00F50CB9">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9C1163" w14:textId="77777777" w:rsidR="00F50CB9" w:rsidRPr="00F50CB9" w:rsidRDefault="00F50CB9" w:rsidP="00F50CB9">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5D706F" w14:textId="77777777" w:rsidR="00F50CB9" w:rsidRPr="00F50CB9" w:rsidRDefault="00F50CB9" w:rsidP="00F50CB9">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F73120" w14:textId="77777777" w:rsidR="009D1780" w:rsidRPr="0012765D" w:rsidRDefault="009D17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63BFF9" w14:textId="77777777" w:rsidR="009D1780" w:rsidRPr="0012765D" w:rsidRDefault="009D17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0E0F62" w14:textId="77777777" w:rsidR="009D1780" w:rsidRPr="0012765D" w:rsidRDefault="009D17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E0F25"/>
    <w:multiLevelType w:val="hybridMultilevel"/>
    <w:tmpl w:val="75A83A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142451E"/>
    <w:multiLevelType w:val="hybridMultilevel"/>
    <w:tmpl w:val="A4F4A8B8"/>
    <w:lvl w:ilvl="0" w:tplc="18090001">
      <w:start w:val="1"/>
      <w:numFmt w:val="bullet"/>
      <w:lvlText w:val=""/>
      <w:lvlJc w:val="left"/>
      <w:pPr>
        <w:ind w:left="1083" w:hanging="360"/>
      </w:pPr>
      <w:rPr>
        <w:rFonts w:ascii="Symbol" w:hAnsi="Symbol" w:hint="default"/>
      </w:rPr>
    </w:lvl>
    <w:lvl w:ilvl="1" w:tplc="18090003" w:tentative="1">
      <w:start w:val="1"/>
      <w:numFmt w:val="bullet"/>
      <w:lvlText w:val="o"/>
      <w:lvlJc w:val="left"/>
      <w:pPr>
        <w:ind w:left="1803" w:hanging="360"/>
      </w:pPr>
      <w:rPr>
        <w:rFonts w:ascii="Courier New" w:hAnsi="Courier New" w:cs="Courier New" w:hint="default"/>
      </w:rPr>
    </w:lvl>
    <w:lvl w:ilvl="2" w:tplc="18090005" w:tentative="1">
      <w:start w:val="1"/>
      <w:numFmt w:val="bullet"/>
      <w:lvlText w:val=""/>
      <w:lvlJc w:val="left"/>
      <w:pPr>
        <w:ind w:left="2523" w:hanging="360"/>
      </w:pPr>
      <w:rPr>
        <w:rFonts w:ascii="Wingdings" w:hAnsi="Wingdings" w:hint="default"/>
      </w:rPr>
    </w:lvl>
    <w:lvl w:ilvl="3" w:tplc="18090001" w:tentative="1">
      <w:start w:val="1"/>
      <w:numFmt w:val="bullet"/>
      <w:lvlText w:val=""/>
      <w:lvlJc w:val="left"/>
      <w:pPr>
        <w:ind w:left="3243" w:hanging="360"/>
      </w:pPr>
      <w:rPr>
        <w:rFonts w:ascii="Symbol" w:hAnsi="Symbol" w:hint="default"/>
      </w:rPr>
    </w:lvl>
    <w:lvl w:ilvl="4" w:tplc="18090003" w:tentative="1">
      <w:start w:val="1"/>
      <w:numFmt w:val="bullet"/>
      <w:lvlText w:val="o"/>
      <w:lvlJc w:val="left"/>
      <w:pPr>
        <w:ind w:left="3963" w:hanging="360"/>
      </w:pPr>
      <w:rPr>
        <w:rFonts w:ascii="Courier New" w:hAnsi="Courier New" w:cs="Courier New" w:hint="default"/>
      </w:rPr>
    </w:lvl>
    <w:lvl w:ilvl="5" w:tplc="18090005" w:tentative="1">
      <w:start w:val="1"/>
      <w:numFmt w:val="bullet"/>
      <w:lvlText w:val=""/>
      <w:lvlJc w:val="left"/>
      <w:pPr>
        <w:ind w:left="4683" w:hanging="360"/>
      </w:pPr>
      <w:rPr>
        <w:rFonts w:ascii="Wingdings" w:hAnsi="Wingdings" w:hint="default"/>
      </w:rPr>
    </w:lvl>
    <w:lvl w:ilvl="6" w:tplc="18090001" w:tentative="1">
      <w:start w:val="1"/>
      <w:numFmt w:val="bullet"/>
      <w:lvlText w:val=""/>
      <w:lvlJc w:val="left"/>
      <w:pPr>
        <w:ind w:left="5403" w:hanging="360"/>
      </w:pPr>
      <w:rPr>
        <w:rFonts w:ascii="Symbol" w:hAnsi="Symbol" w:hint="default"/>
      </w:rPr>
    </w:lvl>
    <w:lvl w:ilvl="7" w:tplc="18090003" w:tentative="1">
      <w:start w:val="1"/>
      <w:numFmt w:val="bullet"/>
      <w:lvlText w:val="o"/>
      <w:lvlJc w:val="left"/>
      <w:pPr>
        <w:ind w:left="6123" w:hanging="360"/>
      </w:pPr>
      <w:rPr>
        <w:rFonts w:ascii="Courier New" w:hAnsi="Courier New" w:cs="Courier New" w:hint="default"/>
      </w:rPr>
    </w:lvl>
    <w:lvl w:ilvl="8" w:tplc="18090005" w:tentative="1">
      <w:start w:val="1"/>
      <w:numFmt w:val="bullet"/>
      <w:lvlText w:val=""/>
      <w:lvlJc w:val="left"/>
      <w:pPr>
        <w:ind w:left="6843" w:hanging="360"/>
      </w:pPr>
      <w:rPr>
        <w:rFonts w:ascii="Wingdings" w:hAnsi="Wingdings" w:hint="default"/>
      </w:rPr>
    </w:lvl>
  </w:abstractNum>
  <w:abstractNum w:abstractNumId="2" w15:restartNumberingAfterBreak="0">
    <w:nsid w:val="3B2954BA"/>
    <w:multiLevelType w:val="hybridMultilevel"/>
    <w:tmpl w:val="BDF6F7D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44D90871"/>
    <w:multiLevelType w:val="hybridMultilevel"/>
    <w:tmpl w:val="9216BD08"/>
    <w:lvl w:ilvl="0" w:tplc="C3D8A982">
      <w:start w:val="1"/>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4A7447D4-DC83-4C5F-B362-76759950E2A8"/>
    <w:docVar w:name="LW_COVERPAGE_TYPE" w:val="1"/>
    <w:docVar w:name="LW_CROSSREFERENCE" w:val="{SWD(2026) 173 final}"/>
    <w:docVar w:name="LW_DocType" w:val="NORMAL"/>
    <w:docVar w:name="LW_EMISSION" w:val="29.6.2026"/>
    <w:docVar w:name="LW_EMISSION_ISODATE" w:val="2026-06-29"/>
    <w:docVar w:name="LW_EMISSION_LOCATION" w:val="BRX"/>
    <w:docVar w:name="LW_EMISSION_PREFIX" w:val="Bruxelles, "/>
    <w:docVar w:name="LW_EMISSION_SUFFIX" w:val=" "/>
    <w:docVar w:name="LW_ID_DOCTYPE_NONLW" w:val="CP-008"/>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32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aport privind evaluarea Re\u539?elei europene de migra\u539?ie 2018-2021"/>
    <w:docVar w:name="LW_TYPE.DOC.CP" w:val="RAPORT AL COMISIEI C\u258?TRE PARLAMENTUL EUROPEAN, CONSILIU, COMITETUL ECONOMIC \u536?I SOCIAL EUROPEAN \u536?I COMITETUL REGIUNILOR"/>
    <w:docVar w:name="LwApiVersions" w:val="LW4CoDe 1.24.5.0; LW 9.2, Build 20251112"/>
  </w:docVars>
  <w:rsids>
    <w:rsidRoot w:val="00A12EA7"/>
    <w:rsid w:val="000100A3"/>
    <w:rsid w:val="00010D8B"/>
    <w:rsid w:val="0002220F"/>
    <w:rsid w:val="00022326"/>
    <w:rsid w:val="000248E5"/>
    <w:rsid w:val="000270D3"/>
    <w:rsid w:val="00036A10"/>
    <w:rsid w:val="000515FA"/>
    <w:rsid w:val="0005369E"/>
    <w:rsid w:val="000548F3"/>
    <w:rsid w:val="00062327"/>
    <w:rsid w:val="0006343D"/>
    <w:rsid w:val="00072B5C"/>
    <w:rsid w:val="00075EDD"/>
    <w:rsid w:val="00082AC0"/>
    <w:rsid w:val="000849F3"/>
    <w:rsid w:val="00094C94"/>
    <w:rsid w:val="00097CAF"/>
    <w:rsid w:val="000A074E"/>
    <w:rsid w:val="000A09B1"/>
    <w:rsid w:val="000A26DE"/>
    <w:rsid w:val="000A63BF"/>
    <w:rsid w:val="000B7ECA"/>
    <w:rsid w:val="000C5953"/>
    <w:rsid w:val="000D3EBD"/>
    <w:rsid w:val="000D64EF"/>
    <w:rsid w:val="000E4C8A"/>
    <w:rsid w:val="000E6ECF"/>
    <w:rsid w:val="000E7143"/>
    <w:rsid w:val="000F58C4"/>
    <w:rsid w:val="000F70F0"/>
    <w:rsid w:val="00105E4D"/>
    <w:rsid w:val="00115853"/>
    <w:rsid w:val="00120DED"/>
    <w:rsid w:val="00121C82"/>
    <w:rsid w:val="00122883"/>
    <w:rsid w:val="00122A5C"/>
    <w:rsid w:val="0012765D"/>
    <w:rsid w:val="0014380A"/>
    <w:rsid w:val="0014508C"/>
    <w:rsid w:val="00152F73"/>
    <w:rsid w:val="001660CC"/>
    <w:rsid w:val="001805C3"/>
    <w:rsid w:val="0018211F"/>
    <w:rsid w:val="00184EC2"/>
    <w:rsid w:val="001863CA"/>
    <w:rsid w:val="0019214A"/>
    <w:rsid w:val="0019462D"/>
    <w:rsid w:val="0019794F"/>
    <w:rsid w:val="001A78BD"/>
    <w:rsid w:val="001B7F95"/>
    <w:rsid w:val="001C48D6"/>
    <w:rsid w:val="001C7A3F"/>
    <w:rsid w:val="001D19E1"/>
    <w:rsid w:val="001D45A0"/>
    <w:rsid w:val="001D5DCB"/>
    <w:rsid w:val="001D6290"/>
    <w:rsid w:val="001E0712"/>
    <w:rsid w:val="001E0FC5"/>
    <w:rsid w:val="001E1551"/>
    <w:rsid w:val="001E3F94"/>
    <w:rsid w:val="001E5128"/>
    <w:rsid w:val="001F39E2"/>
    <w:rsid w:val="001F6920"/>
    <w:rsid w:val="001F7055"/>
    <w:rsid w:val="0020343F"/>
    <w:rsid w:val="00205689"/>
    <w:rsid w:val="00211794"/>
    <w:rsid w:val="00211C13"/>
    <w:rsid w:val="00216D0D"/>
    <w:rsid w:val="00217214"/>
    <w:rsid w:val="002244E6"/>
    <w:rsid w:val="00226246"/>
    <w:rsid w:val="00230186"/>
    <w:rsid w:val="0023401B"/>
    <w:rsid w:val="00240FD3"/>
    <w:rsid w:val="002463D3"/>
    <w:rsid w:val="00251846"/>
    <w:rsid w:val="0025447A"/>
    <w:rsid w:val="002565CD"/>
    <w:rsid w:val="00263155"/>
    <w:rsid w:val="00264E8F"/>
    <w:rsid w:val="00265741"/>
    <w:rsid w:val="002728B5"/>
    <w:rsid w:val="00273B07"/>
    <w:rsid w:val="00277144"/>
    <w:rsid w:val="0028591D"/>
    <w:rsid w:val="00285BB6"/>
    <w:rsid w:val="0029420F"/>
    <w:rsid w:val="002A054A"/>
    <w:rsid w:val="002A3D82"/>
    <w:rsid w:val="002A7703"/>
    <w:rsid w:val="002B5DA1"/>
    <w:rsid w:val="002D073B"/>
    <w:rsid w:val="002D4C32"/>
    <w:rsid w:val="002D6B20"/>
    <w:rsid w:val="002E2829"/>
    <w:rsid w:val="002F1B1F"/>
    <w:rsid w:val="002F23D0"/>
    <w:rsid w:val="0030164D"/>
    <w:rsid w:val="00302D89"/>
    <w:rsid w:val="00302F06"/>
    <w:rsid w:val="003030D1"/>
    <w:rsid w:val="00304A12"/>
    <w:rsid w:val="00306113"/>
    <w:rsid w:val="00307D60"/>
    <w:rsid w:val="0031159D"/>
    <w:rsid w:val="00313054"/>
    <w:rsid w:val="00314460"/>
    <w:rsid w:val="00317F9A"/>
    <w:rsid w:val="0032005B"/>
    <w:rsid w:val="00322EAB"/>
    <w:rsid w:val="00330E2A"/>
    <w:rsid w:val="003317FC"/>
    <w:rsid w:val="00332D2C"/>
    <w:rsid w:val="00334B44"/>
    <w:rsid w:val="003369B9"/>
    <w:rsid w:val="003457B8"/>
    <w:rsid w:val="00346718"/>
    <w:rsid w:val="00346CB9"/>
    <w:rsid w:val="003470EF"/>
    <w:rsid w:val="0035755F"/>
    <w:rsid w:val="003613C4"/>
    <w:rsid w:val="0036261D"/>
    <w:rsid w:val="00363314"/>
    <w:rsid w:val="00367BCD"/>
    <w:rsid w:val="00375954"/>
    <w:rsid w:val="00383900"/>
    <w:rsid w:val="00392B52"/>
    <w:rsid w:val="0039536B"/>
    <w:rsid w:val="003A6B8F"/>
    <w:rsid w:val="003C0D79"/>
    <w:rsid w:val="003C7CBA"/>
    <w:rsid w:val="003E0F3F"/>
    <w:rsid w:val="003E6513"/>
    <w:rsid w:val="003E6B8A"/>
    <w:rsid w:val="00407C10"/>
    <w:rsid w:val="00415F10"/>
    <w:rsid w:val="00416DAF"/>
    <w:rsid w:val="00441CCD"/>
    <w:rsid w:val="00455C2D"/>
    <w:rsid w:val="00455E15"/>
    <w:rsid w:val="00460BE2"/>
    <w:rsid w:val="004644C3"/>
    <w:rsid w:val="00475142"/>
    <w:rsid w:val="004752FA"/>
    <w:rsid w:val="004765B2"/>
    <w:rsid w:val="00485BA4"/>
    <w:rsid w:val="00491141"/>
    <w:rsid w:val="0049783E"/>
    <w:rsid w:val="004A12C8"/>
    <w:rsid w:val="004A236A"/>
    <w:rsid w:val="004A2C08"/>
    <w:rsid w:val="004A5CC1"/>
    <w:rsid w:val="004B3A4A"/>
    <w:rsid w:val="004B4392"/>
    <w:rsid w:val="004B753D"/>
    <w:rsid w:val="004C0E5E"/>
    <w:rsid w:val="004D0486"/>
    <w:rsid w:val="004D6DF3"/>
    <w:rsid w:val="004E1534"/>
    <w:rsid w:val="004E371E"/>
    <w:rsid w:val="004E5896"/>
    <w:rsid w:val="004F2E84"/>
    <w:rsid w:val="004F3F69"/>
    <w:rsid w:val="004F552A"/>
    <w:rsid w:val="004F5AFB"/>
    <w:rsid w:val="004F6C5C"/>
    <w:rsid w:val="00502971"/>
    <w:rsid w:val="00504B02"/>
    <w:rsid w:val="00507D74"/>
    <w:rsid w:val="0051336B"/>
    <w:rsid w:val="005226AA"/>
    <w:rsid w:val="00525B04"/>
    <w:rsid w:val="005265C3"/>
    <w:rsid w:val="00532BE1"/>
    <w:rsid w:val="0054745B"/>
    <w:rsid w:val="0056375F"/>
    <w:rsid w:val="00563FDE"/>
    <w:rsid w:val="00565A1E"/>
    <w:rsid w:val="00574796"/>
    <w:rsid w:val="00582251"/>
    <w:rsid w:val="005833A3"/>
    <w:rsid w:val="0059062E"/>
    <w:rsid w:val="00593A14"/>
    <w:rsid w:val="005B12B3"/>
    <w:rsid w:val="005B4429"/>
    <w:rsid w:val="005C4DB9"/>
    <w:rsid w:val="005C6C6B"/>
    <w:rsid w:val="005C7921"/>
    <w:rsid w:val="005E3A23"/>
    <w:rsid w:val="005E59C7"/>
    <w:rsid w:val="005F3375"/>
    <w:rsid w:val="005F59DF"/>
    <w:rsid w:val="005F6867"/>
    <w:rsid w:val="005F7C5B"/>
    <w:rsid w:val="006070F6"/>
    <w:rsid w:val="006077AE"/>
    <w:rsid w:val="006079FE"/>
    <w:rsid w:val="00607B2E"/>
    <w:rsid w:val="006109D0"/>
    <w:rsid w:val="00616596"/>
    <w:rsid w:val="0062688C"/>
    <w:rsid w:val="00626D82"/>
    <w:rsid w:val="00633693"/>
    <w:rsid w:val="00636A89"/>
    <w:rsid w:val="00641119"/>
    <w:rsid w:val="00646D22"/>
    <w:rsid w:val="00651DA0"/>
    <w:rsid w:val="00653ED6"/>
    <w:rsid w:val="00664ECF"/>
    <w:rsid w:val="006672AF"/>
    <w:rsid w:val="006712EB"/>
    <w:rsid w:val="006726E4"/>
    <w:rsid w:val="006736B9"/>
    <w:rsid w:val="0068291E"/>
    <w:rsid w:val="00683BDB"/>
    <w:rsid w:val="006843B3"/>
    <w:rsid w:val="0068756D"/>
    <w:rsid w:val="006A1CBE"/>
    <w:rsid w:val="006A3A16"/>
    <w:rsid w:val="006B0A88"/>
    <w:rsid w:val="006B1B35"/>
    <w:rsid w:val="006B4117"/>
    <w:rsid w:val="006B46D8"/>
    <w:rsid w:val="006B6158"/>
    <w:rsid w:val="006C20D8"/>
    <w:rsid w:val="006E2AF4"/>
    <w:rsid w:val="006F0D44"/>
    <w:rsid w:val="006F2FF4"/>
    <w:rsid w:val="00701FDA"/>
    <w:rsid w:val="00702748"/>
    <w:rsid w:val="007044BC"/>
    <w:rsid w:val="00715B09"/>
    <w:rsid w:val="00717152"/>
    <w:rsid w:val="00724C36"/>
    <w:rsid w:val="00727524"/>
    <w:rsid w:val="00733566"/>
    <w:rsid w:val="00737527"/>
    <w:rsid w:val="00750310"/>
    <w:rsid w:val="00760F4B"/>
    <w:rsid w:val="00762C4C"/>
    <w:rsid w:val="00774EB7"/>
    <w:rsid w:val="007755F9"/>
    <w:rsid w:val="0078085A"/>
    <w:rsid w:val="00781223"/>
    <w:rsid w:val="007832E4"/>
    <w:rsid w:val="0078377A"/>
    <w:rsid w:val="00784B49"/>
    <w:rsid w:val="00791AC5"/>
    <w:rsid w:val="007962DF"/>
    <w:rsid w:val="007A43E1"/>
    <w:rsid w:val="007A6EA7"/>
    <w:rsid w:val="007A73F9"/>
    <w:rsid w:val="007B0BEF"/>
    <w:rsid w:val="007B1A14"/>
    <w:rsid w:val="007B27D7"/>
    <w:rsid w:val="007B425D"/>
    <w:rsid w:val="007D2132"/>
    <w:rsid w:val="007D286F"/>
    <w:rsid w:val="007E0DB7"/>
    <w:rsid w:val="007E264F"/>
    <w:rsid w:val="007F5419"/>
    <w:rsid w:val="007F6DFB"/>
    <w:rsid w:val="007F6EA3"/>
    <w:rsid w:val="007F7492"/>
    <w:rsid w:val="008024BE"/>
    <w:rsid w:val="00806B88"/>
    <w:rsid w:val="00806DF4"/>
    <w:rsid w:val="00825A35"/>
    <w:rsid w:val="00834F94"/>
    <w:rsid w:val="0083536D"/>
    <w:rsid w:val="0084061A"/>
    <w:rsid w:val="00843796"/>
    <w:rsid w:val="0085240E"/>
    <w:rsid w:val="00861EC6"/>
    <w:rsid w:val="008645F1"/>
    <w:rsid w:val="00873B72"/>
    <w:rsid w:val="00876242"/>
    <w:rsid w:val="008807E6"/>
    <w:rsid w:val="008A1614"/>
    <w:rsid w:val="008D3DA7"/>
    <w:rsid w:val="008D79BF"/>
    <w:rsid w:val="008F65A2"/>
    <w:rsid w:val="0090139F"/>
    <w:rsid w:val="009043FC"/>
    <w:rsid w:val="009076D9"/>
    <w:rsid w:val="00915282"/>
    <w:rsid w:val="009321A6"/>
    <w:rsid w:val="00933DD5"/>
    <w:rsid w:val="009408D3"/>
    <w:rsid w:val="00940BE5"/>
    <w:rsid w:val="00944CAF"/>
    <w:rsid w:val="0094737D"/>
    <w:rsid w:val="00947E5C"/>
    <w:rsid w:val="00951487"/>
    <w:rsid w:val="00964608"/>
    <w:rsid w:val="00970941"/>
    <w:rsid w:val="00970F12"/>
    <w:rsid w:val="00984FF3"/>
    <w:rsid w:val="00990125"/>
    <w:rsid w:val="0099154E"/>
    <w:rsid w:val="009B3183"/>
    <w:rsid w:val="009B47A9"/>
    <w:rsid w:val="009B53C1"/>
    <w:rsid w:val="009B59EC"/>
    <w:rsid w:val="009B78A1"/>
    <w:rsid w:val="009C0AD2"/>
    <w:rsid w:val="009D1780"/>
    <w:rsid w:val="009D3367"/>
    <w:rsid w:val="009D434F"/>
    <w:rsid w:val="009E237E"/>
    <w:rsid w:val="009E25D2"/>
    <w:rsid w:val="009F017F"/>
    <w:rsid w:val="00A04E2D"/>
    <w:rsid w:val="00A05A57"/>
    <w:rsid w:val="00A12EA7"/>
    <w:rsid w:val="00A138DE"/>
    <w:rsid w:val="00A13F09"/>
    <w:rsid w:val="00A14568"/>
    <w:rsid w:val="00A14BBF"/>
    <w:rsid w:val="00A20259"/>
    <w:rsid w:val="00A22BE5"/>
    <w:rsid w:val="00A23F41"/>
    <w:rsid w:val="00A27E04"/>
    <w:rsid w:val="00A379A1"/>
    <w:rsid w:val="00A416E3"/>
    <w:rsid w:val="00A44134"/>
    <w:rsid w:val="00A45907"/>
    <w:rsid w:val="00A52C40"/>
    <w:rsid w:val="00A537DF"/>
    <w:rsid w:val="00A6076D"/>
    <w:rsid w:val="00A60E74"/>
    <w:rsid w:val="00A648E0"/>
    <w:rsid w:val="00A67CB8"/>
    <w:rsid w:val="00A71F0F"/>
    <w:rsid w:val="00AB1A52"/>
    <w:rsid w:val="00AB4C17"/>
    <w:rsid w:val="00AB4F60"/>
    <w:rsid w:val="00AC0B78"/>
    <w:rsid w:val="00AD44C3"/>
    <w:rsid w:val="00AE45A1"/>
    <w:rsid w:val="00AE6BDE"/>
    <w:rsid w:val="00B07F04"/>
    <w:rsid w:val="00B20FD5"/>
    <w:rsid w:val="00B3441D"/>
    <w:rsid w:val="00B34C2E"/>
    <w:rsid w:val="00B44B76"/>
    <w:rsid w:val="00B51BCA"/>
    <w:rsid w:val="00B5732D"/>
    <w:rsid w:val="00B63F33"/>
    <w:rsid w:val="00B66157"/>
    <w:rsid w:val="00B74CA3"/>
    <w:rsid w:val="00B76BD2"/>
    <w:rsid w:val="00BA48CD"/>
    <w:rsid w:val="00BA6E32"/>
    <w:rsid w:val="00BB38FA"/>
    <w:rsid w:val="00BB4A6E"/>
    <w:rsid w:val="00BB7880"/>
    <w:rsid w:val="00BC16E8"/>
    <w:rsid w:val="00BD029D"/>
    <w:rsid w:val="00BD21A9"/>
    <w:rsid w:val="00BD2A04"/>
    <w:rsid w:val="00BD30AA"/>
    <w:rsid w:val="00BF2476"/>
    <w:rsid w:val="00BF46CC"/>
    <w:rsid w:val="00BF7880"/>
    <w:rsid w:val="00C002CA"/>
    <w:rsid w:val="00C028BA"/>
    <w:rsid w:val="00C05BC6"/>
    <w:rsid w:val="00C11237"/>
    <w:rsid w:val="00C23385"/>
    <w:rsid w:val="00C26767"/>
    <w:rsid w:val="00C325F0"/>
    <w:rsid w:val="00C52620"/>
    <w:rsid w:val="00C54054"/>
    <w:rsid w:val="00C60AB6"/>
    <w:rsid w:val="00C60B87"/>
    <w:rsid w:val="00C631E9"/>
    <w:rsid w:val="00C63321"/>
    <w:rsid w:val="00C67845"/>
    <w:rsid w:val="00C706B9"/>
    <w:rsid w:val="00C735E9"/>
    <w:rsid w:val="00C853B2"/>
    <w:rsid w:val="00C85918"/>
    <w:rsid w:val="00C85B9D"/>
    <w:rsid w:val="00C907BD"/>
    <w:rsid w:val="00C913F1"/>
    <w:rsid w:val="00C943FB"/>
    <w:rsid w:val="00CA23BB"/>
    <w:rsid w:val="00CA6258"/>
    <w:rsid w:val="00CB007A"/>
    <w:rsid w:val="00CB33B4"/>
    <w:rsid w:val="00CB4C8D"/>
    <w:rsid w:val="00CB56A9"/>
    <w:rsid w:val="00CC5DC6"/>
    <w:rsid w:val="00CD0B0A"/>
    <w:rsid w:val="00CD2240"/>
    <w:rsid w:val="00CD2645"/>
    <w:rsid w:val="00CD65F8"/>
    <w:rsid w:val="00D0121A"/>
    <w:rsid w:val="00D045CF"/>
    <w:rsid w:val="00D06187"/>
    <w:rsid w:val="00D10F12"/>
    <w:rsid w:val="00D112DA"/>
    <w:rsid w:val="00D11828"/>
    <w:rsid w:val="00D17E52"/>
    <w:rsid w:val="00D217DC"/>
    <w:rsid w:val="00D323C7"/>
    <w:rsid w:val="00D353BB"/>
    <w:rsid w:val="00D42ADC"/>
    <w:rsid w:val="00D456A5"/>
    <w:rsid w:val="00D46501"/>
    <w:rsid w:val="00D529E7"/>
    <w:rsid w:val="00D56EA1"/>
    <w:rsid w:val="00D66259"/>
    <w:rsid w:val="00D80C62"/>
    <w:rsid w:val="00D85EC7"/>
    <w:rsid w:val="00DA049F"/>
    <w:rsid w:val="00DA1A03"/>
    <w:rsid w:val="00DA38A5"/>
    <w:rsid w:val="00DA6E4B"/>
    <w:rsid w:val="00DB3C50"/>
    <w:rsid w:val="00DD0B06"/>
    <w:rsid w:val="00DD59C1"/>
    <w:rsid w:val="00DD73B5"/>
    <w:rsid w:val="00DE0125"/>
    <w:rsid w:val="00DE0F2B"/>
    <w:rsid w:val="00DE5D5B"/>
    <w:rsid w:val="00DE6564"/>
    <w:rsid w:val="00DF24B0"/>
    <w:rsid w:val="00DF4B19"/>
    <w:rsid w:val="00DF6A90"/>
    <w:rsid w:val="00DF6CC9"/>
    <w:rsid w:val="00E015F2"/>
    <w:rsid w:val="00E14225"/>
    <w:rsid w:val="00E14D6E"/>
    <w:rsid w:val="00E15392"/>
    <w:rsid w:val="00E21FF8"/>
    <w:rsid w:val="00E24DB1"/>
    <w:rsid w:val="00E321B5"/>
    <w:rsid w:val="00E32428"/>
    <w:rsid w:val="00E36E0E"/>
    <w:rsid w:val="00E37486"/>
    <w:rsid w:val="00E40B87"/>
    <w:rsid w:val="00E413A4"/>
    <w:rsid w:val="00E457CE"/>
    <w:rsid w:val="00E479E7"/>
    <w:rsid w:val="00E551F8"/>
    <w:rsid w:val="00E5536C"/>
    <w:rsid w:val="00E5568B"/>
    <w:rsid w:val="00E6594A"/>
    <w:rsid w:val="00E65DA1"/>
    <w:rsid w:val="00E7191F"/>
    <w:rsid w:val="00E72306"/>
    <w:rsid w:val="00E7244A"/>
    <w:rsid w:val="00E83FE4"/>
    <w:rsid w:val="00E85628"/>
    <w:rsid w:val="00E86EFF"/>
    <w:rsid w:val="00E947F9"/>
    <w:rsid w:val="00E97DFB"/>
    <w:rsid w:val="00EB336E"/>
    <w:rsid w:val="00EC57DA"/>
    <w:rsid w:val="00EC6635"/>
    <w:rsid w:val="00ED519A"/>
    <w:rsid w:val="00ED6296"/>
    <w:rsid w:val="00EF3DE8"/>
    <w:rsid w:val="00F07D35"/>
    <w:rsid w:val="00F1028F"/>
    <w:rsid w:val="00F13716"/>
    <w:rsid w:val="00F2458D"/>
    <w:rsid w:val="00F42B55"/>
    <w:rsid w:val="00F44219"/>
    <w:rsid w:val="00F4492C"/>
    <w:rsid w:val="00F453CC"/>
    <w:rsid w:val="00F4699B"/>
    <w:rsid w:val="00F47A91"/>
    <w:rsid w:val="00F500C3"/>
    <w:rsid w:val="00F50622"/>
    <w:rsid w:val="00F50CB9"/>
    <w:rsid w:val="00F516A8"/>
    <w:rsid w:val="00F5502B"/>
    <w:rsid w:val="00F60C51"/>
    <w:rsid w:val="00F66459"/>
    <w:rsid w:val="00F67358"/>
    <w:rsid w:val="00F67615"/>
    <w:rsid w:val="00F76960"/>
    <w:rsid w:val="00F8005B"/>
    <w:rsid w:val="00F91271"/>
    <w:rsid w:val="00F94293"/>
    <w:rsid w:val="00F96E74"/>
    <w:rsid w:val="00FA15DB"/>
    <w:rsid w:val="00FA4164"/>
    <w:rsid w:val="00FA7265"/>
    <w:rsid w:val="00FC0E69"/>
    <w:rsid w:val="00FD48F2"/>
    <w:rsid w:val="00FD7A33"/>
    <w:rsid w:val="00FE23E0"/>
    <w:rsid w:val="00FE574A"/>
    <w:rsid w:val="00FF0B3E"/>
    <w:rsid w:val="00FF26F8"/>
    <w:rsid w:val="00FF5C1F"/>
    <w:rsid w:val="00FF613D"/>
    <w:rsid w:val="07CAB7F7"/>
    <w:rsid w:val="09FE12B5"/>
    <w:rsid w:val="0B109F96"/>
    <w:rsid w:val="0C440E53"/>
    <w:rsid w:val="0E022A15"/>
    <w:rsid w:val="0E8AF144"/>
    <w:rsid w:val="0F3672B8"/>
    <w:rsid w:val="0FE6C2B3"/>
    <w:rsid w:val="11EED541"/>
    <w:rsid w:val="157AE931"/>
    <w:rsid w:val="175A7DBC"/>
    <w:rsid w:val="19E9FCBC"/>
    <w:rsid w:val="1AA5E943"/>
    <w:rsid w:val="1B79EB67"/>
    <w:rsid w:val="1FF049F1"/>
    <w:rsid w:val="203A8A22"/>
    <w:rsid w:val="22600F4A"/>
    <w:rsid w:val="22AB2436"/>
    <w:rsid w:val="28AE9DD3"/>
    <w:rsid w:val="2B3660FE"/>
    <w:rsid w:val="2C100BC1"/>
    <w:rsid w:val="2E2F0973"/>
    <w:rsid w:val="3041B3CB"/>
    <w:rsid w:val="308CA091"/>
    <w:rsid w:val="3314DDA9"/>
    <w:rsid w:val="3511F63F"/>
    <w:rsid w:val="366D7DA6"/>
    <w:rsid w:val="37EB743A"/>
    <w:rsid w:val="3A9B86D7"/>
    <w:rsid w:val="3D4F44D5"/>
    <w:rsid w:val="3D855FE0"/>
    <w:rsid w:val="4117836E"/>
    <w:rsid w:val="41D691D4"/>
    <w:rsid w:val="44282651"/>
    <w:rsid w:val="44AECB1C"/>
    <w:rsid w:val="452F2C50"/>
    <w:rsid w:val="465AC4D8"/>
    <w:rsid w:val="46AC3EE3"/>
    <w:rsid w:val="487F883E"/>
    <w:rsid w:val="4B1B76DE"/>
    <w:rsid w:val="4CC560CA"/>
    <w:rsid w:val="4FBE789C"/>
    <w:rsid w:val="50143233"/>
    <w:rsid w:val="52DBD7B2"/>
    <w:rsid w:val="5B2C9732"/>
    <w:rsid w:val="5F611A0E"/>
    <w:rsid w:val="600D2717"/>
    <w:rsid w:val="618E78CA"/>
    <w:rsid w:val="62240A89"/>
    <w:rsid w:val="63702EB7"/>
    <w:rsid w:val="64BDCCF6"/>
    <w:rsid w:val="66FC28FF"/>
    <w:rsid w:val="68090177"/>
    <w:rsid w:val="6A2054FD"/>
    <w:rsid w:val="6ACC5D17"/>
    <w:rsid w:val="6CEE46AE"/>
    <w:rsid w:val="6F24EC8F"/>
    <w:rsid w:val="723BC740"/>
    <w:rsid w:val="762A67BE"/>
    <w:rsid w:val="78C4D676"/>
    <w:rsid w:val="7A0D829F"/>
    <w:rsid w:val="7D704D55"/>
    <w:rsid w:val="7FC8B933"/>
    <w:rsid w:val="7FCCDE47"/>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739CF5B"/>
  <w15:chartTrackingRefBased/>
  <w15:docId w15:val="{72CF721A-78EB-4462-A4F8-7C5D7C81F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EA7"/>
    <w:pPr>
      <w:spacing w:after="200" w:line="276" w:lineRule="auto"/>
    </w:pPr>
    <w:rPr>
      <w:kern w:val="0"/>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qFormat/>
    <w:rsid w:val="00A12EA7"/>
    <w:pPr>
      <w:spacing w:after="240" w:line="240" w:lineRule="auto"/>
      <w:ind w:left="357" w:hanging="357"/>
      <w:jc w:val="both"/>
    </w:pPr>
    <w:rPr>
      <w:rFonts w:ascii="Times New Roman" w:eastAsia="Times New Roman" w:hAnsi="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qFormat/>
    <w:rsid w:val="00A12EA7"/>
    <w:rPr>
      <w:rFonts w:ascii="Times New Roman" w:eastAsia="Times New Roman" w:hAnsi="Times New Roman" w:cs="Times New Roman"/>
      <w:kern w:val="0"/>
      <w:sz w:val="20"/>
      <w:szCs w:val="20"/>
      <w:lang w:val="ro-RO"/>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BVIfnrCarCarCarCarCharCharCharCharCar"/>
    <w:uiPriority w:val="99"/>
    <w:unhideWhenUsed/>
    <w:qFormat/>
    <w:rsid w:val="00A12EA7"/>
    <w:rPr>
      <w:sz w:val="20"/>
      <w:vertAlign w:val="superscript"/>
    </w:rPr>
  </w:style>
  <w:style w:type="paragraph" w:customStyle="1" w:styleId="BVIfnrCarCarCarCarCharCharCharCharCar">
    <w:name w:val="BVI fnr Car Car Car Car Char Char Char Char Car"/>
    <w:aliases w:val="BVI fnr Car Car Car Car Char Char Car,BVI fnr Car Car Car Car Char Char Char Char Char Char Char Char Char Car, BVI fnr Car Car Car Car Char Char Car"/>
    <w:basedOn w:val="Normal"/>
    <w:link w:val="FootnoteReference"/>
    <w:uiPriority w:val="99"/>
    <w:rsid w:val="00A12EA7"/>
    <w:pPr>
      <w:spacing w:after="160" w:line="240" w:lineRule="exact"/>
    </w:pPr>
    <w:rPr>
      <w:kern w:val="2"/>
      <w:sz w:val="20"/>
      <w:vertAlign w:val="superscript"/>
      <w14:ligatures w14:val="standardContextual"/>
    </w:rPr>
  </w:style>
  <w:style w:type="paragraph" w:styleId="ListParagraph">
    <w:name w:val="List Paragraph"/>
    <w:basedOn w:val="Normal"/>
    <w:uiPriority w:val="34"/>
    <w:qFormat/>
    <w:rsid w:val="00A12EA7"/>
    <w:pPr>
      <w:ind w:left="720"/>
      <w:contextualSpacing/>
    </w:pPr>
  </w:style>
  <w:style w:type="paragraph" w:customStyle="1" w:styleId="Body">
    <w:name w:val="Body"/>
    <w:basedOn w:val="Normal"/>
    <w:link w:val="BodyChar"/>
    <w:qFormat/>
    <w:rsid w:val="00302F06"/>
    <w:pPr>
      <w:spacing w:before="120" w:after="120"/>
      <w:jc w:val="both"/>
    </w:pPr>
    <w:rPr>
      <w:rFonts w:ascii="Verdana" w:eastAsia="Times New Roman" w:hAnsi="Verdana" w:cs="Times New Roman"/>
      <w:sz w:val="20"/>
      <w:szCs w:val="20"/>
    </w:rPr>
  </w:style>
  <w:style w:type="character" w:customStyle="1" w:styleId="BodyChar">
    <w:name w:val="Body Char"/>
    <w:link w:val="Body"/>
    <w:rsid w:val="00302F06"/>
    <w:rPr>
      <w:rFonts w:ascii="Verdana" w:eastAsia="Times New Roman" w:hAnsi="Verdana" w:cs="Times New Roman"/>
      <w:kern w:val="0"/>
      <w:sz w:val="20"/>
      <w:szCs w:val="20"/>
      <w:lang w:val="ro-RO"/>
      <w14:ligatures w14:val="none"/>
    </w:rPr>
  </w:style>
  <w:style w:type="character" w:styleId="Hyperlink">
    <w:name w:val="Hyperlink"/>
    <w:basedOn w:val="DefaultParagraphFont"/>
    <w:uiPriority w:val="99"/>
    <w:unhideWhenUsed/>
    <w:qFormat/>
    <w:rsid w:val="00094C94"/>
    <w:rPr>
      <w:color w:val="0563C1" w:themeColor="hyperlink"/>
      <w:u w:val="single"/>
    </w:rPr>
  </w:style>
  <w:style w:type="paragraph" w:styleId="ListBullet">
    <w:name w:val="List Bullet"/>
    <w:basedOn w:val="Normal"/>
    <w:uiPriority w:val="99"/>
    <w:qFormat/>
    <w:rsid w:val="0035755F"/>
    <w:pPr>
      <w:spacing w:after="240" w:line="240" w:lineRule="auto"/>
      <w:jc w:val="both"/>
    </w:pPr>
    <w:rPr>
      <w:rFonts w:ascii="Times New Roman" w:eastAsia="Times New Roman" w:hAnsi="Times New Roman" w:cs="Times New Roman"/>
      <w:sz w:val="24"/>
      <w:szCs w:val="20"/>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kern w:val="0"/>
      <w:sz w:val="20"/>
      <w:szCs w:val="20"/>
      <w:lang w:val="ro-RO"/>
      <w14:ligatures w14:val="none"/>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6F0D44"/>
    <w:pPr>
      <w:spacing w:after="0" w:line="240" w:lineRule="auto"/>
    </w:pPr>
    <w:rPr>
      <w:kern w:val="0"/>
      <w14:ligatures w14:val="none"/>
    </w:rPr>
  </w:style>
  <w:style w:type="paragraph" w:styleId="Header">
    <w:name w:val="header"/>
    <w:basedOn w:val="Normal"/>
    <w:link w:val="HeaderChar"/>
    <w:uiPriority w:val="99"/>
    <w:unhideWhenUsed/>
    <w:rsid w:val="006F2F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F2FF4"/>
    <w:rPr>
      <w:kern w:val="0"/>
      <w:lang w:val="ro-RO"/>
      <w14:ligatures w14:val="none"/>
    </w:rPr>
  </w:style>
  <w:style w:type="paragraph" w:styleId="Footer">
    <w:name w:val="footer"/>
    <w:basedOn w:val="Normal"/>
    <w:link w:val="FooterChar"/>
    <w:uiPriority w:val="99"/>
    <w:unhideWhenUsed/>
    <w:rsid w:val="006F2F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F2FF4"/>
    <w:rPr>
      <w:kern w:val="0"/>
      <w:lang w:val="ro-RO"/>
      <w14:ligatures w14:val="none"/>
    </w:rPr>
  </w:style>
  <w:style w:type="character" w:styleId="FollowedHyperlink">
    <w:name w:val="FollowedHyperlink"/>
    <w:basedOn w:val="DefaultParagraphFont"/>
    <w:uiPriority w:val="99"/>
    <w:semiHidden/>
    <w:unhideWhenUsed/>
    <w:rsid w:val="00F50622"/>
    <w:rPr>
      <w:color w:val="954F72" w:themeColor="followedHyperlink"/>
      <w:u w:val="single"/>
    </w:rPr>
  </w:style>
  <w:style w:type="character" w:customStyle="1" w:styleId="Marker">
    <w:name w:val="Marker"/>
    <w:basedOn w:val="DefaultParagraphFont"/>
    <w:rsid w:val="009D1780"/>
    <w:rPr>
      <w:color w:val="0000FF"/>
      <w:shd w:val="clear" w:color="auto" w:fill="auto"/>
    </w:rPr>
  </w:style>
  <w:style w:type="paragraph" w:customStyle="1" w:styleId="Pagedecouverture">
    <w:name w:val="Page de couverture"/>
    <w:basedOn w:val="Normal"/>
    <w:next w:val="Normal"/>
    <w:link w:val="PagedecouvertureChar"/>
    <w:rsid w:val="009D1780"/>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9D1780"/>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9D1780"/>
    <w:rPr>
      <w:rFonts w:ascii="Times New Roman" w:hAnsi="Times New Roman" w:cs="Times New Roman"/>
      <w:kern w:val="0"/>
      <w:sz w:val="24"/>
      <w:lang w:val="ro-RO"/>
      <w14:ligatures w14:val="none"/>
    </w:rPr>
  </w:style>
  <w:style w:type="character" w:customStyle="1" w:styleId="FooterCoverPageChar">
    <w:name w:val="Footer Cover Page Char"/>
    <w:basedOn w:val="PagedecouvertureChar"/>
    <w:link w:val="FooterCoverPage"/>
    <w:rsid w:val="009D1780"/>
    <w:rPr>
      <w:rFonts w:ascii="Times New Roman" w:hAnsi="Times New Roman" w:cs="Times New Roman"/>
      <w:kern w:val="0"/>
      <w:sz w:val="24"/>
      <w:lang w:val="ro-RO"/>
      <w14:ligatures w14:val="none"/>
    </w:rPr>
  </w:style>
  <w:style w:type="paragraph" w:customStyle="1" w:styleId="FooterSensitivity">
    <w:name w:val="Footer Sensitivity"/>
    <w:basedOn w:val="Normal"/>
    <w:link w:val="FooterSensitivityChar"/>
    <w:rsid w:val="009D178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9D1780"/>
    <w:rPr>
      <w:rFonts w:ascii="Times New Roman" w:hAnsi="Times New Roman" w:cs="Times New Roman"/>
      <w:b/>
      <w:kern w:val="0"/>
      <w:sz w:val="32"/>
      <w:lang w:val="ro-RO"/>
      <w14:ligatures w14:val="none"/>
    </w:rPr>
  </w:style>
  <w:style w:type="paragraph" w:customStyle="1" w:styleId="HeaderCoverPage">
    <w:name w:val="Header Cover Page"/>
    <w:basedOn w:val="Normal"/>
    <w:link w:val="HeaderCoverPageChar"/>
    <w:rsid w:val="009D1780"/>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9D1780"/>
    <w:rPr>
      <w:rFonts w:ascii="Times New Roman" w:hAnsi="Times New Roman" w:cs="Times New Roman"/>
      <w:kern w:val="0"/>
      <w:sz w:val="24"/>
      <w:lang w:val="ro-RO"/>
      <w14:ligatures w14:val="none"/>
    </w:rPr>
  </w:style>
  <w:style w:type="paragraph" w:customStyle="1" w:styleId="HeaderSensitivity">
    <w:name w:val="Header Sensitivity"/>
    <w:basedOn w:val="Normal"/>
    <w:link w:val="HeaderSensitivityChar"/>
    <w:rsid w:val="009D1780"/>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9D1780"/>
    <w:rPr>
      <w:rFonts w:ascii="Times New Roman" w:hAnsi="Times New Roman" w:cs="Times New Roman"/>
      <w:b/>
      <w:kern w:val="0"/>
      <w:sz w:val="32"/>
      <w:lang w:val="ro-RO"/>
      <w14:ligatures w14:val="none"/>
    </w:rPr>
  </w:style>
  <w:style w:type="paragraph" w:customStyle="1" w:styleId="HeaderSensitivityRight">
    <w:name w:val="Header Sensitivity Right"/>
    <w:basedOn w:val="Normal"/>
    <w:link w:val="HeaderSensitivityRightChar"/>
    <w:rsid w:val="009D1780"/>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9D1780"/>
    <w:rPr>
      <w:rFonts w:ascii="Times New Roman" w:hAnsi="Times New Roman" w:cs="Times New Roman"/>
      <w:kern w:val="0"/>
      <w:sz w:val="28"/>
      <w:lang w:val="ro-RO"/>
      <w14:ligatures w14:val="none"/>
    </w:rPr>
  </w:style>
  <w:style w:type="paragraph" w:styleId="CommentSubject">
    <w:name w:val="annotation subject"/>
    <w:basedOn w:val="CommentText"/>
    <w:next w:val="CommentText"/>
    <w:link w:val="CommentSubjectChar"/>
    <w:uiPriority w:val="99"/>
    <w:semiHidden/>
    <w:unhideWhenUsed/>
    <w:rsid w:val="004F6C5C"/>
    <w:rPr>
      <w:b/>
      <w:bCs/>
    </w:rPr>
  </w:style>
  <w:style w:type="character" w:customStyle="1" w:styleId="CommentSubjectChar">
    <w:name w:val="Comment Subject Char"/>
    <w:basedOn w:val="CommentTextChar"/>
    <w:link w:val="CommentSubject"/>
    <w:uiPriority w:val="99"/>
    <w:semiHidden/>
    <w:rsid w:val="004F6C5C"/>
    <w:rPr>
      <w:b/>
      <w:bCs/>
      <w:kern w:val="0"/>
      <w:sz w:val="20"/>
      <w:szCs w:val="20"/>
      <w:lang w:val="ro-RO"/>
      <w14:ligatures w14:val="none"/>
    </w:rPr>
  </w:style>
  <w:style w:type="character" w:customStyle="1" w:styleId="UnresolvedMention">
    <w:name w:val="Unresolved Mention"/>
    <w:basedOn w:val="DefaultParagraphFont"/>
    <w:uiPriority w:val="99"/>
    <w:semiHidden/>
    <w:unhideWhenUsed/>
    <w:rsid w:val="00491141"/>
    <w:rPr>
      <w:color w:val="605E5C"/>
      <w:shd w:val="clear" w:color="auto" w:fill="E1DFDD"/>
    </w:rPr>
  </w:style>
  <w:style w:type="paragraph" w:customStyle="1" w:styleId="Languesfaisantfoi">
    <w:name w:val="Langues faisant foi"/>
    <w:basedOn w:val="Normal"/>
    <w:next w:val="Normal"/>
    <w:rsid w:val="0031159D"/>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rsid w:val="0031159D"/>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rsid w:val="0031159D"/>
    <w:pPr>
      <w:spacing w:after="0"/>
    </w:pPr>
  </w:style>
  <w:style w:type="paragraph" w:customStyle="1" w:styleId="IntrtEEEPagedecouverture">
    <w:name w:val="Intérêt EEE (Page de couverture)"/>
    <w:basedOn w:val="IntrtEEE"/>
    <w:next w:val="Normal"/>
    <w:rsid w:val="0031159D"/>
  </w:style>
  <w:style w:type="character" w:customStyle="1" w:styleId="Mention">
    <w:name w:val="Mention"/>
    <w:basedOn w:val="DefaultParagraphFont"/>
    <w:uiPriority w:val="99"/>
    <w:unhideWhenUsed/>
    <w:rsid w:val="004644C3"/>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home-affairs.ec.europa.eu/system/files/2023-01/EMN%20status%20report%202021%20final.pdf" TargetMode="External"/><Relationship Id="rId2" Type="http://schemas.openxmlformats.org/officeDocument/2006/relationships/hyperlink" Target="https://home-affairs.ec.europa.eu/system/files/2021-11/00_eu_emn_status_report_2020_en.pdf" TargetMode="External"/><Relationship Id="rId1" Type="http://schemas.openxmlformats.org/officeDocument/2006/relationships/hyperlink" Target="https://home-affairs.ec.europa.eu/networks/european-migration-network-emn/emn-publications/emn-status-reports_en" TargetMode="External"/><Relationship Id="rId4" Type="http://schemas.openxmlformats.org/officeDocument/2006/relationships/hyperlink" Target="https://home-affairs.ec.europa.eu/system/files/2023-01/EMN%20status%20report%202021%20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6DD47-77A1-46D3-9E48-477780883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3734</Words>
  <Characters>21284</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dcterms:created xsi:type="dcterms:W3CDTF">2026-06-22T09:50:00Z</dcterms:created>
  <dcterms:modified xsi:type="dcterms:W3CDTF">2026-06-23T15:38:00Z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2025-07-30T13:29:10Z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3834473d-d294-462e-b83f-4e0d833fdf4a</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CP-008</vt:lpwstr>
  </property>
</Properties>
</file>