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DA93" w14:textId="03AAB9D1" w:rsidR="00DE18B7" w:rsidRPr="004F1432" w:rsidRDefault="005B3C59" w:rsidP="00007CFD">
      <w:pPr>
        <w:pStyle w:val="Pagedecouverture"/>
        <w:rPr>
          <w:noProof/>
          <w:highlight w:val="yellow"/>
        </w:rPr>
      </w:pPr>
      <w:bookmarkStart w:id="0" w:name="LW_BM_COVERPAGE"/>
      <w:r w:rsidRPr="005B3C59">
        <w:rPr>
          <w:noProof/>
        </w:rPr>
        <w:pict w14:anchorId="4D4F90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E26BEBB-4244-4C74-A842-06AC0A7D64A8" style="width:455.25pt;height:286.5pt">
            <v:imagedata r:id="rId8" o:title=""/>
          </v:shape>
        </w:pict>
      </w:r>
    </w:p>
    <w:bookmarkEnd w:id="0"/>
    <w:p w14:paraId="4E1E02D5" w14:textId="77777777" w:rsidR="00681F80" w:rsidRPr="004F1432" w:rsidRDefault="00681F80" w:rsidP="00681F80">
      <w:pPr>
        <w:rPr>
          <w:noProof/>
          <w:highlight w:val="yellow"/>
        </w:rPr>
        <w:sectPr w:rsidR="00681F80" w:rsidRPr="004F1432" w:rsidSect="00007CF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77777777" w:rsidR="00681F80" w:rsidRPr="004F1432" w:rsidRDefault="00681F80" w:rsidP="00681F80">
      <w:pPr>
        <w:pStyle w:val="TOCHeading"/>
        <w:rPr>
          <w:noProof/>
        </w:rPr>
      </w:pPr>
      <w:r w:rsidRPr="004F1432">
        <w:rPr>
          <w:noProof/>
        </w:rPr>
        <w:lastRenderedPageBreak/>
        <w:t>CUPRINS</w:t>
      </w:r>
    </w:p>
    <w:p w14:paraId="0A583F4B" w14:textId="694C5153" w:rsidR="004F1432" w:rsidRPr="004F1432" w:rsidRDefault="00681F80">
      <w:pPr>
        <w:pStyle w:val="TOC1"/>
        <w:rPr>
          <w:rFonts w:asciiTheme="minorHAnsi" w:eastAsiaTheme="minorEastAsia" w:hAnsiTheme="minorHAnsi" w:cstheme="minorBidi"/>
          <w:noProof/>
          <w:kern w:val="2"/>
          <w:szCs w:val="24"/>
          <w:lang w:eastAsia="en-IE"/>
          <w14:ligatures w14:val="standardContextual"/>
        </w:rPr>
      </w:pPr>
      <w:r w:rsidRPr="004F1432">
        <w:rPr>
          <w:noProof/>
        </w:rPr>
        <w:fldChar w:fldCharType="begin"/>
      </w:r>
      <w:r w:rsidRPr="004F1432">
        <w:rPr>
          <w:noProof/>
        </w:rPr>
        <w:instrText xml:space="preserve"> TOC \o "1-3" \h \z \u </w:instrText>
      </w:r>
      <w:r w:rsidRPr="004F1432">
        <w:rPr>
          <w:noProof/>
        </w:rPr>
        <w:fldChar w:fldCharType="separate"/>
      </w:r>
      <w:hyperlink w:anchor="_Toc233633592" w:history="1">
        <w:r w:rsidR="004F1432" w:rsidRPr="004F1432">
          <w:rPr>
            <w:rStyle w:val="Hyperlink"/>
            <w:noProof/>
          </w:rPr>
          <w:t>Introducere</w:t>
        </w:r>
        <w:r w:rsidR="004F1432" w:rsidRPr="004F1432">
          <w:rPr>
            <w:noProof/>
            <w:webHidden/>
          </w:rPr>
          <w:tab/>
        </w:r>
        <w:r w:rsidR="004F1432" w:rsidRPr="004F1432">
          <w:rPr>
            <w:noProof/>
            <w:webHidden/>
          </w:rPr>
          <w:fldChar w:fldCharType="begin"/>
        </w:r>
        <w:r w:rsidR="004F1432" w:rsidRPr="004F1432">
          <w:rPr>
            <w:noProof/>
            <w:webHidden/>
          </w:rPr>
          <w:instrText xml:space="preserve"> PAGEREF _Toc233633592 \h </w:instrText>
        </w:r>
        <w:r w:rsidR="004F1432" w:rsidRPr="004F1432">
          <w:rPr>
            <w:noProof/>
            <w:webHidden/>
          </w:rPr>
        </w:r>
        <w:r w:rsidR="004F1432" w:rsidRPr="004F1432">
          <w:rPr>
            <w:noProof/>
            <w:webHidden/>
          </w:rPr>
          <w:fldChar w:fldCharType="separate"/>
        </w:r>
        <w:r w:rsidR="004F1432" w:rsidRPr="004F1432">
          <w:rPr>
            <w:noProof/>
            <w:webHidden/>
          </w:rPr>
          <w:t>2</w:t>
        </w:r>
        <w:r w:rsidR="004F1432" w:rsidRPr="004F1432">
          <w:rPr>
            <w:noProof/>
            <w:webHidden/>
          </w:rPr>
          <w:fldChar w:fldCharType="end"/>
        </w:r>
      </w:hyperlink>
    </w:p>
    <w:p w14:paraId="7680DD9C" w14:textId="29FF13BF" w:rsidR="004F1432" w:rsidRPr="004F1432" w:rsidRDefault="004F1432">
      <w:pPr>
        <w:pStyle w:val="TOC1"/>
        <w:rPr>
          <w:rFonts w:asciiTheme="minorHAnsi" w:eastAsiaTheme="minorEastAsia" w:hAnsiTheme="minorHAnsi" w:cstheme="minorBidi"/>
          <w:noProof/>
          <w:kern w:val="2"/>
          <w:szCs w:val="24"/>
          <w:lang w:eastAsia="en-IE"/>
          <w14:ligatures w14:val="standardContextual"/>
        </w:rPr>
      </w:pPr>
      <w:hyperlink w:anchor="_Toc233633593" w:history="1">
        <w:r w:rsidRPr="004F1432">
          <w:rPr>
            <w:rStyle w:val="Hyperlink"/>
            <w:noProof/>
          </w:rPr>
          <w:t>Cereri primite în 2025</w:t>
        </w:r>
        <w:r w:rsidRPr="004F1432">
          <w:rPr>
            <w:noProof/>
            <w:webHidden/>
          </w:rPr>
          <w:tab/>
        </w:r>
        <w:r w:rsidRPr="004F1432">
          <w:rPr>
            <w:noProof/>
            <w:webHidden/>
          </w:rPr>
          <w:fldChar w:fldCharType="begin"/>
        </w:r>
        <w:r w:rsidRPr="004F1432">
          <w:rPr>
            <w:noProof/>
            <w:webHidden/>
          </w:rPr>
          <w:instrText xml:space="preserve"> PAGEREF _Toc233633593 \h </w:instrText>
        </w:r>
        <w:r w:rsidRPr="004F1432">
          <w:rPr>
            <w:noProof/>
            <w:webHidden/>
          </w:rPr>
        </w:r>
        <w:r w:rsidRPr="004F1432">
          <w:rPr>
            <w:noProof/>
            <w:webHidden/>
          </w:rPr>
          <w:fldChar w:fldCharType="separate"/>
        </w:r>
        <w:r w:rsidRPr="004F1432">
          <w:rPr>
            <w:noProof/>
            <w:webHidden/>
          </w:rPr>
          <w:t>2</w:t>
        </w:r>
        <w:r w:rsidRPr="004F1432">
          <w:rPr>
            <w:noProof/>
            <w:webHidden/>
          </w:rPr>
          <w:fldChar w:fldCharType="end"/>
        </w:r>
      </w:hyperlink>
    </w:p>
    <w:p w14:paraId="48C2A0CF" w14:textId="135BDCF1" w:rsidR="004F1432" w:rsidRPr="004F1432" w:rsidRDefault="004F1432">
      <w:pPr>
        <w:pStyle w:val="TOC1"/>
        <w:rPr>
          <w:rFonts w:asciiTheme="minorHAnsi" w:eastAsiaTheme="minorEastAsia" w:hAnsiTheme="minorHAnsi" w:cstheme="minorBidi"/>
          <w:noProof/>
          <w:kern w:val="2"/>
          <w:szCs w:val="24"/>
          <w:lang w:eastAsia="en-IE"/>
          <w14:ligatures w14:val="standardContextual"/>
        </w:rPr>
      </w:pPr>
      <w:hyperlink w:anchor="_Toc233633594" w:history="1">
        <w:r w:rsidRPr="004F1432">
          <w:rPr>
            <w:rStyle w:val="Hyperlink"/>
            <w:noProof/>
          </w:rPr>
          <w:t>Finanțare</w:t>
        </w:r>
        <w:r w:rsidRPr="004F1432">
          <w:rPr>
            <w:noProof/>
            <w:webHidden/>
          </w:rPr>
          <w:tab/>
        </w:r>
        <w:r w:rsidRPr="004F1432">
          <w:rPr>
            <w:noProof/>
            <w:webHidden/>
          </w:rPr>
          <w:fldChar w:fldCharType="begin"/>
        </w:r>
        <w:r w:rsidRPr="004F1432">
          <w:rPr>
            <w:noProof/>
            <w:webHidden/>
          </w:rPr>
          <w:instrText xml:space="preserve"> PAGEREF _Toc233633594 \h </w:instrText>
        </w:r>
        <w:r w:rsidRPr="004F1432">
          <w:rPr>
            <w:noProof/>
            <w:webHidden/>
          </w:rPr>
        </w:r>
        <w:r w:rsidRPr="004F1432">
          <w:rPr>
            <w:noProof/>
            <w:webHidden/>
          </w:rPr>
          <w:fldChar w:fldCharType="separate"/>
        </w:r>
        <w:r w:rsidRPr="004F1432">
          <w:rPr>
            <w:noProof/>
            <w:webHidden/>
          </w:rPr>
          <w:t>6</w:t>
        </w:r>
        <w:r w:rsidRPr="004F1432">
          <w:rPr>
            <w:noProof/>
            <w:webHidden/>
          </w:rPr>
          <w:fldChar w:fldCharType="end"/>
        </w:r>
      </w:hyperlink>
    </w:p>
    <w:p w14:paraId="6D9FF7D8" w14:textId="653E717C" w:rsidR="004F1432" w:rsidRPr="004F1432" w:rsidRDefault="004F1432">
      <w:pPr>
        <w:pStyle w:val="TOC1"/>
        <w:rPr>
          <w:rFonts w:asciiTheme="minorHAnsi" w:eastAsiaTheme="minorEastAsia" w:hAnsiTheme="minorHAnsi" w:cstheme="minorBidi"/>
          <w:noProof/>
          <w:kern w:val="2"/>
          <w:szCs w:val="24"/>
          <w:lang w:eastAsia="en-IE"/>
          <w14:ligatures w14:val="standardContextual"/>
        </w:rPr>
      </w:pPr>
      <w:hyperlink w:anchor="_Toc233633595" w:history="1">
        <w:r w:rsidRPr="004F1432">
          <w:rPr>
            <w:rStyle w:val="Hyperlink"/>
            <w:noProof/>
          </w:rPr>
          <w:t>Închideri</w:t>
        </w:r>
        <w:r w:rsidRPr="004F1432">
          <w:rPr>
            <w:noProof/>
            <w:webHidden/>
          </w:rPr>
          <w:tab/>
        </w:r>
        <w:r w:rsidRPr="004F1432">
          <w:rPr>
            <w:noProof/>
            <w:webHidden/>
          </w:rPr>
          <w:fldChar w:fldCharType="begin"/>
        </w:r>
        <w:r w:rsidRPr="004F1432">
          <w:rPr>
            <w:noProof/>
            <w:webHidden/>
          </w:rPr>
          <w:instrText xml:space="preserve"> PAGEREF _Toc233633595 \h </w:instrText>
        </w:r>
        <w:r w:rsidRPr="004F1432">
          <w:rPr>
            <w:noProof/>
            <w:webHidden/>
          </w:rPr>
        </w:r>
        <w:r w:rsidRPr="004F1432">
          <w:rPr>
            <w:noProof/>
            <w:webHidden/>
          </w:rPr>
          <w:fldChar w:fldCharType="separate"/>
        </w:r>
        <w:r w:rsidRPr="004F1432">
          <w:rPr>
            <w:noProof/>
            <w:webHidden/>
          </w:rPr>
          <w:t>8</w:t>
        </w:r>
        <w:r w:rsidRPr="004F1432">
          <w:rPr>
            <w:noProof/>
            <w:webHidden/>
          </w:rPr>
          <w:fldChar w:fldCharType="end"/>
        </w:r>
      </w:hyperlink>
    </w:p>
    <w:p w14:paraId="2CF400B9" w14:textId="0BCB06CE" w:rsidR="004F1432" w:rsidRPr="004F1432" w:rsidRDefault="004F1432">
      <w:pPr>
        <w:pStyle w:val="TOC1"/>
        <w:rPr>
          <w:rFonts w:asciiTheme="minorHAnsi" w:eastAsiaTheme="minorEastAsia" w:hAnsiTheme="minorHAnsi" w:cstheme="minorBidi"/>
          <w:noProof/>
          <w:kern w:val="2"/>
          <w:szCs w:val="24"/>
          <w:lang w:eastAsia="en-IE"/>
          <w14:ligatures w14:val="standardContextual"/>
        </w:rPr>
      </w:pPr>
      <w:hyperlink w:anchor="_Toc233633596" w:history="1">
        <w:r w:rsidRPr="004F1432">
          <w:rPr>
            <w:rStyle w:val="Hyperlink"/>
            <w:noProof/>
          </w:rPr>
          <w:t>Concluzii</w:t>
        </w:r>
        <w:r w:rsidRPr="004F1432">
          <w:rPr>
            <w:noProof/>
            <w:webHidden/>
          </w:rPr>
          <w:tab/>
        </w:r>
        <w:r w:rsidRPr="004F1432">
          <w:rPr>
            <w:noProof/>
            <w:webHidden/>
          </w:rPr>
          <w:fldChar w:fldCharType="begin"/>
        </w:r>
        <w:r w:rsidRPr="004F1432">
          <w:rPr>
            <w:noProof/>
            <w:webHidden/>
          </w:rPr>
          <w:instrText xml:space="preserve"> PAGEREF _Toc233633596 \h </w:instrText>
        </w:r>
        <w:r w:rsidRPr="004F1432">
          <w:rPr>
            <w:noProof/>
            <w:webHidden/>
          </w:rPr>
        </w:r>
        <w:r w:rsidRPr="004F1432">
          <w:rPr>
            <w:noProof/>
            <w:webHidden/>
          </w:rPr>
          <w:fldChar w:fldCharType="separate"/>
        </w:r>
        <w:r w:rsidRPr="004F1432">
          <w:rPr>
            <w:noProof/>
            <w:webHidden/>
          </w:rPr>
          <w:t>11</w:t>
        </w:r>
        <w:r w:rsidRPr="004F1432">
          <w:rPr>
            <w:noProof/>
            <w:webHidden/>
          </w:rPr>
          <w:fldChar w:fldCharType="end"/>
        </w:r>
      </w:hyperlink>
    </w:p>
    <w:p w14:paraId="6E30A411" w14:textId="27CC7860" w:rsidR="00681F80" w:rsidRPr="004F1432" w:rsidRDefault="00681F80" w:rsidP="00681F80">
      <w:pPr>
        <w:pStyle w:val="TOC1"/>
        <w:jc w:val="center"/>
        <w:rPr>
          <w:b/>
          <w:noProof/>
          <w:highlight w:val="yellow"/>
        </w:rPr>
        <w:sectPr w:rsidR="00681F80" w:rsidRPr="004F1432"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sidRPr="004F1432">
        <w:rPr>
          <w:b/>
          <w:noProof/>
        </w:rPr>
        <w:fldChar w:fldCharType="end"/>
      </w:r>
    </w:p>
    <w:p w14:paraId="5B131E81" w14:textId="77777777" w:rsidR="00681F80" w:rsidRPr="004F1432" w:rsidRDefault="00681F80" w:rsidP="00681F80">
      <w:pPr>
        <w:pStyle w:val="Heading1"/>
        <w:rPr>
          <w:noProof/>
        </w:rPr>
      </w:pPr>
      <w:bookmarkStart w:id="1" w:name="_Toc368320069"/>
      <w:bookmarkStart w:id="2" w:name="_Ref495658716"/>
      <w:bookmarkStart w:id="3" w:name="_Toc233633592"/>
      <w:r w:rsidRPr="004F1432">
        <w:rPr>
          <w:noProof/>
        </w:rPr>
        <w:lastRenderedPageBreak/>
        <w:t>Introducere</w:t>
      </w:r>
      <w:bookmarkEnd w:id="1"/>
      <w:bookmarkEnd w:id="2"/>
      <w:bookmarkEnd w:id="3"/>
    </w:p>
    <w:p w14:paraId="07861E4C" w14:textId="41B8593C" w:rsidR="001A7937" w:rsidRPr="004F1432" w:rsidRDefault="00684764" w:rsidP="00476A0A">
      <w:pPr>
        <w:pStyle w:val="Text1"/>
        <w:ind w:left="0"/>
        <w:rPr>
          <w:noProof/>
        </w:rPr>
      </w:pPr>
      <w:r w:rsidRPr="004F1432">
        <w:rPr>
          <w:noProof/>
        </w:rPr>
        <w:t>Articolul 12 din Regulamentul (CE) nr. 2012/2002 al Consiliului din 11 noiembrie 2002 de instituire a Fondului de Solidaritate al Uniunii Europene</w:t>
      </w:r>
      <w:r w:rsidRPr="004F1432">
        <w:rPr>
          <w:rStyle w:val="FootnoteReference"/>
          <w:noProof/>
        </w:rPr>
        <w:footnoteReference w:id="1"/>
      </w:r>
      <w:r w:rsidRPr="004F1432">
        <w:rPr>
          <w:noProof/>
        </w:rPr>
        <w:t xml:space="preserve"> („regulamentul”) prevede obligația Comisiei de a prezenta Parlamentului European și Consiliului un raport privind activitățile Fondului de solidaritate al UE („FSUE”) din anul precedent. Prezentul raport descrie activitățile FSUE din 2025. Acesta sintetizează (i) cererile primite; (ii) contribuțiile financiare propuse și aprobate și (iii) cazurile închise în 2025. </w:t>
      </w:r>
    </w:p>
    <w:p w14:paraId="50E9E6BA" w14:textId="31744D48" w:rsidR="00041DB3" w:rsidRPr="004F1432" w:rsidRDefault="001A7937" w:rsidP="00476A0A">
      <w:pPr>
        <w:pStyle w:val="Text1"/>
        <w:ind w:left="0"/>
        <w:rPr>
          <w:noProof/>
        </w:rPr>
      </w:pPr>
      <w:r w:rsidRPr="004F1432">
        <w:rPr>
          <w:noProof/>
        </w:rPr>
        <w:t xml:space="preserve">În </w:t>
      </w:r>
      <w:r w:rsidRPr="004F1432">
        <w:rPr>
          <w:b/>
          <w:noProof/>
        </w:rPr>
        <w:t>2025</w:t>
      </w:r>
      <w:r w:rsidRPr="004F1432">
        <w:rPr>
          <w:noProof/>
        </w:rPr>
        <w:t xml:space="preserve">, Comisia a primit </w:t>
      </w:r>
      <w:r w:rsidRPr="004F1432">
        <w:rPr>
          <w:b/>
          <w:noProof/>
        </w:rPr>
        <w:t xml:space="preserve">șase cereri noi </w:t>
      </w:r>
      <w:r w:rsidRPr="004F1432">
        <w:rPr>
          <w:noProof/>
        </w:rPr>
        <w:t>de contribuții financiare din FSUE, și anume din partea Ciprului (incendii de vegetație), a Spaniei (o cerere pentru inundații, una pentru incendii de vegetație), a Franței (două cereri pentru cicloane) și a României (inundații). Trei cereri se refereau la „catastrofe naturale majore”, iar alte trei se refereau la „catastrofe naturale regionale”. Toate cele șase cereri au fost evaluate și considerate eligibile pe baza criteriilor din regulament.</w:t>
      </w:r>
    </w:p>
    <w:p w14:paraId="2B6EC426" w14:textId="0B881C2E" w:rsidR="002724B2" w:rsidRPr="004F1432" w:rsidRDefault="007A2F7C" w:rsidP="00476A0A">
      <w:pPr>
        <w:pStyle w:val="Text1"/>
        <w:ind w:left="0"/>
        <w:rPr>
          <w:noProof/>
        </w:rPr>
      </w:pPr>
      <w:r w:rsidRPr="004F1432">
        <w:rPr>
          <w:noProof/>
        </w:rPr>
        <w:t>Spania (pentru ambele cereri), Franța (pentru ambele cereri) și Cipru au solicitat plăți în avans. În 2025, Comisia a acordat patru plăți în avans [Cipru (incendii de vegetație), Spania (inundații), Franța (două cicloane)] și a plătit în total aproximativ 131,41 milioane EUR. Plata în avans solicitată de Spania (incendii de vegetație) va fi acordată și plătită în 2026.</w:t>
      </w:r>
    </w:p>
    <w:p w14:paraId="4AAEE3F5" w14:textId="185927E6" w:rsidR="007A2F7C" w:rsidRPr="004F1432" w:rsidRDefault="002724B2" w:rsidP="00476A0A">
      <w:pPr>
        <w:pStyle w:val="Text1"/>
        <w:ind w:left="0"/>
        <w:rPr>
          <w:bCs/>
          <w:noProof/>
        </w:rPr>
      </w:pPr>
      <w:r w:rsidRPr="004F1432">
        <w:rPr>
          <w:noProof/>
        </w:rPr>
        <w:t>Deciziile de punere în aplicare privind cele șase cereri acceptate din 2025 vor fi adoptate în cursul anului 2026. În plus, Comisia a închis 18 cazuri FSUE în 2025.</w:t>
      </w:r>
    </w:p>
    <w:p w14:paraId="43485B4C" w14:textId="1C08D436" w:rsidR="00144F45" w:rsidRPr="004F1432" w:rsidRDefault="00B25B2F" w:rsidP="00476A0A">
      <w:pPr>
        <w:pStyle w:val="Text1"/>
        <w:ind w:left="0"/>
        <w:rPr>
          <w:noProof/>
        </w:rPr>
      </w:pPr>
      <w:r w:rsidRPr="004F1432">
        <w:rPr>
          <w:noProof/>
        </w:rPr>
        <w:t>Anexa I prezintă pragurile aplicabile în 2025 pentru daunele cauzate de „catastrofe naturale majore” în vederea mobilizării FSUE. Anexa II cuprinde o prezentare generală a cererilor primite în 2025, inclusiv informațiile financiare relevante.</w:t>
      </w:r>
    </w:p>
    <w:p w14:paraId="3065E489" w14:textId="7F646891" w:rsidR="00681F80" w:rsidRPr="004F1432" w:rsidRDefault="00133D59" w:rsidP="003A3E6A">
      <w:pPr>
        <w:pStyle w:val="Heading1"/>
        <w:rPr>
          <w:noProof/>
        </w:rPr>
      </w:pPr>
      <w:bookmarkStart w:id="4" w:name="_Toc487119828"/>
      <w:bookmarkStart w:id="5" w:name="_Toc487123174"/>
      <w:bookmarkStart w:id="6" w:name="_Toc487119829"/>
      <w:bookmarkStart w:id="7" w:name="_Toc487123175"/>
      <w:bookmarkStart w:id="8" w:name="_Toc487119830"/>
      <w:bookmarkStart w:id="9" w:name="_Toc487123176"/>
      <w:bookmarkStart w:id="10" w:name="_Toc487119831"/>
      <w:bookmarkStart w:id="11" w:name="_Toc487123177"/>
      <w:bookmarkStart w:id="12" w:name="_Toc368320071"/>
      <w:bookmarkStart w:id="13" w:name="_Toc233633593"/>
      <w:bookmarkEnd w:id="4"/>
      <w:bookmarkEnd w:id="5"/>
      <w:bookmarkEnd w:id="6"/>
      <w:bookmarkEnd w:id="7"/>
      <w:bookmarkEnd w:id="8"/>
      <w:bookmarkEnd w:id="9"/>
      <w:bookmarkEnd w:id="10"/>
      <w:bookmarkEnd w:id="11"/>
      <w:r w:rsidRPr="004F1432">
        <w:rPr>
          <w:noProof/>
        </w:rPr>
        <w:t>Cereri primite în 2025</w:t>
      </w:r>
      <w:bookmarkEnd w:id="12"/>
      <w:bookmarkEnd w:id="13"/>
    </w:p>
    <w:p w14:paraId="54DC41C1" w14:textId="470599EA" w:rsidR="00AF19CC" w:rsidRPr="004F1432" w:rsidRDefault="001D071C" w:rsidP="00AF19CC">
      <w:pPr>
        <w:pStyle w:val="Text1"/>
        <w:ind w:left="0"/>
        <w:rPr>
          <w:noProof/>
        </w:rPr>
      </w:pPr>
      <w:r w:rsidRPr="004F1432">
        <w:rPr>
          <w:noProof/>
        </w:rPr>
        <w:t>În 2025, Comisia a primit șase cereri eligibile privind o contribuție financiară din FSUE. Toate au fost primite de Comisie în termenul legal, respectiv „cel târziu la douăsprezece săptămâni de la prima apariție a daunelor” [articolul 4 alineatul (1) din regulament]. Trei cereri se refereau la „catastrofe naturale majore”, iar alte trei se refereau la „catastrofe naturale regionale”.</w:t>
      </w:r>
    </w:p>
    <w:p w14:paraId="5375AFA4" w14:textId="728303FE" w:rsidR="007649D3" w:rsidRPr="004F1432" w:rsidRDefault="007649D3" w:rsidP="00AF19CC">
      <w:pPr>
        <w:pStyle w:val="Text1"/>
        <w:ind w:left="0"/>
        <w:rPr>
          <w:noProof/>
        </w:rPr>
      </w:pPr>
      <w:r w:rsidRPr="004F1432">
        <w:rPr>
          <w:noProof/>
        </w:rPr>
        <w:t>Tabelele financiare detaliate privind aceste cereri pot fi consultate în anexa II la prezentul raport.</w:t>
      </w:r>
    </w:p>
    <w:p w14:paraId="706570E8" w14:textId="77777777" w:rsidR="00D921C7" w:rsidRPr="004F1432" w:rsidRDefault="00D921C7" w:rsidP="00AF19CC">
      <w:pPr>
        <w:pStyle w:val="Text1"/>
        <w:ind w:left="0"/>
        <w:rPr>
          <w:smallCaps/>
          <w:noProof/>
        </w:rPr>
      </w:pPr>
    </w:p>
    <w:p w14:paraId="3798421F" w14:textId="77777777" w:rsidR="00C55ACB" w:rsidRPr="004F1432" w:rsidRDefault="004071E3" w:rsidP="00C55ACB">
      <w:pPr>
        <w:pStyle w:val="Text1"/>
        <w:ind w:left="0"/>
        <w:rPr>
          <w:rFonts w:ascii="Times New Roman Bold" w:hAnsi="Times New Roman Bold"/>
          <w:smallCaps/>
          <w:noProof/>
        </w:rPr>
      </w:pPr>
      <w:r w:rsidRPr="004F1432">
        <w:rPr>
          <w:rFonts w:ascii="Times New Roman Bold" w:hAnsi="Times New Roman Bold"/>
          <w:smallCaps/>
          <w:noProof/>
        </w:rPr>
        <w:t>Spania – Inundațiile DANA din Valencia</w:t>
      </w:r>
    </w:p>
    <w:p w14:paraId="179B1934" w14:textId="33C28005" w:rsidR="00C55ACB" w:rsidRPr="004F1432" w:rsidRDefault="00C55ACB" w:rsidP="00C55ACB">
      <w:pPr>
        <w:pStyle w:val="Text1"/>
        <w:ind w:left="0"/>
        <w:rPr>
          <w:rFonts w:ascii="Times New Roman Bold" w:hAnsi="Times New Roman Bold"/>
          <w:smallCaps/>
          <w:noProof/>
        </w:rPr>
      </w:pPr>
      <w:r w:rsidRPr="004F1432">
        <w:rPr>
          <w:noProof/>
        </w:rPr>
        <w:t>În perioada 28 octombrie</w:t>
      </w:r>
      <w:r w:rsidR="004F1432" w:rsidRPr="004F1432">
        <w:rPr>
          <w:noProof/>
        </w:rPr>
        <w:t xml:space="preserve"> – </w:t>
      </w:r>
      <w:r w:rsidRPr="004F1432">
        <w:rPr>
          <w:noProof/>
        </w:rPr>
        <w:t>4 noiembrie 2024, o furtună care a provocat ploi abundente a lovit întreaga regiune Valencia din Spania, provocând inundații grave. Au fost afectate aproximativ 2 600 de locuințe și o suprafață de peste 500 km². Mii de gospodării au rămas fără electricitate, apă potabilă și servicii de telefonie, iar infrastructurile și bunurile publice au suferit daune semnificative. Au fost afectate peste 170 de instituții de învățământ și peste 50</w:t>
      </w:r>
      <w:r w:rsidR="004F1432" w:rsidRPr="004F1432">
        <w:rPr>
          <w:noProof/>
        </w:rPr>
        <w:t> </w:t>
      </w:r>
      <w:r w:rsidRPr="004F1432">
        <w:rPr>
          <w:noProof/>
        </w:rPr>
        <w:t>de instituții sanitare. Inundațiile au provocat, de asemenea, 232 de decese.</w:t>
      </w:r>
    </w:p>
    <w:p w14:paraId="35C58AB2" w14:textId="20E7B501" w:rsidR="00C55ACB" w:rsidRPr="004F1432" w:rsidRDefault="00C55ACB" w:rsidP="00164930">
      <w:pPr>
        <w:pStyle w:val="Text1"/>
        <w:ind w:left="0"/>
        <w:rPr>
          <w:noProof/>
          <w:highlight w:val="yellow"/>
        </w:rPr>
      </w:pPr>
      <w:r w:rsidRPr="004F1432">
        <w:rPr>
          <w:noProof/>
        </w:rPr>
        <w:t>Autoritățile spaniole au estimat daunele directe totale la 20,28 miliarde EUR. Comisia a acceptat suma de 18,08 miliarde EUR ca valoare a daunelor directe totale plauzibile. Această sumă depășește pragul aplicabil unei „catastrofe naturale majore” pentru Spania, care a fost de 3,96 miliarde EUR în 2025 [3 miliarde EUR la prețurile din 2011 în temeiul articolului 2 alineatul (2) din regulament].</w:t>
      </w:r>
    </w:p>
    <w:p w14:paraId="39038AB8" w14:textId="77777777" w:rsidR="00C55ACB" w:rsidRPr="004F1432" w:rsidRDefault="00C55ACB" w:rsidP="00C55ACB">
      <w:pPr>
        <w:pStyle w:val="Text1"/>
        <w:ind w:left="0"/>
        <w:rPr>
          <w:noProof/>
          <w:highlight w:val="yellow"/>
        </w:rPr>
      </w:pPr>
    </w:p>
    <w:p w14:paraId="25490853" w14:textId="64CA4817" w:rsidR="00B35949" w:rsidRPr="004F1432" w:rsidRDefault="00C55ACB" w:rsidP="00B35949">
      <w:pPr>
        <w:pStyle w:val="Text1"/>
        <w:ind w:left="0"/>
        <w:rPr>
          <w:noProof/>
        </w:rPr>
      </w:pPr>
      <w:r w:rsidRPr="004F1432">
        <w:rPr>
          <w:noProof/>
        </w:rPr>
        <w:t>La 20 ianuarie 2025, Spania a solicitat o contribuție financiară din FSUE pentru finanțarea operațiunilor de urgență și de recuperare desfășurate în urma inundațiilor care au avut loc în regiunea Valencia în octombrie 2024.</w:t>
      </w:r>
    </w:p>
    <w:p w14:paraId="4789A4BE" w14:textId="09645D27" w:rsidR="00B35949" w:rsidRPr="004F1432" w:rsidRDefault="00B35949" w:rsidP="00B35949">
      <w:pPr>
        <w:pStyle w:val="Text1"/>
        <w:ind w:left="0"/>
        <w:rPr>
          <w:noProof/>
        </w:rPr>
      </w:pPr>
      <w:r w:rsidRPr="004F1432">
        <w:rPr>
          <w:noProof/>
        </w:rPr>
        <w:t>Spania a solicitat plata unui avans în temeiul articolului 4a din regulament. Comisia a concluzionat, pe baza evaluării preliminare, că au fost îndeplinite condițiile pentru plata sumei maxime permise de regulament pentru un avans din FSUE. Prin Decizia de punere în aplicare C(2025) 1798 a Comisiei din 20 martie 2025 s-a acordat un avans de 100 000 000 EUR. Avansul a fost plătit Spaniei la 8 aprilie 2025.</w:t>
      </w:r>
    </w:p>
    <w:p w14:paraId="7ED8E164" w14:textId="5194F453" w:rsidR="00C55ACB" w:rsidRPr="004F1432" w:rsidRDefault="00C55ACB" w:rsidP="00C571F5">
      <w:pPr>
        <w:spacing w:before="120" w:after="120" w:line="240" w:lineRule="auto"/>
        <w:jc w:val="both"/>
        <w:rPr>
          <w:rFonts w:ascii="Times New Roman" w:hAnsi="Times New Roman"/>
          <w:noProof/>
          <w:color w:val="000000"/>
          <w:sz w:val="24"/>
          <w:szCs w:val="24"/>
          <w:highlight w:val="yellow"/>
        </w:rPr>
      </w:pPr>
      <w:r w:rsidRPr="004F1432">
        <w:rPr>
          <w:rFonts w:ascii="Times New Roman" w:hAnsi="Times New Roman"/>
          <w:noProof/>
          <w:color w:val="000000"/>
          <w:sz w:val="24"/>
        </w:rPr>
        <w:t>În urma propunerii Comisiei COM(2025) 855 din 3 octombrie 2025, autoritatea bugetară a aprobat o plată de 946 153 691 EUR din FSUE către Spania. Decizia de punere în aplicare relevantă va fi adoptată în 2026.</w:t>
      </w:r>
    </w:p>
    <w:p w14:paraId="4ADC7C6C" w14:textId="77777777" w:rsidR="00C55ACB" w:rsidRPr="004F1432" w:rsidRDefault="00C55ACB" w:rsidP="00AF19CC">
      <w:pPr>
        <w:pStyle w:val="Text1"/>
        <w:ind w:left="0"/>
        <w:rPr>
          <w:rFonts w:ascii="Times New Roman Bold" w:hAnsi="Times New Roman Bold"/>
          <w:smallCaps/>
          <w:noProof/>
          <w:highlight w:val="yellow"/>
        </w:rPr>
      </w:pPr>
    </w:p>
    <w:p w14:paraId="17305729" w14:textId="2E739F07" w:rsidR="005E3223" w:rsidRPr="004F1432" w:rsidRDefault="004071E3" w:rsidP="005E3223">
      <w:pPr>
        <w:pStyle w:val="Text1"/>
        <w:ind w:left="0"/>
        <w:rPr>
          <w:rFonts w:ascii="Times New Roman Bold" w:hAnsi="Times New Roman Bold"/>
          <w:smallCaps/>
          <w:noProof/>
        </w:rPr>
      </w:pPr>
      <w:r w:rsidRPr="004F1432">
        <w:rPr>
          <w:rFonts w:ascii="Times New Roman Bold" w:hAnsi="Times New Roman Bold"/>
          <w:smallCaps/>
          <w:noProof/>
        </w:rPr>
        <w:t>Franța – Ciclon în Mayotte</w:t>
      </w:r>
    </w:p>
    <w:p w14:paraId="65C586E8" w14:textId="3E97BF3E" w:rsidR="005E3223" w:rsidRPr="004F1432" w:rsidRDefault="005E3223" w:rsidP="005E3223">
      <w:pPr>
        <w:pStyle w:val="Text1"/>
        <w:ind w:left="0"/>
        <w:rPr>
          <w:rFonts w:eastAsia="Calibri"/>
          <w:noProof/>
          <w:color w:val="000000"/>
          <w:szCs w:val="24"/>
        </w:rPr>
      </w:pPr>
      <w:r w:rsidRPr="004F1432">
        <w:rPr>
          <w:noProof/>
          <w:color w:val="000000"/>
        </w:rPr>
        <w:t>La 14 decembrie 2024, ochiul ciclonului Chido a lovit insula Mayotte, Franța. Rafalele de vânt ale ciclonului au depășit 180 km pe oră pe întreg teritoriul. Ciclonul a adus, de asemenea, precipitații abundente pe insulă, cu precipitații totale estimate între 100 și 150 mm în 12 ore. Precipitațiile abundente și vânturile puternice au fost combinate cu înălțimi periculos de mari ale valurilor, de 5-9 metri, distrugând toate locuințele. Rețeaua de energie electrică și rețeaua de apă au fost complet închise, iar mai multe mijloace de traversare între cele două insule din Mayotte au fost grav afectate. Transportul public și serviciile de transport școlar au fost obligate să își suspende temporar sau să își reducă în mod semnificativ operațiunile. De asemenea, ciclonul a provocat cel puțin 39 de decese.</w:t>
      </w:r>
    </w:p>
    <w:p w14:paraId="65D556C2" w14:textId="5718363A" w:rsidR="005E3223" w:rsidRPr="004F1432" w:rsidRDefault="005E3223" w:rsidP="005E3223">
      <w:pPr>
        <w:pStyle w:val="Text1"/>
        <w:ind w:left="0"/>
        <w:rPr>
          <w:rFonts w:eastAsia="Calibri"/>
          <w:noProof/>
          <w:color w:val="000000"/>
          <w:szCs w:val="24"/>
        </w:rPr>
      </w:pPr>
      <w:r w:rsidRPr="004F1432">
        <w:rPr>
          <w:noProof/>
          <w:color w:val="000000"/>
        </w:rPr>
        <w:t>Autoritățile franceze au estimat că valoarea daunelor directe totale cauzate de catastrofă este de 3,8 miliarde EUR. Comisia a acceptat suma de 3,6 miliarde EUR ca valoare a daunelor directe totale plauzibile. Această sumă depășește pragul aplicabil pentru o „catastrofă naturală regională”, în temeiul articolului 2 alineatul (3) a doua teză din regulament, care a fost de 33,47 milioane EUR pentru Mayotte în 2025.</w:t>
      </w:r>
    </w:p>
    <w:p w14:paraId="47BFB579" w14:textId="1E8A71C6" w:rsidR="00F42F61" w:rsidRPr="004F1432" w:rsidRDefault="00F42F61" w:rsidP="00F42F61">
      <w:pPr>
        <w:pStyle w:val="Text1"/>
        <w:ind w:left="0"/>
        <w:rPr>
          <w:noProof/>
          <w:color w:val="000000"/>
          <w:szCs w:val="24"/>
        </w:rPr>
      </w:pPr>
      <w:r w:rsidRPr="004F1432">
        <w:rPr>
          <w:noProof/>
          <w:color w:val="000000"/>
        </w:rPr>
        <w:t>La 7 martie 2025, Franța a solicitat o contribuție financiară din FSUE pentru finanțarea operațiunilor de urgență și de recuperare desfășurate în urma ciclonului Chido pe insula Mayotte, Franța, în 14 decembrie 2024.</w:t>
      </w:r>
    </w:p>
    <w:p w14:paraId="6565C23D" w14:textId="7FADC921" w:rsidR="00F42F61" w:rsidRPr="004F1432" w:rsidRDefault="00F42F61" w:rsidP="00F42F61">
      <w:pPr>
        <w:pStyle w:val="Text1"/>
        <w:ind w:left="0"/>
        <w:rPr>
          <w:noProof/>
          <w:color w:val="000000"/>
          <w:szCs w:val="24"/>
        </w:rPr>
      </w:pPr>
      <w:r w:rsidRPr="004F1432">
        <w:rPr>
          <w:noProof/>
          <w:color w:val="000000"/>
        </w:rPr>
        <w:t>Franța a solicitat plata unui avans în temeiul articolului 4a din regulament. Comisia a concluzionat, pe baza evaluării preliminare, că au fost îndeplinite condițiile pentru plata unui avans corespunzător unui procent de 25 % din valoarea anticipată a contribuției financiare din FSUE. Prin Decizia de punere în aplicare C(2025) 3192 a Comisiei din 20 mai 2025 s-a acordat un avans de 23 782 012 EUR. Avansul a fost plătit Franței la 4 iunie 2025.</w:t>
      </w:r>
    </w:p>
    <w:p w14:paraId="0D691BB6" w14:textId="38BED97D" w:rsidR="005E3223" w:rsidRPr="004F1432" w:rsidRDefault="00D5032E" w:rsidP="00C571F5">
      <w:pPr>
        <w:spacing w:before="120" w:after="120" w:line="240" w:lineRule="auto"/>
        <w:jc w:val="both"/>
        <w:rPr>
          <w:rFonts w:ascii="Times New Roman" w:hAnsi="Times New Roman"/>
          <w:noProof/>
          <w:color w:val="000000"/>
          <w:sz w:val="24"/>
          <w:szCs w:val="24"/>
        </w:rPr>
      </w:pPr>
      <w:r w:rsidRPr="004F1432">
        <w:rPr>
          <w:rFonts w:ascii="Times New Roman" w:hAnsi="Times New Roman"/>
          <w:noProof/>
          <w:color w:val="000000"/>
          <w:sz w:val="24"/>
        </w:rPr>
        <w:t>În urma propunerii Comisiei COM(2025) 855 din 3 octombrie 2025, autoritatea bugetară a aprobat o plată de 89 628 050 EUR din FSUE către Franța. Decizia de punere în aplicare relevantă va fi adoptată în 2026.</w:t>
      </w:r>
    </w:p>
    <w:p w14:paraId="4C6B56FE" w14:textId="77777777" w:rsidR="004D3CC6" w:rsidRPr="004F1432" w:rsidRDefault="004D3CC6" w:rsidP="009F5BF0">
      <w:pPr>
        <w:spacing w:before="120" w:after="120"/>
        <w:jc w:val="both"/>
        <w:rPr>
          <w:rFonts w:ascii="Times New Roman" w:hAnsi="Times New Roman"/>
          <w:noProof/>
          <w:color w:val="000000"/>
          <w:sz w:val="24"/>
          <w:szCs w:val="24"/>
        </w:rPr>
      </w:pPr>
    </w:p>
    <w:p w14:paraId="7B6303B9" w14:textId="0B412B0A" w:rsidR="004071E3" w:rsidRPr="004F1432" w:rsidRDefault="004071E3" w:rsidP="00AF19CC">
      <w:pPr>
        <w:pStyle w:val="Text1"/>
        <w:ind w:left="0"/>
        <w:rPr>
          <w:rFonts w:ascii="Times New Roman Bold" w:hAnsi="Times New Roman Bold"/>
          <w:smallCaps/>
          <w:noProof/>
        </w:rPr>
      </w:pPr>
      <w:r w:rsidRPr="004F1432">
        <w:rPr>
          <w:rFonts w:ascii="Times New Roman Bold" w:hAnsi="Times New Roman Bold"/>
          <w:smallCaps/>
          <w:noProof/>
        </w:rPr>
        <w:t>Franța – Ciclon în Réunion</w:t>
      </w:r>
    </w:p>
    <w:p w14:paraId="74229614" w14:textId="57943C7F" w:rsidR="004D3CC6" w:rsidRPr="004F1432" w:rsidRDefault="004D3CC6" w:rsidP="004D3CC6">
      <w:pPr>
        <w:pStyle w:val="Text1"/>
        <w:ind w:left="0"/>
        <w:rPr>
          <w:rFonts w:eastAsia="Calibri"/>
          <w:noProof/>
          <w:color w:val="000000"/>
          <w:szCs w:val="24"/>
        </w:rPr>
      </w:pPr>
      <w:r w:rsidRPr="004F1432">
        <w:rPr>
          <w:noProof/>
          <w:color w:val="000000"/>
        </w:rPr>
        <w:t>La 28 februarie 2025, un ciclon denumit Garance a lovit insula Réunion, Franța. Vânturile ciclonice din unele zone au atins o viteză de 215 km/oră și au adus ploi abundente și condiții maritime periculoase. Ciclonul a avut un impact puternic asupra rețelei de drumuri și a perturbat în mare măsură economia. Sectorul agricol, în special sectorul trestiei de zahăr, și întreprinderile care se bazează pe turism au suferit daune majore din cauza ciclonului. Pentru a ajuta populația afectată, au fost deschise 123 de centre de cazare pentru ca oamenii să găsească adăpost. De asemenea, ciclonul a provocat cel puțin cinci decese.</w:t>
      </w:r>
    </w:p>
    <w:p w14:paraId="6CACDCE1" w14:textId="7EBD4E8B" w:rsidR="004D3CC6" w:rsidRPr="004F1432" w:rsidRDefault="004D3CC6" w:rsidP="004D3CC6">
      <w:pPr>
        <w:pStyle w:val="Text1"/>
        <w:ind w:left="0"/>
        <w:rPr>
          <w:rFonts w:eastAsia="Calibri"/>
          <w:noProof/>
          <w:color w:val="000000"/>
          <w:szCs w:val="24"/>
        </w:rPr>
      </w:pPr>
      <w:r w:rsidRPr="004F1432">
        <w:rPr>
          <w:noProof/>
          <w:color w:val="000000"/>
        </w:rPr>
        <w:t>Autoritățile franceze au estimat că valoarea daunelor directe totale cauzate de catastrofă este de 849,45 milioane EUR. Această sumă depășește pragul aplicabil pentru o „catastrofă naturală regională”, în temeiul articolului 2 alineatul (3) a doua teză din regulament, care a fost de 216,68 milioane EUR pentru Réunion în 2025.</w:t>
      </w:r>
    </w:p>
    <w:p w14:paraId="48F0DBFC" w14:textId="62EB057F" w:rsidR="004D3CC6" w:rsidRPr="004F1432" w:rsidRDefault="004D3CC6" w:rsidP="004D3CC6">
      <w:pPr>
        <w:pStyle w:val="Text1"/>
        <w:ind w:left="0"/>
        <w:rPr>
          <w:noProof/>
          <w:color w:val="000000"/>
          <w:szCs w:val="24"/>
        </w:rPr>
      </w:pPr>
      <w:r w:rsidRPr="004F1432">
        <w:rPr>
          <w:noProof/>
          <w:color w:val="000000"/>
        </w:rPr>
        <w:t>La 23 mai 2025, Franța a solicitat o contribuție financiară din FSUE pentru finanțarea operațiunilor de urgență și de recuperare desfășurate în urma ciclonului Garance pe insula Réunion, Franța, la 28 februarie 2025.</w:t>
      </w:r>
    </w:p>
    <w:p w14:paraId="4D87DAC9" w14:textId="4909EE93" w:rsidR="004D3CC6" w:rsidRPr="004F1432" w:rsidRDefault="004D3CC6" w:rsidP="004D3CC6">
      <w:pPr>
        <w:pStyle w:val="Text1"/>
        <w:ind w:left="0"/>
        <w:rPr>
          <w:noProof/>
          <w:color w:val="000000"/>
          <w:szCs w:val="24"/>
        </w:rPr>
      </w:pPr>
      <w:r w:rsidRPr="004F1432">
        <w:rPr>
          <w:noProof/>
          <w:color w:val="000000"/>
        </w:rPr>
        <w:t>Franța a solicitat plata unui avans în temeiul articolului 4a din regulament. Comisia a concluzionat, pe baza evaluării preliminare, că au fost îndeplinite condițiile pentru plata unui avans corespunzător unui procent de 25 % din valoarea anticipată a contribuției financiare din FSUE. Prin Decizia de punere în aplicare C(2025) 5615 a Comisiei din 5 august 2025 s-a acordat un avans de 5 309 084 EUR. Avansul a fost plătit Franței la 26 august 2025.</w:t>
      </w:r>
    </w:p>
    <w:p w14:paraId="1C414DDC" w14:textId="4B530E63" w:rsidR="004D3CC6" w:rsidRPr="004F1432" w:rsidRDefault="004D3CC6" w:rsidP="00C571F5">
      <w:pPr>
        <w:spacing w:before="120" w:after="120" w:line="240" w:lineRule="auto"/>
        <w:jc w:val="both"/>
        <w:rPr>
          <w:rFonts w:ascii="Times New Roman" w:hAnsi="Times New Roman"/>
          <w:noProof/>
          <w:color w:val="000000"/>
          <w:sz w:val="24"/>
          <w:szCs w:val="24"/>
        </w:rPr>
      </w:pPr>
      <w:r w:rsidRPr="004F1432">
        <w:rPr>
          <w:rFonts w:ascii="Times New Roman" w:hAnsi="Times New Roman"/>
          <w:noProof/>
          <w:color w:val="000000"/>
          <w:sz w:val="24"/>
        </w:rPr>
        <w:t>În urma propunerii Comisiei COM(2025) 855 din 3 octombrie 2025, autoritatea bugetară a aprobat o plată de 21 236 336 EUR din FSUE către Franța. Decizia de punere în aplicare relevantă va fi adoptată în 2026.</w:t>
      </w:r>
    </w:p>
    <w:p w14:paraId="2437EC08" w14:textId="77777777" w:rsidR="002C18CF" w:rsidRPr="004F1432" w:rsidRDefault="002C18CF" w:rsidP="00C571F5">
      <w:pPr>
        <w:spacing w:before="120" w:after="120"/>
        <w:jc w:val="both"/>
        <w:rPr>
          <w:rFonts w:ascii="Times New Roman Bold" w:hAnsi="Times New Roman Bold"/>
          <w:smallCaps/>
          <w:noProof/>
          <w:highlight w:val="yellow"/>
        </w:rPr>
      </w:pPr>
    </w:p>
    <w:p w14:paraId="18B3AEF3" w14:textId="404B4F8F" w:rsidR="002C18CF" w:rsidRPr="004F1432" w:rsidRDefault="002C18CF" w:rsidP="002C18CF">
      <w:pPr>
        <w:pStyle w:val="Text1"/>
        <w:ind w:left="0"/>
        <w:rPr>
          <w:rFonts w:ascii="Times New Roman Bold" w:hAnsi="Times New Roman Bold"/>
          <w:smallCaps/>
          <w:noProof/>
        </w:rPr>
      </w:pPr>
      <w:r w:rsidRPr="004F1432">
        <w:rPr>
          <w:rFonts w:ascii="Times New Roman Bold" w:hAnsi="Times New Roman Bold"/>
          <w:smallCaps/>
          <w:noProof/>
        </w:rPr>
        <w:t>România - inundații</w:t>
      </w:r>
    </w:p>
    <w:p w14:paraId="13399941" w14:textId="65AC2067" w:rsidR="002C18CF" w:rsidRPr="004F1432" w:rsidRDefault="002C18CF" w:rsidP="002C18CF">
      <w:pPr>
        <w:pStyle w:val="Text1"/>
        <w:ind w:left="0"/>
        <w:rPr>
          <w:noProof/>
          <w:color w:val="000000"/>
          <w:szCs w:val="24"/>
        </w:rPr>
      </w:pPr>
      <w:r w:rsidRPr="004F1432">
        <w:rPr>
          <w:noProof/>
          <w:color w:val="000000"/>
        </w:rPr>
        <w:t>Între 26 mai și începutul lunii iunie 2025, România s-a confruntat cu mai multe zile de ploi abundente, care au dus la inundații în regiunile Centru, Sud Muntenia și Nord Est. Cele mai mari daune au fost înregistrate la mina de sare Praid, unde, la 27 mai, apa din râul Corund a inundat o parte a albiei râului, deteriorând grav infrastructura hidrotehnică a zonei și pătrunzând în mina de sare. Întreaga mină de sare a fost inundată cu apă, compromițând stabilitatea pilonilor de susținere din sare și punând în pericol integritatea structurală a minei. În alte părți ale acestor regiuni, grindina și vânturile puternice au provocat daune extinse infrastructurii. Furtunile au perturbat, de asemenea, funcționarea serviciilor publice și au lăsat mii de gospodării fără energie electrică.</w:t>
      </w:r>
    </w:p>
    <w:p w14:paraId="7AF835AA" w14:textId="19F108E2" w:rsidR="00DC2D97" w:rsidRPr="004F1432" w:rsidRDefault="002C18CF" w:rsidP="00DC2D97">
      <w:pPr>
        <w:pStyle w:val="Text1"/>
        <w:ind w:left="0"/>
        <w:rPr>
          <w:noProof/>
          <w:color w:val="000000"/>
          <w:szCs w:val="24"/>
        </w:rPr>
      </w:pPr>
      <w:r w:rsidRPr="004F1432">
        <w:rPr>
          <w:noProof/>
          <w:color w:val="000000"/>
        </w:rPr>
        <w:t>Autoritățile române estimează că valoarea daunelor directe totale cauzate de catastrofă este de 573,59 milioane EUR. În conformitate cu articolul 2 alineatul (3) a treia teză din regulament, în cazul în care catastrofa naturală afectează mai multe regiuni de nivel NUTS 2, pragul trebuie să se aplice la PIB-ul mediu al regiunilor respective ponderat în funcție de proporția din totalul daunelor care afectează fiecare regiune în parte. Daunele directe exprimate ca procent din PIB-ul regional total ponderat al regiunilor Centru, Sud Muntenia și Nord Est sunt de 1,8 %. Această sumă depășește 1,5 % din PIB-ul regional total ponderat al regiunilor Centru, Sud Muntenia și Nord Est.</w:t>
      </w:r>
    </w:p>
    <w:p w14:paraId="44A7B58E" w14:textId="4780C850" w:rsidR="00DC2D97" w:rsidRPr="004F1432" w:rsidRDefault="00DC2D97" w:rsidP="009F5BF0">
      <w:pPr>
        <w:pStyle w:val="Text1"/>
        <w:ind w:left="0"/>
        <w:rPr>
          <w:noProof/>
          <w:color w:val="000000"/>
          <w:szCs w:val="24"/>
        </w:rPr>
      </w:pPr>
      <w:r w:rsidRPr="004F1432">
        <w:rPr>
          <w:noProof/>
          <w:color w:val="000000"/>
        </w:rPr>
        <w:t>La 14 august 2025, România a solicitat o contribuție financiară din FSUE pentru finanțarea operațiunilor de urgență și de recuperare întreprinse în urma inundațiilor care au lovit țara la 27 mai 2025. La 26 septembrie 2025 și la 24 martie 2026, România a prezentat clarificări suplimentare cu privire la datele și informațiile furnizate în cererea FSUE.</w:t>
      </w:r>
    </w:p>
    <w:p w14:paraId="33C06E8D" w14:textId="6A5CA0FD" w:rsidR="00DC2D97" w:rsidRPr="004F1432" w:rsidRDefault="00DC2D97" w:rsidP="00DC2D97">
      <w:pPr>
        <w:pStyle w:val="Text1"/>
        <w:ind w:left="0"/>
        <w:rPr>
          <w:noProof/>
          <w:color w:val="000000"/>
          <w:szCs w:val="24"/>
        </w:rPr>
      </w:pPr>
      <w:r w:rsidRPr="004F1432">
        <w:rPr>
          <w:noProof/>
          <w:color w:val="000000"/>
        </w:rPr>
        <w:t>România nu a solicitat plata unui avans.</w:t>
      </w:r>
    </w:p>
    <w:p w14:paraId="40A209FA" w14:textId="031B8E04" w:rsidR="00DC2D97" w:rsidRPr="004F1432" w:rsidRDefault="00DC2D97" w:rsidP="00C571F5">
      <w:pPr>
        <w:spacing w:before="120" w:after="120" w:line="240" w:lineRule="auto"/>
        <w:jc w:val="both"/>
        <w:rPr>
          <w:rFonts w:ascii="Times New Roman" w:hAnsi="Times New Roman"/>
          <w:noProof/>
          <w:color w:val="000000"/>
          <w:sz w:val="24"/>
          <w:szCs w:val="24"/>
        </w:rPr>
      </w:pPr>
      <w:r w:rsidRPr="004F1432">
        <w:rPr>
          <w:rFonts w:ascii="Times New Roman" w:hAnsi="Times New Roman"/>
          <w:noProof/>
          <w:color w:val="000000"/>
          <w:sz w:val="24"/>
        </w:rPr>
        <w:t>Comisia a prezentat autorității bugetare o propunere de mobilizare în mai 2026. După ce autoritatea bugetară aprobă asistența propusă din FSUE pentru România, decizia de punere în aplicare relevantă va fi adoptată în 2026.</w:t>
      </w:r>
    </w:p>
    <w:p w14:paraId="4DA4C90C" w14:textId="77777777" w:rsidR="00DC2D97" w:rsidRPr="004F1432" w:rsidRDefault="00DC2D97" w:rsidP="00C571F5">
      <w:pPr>
        <w:spacing w:before="120" w:after="120"/>
        <w:jc w:val="both"/>
        <w:rPr>
          <w:noProof/>
          <w:color w:val="000000"/>
          <w:szCs w:val="24"/>
        </w:rPr>
      </w:pPr>
    </w:p>
    <w:p w14:paraId="2420D1C5" w14:textId="77777777" w:rsidR="00DC2D97" w:rsidRPr="004F1432" w:rsidRDefault="00DC2D97" w:rsidP="009913DA">
      <w:pPr>
        <w:pStyle w:val="Text1"/>
        <w:keepNext/>
        <w:keepLines/>
        <w:ind w:left="0"/>
        <w:rPr>
          <w:rFonts w:ascii="Times New Roman Bold" w:hAnsi="Times New Roman Bold"/>
          <w:smallCaps/>
          <w:noProof/>
        </w:rPr>
      </w:pPr>
      <w:r w:rsidRPr="004F1432">
        <w:rPr>
          <w:rFonts w:ascii="Times New Roman Bold" w:hAnsi="Times New Roman Bold"/>
          <w:smallCaps/>
          <w:noProof/>
        </w:rPr>
        <w:t>Cipru – Incendii de vegetație</w:t>
      </w:r>
    </w:p>
    <w:p w14:paraId="18732BA8" w14:textId="286C9CB3" w:rsidR="00DC2D97" w:rsidRPr="004F1432" w:rsidRDefault="00DC2D97" w:rsidP="00C571F5">
      <w:pPr>
        <w:pStyle w:val="Text1"/>
        <w:keepNext/>
        <w:keepLines/>
        <w:ind w:left="0"/>
        <w:rPr>
          <w:noProof/>
          <w:color w:val="000000"/>
          <w:szCs w:val="24"/>
        </w:rPr>
      </w:pPr>
      <w:r w:rsidRPr="004F1432">
        <w:rPr>
          <w:noProof/>
          <w:color w:val="000000"/>
        </w:rPr>
        <w:t>În vara anului 2025, Cipru s-a confruntat cu o combinație de secetă prelungită, valuri de căldură extreme și vânturi puternice, ceea ce a creat condițiile pentru două incendii de vegetație fără precedent în regiunile Limassol și Pafos în iulie. Mii de locuitori au fost obligați să se evacueze din cauza incendiilor de vegetație din Limassol. Mai multe școli și instituții sanitare au fost nevoite să își reducă serviciile și aproape 900 de proprietăți private au fost distruse. Între timp, incendiul de vegetație din Pafos a cauzat pierderi economice grave în sectorul agricol și daune mediului, amenințând stabilitatea socioeconomică a comunităților rurale. Incendiile de vegetație au provocat, de asemenea, două decese.</w:t>
      </w:r>
    </w:p>
    <w:p w14:paraId="3DBA8713" w14:textId="6B216287" w:rsidR="00DC2D97" w:rsidRPr="004F1432" w:rsidRDefault="00DC2D97" w:rsidP="00DC2D97">
      <w:pPr>
        <w:pStyle w:val="Text1"/>
        <w:ind w:left="0"/>
        <w:rPr>
          <w:noProof/>
          <w:color w:val="000000"/>
          <w:szCs w:val="24"/>
        </w:rPr>
      </w:pPr>
      <w:r w:rsidRPr="004F1432">
        <w:rPr>
          <w:noProof/>
          <w:color w:val="000000"/>
        </w:rPr>
        <w:t>Autoritățile cipriote au estimat că valoarea daunelor directe totale cauzate de catastrofă este de 253,691 milioane EUR. Comisia a acceptat suma de 252,68 milioane EUR ca valoare a daunelor directe totale plauzibile. Această sumă a depășit pragul de „catastrofă naturală majoră” pentru Cipru, de 0,6 % din venitul său național brut</w:t>
      </w:r>
      <w:r w:rsidRPr="004F1432">
        <w:rPr>
          <w:noProof/>
        </w:rPr>
        <w:t xml:space="preserve"> în temeiul articolului 2 alineatul (2) din regulament</w:t>
      </w:r>
      <w:r w:rsidRPr="004F1432">
        <w:rPr>
          <w:noProof/>
          <w:color w:val="000000"/>
        </w:rPr>
        <w:t>, care a fost de 170,046 milioane EUR în 2025.</w:t>
      </w:r>
    </w:p>
    <w:p w14:paraId="62A073C5" w14:textId="4E13BAA8" w:rsidR="00747F5E" w:rsidRPr="004F1432" w:rsidRDefault="00747F5E" w:rsidP="00DC2D97">
      <w:pPr>
        <w:pStyle w:val="Text1"/>
        <w:ind w:left="0"/>
        <w:rPr>
          <w:noProof/>
          <w:color w:val="000000"/>
          <w:szCs w:val="24"/>
        </w:rPr>
      </w:pPr>
      <w:r w:rsidRPr="004F1432">
        <w:rPr>
          <w:noProof/>
          <w:color w:val="000000"/>
        </w:rPr>
        <w:t>La 14 octombrie 2025, Cipru a solicitat o contribuție financiară din FSUE pentru finanțarea operațiunilor de urgență și de redresare în urma incendiilor de vegetație din iulie 2025.</w:t>
      </w:r>
    </w:p>
    <w:p w14:paraId="7433DBBA" w14:textId="2810C039" w:rsidR="00DC2D97" w:rsidRPr="004F1432" w:rsidRDefault="00DC2D97" w:rsidP="009F5BF0">
      <w:pPr>
        <w:pStyle w:val="Text1"/>
        <w:ind w:left="0"/>
        <w:rPr>
          <w:noProof/>
          <w:color w:val="000000"/>
          <w:szCs w:val="24"/>
        </w:rPr>
      </w:pPr>
      <w:r w:rsidRPr="004F1432">
        <w:rPr>
          <w:noProof/>
          <w:color w:val="000000"/>
        </w:rPr>
        <w:t>Cipru a solicitat plata unui avans în temeiul articolului 4a din regulament. Comisia a concluzionat, pe baza evaluării preliminare, că au fost îndeplinite condițiile pentru plata unui avans din FSUE. Prin Decizia de punere în aplicare C(2025) 8276 a Comisiei din 3</w:t>
      </w:r>
      <w:r w:rsidR="004F1432" w:rsidRPr="004F1432">
        <w:rPr>
          <w:noProof/>
          <w:color w:val="000000"/>
        </w:rPr>
        <w:t> </w:t>
      </w:r>
      <w:r w:rsidRPr="004F1432">
        <w:rPr>
          <w:noProof/>
          <w:color w:val="000000"/>
        </w:rPr>
        <w:t>decembrie</w:t>
      </w:r>
      <w:r w:rsidR="004F1432" w:rsidRPr="004F1432">
        <w:rPr>
          <w:noProof/>
          <w:color w:val="000000"/>
        </w:rPr>
        <w:t> </w:t>
      </w:r>
      <w:r w:rsidRPr="004F1432">
        <w:rPr>
          <w:noProof/>
          <w:color w:val="000000"/>
        </w:rPr>
        <w:t>2025 s-a acordat un avans de 2 317 465 EUR. Avansul a fost plătit Ciprului la 29</w:t>
      </w:r>
      <w:r w:rsidR="004F1432" w:rsidRPr="004F1432">
        <w:rPr>
          <w:noProof/>
          <w:color w:val="000000"/>
        </w:rPr>
        <w:t> </w:t>
      </w:r>
      <w:r w:rsidRPr="004F1432">
        <w:rPr>
          <w:noProof/>
          <w:color w:val="000000"/>
        </w:rPr>
        <w:t>decembrie</w:t>
      </w:r>
      <w:r w:rsidR="004F1432" w:rsidRPr="004F1432">
        <w:rPr>
          <w:noProof/>
          <w:color w:val="000000"/>
        </w:rPr>
        <w:t> </w:t>
      </w:r>
      <w:r w:rsidRPr="004F1432">
        <w:rPr>
          <w:noProof/>
          <w:color w:val="000000"/>
        </w:rPr>
        <w:t>2025.</w:t>
      </w:r>
    </w:p>
    <w:p w14:paraId="6E90F64C" w14:textId="224FBB71" w:rsidR="00DC2D97" w:rsidRPr="004F1432" w:rsidRDefault="00DC2D97" w:rsidP="00C571F5">
      <w:pPr>
        <w:spacing w:before="120" w:after="120" w:line="240" w:lineRule="auto"/>
        <w:jc w:val="both"/>
        <w:rPr>
          <w:rFonts w:ascii="Times New Roman" w:hAnsi="Times New Roman"/>
          <w:noProof/>
          <w:color w:val="000000"/>
          <w:sz w:val="24"/>
          <w:szCs w:val="24"/>
        </w:rPr>
      </w:pPr>
      <w:r w:rsidRPr="004F1432">
        <w:rPr>
          <w:rFonts w:ascii="Times New Roman" w:hAnsi="Times New Roman"/>
          <w:noProof/>
          <w:color w:val="000000"/>
          <w:sz w:val="24"/>
        </w:rPr>
        <w:t>Comisia a prezentat autorității bugetare o propunere de mobilizare în mai 2026. După ce autoritatea bugetară aprobă asistența propusă din FSUE pentru Cipru, decizia de punere în aplicare relevantă va fi adoptată în 2026.</w:t>
      </w:r>
    </w:p>
    <w:p w14:paraId="7D98A87A" w14:textId="77777777" w:rsidR="00DC2D97" w:rsidRPr="004F1432" w:rsidRDefault="00DC2D97" w:rsidP="009913DA">
      <w:pPr>
        <w:spacing w:before="120" w:after="120"/>
        <w:jc w:val="both"/>
        <w:rPr>
          <w:noProof/>
          <w:color w:val="000000"/>
          <w:szCs w:val="24"/>
        </w:rPr>
      </w:pPr>
    </w:p>
    <w:p w14:paraId="31B9BC01" w14:textId="7676A319" w:rsidR="00DC2D97" w:rsidRPr="004F1432" w:rsidRDefault="00DC2D97" w:rsidP="00DC2D97">
      <w:pPr>
        <w:pStyle w:val="Text1"/>
        <w:ind w:left="0"/>
        <w:rPr>
          <w:rFonts w:ascii="Times New Roman Bold" w:hAnsi="Times New Roman Bold"/>
          <w:smallCaps/>
          <w:noProof/>
        </w:rPr>
      </w:pPr>
      <w:r w:rsidRPr="004F1432">
        <w:rPr>
          <w:rFonts w:ascii="Times New Roman Bold" w:hAnsi="Times New Roman Bold"/>
          <w:smallCaps/>
          <w:noProof/>
        </w:rPr>
        <w:t>Spania – Incendii de vegetație</w:t>
      </w:r>
    </w:p>
    <w:p w14:paraId="0C792D5F" w14:textId="0DB7BC6C" w:rsidR="00DC2D97" w:rsidRPr="004F1432" w:rsidRDefault="00DC2D97" w:rsidP="00DC2D97">
      <w:pPr>
        <w:pStyle w:val="Text1"/>
        <w:ind w:left="0"/>
        <w:rPr>
          <w:noProof/>
          <w:color w:val="000000"/>
          <w:szCs w:val="24"/>
        </w:rPr>
      </w:pPr>
      <w:r w:rsidRPr="004F1432">
        <w:rPr>
          <w:noProof/>
          <w:color w:val="000000"/>
        </w:rPr>
        <w:t>În vara anului 2025, Spania s-a confruntat cu o combinație de secetă prelungită, valuri de căldură extreme și trei valuri de incendii de vegetație grave. Cel puțin 243 de incendii de vegetație au fost înregistrate în 16 comunități autonome. Incendiile au cauzat daune semnificative de mediu, sociale și economice, distrugând mijloacele de subzistență ale multor persoane, în special în zonele rurale. Numeroase persoane au trebuit să fie evacuate din casele lor. Incendiile de vegetație au provocat, de asemenea, opt decese. Această cerere se referă la daunele cauzate de al treilea și cel mai distructiv val de incendii, care a început la 8</w:t>
      </w:r>
      <w:r w:rsidR="004F1432" w:rsidRPr="004F1432">
        <w:rPr>
          <w:noProof/>
          <w:color w:val="000000"/>
        </w:rPr>
        <w:t> </w:t>
      </w:r>
      <w:r w:rsidRPr="004F1432">
        <w:rPr>
          <w:noProof/>
          <w:color w:val="000000"/>
        </w:rPr>
        <w:t>august</w:t>
      </w:r>
      <w:r w:rsidR="004F1432" w:rsidRPr="004F1432">
        <w:rPr>
          <w:noProof/>
          <w:color w:val="000000"/>
        </w:rPr>
        <w:t> </w:t>
      </w:r>
      <w:r w:rsidRPr="004F1432">
        <w:rPr>
          <w:noProof/>
          <w:color w:val="000000"/>
        </w:rPr>
        <w:t>2025.</w:t>
      </w:r>
    </w:p>
    <w:p w14:paraId="3FA9829F" w14:textId="2D8E3A3C" w:rsidR="00DC2D97" w:rsidRPr="004F1432" w:rsidRDefault="00DC2D97" w:rsidP="00DC2D97">
      <w:pPr>
        <w:pStyle w:val="Text1"/>
        <w:ind w:left="0"/>
        <w:rPr>
          <w:noProof/>
          <w:color w:val="000000"/>
          <w:szCs w:val="24"/>
        </w:rPr>
      </w:pPr>
      <w:r w:rsidRPr="004F1432">
        <w:rPr>
          <w:noProof/>
          <w:color w:val="000000"/>
        </w:rPr>
        <w:t xml:space="preserve">Autoritățile spaniole au estimat daunele directe totale cauzate de catastrofă la 4 318,27 milioane EUR. Această sumă depășește pragul aplicabil unei „catastrofe naturale majore” pentru Spania, care a fost de 3 958,44 milioane EUR în 2025 </w:t>
      </w:r>
      <w:r w:rsidRPr="004F1432">
        <w:rPr>
          <w:noProof/>
        </w:rPr>
        <w:t>[3 miliarde EUR la prețurile din 2011 în temeiul articolului 2 alineatul (2) din regulament]</w:t>
      </w:r>
      <w:r w:rsidRPr="004F1432">
        <w:rPr>
          <w:noProof/>
          <w:color w:val="000000"/>
        </w:rPr>
        <w:t>.</w:t>
      </w:r>
    </w:p>
    <w:p w14:paraId="7D368F15" w14:textId="445CD34F" w:rsidR="00747F5E" w:rsidRPr="004F1432" w:rsidRDefault="00747F5E" w:rsidP="00DC2D97">
      <w:pPr>
        <w:pStyle w:val="Text1"/>
        <w:ind w:left="0"/>
        <w:rPr>
          <w:noProof/>
          <w:color w:val="000000"/>
          <w:szCs w:val="24"/>
        </w:rPr>
      </w:pPr>
      <w:r w:rsidRPr="004F1432">
        <w:rPr>
          <w:noProof/>
          <w:color w:val="000000"/>
        </w:rPr>
        <w:t>La 30 octombrie 2025, Spania a solicitat o contribuție financiară din FSUE pentru finanțarea operațiunilor de urgență și de redresare în urma incendiilor de vegetație din august 2025.</w:t>
      </w:r>
    </w:p>
    <w:p w14:paraId="21FCC547" w14:textId="1D125359" w:rsidR="00DC2D97" w:rsidRPr="004F1432" w:rsidRDefault="00DC2D97" w:rsidP="00DC2D97">
      <w:pPr>
        <w:pStyle w:val="Text1"/>
        <w:ind w:left="0"/>
        <w:rPr>
          <w:noProof/>
          <w:color w:val="000000"/>
          <w:szCs w:val="24"/>
        </w:rPr>
      </w:pPr>
      <w:r w:rsidRPr="004F1432">
        <w:rPr>
          <w:noProof/>
          <w:color w:val="000000"/>
        </w:rPr>
        <w:t>Spania a solicitat plata unui avans în temeiul articolului 4a din regulament. Comisia a concluzionat, pe baza evaluării preliminare, că au fost îndeplinite condițiile pentru plata unui avans corespunzător unui procent de 25 % din valoarea anticipată a contribuției financiare din FSUE. Printr-o decizie de punere în aplicare a Comisiei din 2026 ar trebui să se acorde un avans de 30 137 714 EUR.</w:t>
      </w:r>
    </w:p>
    <w:p w14:paraId="6C0E01AA" w14:textId="56419B22" w:rsidR="00DC2D97" w:rsidRPr="004F1432" w:rsidRDefault="00DC2D97" w:rsidP="009913DA">
      <w:pPr>
        <w:spacing w:before="120" w:after="120" w:line="240" w:lineRule="auto"/>
        <w:jc w:val="both"/>
        <w:rPr>
          <w:rFonts w:ascii="Times New Roman" w:hAnsi="Times New Roman"/>
          <w:noProof/>
          <w:color w:val="000000"/>
          <w:sz w:val="24"/>
          <w:szCs w:val="24"/>
        </w:rPr>
      </w:pPr>
      <w:r w:rsidRPr="004F1432">
        <w:rPr>
          <w:rFonts w:ascii="Times New Roman" w:hAnsi="Times New Roman"/>
          <w:noProof/>
          <w:color w:val="000000"/>
          <w:sz w:val="24"/>
        </w:rPr>
        <w:t>Comisia a prezentat autorității bugetare o propunere de mobilizare în mai 2026. După ce autoritatea bugetară aprobă asistența propusă din FSUE pentru Spania, decizia de punere în aplicare relevantă va fi adoptată în 2026.</w:t>
      </w:r>
    </w:p>
    <w:p w14:paraId="7928F3A8" w14:textId="77777777" w:rsidR="00DC2D97" w:rsidRPr="004F1432" w:rsidRDefault="00DC2D97" w:rsidP="00DC2D97">
      <w:pPr>
        <w:pStyle w:val="Text1"/>
        <w:ind w:left="0"/>
        <w:rPr>
          <w:noProof/>
          <w:color w:val="000000"/>
          <w:szCs w:val="24"/>
        </w:rPr>
      </w:pPr>
    </w:p>
    <w:p w14:paraId="3646AD5F" w14:textId="77777777" w:rsidR="00681F80" w:rsidRPr="004F1432" w:rsidRDefault="00681F80" w:rsidP="000427C9">
      <w:pPr>
        <w:pStyle w:val="Heading1"/>
        <w:ind w:firstLine="142"/>
        <w:rPr>
          <w:noProof/>
        </w:rPr>
      </w:pPr>
      <w:bookmarkStart w:id="14" w:name="_Toc368320072"/>
      <w:bookmarkStart w:id="15" w:name="_Toc233633594"/>
      <w:r w:rsidRPr="004F1432">
        <w:rPr>
          <w:noProof/>
        </w:rPr>
        <w:t>Finanțare</w:t>
      </w:r>
      <w:bookmarkEnd w:id="14"/>
      <w:bookmarkEnd w:id="15"/>
    </w:p>
    <w:p w14:paraId="6B255A20" w14:textId="509446D9" w:rsidR="006142B7" w:rsidRPr="004F1432" w:rsidRDefault="006142B7" w:rsidP="006142B7">
      <w:pPr>
        <w:spacing w:before="120" w:after="120" w:line="240" w:lineRule="auto"/>
        <w:ind w:left="142"/>
        <w:jc w:val="both"/>
        <w:rPr>
          <w:rFonts w:ascii="Times New Roman" w:hAnsi="Times New Roman"/>
          <w:noProof/>
          <w:sz w:val="24"/>
          <w:szCs w:val="24"/>
        </w:rPr>
      </w:pPr>
      <w:r w:rsidRPr="004F1432">
        <w:rPr>
          <w:rFonts w:ascii="Times New Roman" w:hAnsi="Times New Roman"/>
          <w:noProof/>
          <w:sz w:val="24"/>
        </w:rPr>
        <w:t>Cuantumurile individuale ale asistenței propuse de Comisie au fost determinate în conformitate cu metoda stabilită în 2002 și aplicată în toate cazurile ulterioare. Aceasta se bazează pe raportul dintre daunele directe totale acceptate cauzate de catastrofă și prosperitatea relativă a statului afectat, astfel cum este reflectată de pragul de catastrofă majoră (a se vedea anexa I).</w:t>
      </w:r>
    </w:p>
    <w:p w14:paraId="12FF6434" w14:textId="636EC8C6" w:rsidR="006142B7" w:rsidRPr="004F1432" w:rsidRDefault="006142B7" w:rsidP="006142B7">
      <w:pPr>
        <w:spacing w:before="120" w:after="120" w:line="240" w:lineRule="auto"/>
        <w:ind w:left="142"/>
        <w:jc w:val="both"/>
        <w:rPr>
          <w:rFonts w:ascii="Times New Roman" w:hAnsi="Times New Roman"/>
          <w:noProof/>
          <w:sz w:val="24"/>
          <w:szCs w:val="24"/>
        </w:rPr>
      </w:pPr>
      <w:r w:rsidRPr="004F1432">
        <w:rPr>
          <w:rFonts w:ascii="Times New Roman" w:hAnsi="Times New Roman"/>
          <w:noProof/>
          <w:sz w:val="24"/>
        </w:rPr>
        <w:t>În consecință, pentru „catastrofele naturale majore” se aplică un sistem progresiv în două etape. În conformitate cu acest sistem, țara primește o rată mai mică a ajutorului, și anume 2,5 % din daunele directe totale, pentru partea de daune care se situează sub prag și o rată mai mare a ajutorului, și anume 6 %, pentru partea de daune care depășește pragul. Cele două sume se adună. În cazul „catastrofelor naturale regionale” și al „catastrofelor naturale într-o țară învecinată” se acordă 2,5 % din daunele directe totale.</w:t>
      </w:r>
    </w:p>
    <w:p w14:paraId="7AB33AD1" w14:textId="4E88A88A" w:rsidR="006142B7" w:rsidRPr="004F1432" w:rsidRDefault="006142B7" w:rsidP="006142B7">
      <w:pPr>
        <w:spacing w:before="120" w:after="120" w:line="240" w:lineRule="auto"/>
        <w:ind w:left="142"/>
        <w:jc w:val="both"/>
        <w:rPr>
          <w:rFonts w:ascii="Times New Roman" w:hAnsi="Times New Roman"/>
          <w:noProof/>
          <w:sz w:val="24"/>
          <w:szCs w:val="24"/>
        </w:rPr>
      </w:pPr>
      <w:r w:rsidRPr="004F1432">
        <w:rPr>
          <w:rFonts w:ascii="Times New Roman" w:hAnsi="Times New Roman"/>
          <w:noProof/>
          <w:sz w:val="24"/>
        </w:rPr>
        <w:t>După ce Parlamentul European și Consiliul aprobă mobilizarea FSUE și au pus la dispoziție creditele bugetare necesare în bugetul UE, Comisia adoptă decizii de punere în aplicare privind acordarea de asistență fiecărei țări în parte și plătește apoi întreaga sumă. În cazurile în care fusese acordat un avans, se plătește numai soldul contribuției integrale. Anexele la deciziile de punere în aplicare au inclus o descriere generică a utilizării preconizate a fondurilor, au enumerat autoritățile desemnate de statele beneficiare pentru a gestiona contribuția FSUE și au precizat autoritatea independentă responsabilă pentru audit și control.</w:t>
      </w:r>
    </w:p>
    <w:p w14:paraId="05084D8F" w14:textId="6C70BD0B" w:rsidR="007229BD" w:rsidRPr="004F1432" w:rsidRDefault="004A5CF5" w:rsidP="007229BD">
      <w:pPr>
        <w:spacing w:before="120" w:after="120" w:line="240" w:lineRule="auto"/>
        <w:ind w:left="142"/>
        <w:jc w:val="both"/>
        <w:rPr>
          <w:rFonts w:ascii="Times New Roman" w:hAnsi="Times New Roman"/>
          <w:noProof/>
          <w:sz w:val="24"/>
          <w:szCs w:val="24"/>
        </w:rPr>
      </w:pPr>
      <w:r w:rsidRPr="004F1432">
        <w:rPr>
          <w:rFonts w:ascii="Times New Roman" w:hAnsi="Times New Roman"/>
          <w:noProof/>
          <w:sz w:val="24"/>
        </w:rPr>
        <w:t>În cursul perioadei de raportare, Parlamentul European și Consiliul, în calitate de autoritate bugetară, au aprobat nouă contribuții financiare din FSUE, astfel cum au fost propuse de către Comisie. Comisia și-a prezentat propunerile de mobilizare a FSUE în două grupuri.</w:t>
      </w:r>
    </w:p>
    <w:p w14:paraId="21E9EE2C" w14:textId="61F7C545" w:rsidR="004A4E28" w:rsidRPr="004F1432" w:rsidRDefault="004A4E28" w:rsidP="009913DA">
      <w:pPr>
        <w:pStyle w:val="ListParagraph"/>
        <w:numPr>
          <w:ilvl w:val="0"/>
          <w:numId w:val="18"/>
        </w:numPr>
        <w:spacing w:before="120" w:after="120" w:line="240" w:lineRule="auto"/>
        <w:ind w:left="142"/>
        <w:jc w:val="both"/>
        <w:rPr>
          <w:rFonts w:ascii="Times New Roman" w:hAnsi="Times New Roman"/>
          <w:noProof/>
          <w:sz w:val="24"/>
          <w:szCs w:val="24"/>
        </w:rPr>
      </w:pPr>
      <w:r w:rsidRPr="004F1432">
        <w:rPr>
          <w:rFonts w:ascii="Times New Roman" w:hAnsi="Times New Roman"/>
          <w:noProof/>
          <w:sz w:val="24"/>
        </w:rPr>
        <w:t>La 22 mai 2025, Comisia a prezentat o propunere</w:t>
      </w:r>
      <w:r w:rsidRPr="004F1432">
        <w:rPr>
          <w:rStyle w:val="FootnoteReference"/>
          <w:rFonts w:ascii="Times New Roman" w:hAnsi="Times New Roman"/>
          <w:noProof/>
          <w:sz w:val="24"/>
          <w:szCs w:val="24"/>
        </w:rPr>
        <w:footnoteReference w:id="2"/>
      </w:r>
      <w:r w:rsidRPr="004F1432">
        <w:rPr>
          <w:rFonts w:ascii="Times New Roman" w:hAnsi="Times New Roman"/>
          <w:noProof/>
          <w:sz w:val="24"/>
        </w:rPr>
        <w:t xml:space="preserve"> de decizie a Parlamentului European și a Consiliului privind mobilizarea FSUE în vederea furnizării de asistență Austriei, Bosniei și Herțegovinei, Cehiei, Moldovei, Poloniei și Slovaciei în urma catastrofelor naturale din 2024. Această propunere a fost însoțită de Decizia nr. 10/2025, care propunea transferul sumei de 270 077 316 EUR, atât în credite de angajament, cât și în credite de plată, de la linia aferentă Rezervei pentru solidaritate europeană („ESR”) către linia bugetară operațională a FSUE.</w:t>
      </w:r>
    </w:p>
    <w:p w14:paraId="6130E3C0" w14:textId="63E099B4" w:rsidR="00C50B40" w:rsidRPr="004F1432" w:rsidRDefault="006074F1" w:rsidP="009913DA">
      <w:pPr>
        <w:spacing w:before="120" w:after="120" w:line="240" w:lineRule="auto"/>
        <w:ind w:left="142"/>
        <w:jc w:val="both"/>
        <w:rPr>
          <w:rFonts w:ascii="Times New Roman" w:hAnsi="Times New Roman"/>
          <w:noProof/>
          <w:sz w:val="24"/>
          <w:szCs w:val="24"/>
        </w:rPr>
      </w:pPr>
      <w:r w:rsidRPr="004F1432">
        <w:rPr>
          <w:rFonts w:ascii="Times New Roman" w:hAnsi="Times New Roman"/>
          <w:noProof/>
          <w:sz w:val="24"/>
        </w:rPr>
        <w:t>Autoritatea bugetară a adoptat propunerea la 9 iulie 2025. Aceasta a acordat asistență în valoare de 280 740 903 EUR din FSUE pentru: (i) Austria, în legătură cu inundațiile din septembrie 2024; (ii) Polonia, în legătură cu inundațiile din septembrie 2024; (iii) Cehia, în legătură cu inundațiile din septembrie 2024; (iv) Slovacia, în legătură cu inundațiile din septembrie 2024; (v) Moldova, în legătură cu inundațiile din septembrie 2024 și (vi) Bosnia și Herțegovina în legătură cu inundațiile din octombrie 2024. După adoptarea deciziilor de punere în aplicare de acordare a asistenței, Austriei i s-au plătit 42 789 075 EUR, Poloniei 75 998 939 EUR și Cehiei 113 979 781 EUR în noiembrie și decembrie 2025.</w:t>
      </w:r>
    </w:p>
    <w:p w14:paraId="743C2533" w14:textId="0984F01F" w:rsidR="00B85DAC" w:rsidRPr="004F1432" w:rsidRDefault="00C50B40" w:rsidP="009913DA">
      <w:pPr>
        <w:spacing w:before="120" w:after="120" w:line="240" w:lineRule="auto"/>
        <w:ind w:left="142"/>
        <w:jc w:val="both"/>
        <w:rPr>
          <w:rFonts w:ascii="Times New Roman" w:hAnsi="Times New Roman"/>
          <w:noProof/>
          <w:sz w:val="24"/>
          <w:szCs w:val="24"/>
          <w:highlight w:val="yellow"/>
        </w:rPr>
      </w:pPr>
      <w:r w:rsidRPr="004F1432">
        <w:rPr>
          <w:rFonts w:ascii="Times New Roman" w:hAnsi="Times New Roman"/>
          <w:noProof/>
          <w:sz w:val="24"/>
        </w:rPr>
        <w:t>De asemenea, Comisia va plăti Slovaciei 2 108 187 EUR de îndată ce va primi documentele relevante privind modalitățile de punere în aplicare planificate din partea Slovaciei, în conformitate cu articolul 5 alineatul (1) din regulament și după adoptarea deciziei de punere în aplicare relevante. De asemenea, Comisia va plăti 195 196 EUR Republicii Moldova și 45 669 725 EUR Bosniei și Herțegovinei după semnarea acordurilor de delegare cu aceste țări, care negociază aderarea lor la UE, în conformitate cu articolul 5 alineatul (2) din regulament.</w:t>
      </w:r>
    </w:p>
    <w:p w14:paraId="6DE98A30" w14:textId="334DA0B4" w:rsidR="007B0ACA" w:rsidRPr="004F1432" w:rsidRDefault="007B0ACA" w:rsidP="007B0ACA">
      <w:pPr>
        <w:pStyle w:val="ListParagraph"/>
        <w:numPr>
          <w:ilvl w:val="0"/>
          <w:numId w:val="18"/>
        </w:numPr>
        <w:spacing w:before="120" w:after="120" w:line="240" w:lineRule="auto"/>
        <w:ind w:left="142"/>
        <w:jc w:val="both"/>
        <w:rPr>
          <w:rFonts w:ascii="Times New Roman" w:hAnsi="Times New Roman"/>
          <w:noProof/>
          <w:sz w:val="24"/>
          <w:szCs w:val="24"/>
        </w:rPr>
      </w:pPr>
      <w:r w:rsidRPr="004F1432">
        <w:rPr>
          <w:rFonts w:ascii="Times New Roman" w:hAnsi="Times New Roman"/>
          <w:noProof/>
          <w:sz w:val="24"/>
        </w:rPr>
        <w:t>La 3 octombrie 2025, Comisia a prezentat o propunere</w:t>
      </w:r>
      <w:r w:rsidRPr="004F1432">
        <w:rPr>
          <w:rStyle w:val="FootnoteReference"/>
          <w:rFonts w:ascii="Times New Roman" w:hAnsi="Times New Roman"/>
          <w:noProof/>
          <w:sz w:val="24"/>
          <w:szCs w:val="24"/>
        </w:rPr>
        <w:footnoteReference w:id="3"/>
      </w:r>
      <w:r w:rsidRPr="004F1432">
        <w:rPr>
          <w:rFonts w:ascii="Times New Roman" w:hAnsi="Times New Roman"/>
          <w:noProof/>
          <w:sz w:val="24"/>
        </w:rPr>
        <w:t xml:space="preserve"> de decizie a Parlamentului European și a Consiliului privind mobilizarea FSUE în vederea furnizării de asistență Spaniei și Franței în urma catastrofelor naturale din 2024 și 2025. Această propunere a fost însoțită de Decizia nr. 16/2025, care propunea transferul sumei de 927 926 981 EUR, atât în credite de angajament, cât și în credite de plată, de la linia de rezervă ESR către linia bugetară operațională a FSUE.</w:t>
      </w:r>
    </w:p>
    <w:p w14:paraId="336734EC" w14:textId="77777777" w:rsidR="007B0ACA" w:rsidRPr="004F1432" w:rsidRDefault="007B0ACA" w:rsidP="007B0ACA">
      <w:pPr>
        <w:pStyle w:val="ListParagraph"/>
        <w:spacing w:before="120" w:after="120" w:line="240" w:lineRule="auto"/>
        <w:ind w:left="142"/>
        <w:jc w:val="both"/>
        <w:rPr>
          <w:rFonts w:ascii="Times New Roman" w:hAnsi="Times New Roman"/>
          <w:noProof/>
          <w:sz w:val="24"/>
          <w:szCs w:val="24"/>
        </w:rPr>
      </w:pPr>
    </w:p>
    <w:p w14:paraId="5E378795" w14:textId="621D1251" w:rsidR="00B825B7" w:rsidRPr="004F1432" w:rsidRDefault="007B0ACA" w:rsidP="007B0ACA">
      <w:pPr>
        <w:pStyle w:val="ListParagraph"/>
        <w:spacing w:before="120" w:after="120" w:line="240" w:lineRule="auto"/>
        <w:ind w:left="142"/>
        <w:jc w:val="both"/>
        <w:rPr>
          <w:rFonts w:ascii="Times New Roman" w:hAnsi="Times New Roman"/>
          <w:noProof/>
          <w:sz w:val="24"/>
          <w:szCs w:val="24"/>
          <w:highlight w:val="yellow"/>
        </w:rPr>
      </w:pPr>
      <w:r w:rsidRPr="004F1432">
        <w:rPr>
          <w:rFonts w:ascii="Times New Roman" w:hAnsi="Times New Roman"/>
          <w:noProof/>
          <w:sz w:val="24"/>
        </w:rPr>
        <w:t>Autoritatea bugetară a adoptat propunerea la 13 noiembrie 2025. Acesta a acordat asistență în valoare de 1 057 018 077 EUR din FSUE pentru: (i) Spania, în legătură cu inundațiile din regiunea Valencia din octombrie 2024; (ii) Franța, în legătură cu ciclonul din Mayotte din decembrie 2024 și (iii) Franța în legătură cu ciclonul din Réunion din februarie 2025. Se preconizează că adoptarea deciziilor de punere în aplicare de acordare a asistenței și de plată a asistenței va avea loc în 2026.</w:t>
      </w:r>
    </w:p>
    <w:p w14:paraId="599C10C1" w14:textId="77777777" w:rsidR="009C0CEE" w:rsidRPr="004F1432" w:rsidRDefault="009C0CEE" w:rsidP="00CA0D71">
      <w:pPr>
        <w:rPr>
          <w:noProof/>
          <w:highlight w:val="yellow"/>
        </w:rPr>
      </w:pPr>
    </w:p>
    <w:p w14:paraId="0BF30FC7" w14:textId="77777777" w:rsidR="00B825B7" w:rsidRPr="004F1432" w:rsidRDefault="00B825B7">
      <w:pPr>
        <w:spacing w:after="0" w:line="240" w:lineRule="auto"/>
        <w:rPr>
          <w:rFonts w:ascii="Times New Roman" w:eastAsia="Times New Roman" w:hAnsi="Times New Roman"/>
          <w:b/>
          <w:bCs/>
          <w:smallCaps/>
          <w:noProof/>
          <w:sz w:val="24"/>
          <w:szCs w:val="28"/>
          <w:highlight w:val="yellow"/>
        </w:rPr>
      </w:pPr>
      <w:bookmarkStart w:id="16" w:name="_Toc368320074"/>
      <w:bookmarkStart w:id="17" w:name="_Ref495658662"/>
      <w:bookmarkStart w:id="18" w:name="_Ref495658676"/>
      <w:bookmarkStart w:id="19" w:name="_Ref495658684"/>
      <w:bookmarkStart w:id="20" w:name="_Ref495658733"/>
      <w:r w:rsidRPr="004F1432">
        <w:rPr>
          <w:noProof/>
        </w:rPr>
        <w:br w:type="page"/>
      </w:r>
    </w:p>
    <w:p w14:paraId="533B9102" w14:textId="3968FE5D" w:rsidR="00495D2A" w:rsidRPr="004F1432" w:rsidRDefault="00681F80" w:rsidP="00495D2A">
      <w:pPr>
        <w:pStyle w:val="Heading1"/>
        <w:rPr>
          <w:noProof/>
        </w:rPr>
      </w:pPr>
      <w:bookmarkStart w:id="21" w:name="_Toc233633595"/>
      <w:r w:rsidRPr="004F1432">
        <w:rPr>
          <w:noProof/>
        </w:rPr>
        <w:t>Închideri</w:t>
      </w:r>
      <w:bookmarkEnd w:id="16"/>
      <w:bookmarkEnd w:id="17"/>
      <w:bookmarkEnd w:id="18"/>
      <w:bookmarkEnd w:id="19"/>
      <w:bookmarkEnd w:id="20"/>
      <w:bookmarkEnd w:id="21"/>
    </w:p>
    <w:p w14:paraId="06C5806A" w14:textId="2B2C96DE" w:rsidR="006142B7" w:rsidRPr="004F1432" w:rsidRDefault="006142B7" w:rsidP="006142B7">
      <w:pPr>
        <w:spacing w:before="120" w:after="120" w:line="240" w:lineRule="auto"/>
        <w:jc w:val="both"/>
        <w:rPr>
          <w:rFonts w:ascii="Times New Roman" w:hAnsi="Times New Roman"/>
          <w:noProof/>
          <w:sz w:val="24"/>
          <w:szCs w:val="24"/>
        </w:rPr>
      </w:pPr>
      <w:r w:rsidRPr="004F1432">
        <w:rPr>
          <w:rFonts w:ascii="Times New Roman" w:hAnsi="Times New Roman"/>
          <w:noProof/>
          <w:sz w:val="24"/>
        </w:rPr>
        <w:t>Articolul 8 alineatul (3) din regulament impune statului beneficiar să prezinte, în termen de 24 de luni de la data plății contribuției financiare, un raport privind execuția contribuției financiare („raport privind execuția”), împreună cu o declarație care justifică cheltuielile („declarație de validitate”).</w:t>
      </w:r>
    </w:p>
    <w:p w14:paraId="3D91837A" w14:textId="2FD8B421" w:rsidR="00EF5172" w:rsidRPr="004F1432" w:rsidRDefault="00C45020" w:rsidP="00476A0A">
      <w:pPr>
        <w:spacing w:before="120" w:after="120" w:line="240" w:lineRule="auto"/>
        <w:jc w:val="both"/>
        <w:rPr>
          <w:rFonts w:ascii="Times New Roman" w:hAnsi="Times New Roman"/>
          <w:noProof/>
          <w:sz w:val="24"/>
          <w:szCs w:val="24"/>
        </w:rPr>
      </w:pPr>
      <w:r w:rsidRPr="004F1432">
        <w:rPr>
          <w:rFonts w:ascii="Times New Roman" w:hAnsi="Times New Roman"/>
          <w:noProof/>
          <w:sz w:val="24"/>
        </w:rPr>
        <w:t>Comisia a închis 18 cazuri FSUE în 2025.</w:t>
      </w:r>
    </w:p>
    <w:p w14:paraId="598F116A" w14:textId="3D0E03A5" w:rsidR="00F17508" w:rsidRPr="004F1432" w:rsidRDefault="00F17508" w:rsidP="00F17508">
      <w:pPr>
        <w:pStyle w:val="Text1"/>
        <w:ind w:left="0"/>
        <w:rPr>
          <w:noProof/>
        </w:rPr>
      </w:pPr>
      <w:r w:rsidRPr="004F1432">
        <w:rPr>
          <w:b/>
          <w:noProof/>
        </w:rPr>
        <w:t>Grecia, cutremurul din Kefalonia din 2014.</w:t>
      </w:r>
      <w:r w:rsidRPr="004F1432">
        <w:rPr>
          <w:noProof/>
        </w:rPr>
        <w:t xml:space="preserve"> Contribuția financiară din FSUE s-a ridicat la 3 683 320 EUR. Autoritățile elene au prezentat raportul privind execuția și declarația de validitate în aprilie 2017. Pe baza informațiilor furnizate de Grecia, cheltuielile eligibile s-au ridicat la 3 127 724,07 EUR, cu 555 595,93 EUR mai puțin decât contribuția financiară din FSUE. Acest lucru a determinat Comisia să constate că era necesară o corecție financiară de 555 595,93 EUR. La 31 ianuarie 2024, Comisia a recuperat suma de 555 595,93 EUR de la Grecia. Comisia a constatat că nu era necesară nicio corecție financiară suplimentară, iar dosarul a fost închis în iunie 2025.</w:t>
      </w:r>
    </w:p>
    <w:p w14:paraId="729074BD" w14:textId="5DAEA349" w:rsidR="00FF2410" w:rsidRPr="004F1432" w:rsidRDefault="00A37B07" w:rsidP="00F17508">
      <w:pPr>
        <w:pStyle w:val="Text1"/>
        <w:ind w:left="0"/>
        <w:rPr>
          <w:noProof/>
        </w:rPr>
      </w:pPr>
      <w:r w:rsidRPr="004F1432">
        <w:rPr>
          <w:b/>
          <w:noProof/>
        </w:rPr>
        <w:t>România, inundațiile din primăvara anului 2014.</w:t>
      </w:r>
      <w:r w:rsidRPr="004F1432">
        <w:rPr>
          <w:noProof/>
        </w:rPr>
        <w:t xml:space="preserve"> Contribuția financiară din FSUE s-a ridicat la 4 198 175 EUR. Autoritățile române au prezentat raportul privind execuția și declarația de validitate în februarie 2018. Pe baza informațiilor furnizate de România, cheltuielile eligibile s-au ridicat la 1 143 565,25 EUR, cu 3 054 609,75 EUR mai puțin decât contribuția financiară din FSUE. În plus, se acumulaseră dobânzi în valoare de 3 611,16 EUR. Acest lucru a determinat Comisia să constate că era necesară o corecție financiară de 3 058 220,91 EUR. La 29 martie 2022, Comisia a recuperat suma de 3 058 220,91 EUR de la România. Comisia a constatat că nu era necesară nicio corecție financiară suplimentară, iar dosarul a fost închis în ianuarie 2025.</w:t>
      </w:r>
    </w:p>
    <w:p w14:paraId="41EAAD4F" w14:textId="17C4EED7" w:rsidR="00F17508" w:rsidRPr="004F1432" w:rsidRDefault="00F17508" w:rsidP="00DD1488">
      <w:pPr>
        <w:pStyle w:val="ListNumber"/>
        <w:numPr>
          <w:ilvl w:val="0"/>
          <w:numId w:val="0"/>
        </w:numPr>
        <w:spacing w:before="120" w:after="120"/>
        <w:rPr>
          <w:noProof/>
        </w:rPr>
      </w:pPr>
      <w:r w:rsidRPr="004F1432">
        <w:rPr>
          <w:b/>
          <w:noProof/>
        </w:rPr>
        <w:t>Bulgaria, inundațiile din 2014.</w:t>
      </w:r>
      <w:r w:rsidRPr="004F1432">
        <w:rPr>
          <w:noProof/>
        </w:rPr>
        <w:t xml:space="preserve"> Contribuția financiară din FSUE s-a ridicat la 10 542 110 EUR. Autoritățile bulgare au prezentat raportul privind execuția și declarația de validitate în aprilie 2017. Pe baza informațiilor furnizate de Bulgaria, cheltuielile eligibile în cadrul FSUE s-au ridicat la 9 008 785,21 EUR, cu 1 533 324,79 EUR mai puțin decât contribuția financiară din FSUE. În plus, se acumulaseră dobânzi în valoare de 48 977,22 EUR. Acest lucru a determinat Comisia să constate că era necesară o corecție financiară de 1 582 302,01 EUR. La 22 decembrie 2020, Comisia a recuperat suma de 1 582 302,01 EUR de la Bulgaria. Comisia a constatat că nu era necesară nicio corecție financiară suplimentară, iar dosarul a fost închis în februarie 2025.</w:t>
      </w:r>
    </w:p>
    <w:p w14:paraId="71293CD7" w14:textId="790B7D3A" w:rsidR="0089154F" w:rsidRPr="004F1432" w:rsidRDefault="0089154F" w:rsidP="0089154F">
      <w:pPr>
        <w:pStyle w:val="Text1"/>
        <w:ind w:left="0"/>
        <w:rPr>
          <w:noProof/>
        </w:rPr>
      </w:pPr>
      <w:r w:rsidRPr="004F1432">
        <w:rPr>
          <w:b/>
          <w:noProof/>
        </w:rPr>
        <w:t>România, inundațiile din vara anului 2014.</w:t>
      </w:r>
      <w:r w:rsidRPr="004F1432">
        <w:rPr>
          <w:noProof/>
        </w:rPr>
        <w:t xml:space="preserve"> Contribuția financiară din FSUE s-a ridicat la 4 297 775 EUR. Autoritățile române au prezentat raportul privind execuția și declarația de validitate în aprilie 2018. Pe baza informațiilor furnizate de România, cheltuielile eligibile s-au ridicat la 3 048 079,20 EUR, cu 1 249 695,80 EUR mai puțin decât contribuția financiară din FSUE. În plus, se acumulaseră dobânzi în valoare de 5 242,90 EUR. Acest lucru a determinat Comisia să constate că era necesară o corecție financiară de 1 254 938,70 EUR. La 29 martie 2022, Comisia a recuperat suma de 1 254 938,70 EUR de la România. Comisia a constatat că nu era necesară nicio corecție financiară suplimentară, iar dosarul a fost închis în noiembrie 2025.</w:t>
      </w:r>
    </w:p>
    <w:p w14:paraId="25ACCC60" w14:textId="48D01314" w:rsidR="0089154F" w:rsidRPr="004F1432" w:rsidRDefault="0089154F" w:rsidP="00DD1488">
      <w:pPr>
        <w:pStyle w:val="ListNumber"/>
        <w:numPr>
          <w:ilvl w:val="0"/>
          <w:numId w:val="0"/>
        </w:numPr>
        <w:spacing w:before="120" w:after="120"/>
        <w:rPr>
          <w:noProof/>
        </w:rPr>
      </w:pPr>
      <w:r w:rsidRPr="004F1432">
        <w:rPr>
          <w:b/>
          <w:noProof/>
        </w:rPr>
        <w:t>Bulgaria, inundațiile din Mizia din vara anului 2014.</w:t>
      </w:r>
      <w:r w:rsidRPr="004F1432">
        <w:rPr>
          <w:noProof/>
        </w:rPr>
        <w:t xml:space="preserve"> Contribuția financiară din FSUE s-a ridicat la 1 983 600 EUR. Autoritățile bulgare au prezentat raportul privind execuția și declarația de validitate în august 2017. Pe baza informațiilor furnizate de Bulgaria, cheltuielile eligibile în cadrul FSUE s-au ridicat la 1 771 594,34 EUR, cu 212 005,66 EUR mai puțin decât contribuția financiară din FSUE. În plus, se acumulaseră dobânzi în valoare de 14,81 EUR. Acest lucru a determinat Comisia să constate că era necesară o corecție financiară de 212 020,47 EUR. La 22 decembrie 2020, Comisia a recuperat suma de 212 020,47 EUR de la Bulgaria. La 24 februarie 2021, Bulgaria a informat Comisia că, din cauza procedurilor administrative și judiciare, Comisia trebuia să recupereze o sumă suplimentară de 11 006,22 EUR. La 26 septembrie 2023, Comisia a recuperat suma de 11 006,22 EUR de la Bulgaria. Comisia a constatat că nu era necesară nicio corecție financiară suplimentară, iar dosarul a fost închis în noiembrie 2025.</w:t>
      </w:r>
    </w:p>
    <w:p w14:paraId="251C3BAE" w14:textId="76CA4628" w:rsidR="00F17508" w:rsidRPr="004F1432" w:rsidRDefault="00874660" w:rsidP="00F17508">
      <w:pPr>
        <w:pStyle w:val="Text1"/>
        <w:ind w:left="0"/>
        <w:rPr>
          <w:noProof/>
        </w:rPr>
      </w:pPr>
      <w:r w:rsidRPr="004F1432">
        <w:rPr>
          <w:b/>
          <w:noProof/>
        </w:rPr>
        <w:t>Italia, cutremurele din 2016.</w:t>
      </w:r>
      <w:r w:rsidRPr="004F1432">
        <w:rPr>
          <w:noProof/>
        </w:rPr>
        <w:t xml:space="preserve"> Contribuția financiară din FSUE s-a ridicat la 1 196 797 579 EUR. Autoritățile italiene au prezentat raportul privind execuția și declarația de validitate în decembrie 2019. Pe baza informațiilor furnizate de Italia, cheltuielile eligibile s-au ridicat la 1 473 913 724,12 EUR, ceea ce depășea contribuția din FSUE. Comisia a constatat că nu era necesară nicio corecție financiară, iar dosarul a fost închis în iunie 2025.</w:t>
      </w:r>
    </w:p>
    <w:p w14:paraId="0CBF16A7" w14:textId="7178CD97" w:rsidR="007615C0" w:rsidRPr="004F1432" w:rsidRDefault="007615C0" w:rsidP="00F17508">
      <w:pPr>
        <w:pStyle w:val="Text1"/>
        <w:ind w:left="0"/>
        <w:rPr>
          <w:noProof/>
        </w:rPr>
      </w:pPr>
      <w:r w:rsidRPr="004F1432">
        <w:rPr>
          <w:b/>
          <w:noProof/>
        </w:rPr>
        <w:t>Grecia, cutremurul de pe insula Lesbos din 2017.</w:t>
      </w:r>
      <w:r w:rsidRPr="004F1432">
        <w:rPr>
          <w:noProof/>
        </w:rPr>
        <w:t xml:space="preserve"> Contribuția financiară din FSUE s-a ridicat la 1 359 119 EUR. Autoritățile elene au prezentat raportul privind execuția și declarația de validitate în octombrie 2020. Pe baza informațiilor furnizate de Grecia, cheltuielile eligibile s-au ridicat la 1 182 470,22 EUR, cu 176 648,78 EUR mai puțin decât contribuția financiară din FSUE. Acest lucru a determinat Comisia să constate că era necesară o corecție financiară de 176 648,78 EUR. La 27 septembrie 2024, Comisia a recuperat suma de 176 648,78 EUR de la Grecia. Comisia a constatat că nu era necesară nicio corecție financiară suplimentară, iar dosarul a fost închis în iunie 2025.</w:t>
      </w:r>
    </w:p>
    <w:p w14:paraId="2CFF9CAF" w14:textId="523D6825" w:rsidR="00F17508" w:rsidRPr="004F1432" w:rsidRDefault="00F342C0" w:rsidP="00F17508">
      <w:pPr>
        <w:pStyle w:val="Text1"/>
        <w:ind w:left="0"/>
        <w:rPr>
          <w:noProof/>
        </w:rPr>
      </w:pPr>
      <w:r w:rsidRPr="004F1432">
        <w:rPr>
          <w:b/>
          <w:noProof/>
        </w:rPr>
        <w:t>Letonia, inundațiile din 2017.</w:t>
      </w:r>
      <w:r w:rsidRPr="004F1432">
        <w:rPr>
          <w:noProof/>
        </w:rPr>
        <w:t xml:space="preserve"> Contribuția financiară din FSUE s-a ridicat la 17 730 519 EUR. Autoritățile letone au prezentat raportul privind execuția și declarația de validitate în decembrie 2020. Pe baza informațiilor furnizate de Letonia, cheltuielile eligibile s-au ridicat la 19 291 264,19 EUR, ceea ce depășea contribuția din FSUE. Comisia a constatat că nu era necesară nicio corecție financiară, iar dosarul a fost închis în ianuarie 2025.</w:t>
      </w:r>
    </w:p>
    <w:p w14:paraId="5D98675F" w14:textId="51DD989E" w:rsidR="00F17508" w:rsidRPr="004F1432" w:rsidRDefault="00E7435E" w:rsidP="00F17508">
      <w:pPr>
        <w:pStyle w:val="Text1"/>
        <w:ind w:left="0"/>
        <w:rPr>
          <w:noProof/>
        </w:rPr>
      </w:pPr>
      <w:r w:rsidRPr="004F1432">
        <w:rPr>
          <w:b/>
          <w:noProof/>
        </w:rPr>
        <w:t>Spania, incendiile de vegetație din Galicia din 2017.</w:t>
      </w:r>
      <w:r w:rsidRPr="004F1432">
        <w:rPr>
          <w:noProof/>
        </w:rPr>
        <w:t xml:space="preserve"> Contribuția financiară din FSUE s-a ridicat la 3 228 675 EUR. Autoritățile spaniole au prezentat raportul privind execuția și declarația de validitate în iulie 2020. Pe baza informațiilor furnizate de Spania, cheltuielile eligibile s-au ridicat la 3 885 001 EUR, ceea ce depășea contribuția din FSUE. Comisia a constatat că nu era necesară nicio corecție financiară, iar dosarul a fost închis în iunie 2025.</w:t>
      </w:r>
    </w:p>
    <w:p w14:paraId="65A68510" w14:textId="42740634" w:rsidR="00E7435E" w:rsidRPr="004F1432" w:rsidRDefault="00E7435E" w:rsidP="00E7435E">
      <w:pPr>
        <w:pStyle w:val="Text1"/>
        <w:ind w:left="0"/>
        <w:rPr>
          <w:noProof/>
        </w:rPr>
      </w:pPr>
      <w:r w:rsidRPr="004F1432">
        <w:rPr>
          <w:b/>
          <w:noProof/>
        </w:rPr>
        <w:t>Lituania, inundațiile din 2017.</w:t>
      </w:r>
      <w:r w:rsidRPr="004F1432">
        <w:rPr>
          <w:noProof/>
        </w:rPr>
        <w:t xml:space="preserve"> Contribuția financiară din FSUE s-a ridicat la 16 918 941 EUR. Autoritățile lituaniene au prezentat raportul privind execuția și declarația de validitate în octombrie 2020. Pe baza informațiilor furnizate de Lituania, cheltuielile eligibile s-au ridicat la 16 916 736,24 EUR, cu 2 204,76 EUR mai puțin decât contribuția financiară din FSUE. Acest lucru a determinat Comisia să constate că era necesară o corecție financiară de 2 204,76 EUR. La 25 septembrie 2024, Comisia a recuperat suma de 2 204,76 EUR de la Lituania. Comisia a constatat că nu era necesară nicio corecție financiară suplimentară, iar dosarul a fost închis în iunie 2025.</w:t>
      </w:r>
    </w:p>
    <w:p w14:paraId="7E7D47A4" w14:textId="7A5A902B" w:rsidR="00D016F4" w:rsidRPr="004F1432" w:rsidRDefault="00D016F4" w:rsidP="00D016F4">
      <w:pPr>
        <w:pStyle w:val="Text1"/>
        <w:ind w:left="0"/>
        <w:rPr>
          <w:noProof/>
        </w:rPr>
      </w:pPr>
      <w:r w:rsidRPr="004F1432">
        <w:rPr>
          <w:b/>
          <w:noProof/>
        </w:rPr>
        <w:t>Italia, condiții meteorologice extreme în 2018.</w:t>
      </w:r>
      <w:r w:rsidRPr="004F1432">
        <w:rPr>
          <w:noProof/>
        </w:rPr>
        <w:t xml:space="preserve"> Contribuția financiară din FSUE s-a ridicat la 277 204 595 EUR. Autoritățile italiene au prezentat raportul privind execuția și declarația de validitate în mai 2022. Pe baza informațiilor furnizate de Italia, cheltuielile eligibile s-au ridicat la 291 657 411,82 EUR, ceea ce depășea contribuția din FSUE. Comisia a constatat că nu era necesară nicio corecție financiară, iar dosarul a fost închis în septembrie 2025.</w:t>
      </w:r>
    </w:p>
    <w:p w14:paraId="5807A5CF" w14:textId="107B0D9F" w:rsidR="009E1AED" w:rsidRPr="004F1432" w:rsidRDefault="009E1AED" w:rsidP="009E1AED">
      <w:pPr>
        <w:pStyle w:val="Text1"/>
        <w:ind w:left="0"/>
        <w:rPr>
          <w:noProof/>
        </w:rPr>
      </w:pPr>
      <w:r w:rsidRPr="004F1432">
        <w:rPr>
          <w:b/>
          <w:noProof/>
        </w:rPr>
        <w:t>Spania, fenomene meteorologice extreme în 2019.</w:t>
      </w:r>
      <w:r w:rsidRPr="004F1432">
        <w:rPr>
          <w:noProof/>
        </w:rPr>
        <w:t xml:space="preserve"> Contribuția financiară din FSUE s-a ridicat la 56 743 358 EUR. Autoritățile spaniole au prezentat raportul privind execuția și declarația de validitate în noiembrie 2022. Pe baza informațiilor furnizate de Spania, cheltuielile eligibile s-au ridicat la 62 034 794,45 EUR, ceea ce depășea contribuția din FSUE. Comisia a constatat că nu era necesară nicio corecție financiară, iar dosarul a fost închis în iunie 2025.</w:t>
      </w:r>
    </w:p>
    <w:p w14:paraId="1DC03DBC" w14:textId="2CF93185" w:rsidR="00946FB5" w:rsidRPr="004F1432" w:rsidRDefault="00946FB5" w:rsidP="00946FB5">
      <w:pPr>
        <w:pStyle w:val="Text1"/>
        <w:ind w:left="0"/>
        <w:rPr>
          <w:noProof/>
        </w:rPr>
      </w:pPr>
      <w:r w:rsidRPr="004F1432">
        <w:rPr>
          <w:b/>
          <w:noProof/>
        </w:rPr>
        <w:t>Italia, pandemia de COVID-19 din 2020.</w:t>
      </w:r>
      <w:r w:rsidRPr="004F1432">
        <w:rPr>
          <w:noProof/>
        </w:rPr>
        <w:t xml:space="preserve"> Contribuția financiară din FSUE s-a ridicat la 76 271 930 EUR. Autoritățile italiene au prezentat raportul privind execuția și declarația de validitate în iunie 2023. Pe baza informațiilor furnizate de Italia, cheltuielile eligibile s-au ridicat la 86 250 000 EUR și nu s-au constatat nereguli. Comisia a constatat că nu era necesară nicio corecție financiară, iar dosarul a fost închis în noiembrie 2025.</w:t>
      </w:r>
    </w:p>
    <w:p w14:paraId="26871ACA" w14:textId="14AF239C" w:rsidR="00946FB5" w:rsidRPr="004F1432" w:rsidRDefault="00946FB5" w:rsidP="00946FB5">
      <w:pPr>
        <w:pStyle w:val="Text1"/>
        <w:ind w:left="0"/>
        <w:rPr>
          <w:noProof/>
        </w:rPr>
      </w:pPr>
      <w:r w:rsidRPr="004F1432">
        <w:rPr>
          <w:b/>
          <w:noProof/>
        </w:rPr>
        <w:t>Austria, pandemia de COVID-19 din 2020.</w:t>
      </w:r>
      <w:r w:rsidRPr="004F1432">
        <w:rPr>
          <w:noProof/>
        </w:rPr>
        <w:t xml:space="preserve"> Contribuția financiară din FSUE s-a ridicat la 31 755 580 EUR. Autoritățile austriece au prezentat raportul privind execuția și declarația de validitate în decembrie 2023. Pe baza informațiilor furnizate de Austria, cheltuielile eligibile s-au ridicat la 42 368 657,03 EUR și nu s-au constatat nereguli. Comisia a constatat că nu era necesară nicio corecție financiară, iar dosarul a fost închis în iulie 2025.</w:t>
      </w:r>
    </w:p>
    <w:p w14:paraId="59ED6629" w14:textId="3FDC127A" w:rsidR="00B52D67" w:rsidRPr="004F1432" w:rsidRDefault="00B52D67" w:rsidP="00B52D67">
      <w:pPr>
        <w:pStyle w:val="Text1"/>
        <w:ind w:left="0"/>
        <w:rPr>
          <w:noProof/>
        </w:rPr>
      </w:pPr>
      <w:r w:rsidRPr="004F1432">
        <w:rPr>
          <w:b/>
          <w:noProof/>
        </w:rPr>
        <w:t>România, pandemia de COVID-19 din 2020.</w:t>
      </w:r>
      <w:r w:rsidRPr="004F1432">
        <w:rPr>
          <w:noProof/>
        </w:rPr>
        <w:t xml:space="preserve"> Contribuția financiară din FSUE s-a ridicat la 13 926 870 EUR. Autoritățile române au prezentat raportul privind execuția și declarația de validitate în octombrie 2023. Pe baza informațiilor furnizate de România, cheltuielile eligibile s-au ridicat la 19 148 310,58 EUR și nu s-au constatat nereguli. Comisia a constatat că nu era necesară nicio corecție financiară, iar dosarul a fost închis în iulie 2025.</w:t>
      </w:r>
    </w:p>
    <w:p w14:paraId="5F8BB9C4" w14:textId="4B4FD974" w:rsidR="00B83EA8" w:rsidRPr="004F1432" w:rsidRDefault="00B83EA8" w:rsidP="00B83EA8">
      <w:pPr>
        <w:pStyle w:val="Text1"/>
        <w:ind w:left="0"/>
        <w:rPr>
          <w:noProof/>
        </w:rPr>
      </w:pPr>
      <w:r w:rsidRPr="004F1432">
        <w:rPr>
          <w:b/>
          <w:noProof/>
        </w:rPr>
        <w:t>Croația, pandemia de COVID-19 din 2020.</w:t>
      </w:r>
      <w:r w:rsidRPr="004F1432">
        <w:rPr>
          <w:noProof/>
        </w:rPr>
        <w:t xml:space="preserve"> Contribuția financiară din FSUE s-a ridicat la 7 618 270 EUR. Autoritățile croate au prezentat raportul privind execuția și declarația de validitate în decembrie 2023. Pe baza informațiilor furnizate de Croația, cheltuielile eligibile s-au ridicat la 7 618 270 EUR și nu s-au constatat nereguli. Comisia a constatat că nu era necesară nicio corecție financiară, iar dosarul a fost închis în septembrie 2025.</w:t>
      </w:r>
    </w:p>
    <w:p w14:paraId="63F84529" w14:textId="0AD10424" w:rsidR="00B83EA8" w:rsidRPr="004F1432" w:rsidRDefault="00B83EA8" w:rsidP="00B83EA8">
      <w:pPr>
        <w:pStyle w:val="Text1"/>
        <w:ind w:left="0"/>
        <w:rPr>
          <w:noProof/>
        </w:rPr>
      </w:pPr>
      <w:r w:rsidRPr="004F1432">
        <w:rPr>
          <w:b/>
          <w:noProof/>
        </w:rPr>
        <w:t>Germania, pandemia de COVID-19 din 2020.</w:t>
      </w:r>
      <w:r w:rsidRPr="004F1432">
        <w:rPr>
          <w:noProof/>
        </w:rPr>
        <w:t xml:space="preserve"> Contribuția financiară din FSUE s-a ridicat la 29 147 795 EUR. Autoritățile germane au prezentat raportul privind execuția și declarația de validitate în decembrie 2023. Pe baza informațiilor furnizate de Germania, cheltuielile eligibile s-au ridicat la 2 079 000 000 EUR și nu s-au constatat nereguli. Comisia a constatat că nu era necesară nicio corecție financiară, iar dosarul a fost închis în iulie 2025.</w:t>
      </w:r>
    </w:p>
    <w:p w14:paraId="1AF2CCB7" w14:textId="6C18BB1B" w:rsidR="00F47C9B" w:rsidRPr="004F1432" w:rsidRDefault="00F47C9B" w:rsidP="00F47C9B">
      <w:pPr>
        <w:pStyle w:val="Text1"/>
        <w:ind w:left="0"/>
        <w:rPr>
          <w:noProof/>
        </w:rPr>
      </w:pPr>
      <w:r w:rsidRPr="004F1432">
        <w:rPr>
          <w:b/>
          <w:noProof/>
        </w:rPr>
        <w:t>Luxemburg, pandemia de COVID-19 din 2020.</w:t>
      </w:r>
      <w:r w:rsidRPr="004F1432">
        <w:rPr>
          <w:noProof/>
        </w:rPr>
        <w:t xml:space="preserve"> Contribuția financiară din FSUE s-a ridicat la 2 857 025 EUR. Autoritățile luxemburgheze au prezentat raportul privind execuția și declarația de validitate în octombrie 2023. Pe baza informațiilor furnizate de Luxemburg, cheltuielile eligibile s-au ridicat la 5 064 900 EUR și nu s-au constatat nereguli. Comisia a constatat că nu era necesară nicio corecție financiară, iar dosarul a fost închis în ianuarie</w:t>
      </w:r>
      <w:r w:rsidR="004F1432" w:rsidRPr="004F1432">
        <w:rPr>
          <w:noProof/>
        </w:rPr>
        <w:t> </w:t>
      </w:r>
      <w:r w:rsidRPr="004F1432">
        <w:rPr>
          <w:noProof/>
        </w:rPr>
        <w:t>2025.</w:t>
      </w:r>
    </w:p>
    <w:p w14:paraId="69EDE1FE" w14:textId="65398D1A" w:rsidR="00F17508" w:rsidRPr="004F1432" w:rsidRDefault="00F17508" w:rsidP="00F17508">
      <w:pPr>
        <w:pStyle w:val="Text1"/>
        <w:ind w:left="0"/>
        <w:rPr>
          <w:noProof/>
          <w:highlight w:val="yellow"/>
        </w:rPr>
      </w:pPr>
    </w:p>
    <w:p w14:paraId="5975F011" w14:textId="77777777" w:rsidR="00256943" w:rsidRPr="004F1432" w:rsidRDefault="00256943">
      <w:pPr>
        <w:spacing w:after="0" w:line="240" w:lineRule="auto"/>
        <w:rPr>
          <w:rFonts w:ascii="Times New Roman" w:eastAsia="Times New Roman" w:hAnsi="Times New Roman"/>
          <w:b/>
          <w:bCs/>
          <w:smallCaps/>
          <w:noProof/>
          <w:sz w:val="24"/>
          <w:szCs w:val="28"/>
          <w:highlight w:val="yellow"/>
        </w:rPr>
      </w:pPr>
      <w:bookmarkStart w:id="22" w:name="_Toc368320075"/>
      <w:r w:rsidRPr="004F1432">
        <w:rPr>
          <w:noProof/>
        </w:rPr>
        <w:br w:type="page"/>
      </w:r>
    </w:p>
    <w:p w14:paraId="49229A8E" w14:textId="237EFB28" w:rsidR="008E01EB" w:rsidRPr="004F1432" w:rsidRDefault="00A03794" w:rsidP="005B00D8">
      <w:pPr>
        <w:pStyle w:val="Heading1"/>
        <w:rPr>
          <w:noProof/>
        </w:rPr>
      </w:pPr>
      <w:bookmarkStart w:id="23" w:name="_Toc233633596"/>
      <w:r w:rsidRPr="004F1432">
        <w:rPr>
          <w:noProof/>
        </w:rPr>
        <w:t>Concluzii</w:t>
      </w:r>
      <w:bookmarkEnd w:id="23"/>
    </w:p>
    <w:p w14:paraId="3EC95BC0" w14:textId="4DDBD229" w:rsidR="00404930" w:rsidRPr="004F1432" w:rsidRDefault="00C77B58" w:rsidP="00283809">
      <w:pPr>
        <w:pStyle w:val="Text1"/>
        <w:ind w:left="0"/>
        <w:rPr>
          <w:noProof/>
        </w:rPr>
      </w:pPr>
      <w:r w:rsidRPr="004F1432">
        <w:rPr>
          <w:noProof/>
        </w:rPr>
        <w:t>În 2025, Europa a rămas continentul cu cea mai rapidă încălzire, peste 95 % din continent înregistrând temperaturi peste medie și fiind marcat de o serie de evenimente extreme, de la seceta generalizată din primăvară și vară la valurile de căldură din Marea Mediterană până la Cercul Arctic, incendiile de vegetație din sudul Europei și furtunile de pe întregul continent</w:t>
      </w:r>
      <w:r w:rsidRPr="004F1432">
        <w:rPr>
          <w:rStyle w:val="FootnoteReference"/>
          <w:noProof/>
        </w:rPr>
        <w:footnoteReference w:id="4"/>
      </w:r>
      <w:r w:rsidRPr="004F1432">
        <w:rPr>
          <w:noProof/>
        </w:rPr>
        <w:t xml:space="preserve">. </w:t>
      </w:r>
    </w:p>
    <w:p w14:paraId="6B2D861E" w14:textId="051A4B23" w:rsidR="00C77B58" w:rsidRPr="004F1432" w:rsidRDefault="001477E3" w:rsidP="00283809">
      <w:pPr>
        <w:pStyle w:val="Text1"/>
        <w:ind w:left="0"/>
        <w:rPr>
          <w:noProof/>
        </w:rPr>
      </w:pPr>
      <w:r w:rsidRPr="004F1432">
        <w:rPr>
          <w:noProof/>
        </w:rPr>
        <w:t>Europa continentală de Est s-a confruntat cu perioade prelungite de precipitații abundente, urmate de o secetă intensă, care a declanșat inundații devastatoare. La fel ca în anii precedenți, sudul Europei s-a confruntat cu secete persistente, valuri de căldură record și incendii de vegetație galopante. Teritoriile ultraperiferice franceze Mayotte și Réunion au fost deosebit de expuse și afectate de cicloane succesive din cauza geografiei lor. Distrugerea rezultată – inclusiv deteriorarea pe scară largă a locuințelor și a infrastructurii critice – a devastat viețile și mijloacele de subzistență a mii de europeni. Aceste evenimente au evidențiat necesitatea critică a unor măsuri solide de adaptare la schimbările climatice și de atenuare a acestora, care să fie puse în aplicare în întreaga Europă.</w:t>
      </w:r>
    </w:p>
    <w:p w14:paraId="431099B6" w14:textId="73190D4E" w:rsidR="007649D3" w:rsidRPr="004F1432" w:rsidRDefault="00B825B7" w:rsidP="00283809">
      <w:pPr>
        <w:pStyle w:val="Text1"/>
        <w:ind w:left="0"/>
        <w:rPr>
          <w:noProof/>
        </w:rPr>
      </w:pPr>
      <w:r w:rsidRPr="004F1432">
        <w:rPr>
          <w:noProof/>
        </w:rPr>
        <w:t xml:space="preserve">Datorită bugetului său majorat începând cu 2024, FSUE a fost mai în măsură să sprijine eforturile naționale de reconstrucție și redresare în țările afectate de catastrofe naturale, prin furnizarea integrală a cuantumurilor ajutorului calculate pe baza metodologiei convenite. </w:t>
      </w:r>
    </w:p>
    <w:p w14:paraId="28C85598" w14:textId="2B10C0D1" w:rsidR="00283809" w:rsidRPr="004F1432" w:rsidRDefault="00283809" w:rsidP="00283809">
      <w:pPr>
        <w:pStyle w:val="Text1"/>
        <w:ind w:left="0"/>
        <w:rPr>
          <w:noProof/>
        </w:rPr>
      </w:pPr>
      <w:r w:rsidRPr="004F1432">
        <w:rPr>
          <w:noProof/>
        </w:rPr>
        <w:t>În plus, FSUE a ajutat regiunile afectate să își reia rapid activitatea economică și socială prin repararea și refacerea infrastructurii critice, reducând în același timp sarcina financiară asupra administrațiilor naționale și locale.</w:t>
      </w:r>
    </w:p>
    <w:bookmarkEnd w:id="22"/>
    <w:p w14:paraId="4E133C67" w14:textId="02857A19" w:rsidR="007649D3" w:rsidRPr="004F1432" w:rsidRDefault="007649D3" w:rsidP="007649D3">
      <w:pPr>
        <w:pStyle w:val="Text1"/>
        <w:ind w:left="0"/>
        <w:rPr>
          <w:noProof/>
        </w:rPr>
      </w:pPr>
      <w:r w:rsidRPr="004F1432">
        <w:rPr>
          <w:noProof/>
        </w:rPr>
        <w:t>În concluzie, numărul de cereri de asistență și presiunea sporită asupra bugetului FSUE confirmă că sprijinul din partea fondului este în continuare foarte necesar.</w:t>
      </w:r>
    </w:p>
    <w:p w14:paraId="2B5FB084" w14:textId="77777777" w:rsidR="00735E95" w:rsidRPr="004F1432" w:rsidRDefault="00735E95" w:rsidP="00CD2F9D">
      <w:pPr>
        <w:pStyle w:val="Text1"/>
        <w:rPr>
          <w:noProof/>
        </w:rPr>
      </w:pPr>
    </w:p>
    <w:sectPr w:rsidR="00735E95" w:rsidRPr="004F1432">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2BA2" w14:textId="77777777" w:rsidR="006E74E4" w:rsidRPr="00A85E62" w:rsidRDefault="006E74E4" w:rsidP="00681F80">
      <w:pPr>
        <w:spacing w:after="0" w:line="240" w:lineRule="auto"/>
      </w:pPr>
      <w:r>
        <w:separator/>
      </w:r>
    </w:p>
  </w:endnote>
  <w:endnote w:type="continuationSeparator" w:id="0">
    <w:p w14:paraId="76A8CC96" w14:textId="77777777" w:rsidR="006E74E4" w:rsidRPr="00A85E62" w:rsidRDefault="006E74E4" w:rsidP="0068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C81A" w14:textId="32CA8577" w:rsidR="00007CFD" w:rsidRPr="00007CFD" w:rsidRDefault="00007CFD" w:rsidP="00007CFD">
    <w:pPr>
      <w:pStyle w:val="FooterCoverPage"/>
      <w:rPr>
        <w:rFonts w:ascii="Arial" w:hAnsi="Arial" w:cs="Arial"/>
        <w:b/>
        <w:sz w:val="48"/>
      </w:rPr>
    </w:pPr>
    <w:r w:rsidRPr="00007CFD">
      <w:rPr>
        <w:rFonts w:ascii="Arial" w:hAnsi="Arial" w:cs="Arial"/>
        <w:b/>
        <w:sz w:val="48"/>
      </w:rPr>
      <w:t>RO</w:t>
    </w:r>
    <w:r w:rsidRPr="00007CFD">
      <w:rPr>
        <w:rFonts w:ascii="Arial" w:hAnsi="Arial" w:cs="Arial"/>
        <w:b/>
        <w:sz w:val="48"/>
      </w:rPr>
      <w:tab/>
    </w:r>
    <w:r w:rsidRPr="00007CFD">
      <w:rPr>
        <w:rFonts w:ascii="Arial" w:hAnsi="Arial" w:cs="Arial"/>
        <w:b/>
        <w:sz w:val="48"/>
      </w:rPr>
      <w:tab/>
    </w:r>
    <w:r w:rsidRPr="00007CFD">
      <w:tab/>
    </w:r>
    <w:proofErr w:type="spellStart"/>
    <w:r w:rsidRPr="00007CFD">
      <w:rPr>
        <w:rFonts w:ascii="Arial" w:hAnsi="Arial" w:cs="Arial"/>
        <w:b/>
        <w:sz w:val="48"/>
      </w:rPr>
      <w:t>RO</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FA34E" w14:textId="26071691" w:rsidR="00007CFD" w:rsidRPr="00007CFD" w:rsidRDefault="00007CFD" w:rsidP="00007CFD">
    <w:pPr>
      <w:pStyle w:val="FooterCoverPage"/>
      <w:rPr>
        <w:rFonts w:ascii="Arial" w:hAnsi="Arial" w:cs="Arial"/>
        <w:b/>
        <w:sz w:val="48"/>
      </w:rPr>
    </w:pPr>
    <w:r w:rsidRPr="00007CFD">
      <w:rPr>
        <w:rFonts w:ascii="Arial" w:hAnsi="Arial" w:cs="Arial"/>
        <w:b/>
        <w:sz w:val="48"/>
      </w:rPr>
      <w:t>RO</w:t>
    </w:r>
    <w:r w:rsidRPr="00007CFD">
      <w:rPr>
        <w:rFonts w:ascii="Arial" w:hAnsi="Arial" w:cs="Arial"/>
        <w:b/>
        <w:sz w:val="48"/>
      </w:rPr>
      <w:tab/>
    </w:r>
    <w:r w:rsidRPr="00007CFD">
      <w:rPr>
        <w:rFonts w:ascii="Arial" w:hAnsi="Arial" w:cs="Arial"/>
        <w:b/>
        <w:sz w:val="48"/>
      </w:rPr>
      <w:tab/>
    </w:r>
    <w:r w:rsidRPr="00007CFD">
      <w:tab/>
    </w:r>
    <w:proofErr w:type="spellStart"/>
    <w:r w:rsidRPr="00007CFD">
      <w:rPr>
        <w:rFonts w:ascii="Arial" w:hAnsi="Arial" w:cs="Arial"/>
        <w:b/>
        <w:sz w:val="48"/>
      </w:rPr>
      <w:t>RO</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525E" w14:textId="77777777" w:rsidR="00007CFD" w:rsidRPr="00007CFD" w:rsidRDefault="00007CFD" w:rsidP="00007CF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A746" w14:textId="77777777" w:rsidR="00D83001" w:rsidRPr="00A85E62"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14E" w14:textId="1FE1CE8B" w:rsidR="00D83001" w:rsidRPr="00A85E62" w:rsidRDefault="00D83001">
    <w:pPr>
      <w:pStyle w:val="Footer"/>
      <w:jc w:val="center"/>
    </w:pPr>
    <w:r>
      <w:fldChar w:fldCharType="begin"/>
    </w:r>
    <w:r>
      <w:instrText xml:space="preserve"> PAGE   \* MERGEFORMAT </w:instrText>
    </w:r>
    <w:r>
      <w:fldChar w:fldCharType="separate"/>
    </w:r>
    <w:r w:rsidR="00007CFD">
      <w:rPr>
        <w:noProof/>
      </w:rPr>
      <w:t>1</w:t>
    </w:r>
    <w:r>
      <w:fldChar w:fldCharType="end"/>
    </w:r>
  </w:p>
  <w:p w14:paraId="2F2E92BA" w14:textId="77777777" w:rsidR="00D83001" w:rsidRPr="00A85E62"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F25" w14:textId="77777777" w:rsidR="00D83001" w:rsidRPr="00A85E62" w:rsidRDefault="00D83001">
    <w:pPr>
      <w:pStyle w:val="Footer"/>
      <w:jc w:val="center"/>
    </w:pPr>
    <w:r>
      <w:fldChar w:fldCharType="begin"/>
    </w:r>
    <w:r>
      <w:instrText xml:space="preserve"> PAGE   \* MERGEFORMAT </w:instrText>
    </w:r>
    <w:r>
      <w:fldChar w:fldCharType="separate"/>
    </w:r>
    <w:r>
      <w:t>1</w:t>
    </w:r>
    <w:r>
      <w:fldChar w:fldCharType="end"/>
    </w:r>
  </w:p>
  <w:p w14:paraId="3BE67328" w14:textId="77777777" w:rsidR="00D83001" w:rsidRPr="00A85E62"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C9C4" w14:textId="77777777" w:rsidR="009E211F" w:rsidRPr="00A85E62"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EB0B" w14:textId="10FAEF8A" w:rsidR="009E211F" w:rsidRPr="00A85E62" w:rsidRDefault="009E211F" w:rsidP="00E06B92">
    <w:pPr>
      <w:pStyle w:val="Footer"/>
      <w:jc w:val="center"/>
    </w:pPr>
    <w:r>
      <w:fldChar w:fldCharType="begin"/>
    </w:r>
    <w:r>
      <w:instrText xml:space="preserve"> PAGE   \* MERGEFORMAT </w:instrText>
    </w:r>
    <w:r>
      <w:fldChar w:fldCharType="separate"/>
    </w:r>
    <w:r w:rsidR="00007CFD">
      <w:rPr>
        <w:noProof/>
      </w:rPr>
      <w:t>1</w:t>
    </w:r>
    <w:r w:rsidR="00007CFD">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859C" w14:textId="77777777" w:rsidR="009E211F" w:rsidRPr="00A85E62"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8F1A" w14:textId="77777777" w:rsidR="006E74E4" w:rsidRPr="00A85E62" w:rsidRDefault="006E74E4" w:rsidP="00681F80">
      <w:pPr>
        <w:spacing w:after="0" w:line="240" w:lineRule="auto"/>
      </w:pPr>
      <w:r>
        <w:separator/>
      </w:r>
    </w:p>
  </w:footnote>
  <w:footnote w:type="continuationSeparator" w:id="0">
    <w:p w14:paraId="097928B8" w14:textId="77777777" w:rsidR="006E74E4" w:rsidRPr="00A85E62" w:rsidRDefault="006E74E4" w:rsidP="00681F80">
      <w:pPr>
        <w:spacing w:after="0" w:line="240" w:lineRule="auto"/>
      </w:pPr>
      <w:r>
        <w:continuationSeparator/>
      </w:r>
    </w:p>
  </w:footnote>
  <w:footnote w:id="1">
    <w:p w14:paraId="7127F2DF" w14:textId="5FF2DE3C" w:rsidR="00684764" w:rsidRPr="00A85E62" w:rsidRDefault="00684764" w:rsidP="00684764">
      <w:pPr>
        <w:pStyle w:val="FootnoteText"/>
        <w:ind w:left="0" w:hanging="11"/>
      </w:pPr>
      <w:r>
        <w:rPr>
          <w:rStyle w:val="FootnoteReference"/>
        </w:rPr>
        <w:footnoteRef/>
      </w:r>
      <w:r>
        <w:t xml:space="preserve"> Regulamentul (CE) nr. </w:t>
      </w:r>
      <w:r w:rsidRPr="004F1432">
        <w:t>2012</w:t>
      </w:r>
      <w:r>
        <w:t>/</w:t>
      </w:r>
      <w:r w:rsidRPr="004F1432">
        <w:t>2002</w:t>
      </w:r>
      <w:r>
        <w:t xml:space="preserve"> al Consiliului din </w:t>
      </w:r>
      <w:r w:rsidRPr="004F1432">
        <w:t>11</w:t>
      </w:r>
      <w:r>
        <w:t xml:space="preserve"> noiembrie </w:t>
      </w:r>
      <w:r w:rsidRPr="004F1432">
        <w:t>2002</w:t>
      </w:r>
      <w:r>
        <w:t xml:space="preserve"> de instituire a Fondului de Solidaritate al Uniunii Europene (JO L </w:t>
      </w:r>
      <w:r w:rsidRPr="004F1432">
        <w:t>311</w:t>
      </w:r>
      <w:r>
        <w:t xml:space="preserve">, </w:t>
      </w:r>
      <w:r w:rsidRPr="004F1432">
        <w:t>14</w:t>
      </w:r>
      <w:r>
        <w:t>.</w:t>
      </w:r>
      <w:r w:rsidRPr="004F1432">
        <w:t>11</w:t>
      </w:r>
      <w:r>
        <w:t>.</w:t>
      </w:r>
      <w:r w:rsidRPr="004F1432">
        <w:t>2002</w:t>
      </w:r>
      <w:r>
        <w:t>, p. </w:t>
      </w:r>
      <w:r w:rsidRPr="004F1432">
        <w:t>3</w:t>
      </w:r>
      <w:r>
        <w:t>).</w:t>
      </w:r>
    </w:p>
  </w:footnote>
  <w:footnote w:id="2">
    <w:p w14:paraId="5710D84C" w14:textId="55A9B5B9" w:rsidR="006074F1" w:rsidRPr="00A85E62" w:rsidRDefault="006074F1" w:rsidP="006074F1">
      <w:pPr>
        <w:pStyle w:val="FootnoteText"/>
      </w:pPr>
      <w:r>
        <w:rPr>
          <w:rStyle w:val="FootnoteReference"/>
        </w:rPr>
        <w:footnoteRef/>
      </w:r>
      <w:r>
        <w:t xml:space="preserve"> C(</w:t>
      </w:r>
      <w:r w:rsidRPr="004F1432">
        <w:t>2025</w:t>
      </w:r>
      <w:r>
        <w:t xml:space="preserve">) </w:t>
      </w:r>
      <w:r w:rsidRPr="004F1432">
        <w:t>3237</w:t>
      </w:r>
      <w:r>
        <w:t xml:space="preserve"> din </w:t>
      </w:r>
      <w:r w:rsidRPr="004F1432">
        <w:t>22</w:t>
      </w:r>
      <w:r>
        <w:t>.</w:t>
      </w:r>
      <w:r w:rsidRPr="004F1432">
        <w:t>5</w:t>
      </w:r>
      <w:r>
        <w:t>.</w:t>
      </w:r>
      <w:r w:rsidRPr="004F1432">
        <w:t>2025</w:t>
      </w:r>
      <w:r>
        <w:t>.</w:t>
      </w:r>
    </w:p>
  </w:footnote>
  <w:footnote w:id="3">
    <w:p w14:paraId="794E9556" w14:textId="7A66C7A8" w:rsidR="007B0ACA" w:rsidRPr="00A85E62" w:rsidRDefault="007B0ACA" w:rsidP="007B0ACA">
      <w:pPr>
        <w:pStyle w:val="FootnoteText"/>
      </w:pPr>
      <w:r>
        <w:rPr>
          <w:rStyle w:val="FootnoteReference"/>
        </w:rPr>
        <w:footnoteRef/>
      </w:r>
      <w:r>
        <w:t> COM(</w:t>
      </w:r>
      <w:r w:rsidRPr="004F1432">
        <w:t>2025</w:t>
      </w:r>
      <w:r>
        <w:t xml:space="preserve">) </w:t>
      </w:r>
      <w:r w:rsidRPr="004F1432">
        <w:t>855</w:t>
      </w:r>
      <w:r>
        <w:t xml:space="preserve"> din </w:t>
      </w:r>
      <w:r w:rsidRPr="004F1432">
        <w:t>3</w:t>
      </w:r>
      <w:r>
        <w:t>.</w:t>
      </w:r>
      <w:r w:rsidRPr="004F1432">
        <w:t>10</w:t>
      </w:r>
      <w:r>
        <w:t>.</w:t>
      </w:r>
      <w:r w:rsidRPr="004F1432">
        <w:t>2025</w:t>
      </w:r>
      <w:r>
        <w:t>.</w:t>
      </w:r>
    </w:p>
  </w:footnote>
  <w:footnote w:id="4">
    <w:p w14:paraId="7FDCE613" w14:textId="2306A8A7" w:rsidR="00AA5959" w:rsidRPr="00A85E62" w:rsidRDefault="00AA5959">
      <w:pPr>
        <w:pStyle w:val="FootnoteText"/>
      </w:pPr>
      <w:r>
        <w:rPr>
          <w:rStyle w:val="FootnoteReference"/>
        </w:rPr>
        <w:footnoteRef/>
      </w:r>
      <w:r>
        <w:t xml:space="preserve"> </w:t>
      </w:r>
      <w:hyperlink r:id="rId1" w:history="1">
        <w:r>
          <w:rPr>
            <w:rStyle w:val="Hyperlink"/>
          </w:rPr>
          <w:t xml:space="preserve">European State of the Climate Report </w:t>
        </w:r>
        <w:r w:rsidRPr="004F1432">
          <w:rPr>
            <w:rStyle w:val="Hyperlink"/>
          </w:rPr>
          <w:t>2025</w:t>
        </w:r>
      </w:hyperlink>
      <w:r>
        <w:rPr>
          <w:u w:val="single"/>
        </w:rPr>
        <w:t xml:space="preserve"> (Raportul din </w:t>
      </w:r>
      <w:r w:rsidRPr="004F1432">
        <w:rPr>
          <w:u w:val="single"/>
        </w:rPr>
        <w:t>2025</w:t>
      </w:r>
      <w:r>
        <w:rPr>
          <w:u w:val="single"/>
        </w:rPr>
        <w:t xml:space="preserve"> privind starea europeană a climei)|</w:t>
      </w:r>
      <w:hyperlink r:id="rId2" w:history="1">
        <w:r>
          <w:rPr>
            <w:rStyle w:val="Hyperlink"/>
          </w:rPr>
          <w:t xml:space="preserve"> Copernicus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F9FF" w14:textId="77777777" w:rsidR="00007CFD" w:rsidRPr="00007CFD" w:rsidRDefault="00007CFD" w:rsidP="00007CF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9F06" w14:textId="77777777" w:rsidR="00007CFD" w:rsidRPr="00007CFD" w:rsidRDefault="00007CFD" w:rsidP="00007CF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B580" w14:textId="77777777" w:rsidR="00007CFD" w:rsidRPr="00007CFD" w:rsidRDefault="00007CFD" w:rsidP="00007CF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136" w14:textId="77777777" w:rsidR="00D83001" w:rsidRPr="00A85E62"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480" w14:textId="77777777" w:rsidR="00D83001" w:rsidRPr="00A85E62"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9CBD" w14:textId="77777777" w:rsidR="00D83001" w:rsidRPr="00A85E62"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90ED" w14:textId="77777777" w:rsidR="009E211F" w:rsidRPr="00A85E62"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DC" w14:textId="77777777" w:rsidR="009E211F" w:rsidRPr="00A85E62"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717" w14:textId="77777777" w:rsidR="009E211F" w:rsidRPr="00A85E62"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0B7201"/>
    <w:multiLevelType w:val="multilevel"/>
    <w:tmpl w:val="7450BC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48A397D"/>
    <w:multiLevelType w:val="hybridMultilevel"/>
    <w:tmpl w:val="4104872C"/>
    <w:lvl w:ilvl="0" w:tplc="44A82D3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23937C68"/>
    <w:multiLevelType w:val="hybridMultilevel"/>
    <w:tmpl w:val="6234F87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4DED33DB"/>
    <w:multiLevelType w:val="hybridMultilevel"/>
    <w:tmpl w:val="D13A507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3" w15:restartNumberingAfterBreak="0">
    <w:nsid w:val="533B4849"/>
    <w:multiLevelType w:val="hybridMultilevel"/>
    <w:tmpl w:val="C4766E66"/>
    <w:lvl w:ilvl="0" w:tplc="44A82D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5F13CB7"/>
    <w:multiLevelType w:val="hybridMultilevel"/>
    <w:tmpl w:val="F192E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7"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F752506"/>
    <w:multiLevelType w:val="hybridMultilevel"/>
    <w:tmpl w:val="59904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9DF268A"/>
    <w:multiLevelType w:val="hybridMultilevel"/>
    <w:tmpl w:val="5A14381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9262575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3964723">
    <w:abstractNumId w:val="8"/>
    <w:lvlOverride w:ilvl="0">
      <w:startOverride w:val="1"/>
    </w:lvlOverride>
  </w:num>
  <w:num w:numId="3" w16cid:durableId="8619440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7482268">
    <w:abstractNumId w:val="16"/>
  </w:num>
  <w:num w:numId="5" w16cid:durableId="6666393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80758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653760">
    <w:abstractNumId w:val="10"/>
  </w:num>
  <w:num w:numId="8" w16cid:durableId="15376909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42013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2091033">
    <w:abstractNumId w:val="4"/>
  </w:num>
  <w:num w:numId="11" w16cid:durableId="655884642">
    <w:abstractNumId w:val="6"/>
  </w:num>
  <w:num w:numId="12" w16cid:durableId="1856728911">
    <w:abstractNumId w:val="15"/>
  </w:num>
  <w:num w:numId="13" w16cid:durableId="1673682793">
    <w:abstractNumId w:val="17"/>
  </w:num>
  <w:num w:numId="14" w16cid:durableId="1599368632">
    <w:abstractNumId w:val="0"/>
  </w:num>
  <w:num w:numId="15" w16cid:durableId="1981492926">
    <w:abstractNumId w:val="7"/>
  </w:num>
  <w:num w:numId="16" w16cid:durableId="1752459949">
    <w:abstractNumId w:val="11"/>
  </w:num>
  <w:num w:numId="17" w16cid:durableId="1319379903">
    <w:abstractNumId w:val="9"/>
  </w:num>
  <w:num w:numId="18" w16cid:durableId="679353040">
    <w:abstractNumId w:val="12"/>
  </w:num>
  <w:num w:numId="19" w16cid:durableId="220363259">
    <w:abstractNumId w:val="3"/>
  </w:num>
  <w:num w:numId="20" w16cid:durableId="827789771">
    <w:abstractNumId w:val="2"/>
  </w:num>
  <w:num w:numId="21" w16cid:durableId="533734203">
    <w:abstractNumId w:val="1"/>
  </w:num>
  <w:num w:numId="22" w16cid:durableId="1755588590">
    <w:abstractNumId w:val="13"/>
  </w:num>
  <w:num w:numId="23" w16cid:durableId="437603355">
    <w:abstractNumId w:val="19"/>
  </w:num>
  <w:num w:numId="24" w16cid:durableId="781191060">
    <w:abstractNumId w:val="5"/>
  </w:num>
  <w:num w:numId="25" w16cid:durableId="105001870">
    <w:abstractNumId w:val="14"/>
  </w:num>
  <w:num w:numId="26" w16cid:durableId="1832985240">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5E26BEBB-4244-4C74-A842-06AC0A7D64A8"/>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Raport anual privind Fondul de solidaritate al Uniunii Europene pentru 2025&lt;/FMT&gt;_x000b_"/>
    <w:docVar w:name="LW_TYPE.DOC.CP" w:val="RAPORT AL COMISIEI C\u258?TRE PARLAMENTUL EUROPEAN \u536?I CONSILIU"/>
    <w:docVar w:name="LwApiVersions" w:val="LW4CoDe 1.24.5.0; LW 9.2, Build 20251112"/>
    <w:docVar w:name="Stamp" w:val="\\dossiers.dgt.cec.eu.int\dossiers\REGIO\REGIO-2026-00343\REGIO-2026-00343-00-00-EN-EDT-00.202605200808267323290.DOCX"/>
  </w:docVars>
  <w:rsids>
    <w:rsidRoot w:val="00681F80"/>
    <w:rsid w:val="0000057F"/>
    <w:rsid w:val="000006CC"/>
    <w:rsid w:val="00000FF2"/>
    <w:rsid w:val="00007CFD"/>
    <w:rsid w:val="00007D78"/>
    <w:rsid w:val="00010CA7"/>
    <w:rsid w:val="00011D8C"/>
    <w:rsid w:val="00012295"/>
    <w:rsid w:val="00012C4D"/>
    <w:rsid w:val="000150ED"/>
    <w:rsid w:val="00015867"/>
    <w:rsid w:val="00015E07"/>
    <w:rsid w:val="00016898"/>
    <w:rsid w:val="000172C7"/>
    <w:rsid w:val="00021BD2"/>
    <w:rsid w:val="00021E68"/>
    <w:rsid w:val="0002234C"/>
    <w:rsid w:val="00023136"/>
    <w:rsid w:val="00023B02"/>
    <w:rsid w:val="00027BD9"/>
    <w:rsid w:val="000303F1"/>
    <w:rsid w:val="0003148F"/>
    <w:rsid w:val="0003175D"/>
    <w:rsid w:val="00031DB6"/>
    <w:rsid w:val="0003259F"/>
    <w:rsid w:val="0003585F"/>
    <w:rsid w:val="000370D2"/>
    <w:rsid w:val="00040642"/>
    <w:rsid w:val="000409AE"/>
    <w:rsid w:val="00041DB3"/>
    <w:rsid w:val="000427C9"/>
    <w:rsid w:val="000436F5"/>
    <w:rsid w:val="0004443F"/>
    <w:rsid w:val="0004469F"/>
    <w:rsid w:val="00044F19"/>
    <w:rsid w:val="0004588A"/>
    <w:rsid w:val="00046DBC"/>
    <w:rsid w:val="00050192"/>
    <w:rsid w:val="000504EA"/>
    <w:rsid w:val="0005269F"/>
    <w:rsid w:val="0005364C"/>
    <w:rsid w:val="00055BBC"/>
    <w:rsid w:val="00055FB3"/>
    <w:rsid w:val="0005611B"/>
    <w:rsid w:val="00056E3D"/>
    <w:rsid w:val="00060877"/>
    <w:rsid w:val="000623BC"/>
    <w:rsid w:val="0006326F"/>
    <w:rsid w:val="00063288"/>
    <w:rsid w:val="0006737C"/>
    <w:rsid w:val="000674F4"/>
    <w:rsid w:val="000675E3"/>
    <w:rsid w:val="00072F6A"/>
    <w:rsid w:val="0007503B"/>
    <w:rsid w:val="00076AFE"/>
    <w:rsid w:val="00076DA6"/>
    <w:rsid w:val="00077DCB"/>
    <w:rsid w:val="00082004"/>
    <w:rsid w:val="00082315"/>
    <w:rsid w:val="00084B91"/>
    <w:rsid w:val="0008755A"/>
    <w:rsid w:val="0009000C"/>
    <w:rsid w:val="00095D21"/>
    <w:rsid w:val="000968B2"/>
    <w:rsid w:val="000976B7"/>
    <w:rsid w:val="000A291E"/>
    <w:rsid w:val="000A2B8C"/>
    <w:rsid w:val="000B0C79"/>
    <w:rsid w:val="000B1A0D"/>
    <w:rsid w:val="000B1D56"/>
    <w:rsid w:val="000B3F62"/>
    <w:rsid w:val="000B5B2D"/>
    <w:rsid w:val="000B5B4D"/>
    <w:rsid w:val="000B6EDB"/>
    <w:rsid w:val="000B7AE4"/>
    <w:rsid w:val="000B7DF7"/>
    <w:rsid w:val="000C0F80"/>
    <w:rsid w:val="000C28AA"/>
    <w:rsid w:val="000C2BE1"/>
    <w:rsid w:val="000C2F8C"/>
    <w:rsid w:val="000C316A"/>
    <w:rsid w:val="000C3F05"/>
    <w:rsid w:val="000C40D8"/>
    <w:rsid w:val="000C47DF"/>
    <w:rsid w:val="000C4A28"/>
    <w:rsid w:val="000C4E8D"/>
    <w:rsid w:val="000C5CBB"/>
    <w:rsid w:val="000C6141"/>
    <w:rsid w:val="000C6253"/>
    <w:rsid w:val="000C6A60"/>
    <w:rsid w:val="000D1D47"/>
    <w:rsid w:val="000D2391"/>
    <w:rsid w:val="000D28A1"/>
    <w:rsid w:val="000D57F9"/>
    <w:rsid w:val="000D61DA"/>
    <w:rsid w:val="000E1752"/>
    <w:rsid w:val="000E2839"/>
    <w:rsid w:val="000E32FC"/>
    <w:rsid w:val="000E3A4F"/>
    <w:rsid w:val="000E3DD1"/>
    <w:rsid w:val="000E499F"/>
    <w:rsid w:val="000E5247"/>
    <w:rsid w:val="000E59B5"/>
    <w:rsid w:val="000E61B8"/>
    <w:rsid w:val="000F11D5"/>
    <w:rsid w:val="000F6608"/>
    <w:rsid w:val="000F772C"/>
    <w:rsid w:val="0010236F"/>
    <w:rsid w:val="00102F81"/>
    <w:rsid w:val="0010468B"/>
    <w:rsid w:val="0010492F"/>
    <w:rsid w:val="0010570A"/>
    <w:rsid w:val="0010574C"/>
    <w:rsid w:val="001079A0"/>
    <w:rsid w:val="00107B99"/>
    <w:rsid w:val="0011198B"/>
    <w:rsid w:val="0011226B"/>
    <w:rsid w:val="00113278"/>
    <w:rsid w:val="00113E31"/>
    <w:rsid w:val="00114F08"/>
    <w:rsid w:val="001176F2"/>
    <w:rsid w:val="001177D2"/>
    <w:rsid w:val="00120C1B"/>
    <w:rsid w:val="00120E1B"/>
    <w:rsid w:val="00122029"/>
    <w:rsid w:val="001226CC"/>
    <w:rsid w:val="00122BCD"/>
    <w:rsid w:val="00123C65"/>
    <w:rsid w:val="001243B2"/>
    <w:rsid w:val="001263E5"/>
    <w:rsid w:val="00126DAF"/>
    <w:rsid w:val="001270E6"/>
    <w:rsid w:val="00127365"/>
    <w:rsid w:val="00127415"/>
    <w:rsid w:val="001279E0"/>
    <w:rsid w:val="00131493"/>
    <w:rsid w:val="0013187B"/>
    <w:rsid w:val="0013333F"/>
    <w:rsid w:val="0013335E"/>
    <w:rsid w:val="00133BCC"/>
    <w:rsid w:val="00133D59"/>
    <w:rsid w:val="00134891"/>
    <w:rsid w:val="00134986"/>
    <w:rsid w:val="0013519B"/>
    <w:rsid w:val="00135608"/>
    <w:rsid w:val="00137578"/>
    <w:rsid w:val="0013780E"/>
    <w:rsid w:val="00141B12"/>
    <w:rsid w:val="00142A3E"/>
    <w:rsid w:val="00143213"/>
    <w:rsid w:val="00144DA1"/>
    <w:rsid w:val="00144E83"/>
    <w:rsid w:val="00144F45"/>
    <w:rsid w:val="00145516"/>
    <w:rsid w:val="00145E9B"/>
    <w:rsid w:val="001477E3"/>
    <w:rsid w:val="00150889"/>
    <w:rsid w:val="00151EF9"/>
    <w:rsid w:val="00152690"/>
    <w:rsid w:val="001537C7"/>
    <w:rsid w:val="00155827"/>
    <w:rsid w:val="00157BB9"/>
    <w:rsid w:val="00160C54"/>
    <w:rsid w:val="00161514"/>
    <w:rsid w:val="00162A11"/>
    <w:rsid w:val="00164930"/>
    <w:rsid w:val="00166776"/>
    <w:rsid w:val="00166C0B"/>
    <w:rsid w:val="00166EC5"/>
    <w:rsid w:val="00167400"/>
    <w:rsid w:val="00171A6D"/>
    <w:rsid w:val="00175485"/>
    <w:rsid w:val="00175A30"/>
    <w:rsid w:val="001778E0"/>
    <w:rsid w:val="0018036F"/>
    <w:rsid w:val="00180551"/>
    <w:rsid w:val="00180B0A"/>
    <w:rsid w:val="001817B6"/>
    <w:rsid w:val="00183050"/>
    <w:rsid w:val="00184329"/>
    <w:rsid w:val="00184440"/>
    <w:rsid w:val="0018501D"/>
    <w:rsid w:val="00185B07"/>
    <w:rsid w:val="001874BA"/>
    <w:rsid w:val="001875E4"/>
    <w:rsid w:val="00191BA8"/>
    <w:rsid w:val="00192778"/>
    <w:rsid w:val="00192AD4"/>
    <w:rsid w:val="00192BC0"/>
    <w:rsid w:val="001936CF"/>
    <w:rsid w:val="00195560"/>
    <w:rsid w:val="001956A6"/>
    <w:rsid w:val="001958ED"/>
    <w:rsid w:val="001966DB"/>
    <w:rsid w:val="001A055F"/>
    <w:rsid w:val="001A08A6"/>
    <w:rsid w:val="001A0D0E"/>
    <w:rsid w:val="001A187F"/>
    <w:rsid w:val="001A4282"/>
    <w:rsid w:val="001A6850"/>
    <w:rsid w:val="001A6968"/>
    <w:rsid w:val="001A7937"/>
    <w:rsid w:val="001B0316"/>
    <w:rsid w:val="001B0D8B"/>
    <w:rsid w:val="001B169D"/>
    <w:rsid w:val="001B1B3B"/>
    <w:rsid w:val="001B2EB9"/>
    <w:rsid w:val="001B328B"/>
    <w:rsid w:val="001B3430"/>
    <w:rsid w:val="001B46F0"/>
    <w:rsid w:val="001B4B36"/>
    <w:rsid w:val="001B7A0C"/>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18CD"/>
    <w:rsid w:val="001E1E8D"/>
    <w:rsid w:val="001E245B"/>
    <w:rsid w:val="001E2E0B"/>
    <w:rsid w:val="001E368F"/>
    <w:rsid w:val="001E42E3"/>
    <w:rsid w:val="001E50FE"/>
    <w:rsid w:val="001E63B2"/>
    <w:rsid w:val="001E668D"/>
    <w:rsid w:val="001E725D"/>
    <w:rsid w:val="001F12CC"/>
    <w:rsid w:val="001F12D0"/>
    <w:rsid w:val="001F27D5"/>
    <w:rsid w:val="001F2848"/>
    <w:rsid w:val="001F3D60"/>
    <w:rsid w:val="002013BC"/>
    <w:rsid w:val="00201499"/>
    <w:rsid w:val="00202642"/>
    <w:rsid w:val="0020453E"/>
    <w:rsid w:val="00206189"/>
    <w:rsid w:val="002071DE"/>
    <w:rsid w:val="0020752C"/>
    <w:rsid w:val="00207855"/>
    <w:rsid w:val="00210EDE"/>
    <w:rsid w:val="002115B9"/>
    <w:rsid w:val="00211C44"/>
    <w:rsid w:val="00214F70"/>
    <w:rsid w:val="002153F4"/>
    <w:rsid w:val="00221398"/>
    <w:rsid w:val="00221F61"/>
    <w:rsid w:val="00222D77"/>
    <w:rsid w:val="0022310A"/>
    <w:rsid w:val="00223C3D"/>
    <w:rsid w:val="00224236"/>
    <w:rsid w:val="0022426D"/>
    <w:rsid w:val="00225A6F"/>
    <w:rsid w:val="002271A6"/>
    <w:rsid w:val="00231FEA"/>
    <w:rsid w:val="00232AF4"/>
    <w:rsid w:val="00235609"/>
    <w:rsid w:val="0023629C"/>
    <w:rsid w:val="002369B5"/>
    <w:rsid w:val="00236E54"/>
    <w:rsid w:val="00237767"/>
    <w:rsid w:val="0024027D"/>
    <w:rsid w:val="002432D5"/>
    <w:rsid w:val="002445C9"/>
    <w:rsid w:val="002447FF"/>
    <w:rsid w:val="002473F3"/>
    <w:rsid w:val="00247B35"/>
    <w:rsid w:val="00250488"/>
    <w:rsid w:val="00250CDC"/>
    <w:rsid w:val="00251109"/>
    <w:rsid w:val="002519E4"/>
    <w:rsid w:val="002549CB"/>
    <w:rsid w:val="00255C96"/>
    <w:rsid w:val="0025656D"/>
    <w:rsid w:val="002568AE"/>
    <w:rsid w:val="00256943"/>
    <w:rsid w:val="00260344"/>
    <w:rsid w:val="002603A2"/>
    <w:rsid w:val="0026056E"/>
    <w:rsid w:val="002651CE"/>
    <w:rsid w:val="002651FC"/>
    <w:rsid w:val="002657D2"/>
    <w:rsid w:val="00265D6E"/>
    <w:rsid w:val="0027083D"/>
    <w:rsid w:val="002724B2"/>
    <w:rsid w:val="00272F7A"/>
    <w:rsid w:val="00274129"/>
    <w:rsid w:val="00275745"/>
    <w:rsid w:val="00276B58"/>
    <w:rsid w:val="00276F17"/>
    <w:rsid w:val="00277123"/>
    <w:rsid w:val="00277803"/>
    <w:rsid w:val="00277D7B"/>
    <w:rsid w:val="002829AE"/>
    <w:rsid w:val="00283809"/>
    <w:rsid w:val="00283DA8"/>
    <w:rsid w:val="002850F6"/>
    <w:rsid w:val="002865D8"/>
    <w:rsid w:val="00286BEB"/>
    <w:rsid w:val="00286FF0"/>
    <w:rsid w:val="002913D6"/>
    <w:rsid w:val="0029315F"/>
    <w:rsid w:val="00295A08"/>
    <w:rsid w:val="00295F17"/>
    <w:rsid w:val="0029615B"/>
    <w:rsid w:val="00296BC8"/>
    <w:rsid w:val="002A0F43"/>
    <w:rsid w:val="002A3E39"/>
    <w:rsid w:val="002A71BA"/>
    <w:rsid w:val="002B0B2E"/>
    <w:rsid w:val="002B12A2"/>
    <w:rsid w:val="002B2CFB"/>
    <w:rsid w:val="002B416C"/>
    <w:rsid w:val="002B4973"/>
    <w:rsid w:val="002B4F32"/>
    <w:rsid w:val="002B53A9"/>
    <w:rsid w:val="002B5784"/>
    <w:rsid w:val="002B5B0F"/>
    <w:rsid w:val="002B6C3E"/>
    <w:rsid w:val="002B6DE4"/>
    <w:rsid w:val="002B793E"/>
    <w:rsid w:val="002C18CF"/>
    <w:rsid w:val="002C1EA8"/>
    <w:rsid w:val="002C2012"/>
    <w:rsid w:val="002C2A6A"/>
    <w:rsid w:val="002C3098"/>
    <w:rsid w:val="002C3793"/>
    <w:rsid w:val="002C3B30"/>
    <w:rsid w:val="002C47F7"/>
    <w:rsid w:val="002C6FBD"/>
    <w:rsid w:val="002D1156"/>
    <w:rsid w:val="002D1DC8"/>
    <w:rsid w:val="002D2568"/>
    <w:rsid w:val="002D2E57"/>
    <w:rsid w:val="002D2E81"/>
    <w:rsid w:val="002D3E52"/>
    <w:rsid w:val="002D42B5"/>
    <w:rsid w:val="002D5B07"/>
    <w:rsid w:val="002E0926"/>
    <w:rsid w:val="002E19C1"/>
    <w:rsid w:val="002E238A"/>
    <w:rsid w:val="002E2653"/>
    <w:rsid w:val="002E2C74"/>
    <w:rsid w:val="002E5202"/>
    <w:rsid w:val="002E5A98"/>
    <w:rsid w:val="002E5D9D"/>
    <w:rsid w:val="002F0D6B"/>
    <w:rsid w:val="002F165D"/>
    <w:rsid w:val="002F23F3"/>
    <w:rsid w:val="002F4DDF"/>
    <w:rsid w:val="002F5FE3"/>
    <w:rsid w:val="00301E4B"/>
    <w:rsid w:val="00302957"/>
    <w:rsid w:val="00310559"/>
    <w:rsid w:val="003114A8"/>
    <w:rsid w:val="00311B08"/>
    <w:rsid w:val="00311F90"/>
    <w:rsid w:val="0031259D"/>
    <w:rsid w:val="00314652"/>
    <w:rsid w:val="00314C71"/>
    <w:rsid w:val="003217C7"/>
    <w:rsid w:val="00322404"/>
    <w:rsid w:val="00322B15"/>
    <w:rsid w:val="00324548"/>
    <w:rsid w:val="00325155"/>
    <w:rsid w:val="00330617"/>
    <w:rsid w:val="0033169F"/>
    <w:rsid w:val="00331703"/>
    <w:rsid w:val="0033232F"/>
    <w:rsid w:val="0033240C"/>
    <w:rsid w:val="00332735"/>
    <w:rsid w:val="00334AE3"/>
    <w:rsid w:val="003369D2"/>
    <w:rsid w:val="00341491"/>
    <w:rsid w:val="0034279D"/>
    <w:rsid w:val="00342DE4"/>
    <w:rsid w:val="003432E5"/>
    <w:rsid w:val="003437A5"/>
    <w:rsid w:val="00343E27"/>
    <w:rsid w:val="003460AC"/>
    <w:rsid w:val="0034735F"/>
    <w:rsid w:val="00351A36"/>
    <w:rsid w:val="00351D5A"/>
    <w:rsid w:val="0035202C"/>
    <w:rsid w:val="00352EB0"/>
    <w:rsid w:val="00353D4C"/>
    <w:rsid w:val="003559FC"/>
    <w:rsid w:val="0036044A"/>
    <w:rsid w:val="00362A23"/>
    <w:rsid w:val="003630D9"/>
    <w:rsid w:val="00363D96"/>
    <w:rsid w:val="003645BA"/>
    <w:rsid w:val="003652E1"/>
    <w:rsid w:val="00370000"/>
    <w:rsid w:val="00371085"/>
    <w:rsid w:val="00371F2D"/>
    <w:rsid w:val="003754A9"/>
    <w:rsid w:val="0037588F"/>
    <w:rsid w:val="00375BE5"/>
    <w:rsid w:val="0037765F"/>
    <w:rsid w:val="00377A44"/>
    <w:rsid w:val="0038034B"/>
    <w:rsid w:val="00383895"/>
    <w:rsid w:val="003839EB"/>
    <w:rsid w:val="00384174"/>
    <w:rsid w:val="003849B5"/>
    <w:rsid w:val="00384A3F"/>
    <w:rsid w:val="00385798"/>
    <w:rsid w:val="0038622C"/>
    <w:rsid w:val="00387493"/>
    <w:rsid w:val="003901B5"/>
    <w:rsid w:val="00390B07"/>
    <w:rsid w:val="00390B6F"/>
    <w:rsid w:val="00390B83"/>
    <w:rsid w:val="00391337"/>
    <w:rsid w:val="00392F19"/>
    <w:rsid w:val="0039487E"/>
    <w:rsid w:val="00394FF4"/>
    <w:rsid w:val="00396C2E"/>
    <w:rsid w:val="00397AEA"/>
    <w:rsid w:val="003A070F"/>
    <w:rsid w:val="003A0B4F"/>
    <w:rsid w:val="003A1088"/>
    <w:rsid w:val="003A11DD"/>
    <w:rsid w:val="003A1B79"/>
    <w:rsid w:val="003A3E6A"/>
    <w:rsid w:val="003A5407"/>
    <w:rsid w:val="003A6145"/>
    <w:rsid w:val="003B0302"/>
    <w:rsid w:val="003B50C1"/>
    <w:rsid w:val="003B653B"/>
    <w:rsid w:val="003B673F"/>
    <w:rsid w:val="003C0FD1"/>
    <w:rsid w:val="003C1792"/>
    <w:rsid w:val="003C1D14"/>
    <w:rsid w:val="003C2AAC"/>
    <w:rsid w:val="003C5BA8"/>
    <w:rsid w:val="003C5E80"/>
    <w:rsid w:val="003C62FA"/>
    <w:rsid w:val="003C6B53"/>
    <w:rsid w:val="003C79D7"/>
    <w:rsid w:val="003D0F2F"/>
    <w:rsid w:val="003D10F6"/>
    <w:rsid w:val="003D162D"/>
    <w:rsid w:val="003D2221"/>
    <w:rsid w:val="003D2270"/>
    <w:rsid w:val="003D381B"/>
    <w:rsid w:val="003D3CB9"/>
    <w:rsid w:val="003D452A"/>
    <w:rsid w:val="003D4A5A"/>
    <w:rsid w:val="003D58AF"/>
    <w:rsid w:val="003E08E3"/>
    <w:rsid w:val="003E0E6D"/>
    <w:rsid w:val="003E2D97"/>
    <w:rsid w:val="003E2EEB"/>
    <w:rsid w:val="003E40AB"/>
    <w:rsid w:val="003E4BB8"/>
    <w:rsid w:val="003E4F33"/>
    <w:rsid w:val="003E64BE"/>
    <w:rsid w:val="003F0FBB"/>
    <w:rsid w:val="003F20BF"/>
    <w:rsid w:val="003F2168"/>
    <w:rsid w:val="003F2C63"/>
    <w:rsid w:val="003F3754"/>
    <w:rsid w:val="003F545F"/>
    <w:rsid w:val="003F6300"/>
    <w:rsid w:val="003F65D2"/>
    <w:rsid w:val="003F6602"/>
    <w:rsid w:val="003F6ABD"/>
    <w:rsid w:val="003F6B55"/>
    <w:rsid w:val="003F7C09"/>
    <w:rsid w:val="00401B87"/>
    <w:rsid w:val="004020B1"/>
    <w:rsid w:val="00403035"/>
    <w:rsid w:val="00403E7D"/>
    <w:rsid w:val="00404930"/>
    <w:rsid w:val="0040668E"/>
    <w:rsid w:val="00406FCA"/>
    <w:rsid w:val="004071E3"/>
    <w:rsid w:val="00407E39"/>
    <w:rsid w:val="00411662"/>
    <w:rsid w:val="00411C78"/>
    <w:rsid w:val="0041214C"/>
    <w:rsid w:val="0041266F"/>
    <w:rsid w:val="00413F48"/>
    <w:rsid w:val="00415991"/>
    <w:rsid w:val="00415BB1"/>
    <w:rsid w:val="00420FD1"/>
    <w:rsid w:val="004216D1"/>
    <w:rsid w:val="004223AA"/>
    <w:rsid w:val="004229D6"/>
    <w:rsid w:val="00424ED8"/>
    <w:rsid w:val="00426058"/>
    <w:rsid w:val="004304E9"/>
    <w:rsid w:val="0043333C"/>
    <w:rsid w:val="00433DE6"/>
    <w:rsid w:val="00435A00"/>
    <w:rsid w:val="00435DE6"/>
    <w:rsid w:val="00436566"/>
    <w:rsid w:val="0043670A"/>
    <w:rsid w:val="00437668"/>
    <w:rsid w:val="00437D08"/>
    <w:rsid w:val="004403D1"/>
    <w:rsid w:val="0044073C"/>
    <w:rsid w:val="00440BF4"/>
    <w:rsid w:val="00441968"/>
    <w:rsid w:val="0044212F"/>
    <w:rsid w:val="0044235B"/>
    <w:rsid w:val="00442598"/>
    <w:rsid w:val="00443359"/>
    <w:rsid w:val="00445762"/>
    <w:rsid w:val="004505E6"/>
    <w:rsid w:val="0045315D"/>
    <w:rsid w:val="00454071"/>
    <w:rsid w:val="00454D74"/>
    <w:rsid w:val="00455BA3"/>
    <w:rsid w:val="00460E3C"/>
    <w:rsid w:val="00463588"/>
    <w:rsid w:val="00464F46"/>
    <w:rsid w:val="00466725"/>
    <w:rsid w:val="004677F1"/>
    <w:rsid w:val="004679AC"/>
    <w:rsid w:val="004717F5"/>
    <w:rsid w:val="004719C8"/>
    <w:rsid w:val="00472D5A"/>
    <w:rsid w:val="00475889"/>
    <w:rsid w:val="00475A2B"/>
    <w:rsid w:val="00475B4C"/>
    <w:rsid w:val="004766C1"/>
    <w:rsid w:val="00476A0A"/>
    <w:rsid w:val="00477626"/>
    <w:rsid w:val="00483103"/>
    <w:rsid w:val="004859B5"/>
    <w:rsid w:val="004859D2"/>
    <w:rsid w:val="0048601C"/>
    <w:rsid w:val="004908B8"/>
    <w:rsid w:val="00491989"/>
    <w:rsid w:val="00491D6D"/>
    <w:rsid w:val="00492527"/>
    <w:rsid w:val="00495C09"/>
    <w:rsid w:val="00495D2A"/>
    <w:rsid w:val="00496560"/>
    <w:rsid w:val="004A1D9E"/>
    <w:rsid w:val="004A47EA"/>
    <w:rsid w:val="004A4E28"/>
    <w:rsid w:val="004A5290"/>
    <w:rsid w:val="004A5C64"/>
    <w:rsid w:val="004A5CF5"/>
    <w:rsid w:val="004A67E3"/>
    <w:rsid w:val="004B34DB"/>
    <w:rsid w:val="004B3BFB"/>
    <w:rsid w:val="004B4D87"/>
    <w:rsid w:val="004B7129"/>
    <w:rsid w:val="004B7C4D"/>
    <w:rsid w:val="004C0243"/>
    <w:rsid w:val="004C1617"/>
    <w:rsid w:val="004C37F4"/>
    <w:rsid w:val="004C39F9"/>
    <w:rsid w:val="004C5A60"/>
    <w:rsid w:val="004C63AA"/>
    <w:rsid w:val="004C66B5"/>
    <w:rsid w:val="004D0AEF"/>
    <w:rsid w:val="004D0B38"/>
    <w:rsid w:val="004D2033"/>
    <w:rsid w:val="004D3CC6"/>
    <w:rsid w:val="004D41B4"/>
    <w:rsid w:val="004D43E0"/>
    <w:rsid w:val="004D7544"/>
    <w:rsid w:val="004E0FEF"/>
    <w:rsid w:val="004E1C0D"/>
    <w:rsid w:val="004E226E"/>
    <w:rsid w:val="004E22C0"/>
    <w:rsid w:val="004E4187"/>
    <w:rsid w:val="004E4F7E"/>
    <w:rsid w:val="004E524D"/>
    <w:rsid w:val="004E529D"/>
    <w:rsid w:val="004E7E3C"/>
    <w:rsid w:val="004F11BE"/>
    <w:rsid w:val="004F1432"/>
    <w:rsid w:val="004F31E6"/>
    <w:rsid w:val="004F34CE"/>
    <w:rsid w:val="004F5AB0"/>
    <w:rsid w:val="004F6C8D"/>
    <w:rsid w:val="004F7A39"/>
    <w:rsid w:val="004F7B4B"/>
    <w:rsid w:val="00501AB5"/>
    <w:rsid w:val="0050213F"/>
    <w:rsid w:val="005034C5"/>
    <w:rsid w:val="00504FA2"/>
    <w:rsid w:val="005070F5"/>
    <w:rsid w:val="0051007D"/>
    <w:rsid w:val="0051260E"/>
    <w:rsid w:val="0051477A"/>
    <w:rsid w:val="005156FC"/>
    <w:rsid w:val="00520342"/>
    <w:rsid w:val="005203BE"/>
    <w:rsid w:val="00520F2D"/>
    <w:rsid w:val="005240A8"/>
    <w:rsid w:val="005241FD"/>
    <w:rsid w:val="005248AD"/>
    <w:rsid w:val="005249B6"/>
    <w:rsid w:val="00525EEF"/>
    <w:rsid w:val="005266DD"/>
    <w:rsid w:val="0053018A"/>
    <w:rsid w:val="005318F0"/>
    <w:rsid w:val="005321BA"/>
    <w:rsid w:val="00532B5A"/>
    <w:rsid w:val="00532F8A"/>
    <w:rsid w:val="005355DD"/>
    <w:rsid w:val="00535F5E"/>
    <w:rsid w:val="00535FF9"/>
    <w:rsid w:val="0053669E"/>
    <w:rsid w:val="00536FDE"/>
    <w:rsid w:val="00537227"/>
    <w:rsid w:val="00537631"/>
    <w:rsid w:val="00540283"/>
    <w:rsid w:val="00541806"/>
    <w:rsid w:val="005447CE"/>
    <w:rsid w:val="005449AD"/>
    <w:rsid w:val="00544FAF"/>
    <w:rsid w:val="00546340"/>
    <w:rsid w:val="00547958"/>
    <w:rsid w:val="00547D05"/>
    <w:rsid w:val="0055078D"/>
    <w:rsid w:val="00551B2C"/>
    <w:rsid w:val="00551C73"/>
    <w:rsid w:val="0055254A"/>
    <w:rsid w:val="0055289B"/>
    <w:rsid w:val="005543D3"/>
    <w:rsid w:val="00555515"/>
    <w:rsid w:val="005568EC"/>
    <w:rsid w:val="00556D78"/>
    <w:rsid w:val="00556FD0"/>
    <w:rsid w:val="00557B6A"/>
    <w:rsid w:val="00557EC0"/>
    <w:rsid w:val="00560892"/>
    <w:rsid w:val="00560C8E"/>
    <w:rsid w:val="00560D6C"/>
    <w:rsid w:val="00562B96"/>
    <w:rsid w:val="00562CD4"/>
    <w:rsid w:val="0056340C"/>
    <w:rsid w:val="00563C48"/>
    <w:rsid w:val="00563CAD"/>
    <w:rsid w:val="00564D4A"/>
    <w:rsid w:val="005655E5"/>
    <w:rsid w:val="005672D4"/>
    <w:rsid w:val="00567E03"/>
    <w:rsid w:val="0057405D"/>
    <w:rsid w:val="005740FF"/>
    <w:rsid w:val="005743A4"/>
    <w:rsid w:val="00574D22"/>
    <w:rsid w:val="00575033"/>
    <w:rsid w:val="00576BF8"/>
    <w:rsid w:val="00576DF6"/>
    <w:rsid w:val="00576FBA"/>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5535"/>
    <w:rsid w:val="005958F3"/>
    <w:rsid w:val="00595AF8"/>
    <w:rsid w:val="00595C46"/>
    <w:rsid w:val="00596EEF"/>
    <w:rsid w:val="00597F58"/>
    <w:rsid w:val="005A0301"/>
    <w:rsid w:val="005A0582"/>
    <w:rsid w:val="005A09C7"/>
    <w:rsid w:val="005A1EBE"/>
    <w:rsid w:val="005A205D"/>
    <w:rsid w:val="005A45BE"/>
    <w:rsid w:val="005A5A85"/>
    <w:rsid w:val="005A695D"/>
    <w:rsid w:val="005B00D8"/>
    <w:rsid w:val="005B0AC2"/>
    <w:rsid w:val="005B2DD5"/>
    <w:rsid w:val="005B3C59"/>
    <w:rsid w:val="005B664B"/>
    <w:rsid w:val="005B7485"/>
    <w:rsid w:val="005C131A"/>
    <w:rsid w:val="005C2B80"/>
    <w:rsid w:val="005C6D03"/>
    <w:rsid w:val="005D02EC"/>
    <w:rsid w:val="005D0E58"/>
    <w:rsid w:val="005D24A2"/>
    <w:rsid w:val="005D2C27"/>
    <w:rsid w:val="005D356A"/>
    <w:rsid w:val="005D46DE"/>
    <w:rsid w:val="005D5392"/>
    <w:rsid w:val="005E0C6D"/>
    <w:rsid w:val="005E1E51"/>
    <w:rsid w:val="005E3223"/>
    <w:rsid w:val="005E36B7"/>
    <w:rsid w:val="005E571E"/>
    <w:rsid w:val="005E7A88"/>
    <w:rsid w:val="005E7BA1"/>
    <w:rsid w:val="005F0AAA"/>
    <w:rsid w:val="005F107C"/>
    <w:rsid w:val="005F118A"/>
    <w:rsid w:val="005F18E1"/>
    <w:rsid w:val="005F4C36"/>
    <w:rsid w:val="005F7B96"/>
    <w:rsid w:val="00601723"/>
    <w:rsid w:val="00601B10"/>
    <w:rsid w:val="006023ED"/>
    <w:rsid w:val="00604027"/>
    <w:rsid w:val="0060584D"/>
    <w:rsid w:val="0060598B"/>
    <w:rsid w:val="00605B86"/>
    <w:rsid w:val="006074F1"/>
    <w:rsid w:val="00607E9F"/>
    <w:rsid w:val="00610129"/>
    <w:rsid w:val="00612459"/>
    <w:rsid w:val="006142B7"/>
    <w:rsid w:val="006148AA"/>
    <w:rsid w:val="00616959"/>
    <w:rsid w:val="00616A1E"/>
    <w:rsid w:val="00616D26"/>
    <w:rsid w:val="006178CF"/>
    <w:rsid w:val="006200A6"/>
    <w:rsid w:val="0062062C"/>
    <w:rsid w:val="006213CD"/>
    <w:rsid w:val="006230AA"/>
    <w:rsid w:val="00623792"/>
    <w:rsid w:val="00624A0C"/>
    <w:rsid w:val="006251FA"/>
    <w:rsid w:val="006259C8"/>
    <w:rsid w:val="00626079"/>
    <w:rsid w:val="00626D69"/>
    <w:rsid w:val="006272B2"/>
    <w:rsid w:val="00631AF8"/>
    <w:rsid w:val="00633921"/>
    <w:rsid w:val="00633D49"/>
    <w:rsid w:val="00633DF1"/>
    <w:rsid w:val="00634659"/>
    <w:rsid w:val="00635E74"/>
    <w:rsid w:val="00636D4A"/>
    <w:rsid w:val="00636DA1"/>
    <w:rsid w:val="00641FD0"/>
    <w:rsid w:val="00642B20"/>
    <w:rsid w:val="00643D01"/>
    <w:rsid w:val="006473F1"/>
    <w:rsid w:val="006479C6"/>
    <w:rsid w:val="006501BA"/>
    <w:rsid w:val="006511F9"/>
    <w:rsid w:val="00652007"/>
    <w:rsid w:val="00652689"/>
    <w:rsid w:val="00652DAF"/>
    <w:rsid w:val="006540BA"/>
    <w:rsid w:val="00654E6F"/>
    <w:rsid w:val="006553B9"/>
    <w:rsid w:val="006553BB"/>
    <w:rsid w:val="006559AE"/>
    <w:rsid w:val="00657E68"/>
    <w:rsid w:val="00657FD3"/>
    <w:rsid w:val="006609D9"/>
    <w:rsid w:val="00660E8C"/>
    <w:rsid w:val="00661173"/>
    <w:rsid w:val="006618DB"/>
    <w:rsid w:val="00662E46"/>
    <w:rsid w:val="0066357D"/>
    <w:rsid w:val="00664A5D"/>
    <w:rsid w:val="00665952"/>
    <w:rsid w:val="00667C42"/>
    <w:rsid w:val="006726F5"/>
    <w:rsid w:val="00673DE6"/>
    <w:rsid w:val="00676E27"/>
    <w:rsid w:val="0067746F"/>
    <w:rsid w:val="006807B6"/>
    <w:rsid w:val="00681F80"/>
    <w:rsid w:val="00683867"/>
    <w:rsid w:val="0068397D"/>
    <w:rsid w:val="00684764"/>
    <w:rsid w:val="006859B0"/>
    <w:rsid w:val="006875EE"/>
    <w:rsid w:val="006903C2"/>
    <w:rsid w:val="006946DC"/>
    <w:rsid w:val="006949C0"/>
    <w:rsid w:val="00694B71"/>
    <w:rsid w:val="00696961"/>
    <w:rsid w:val="00696F01"/>
    <w:rsid w:val="006971B1"/>
    <w:rsid w:val="00697479"/>
    <w:rsid w:val="00697649"/>
    <w:rsid w:val="006A08C3"/>
    <w:rsid w:val="006A1D36"/>
    <w:rsid w:val="006A20FF"/>
    <w:rsid w:val="006A3FF3"/>
    <w:rsid w:val="006A4068"/>
    <w:rsid w:val="006A4718"/>
    <w:rsid w:val="006A4C8B"/>
    <w:rsid w:val="006A4D25"/>
    <w:rsid w:val="006B20CF"/>
    <w:rsid w:val="006B2FEE"/>
    <w:rsid w:val="006B3ED5"/>
    <w:rsid w:val="006B3F49"/>
    <w:rsid w:val="006B5659"/>
    <w:rsid w:val="006B631F"/>
    <w:rsid w:val="006B685E"/>
    <w:rsid w:val="006B7868"/>
    <w:rsid w:val="006B7BB4"/>
    <w:rsid w:val="006B7FDA"/>
    <w:rsid w:val="006C04F2"/>
    <w:rsid w:val="006C0A49"/>
    <w:rsid w:val="006C1F37"/>
    <w:rsid w:val="006C22D4"/>
    <w:rsid w:val="006C2919"/>
    <w:rsid w:val="006C402B"/>
    <w:rsid w:val="006D0164"/>
    <w:rsid w:val="006D230B"/>
    <w:rsid w:val="006D2643"/>
    <w:rsid w:val="006D2CC7"/>
    <w:rsid w:val="006D2FF3"/>
    <w:rsid w:val="006D37A6"/>
    <w:rsid w:val="006D47AD"/>
    <w:rsid w:val="006D66F0"/>
    <w:rsid w:val="006D6D6D"/>
    <w:rsid w:val="006D79D5"/>
    <w:rsid w:val="006E0A8D"/>
    <w:rsid w:val="006E0E53"/>
    <w:rsid w:val="006E2976"/>
    <w:rsid w:val="006E3174"/>
    <w:rsid w:val="006E66DB"/>
    <w:rsid w:val="006E6F25"/>
    <w:rsid w:val="006E74E4"/>
    <w:rsid w:val="006F1912"/>
    <w:rsid w:val="006F1E4E"/>
    <w:rsid w:val="006F3209"/>
    <w:rsid w:val="006F40EE"/>
    <w:rsid w:val="006F49F0"/>
    <w:rsid w:val="006F5250"/>
    <w:rsid w:val="006F5EA8"/>
    <w:rsid w:val="006F60CB"/>
    <w:rsid w:val="006F6979"/>
    <w:rsid w:val="006F6A63"/>
    <w:rsid w:val="006F75BE"/>
    <w:rsid w:val="007008F8"/>
    <w:rsid w:val="0070110E"/>
    <w:rsid w:val="00701B04"/>
    <w:rsid w:val="007031BE"/>
    <w:rsid w:val="0070394E"/>
    <w:rsid w:val="00704074"/>
    <w:rsid w:val="0070551B"/>
    <w:rsid w:val="00705BBC"/>
    <w:rsid w:val="007064C5"/>
    <w:rsid w:val="007079E8"/>
    <w:rsid w:val="00710EE2"/>
    <w:rsid w:val="007116AC"/>
    <w:rsid w:val="00713432"/>
    <w:rsid w:val="00713611"/>
    <w:rsid w:val="00713E82"/>
    <w:rsid w:val="00713EE0"/>
    <w:rsid w:val="007156F2"/>
    <w:rsid w:val="007165A3"/>
    <w:rsid w:val="00717D29"/>
    <w:rsid w:val="007203CD"/>
    <w:rsid w:val="00720AA6"/>
    <w:rsid w:val="00720FA5"/>
    <w:rsid w:val="007229BD"/>
    <w:rsid w:val="00726FBF"/>
    <w:rsid w:val="0072785C"/>
    <w:rsid w:val="007307E1"/>
    <w:rsid w:val="0073083B"/>
    <w:rsid w:val="007329BC"/>
    <w:rsid w:val="007335F5"/>
    <w:rsid w:val="007336FC"/>
    <w:rsid w:val="00734710"/>
    <w:rsid w:val="00735E95"/>
    <w:rsid w:val="0074201F"/>
    <w:rsid w:val="0074280D"/>
    <w:rsid w:val="00746A9F"/>
    <w:rsid w:val="00747999"/>
    <w:rsid w:val="00747BE0"/>
    <w:rsid w:val="00747F5E"/>
    <w:rsid w:val="00750ABD"/>
    <w:rsid w:val="00750FA0"/>
    <w:rsid w:val="00752584"/>
    <w:rsid w:val="007527DD"/>
    <w:rsid w:val="00752975"/>
    <w:rsid w:val="00752B9C"/>
    <w:rsid w:val="0075355C"/>
    <w:rsid w:val="00754101"/>
    <w:rsid w:val="00755BF7"/>
    <w:rsid w:val="007561ED"/>
    <w:rsid w:val="007566AA"/>
    <w:rsid w:val="00756823"/>
    <w:rsid w:val="00756C63"/>
    <w:rsid w:val="00757CF3"/>
    <w:rsid w:val="007615C0"/>
    <w:rsid w:val="00761A55"/>
    <w:rsid w:val="00762147"/>
    <w:rsid w:val="00764408"/>
    <w:rsid w:val="007649D3"/>
    <w:rsid w:val="00764D56"/>
    <w:rsid w:val="00765AA1"/>
    <w:rsid w:val="00765BDF"/>
    <w:rsid w:val="007661CC"/>
    <w:rsid w:val="007665F9"/>
    <w:rsid w:val="00766BD6"/>
    <w:rsid w:val="00767CBD"/>
    <w:rsid w:val="00771386"/>
    <w:rsid w:val="00771E2C"/>
    <w:rsid w:val="00772822"/>
    <w:rsid w:val="00772A97"/>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4862"/>
    <w:rsid w:val="00795F59"/>
    <w:rsid w:val="0079641D"/>
    <w:rsid w:val="007A0078"/>
    <w:rsid w:val="007A03EF"/>
    <w:rsid w:val="007A1BB6"/>
    <w:rsid w:val="007A1E94"/>
    <w:rsid w:val="007A239A"/>
    <w:rsid w:val="007A2607"/>
    <w:rsid w:val="007A2F7C"/>
    <w:rsid w:val="007A3A68"/>
    <w:rsid w:val="007A3B85"/>
    <w:rsid w:val="007A442D"/>
    <w:rsid w:val="007A5DCD"/>
    <w:rsid w:val="007B0ACA"/>
    <w:rsid w:val="007B1112"/>
    <w:rsid w:val="007B197A"/>
    <w:rsid w:val="007B27AA"/>
    <w:rsid w:val="007B4569"/>
    <w:rsid w:val="007B528B"/>
    <w:rsid w:val="007B5CE1"/>
    <w:rsid w:val="007B78F7"/>
    <w:rsid w:val="007B7C9F"/>
    <w:rsid w:val="007C1BB3"/>
    <w:rsid w:val="007C21EC"/>
    <w:rsid w:val="007C2E52"/>
    <w:rsid w:val="007C4193"/>
    <w:rsid w:val="007C52F3"/>
    <w:rsid w:val="007C60AA"/>
    <w:rsid w:val="007C6CF7"/>
    <w:rsid w:val="007D0826"/>
    <w:rsid w:val="007D097F"/>
    <w:rsid w:val="007D09C9"/>
    <w:rsid w:val="007D0B9E"/>
    <w:rsid w:val="007D2EB0"/>
    <w:rsid w:val="007D40F1"/>
    <w:rsid w:val="007D4285"/>
    <w:rsid w:val="007D5A05"/>
    <w:rsid w:val="007D794D"/>
    <w:rsid w:val="007E0ED9"/>
    <w:rsid w:val="007E1706"/>
    <w:rsid w:val="007E18AA"/>
    <w:rsid w:val="007E2C83"/>
    <w:rsid w:val="007E3384"/>
    <w:rsid w:val="007E465A"/>
    <w:rsid w:val="007E6149"/>
    <w:rsid w:val="007E6435"/>
    <w:rsid w:val="007E6AA1"/>
    <w:rsid w:val="007E7156"/>
    <w:rsid w:val="007E7A59"/>
    <w:rsid w:val="007F19B8"/>
    <w:rsid w:val="007F2D4B"/>
    <w:rsid w:val="007F35DF"/>
    <w:rsid w:val="007F39E7"/>
    <w:rsid w:val="007F54D4"/>
    <w:rsid w:val="007F62E5"/>
    <w:rsid w:val="007F64DC"/>
    <w:rsid w:val="00801AC8"/>
    <w:rsid w:val="00801F46"/>
    <w:rsid w:val="008040A5"/>
    <w:rsid w:val="0080566E"/>
    <w:rsid w:val="00805A3B"/>
    <w:rsid w:val="00810F23"/>
    <w:rsid w:val="008131ED"/>
    <w:rsid w:val="008150FA"/>
    <w:rsid w:val="00817E76"/>
    <w:rsid w:val="00820C10"/>
    <w:rsid w:val="00821587"/>
    <w:rsid w:val="00823B38"/>
    <w:rsid w:val="00824877"/>
    <w:rsid w:val="00824E12"/>
    <w:rsid w:val="0082516A"/>
    <w:rsid w:val="00825E79"/>
    <w:rsid w:val="00827408"/>
    <w:rsid w:val="008306F5"/>
    <w:rsid w:val="00831080"/>
    <w:rsid w:val="008339D6"/>
    <w:rsid w:val="00833FA1"/>
    <w:rsid w:val="00834C6A"/>
    <w:rsid w:val="00835707"/>
    <w:rsid w:val="008359AB"/>
    <w:rsid w:val="008375E5"/>
    <w:rsid w:val="008401A3"/>
    <w:rsid w:val="0084090B"/>
    <w:rsid w:val="008414B6"/>
    <w:rsid w:val="0084202B"/>
    <w:rsid w:val="00842432"/>
    <w:rsid w:val="00843375"/>
    <w:rsid w:val="0084425D"/>
    <w:rsid w:val="008452FF"/>
    <w:rsid w:val="00845A5E"/>
    <w:rsid w:val="008471FD"/>
    <w:rsid w:val="008473B2"/>
    <w:rsid w:val="00847C1A"/>
    <w:rsid w:val="0085116B"/>
    <w:rsid w:val="00851981"/>
    <w:rsid w:val="00851C59"/>
    <w:rsid w:val="00852C3A"/>
    <w:rsid w:val="0085628F"/>
    <w:rsid w:val="00856433"/>
    <w:rsid w:val="008572EB"/>
    <w:rsid w:val="0085758D"/>
    <w:rsid w:val="00857B1F"/>
    <w:rsid w:val="00861DAE"/>
    <w:rsid w:val="00864047"/>
    <w:rsid w:val="008710B2"/>
    <w:rsid w:val="0087176F"/>
    <w:rsid w:val="00871C48"/>
    <w:rsid w:val="008725E7"/>
    <w:rsid w:val="008740F9"/>
    <w:rsid w:val="00874660"/>
    <w:rsid w:val="00874BAB"/>
    <w:rsid w:val="0087624E"/>
    <w:rsid w:val="00877D55"/>
    <w:rsid w:val="00881C98"/>
    <w:rsid w:val="00884585"/>
    <w:rsid w:val="00884593"/>
    <w:rsid w:val="00884710"/>
    <w:rsid w:val="00885866"/>
    <w:rsid w:val="00885E06"/>
    <w:rsid w:val="00887290"/>
    <w:rsid w:val="00887713"/>
    <w:rsid w:val="00887FFE"/>
    <w:rsid w:val="00890C67"/>
    <w:rsid w:val="00891299"/>
    <w:rsid w:val="0089154F"/>
    <w:rsid w:val="00892D09"/>
    <w:rsid w:val="00894B4C"/>
    <w:rsid w:val="00895433"/>
    <w:rsid w:val="008955F5"/>
    <w:rsid w:val="008976CA"/>
    <w:rsid w:val="008A09D6"/>
    <w:rsid w:val="008A1D76"/>
    <w:rsid w:val="008A2C4A"/>
    <w:rsid w:val="008A3A37"/>
    <w:rsid w:val="008A6458"/>
    <w:rsid w:val="008B0DAC"/>
    <w:rsid w:val="008B5E60"/>
    <w:rsid w:val="008C042C"/>
    <w:rsid w:val="008C0928"/>
    <w:rsid w:val="008C0B89"/>
    <w:rsid w:val="008C1177"/>
    <w:rsid w:val="008C3197"/>
    <w:rsid w:val="008C358E"/>
    <w:rsid w:val="008C47B7"/>
    <w:rsid w:val="008C6AC3"/>
    <w:rsid w:val="008C7772"/>
    <w:rsid w:val="008C7B65"/>
    <w:rsid w:val="008C7FCE"/>
    <w:rsid w:val="008D2976"/>
    <w:rsid w:val="008D2A03"/>
    <w:rsid w:val="008D2BC4"/>
    <w:rsid w:val="008D4684"/>
    <w:rsid w:val="008D5ADC"/>
    <w:rsid w:val="008D638B"/>
    <w:rsid w:val="008E01EB"/>
    <w:rsid w:val="008E092B"/>
    <w:rsid w:val="008E16C7"/>
    <w:rsid w:val="008E1707"/>
    <w:rsid w:val="008E1CB0"/>
    <w:rsid w:val="008E2C3B"/>
    <w:rsid w:val="008E3AD8"/>
    <w:rsid w:val="008E7345"/>
    <w:rsid w:val="008F18FF"/>
    <w:rsid w:val="008F26B2"/>
    <w:rsid w:val="008F33B6"/>
    <w:rsid w:val="008F483A"/>
    <w:rsid w:val="008F51FD"/>
    <w:rsid w:val="008F6B88"/>
    <w:rsid w:val="008F7089"/>
    <w:rsid w:val="008F76F3"/>
    <w:rsid w:val="008F77B6"/>
    <w:rsid w:val="008F78FD"/>
    <w:rsid w:val="00900CB8"/>
    <w:rsid w:val="00904085"/>
    <w:rsid w:val="009046AB"/>
    <w:rsid w:val="00906174"/>
    <w:rsid w:val="0090677B"/>
    <w:rsid w:val="00907707"/>
    <w:rsid w:val="00911C8E"/>
    <w:rsid w:val="0091227B"/>
    <w:rsid w:val="00912656"/>
    <w:rsid w:val="009136F1"/>
    <w:rsid w:val="009144E4"/>
    <w:rsid w:val="00916EB2"/>
    <w:rsid w:val="00917890"/>
    <w:rsid w:val="00917AEF"/>
    <w:rsid w:val="00920096"/>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AB1"/>
    <w:rsid w:val="009340D5"/>
    <w:rsid w:val="009359C2"/>
    <w:rsid w:val="00935A83"/>
    <w:rsid w:val="00942A72"/>
    <w:rsid w:val="00942BC8"/>
    <w:rsid w:val="009430F2"/>
    <w:rsid w:val="009434FC"/>
    <w:rsid w:val="00944136"/>
    <w:rsid w:val="00945BD0"/>
    <w:rsid w:val="00946FB5"/>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11AA"/>
    <w:rsid w:val="009622DB"/>
    <w:rsid w:val="0096439C"/>
    <w:rsid w:val="00964B73"/>
    <w:rsid w:val="00964F27"/>
    <w:rsid w:val="0096541E"/>
    <w:rsid w:val="009655FA"/>
    <w:rsid w:val="00965754"/>
    <w:rsid w:val="00965909"/>
    <w:rsid w:val="00965FB1"/>
    <w:rsid w:val="0096792C"/>
    <w:rsid w:val="00967AC3"/>
    <w:rsid w:val="00967CCB"/>
    <w:rsid w:val="009714BF"/>
    <w:rsid w:val="00972AA4"/>
    <w:rsid w:val="00972FAE"/>
    <w:rsid w:val="0097446E"/>
    <w:rsid w:val="009751B3"/>
    <w:rsid w:val="009757D4"/>
    <w:rsid w:val="00975810"/>
    <w:rsid w:val="00975AC9"/>
    <w:rsid w:val="00975E8C"/>
    <w:rsid w:val="00976153"/>
    <w:rsid w:val="009809AA"/>
    <w:rsid w:val="00982636"/>
    <w:rsid w:val="00982D54"/>
    <w:rsid w:val="00984A92"/>
    <w:rsid w:val="00985F6F"/>
    <w:rsid w:val="009861F5"/>
    <w:rsid w:val="00986409"/>
    <w:rsid w:val="00987001"/>
    <w:rsid w:val="009870E4"/>
    <w:rsid w:val="0098741B"/>
    <w:rsid w:val="009879D1"/>
    <w:rsid w:val="00987BD4"/>
    <w:rsid w:val="009913DA"/>
    <w:rsid w:val="00991F41"/>
    <w:rsid w:val="00992A57"/>
    <w:rsid w:val="0099570C"/>
    <w:rsid w:val="00995B1F"/>
    <w:rsid w:val="00997079"/>
    <w:rsid w:val="009A014B"/>
    <w:rsid w:val="009A1218"/>
    <w:rsid w:val="009A1525"/>
    <w:rsid w:val="009A1C27"/>
    <w:rsid w:val="009A31A4"/>
    <w:rsid w:val="009A4E00"/>
    <w:rsid w:val="009A722F"/>
    <w:rsid w:val="009A7E42"/>
    <w:rsid w:val="009A7F72"/>
    <w:rsid w:val="009B0A53"/>
    <w:rsid w:val="009B13A1"/>
    <w:rsid w:val="009B21FB"/>
    <w:rsid w:val="009B2AA9"/>
    <w:rsid w:val="009B2FA1"/>
    <w:rsid w:val="009B3961"/>
    <w:rsid w:val="009B3AA0"/>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A21"/>
    <w:rsid w:val="009D4FE1"/>
    <w:rsid w:val="009D548F"/>
    <w:rsid w:val="009D66FC"/>
    <w:rsid w:val="009E1AED"/>
    <w:rsid w:val="009E211F"/>
    <w:rsid w:val="009E412D"/>
    <w:rsid w:val="009E438F"/>
    <w:rsid w:val="009E4C07"/>
    <w:rsid w:val="009E5441"/>
    <w:rsid w:val="009E5455"/>
    <w:rsid w:val="009E5CE5"/>
    <w:rsid w:val="009E7654"/>
    <w:rsid w:val="009E765A"/>
    <w:rsid w:val="009F021E"/>
    <w:rsid w:val="009F090E"/>
    <w:rsid w:val="009F1674"/>
    <w:rsid w:val="009F5BF0"/>
    <w:rsid w:val="009F6804"/>
    <w:rsid w:val="00A005BD"/>
    <w:rsid w:val="00A01036"/>
    <w:rsid w:val="00A01B0D"/>
    <w:rsid w:val="00A03794"/>
    <w:rsid w:val="00A03F8D"/>
    <w:rsid w:val="00A0535C"/>
    <w:rsid w:val="00A056B9"/>
    <w:rsid w:val="00A06CC5"/>
    <w:rsid w:val="00A119D0"/>
    <w:rsid w:val="00A14CA7"/>
    <w:rsid w:val="00A14DC1"/>
    <w:rsid w:val="00A15C46"/>
    <w:rsid w:val="00A16E3E"/>
    <w:rsid w:val="00A226D4"/>
    <w:rsid w:val="00A22BBE"/>
    <w:rsid w:val="00A30965"/>
    <w:rsid w:val="00A30FE9"/>
    <w:rsid w:val="00A3169A"/>
    <w:rsid w:val="00A3190A"/>
    <w:rsid w:val="00A31CEC"/>
    <w:rsid w:val="00A31EDB"/>
    <w:rsid w:val="00A32214"/>
    <w:rsid w:val="00A328E5"/>
    <w:rsid w:val="00A32D14"/>
    <w:rsid w:val="00A352B8"/>
    <w:rsid w:val="00A35D9B"/>
    <w:rsid w:val="00A37B07"/>
    <w:rsid w:val="00A37F62"/>
    <w:rsid w:val="00A40DB0"/>
    <w:rsid w:val="00A42534"/>
    <w:rsid w:val="00A44294"/>
    <w:rsid w:val="00A45538"/>
    <w:rsid w:val="00A46487"/>
    <w:rsid w:val="00A4695D"/>
    <w:rsid w:val="00A47688"/>
    <w:rsid w:val="00A50077"/>
    <w:rsid w:val="00A53DDC"/>
    <w:rsid w:val="00A54C34"/>
    <w:rsid w:val="00A55F71"/>
    <w:rsid w:val="00A56217"/>
    <w:rsid w:val="00A56F0B"/>
    <w:rsid w:val="00A57BAD"/>
    <w:rsid w:val="00A57C6B"/>
    <w:rsid w:val="00A57F3F"/>
    <w:rsid w:val="00A603F5"/>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5E62"/>
    <w:rsid w:val="00A8647E"/>
    <w:rsid w:val="00A86C70"/>
    <w:rsid w:val="00A87514"/>
    <w:rsid w:val="00A902BE"/>
    <w:rsid w:val="00A90887"/>
    <w:rsid w:val="00A91751"/>
    <w:rsid w:val="00A94792"/>
    <w:rsid w:val="00AA005A"/>
    <w:rsid w:val="00AA0442"/>
    <w:rsid w:val="00AA0B1C"/>
    <w:rsid w:val="00AA1745"/>
    <w:rsid w:val="00AA4627"/>
    <w:rsid w:val="00AA4A66"/>
    <w:rsid w:val="00AA5299"/>
    <w:rsid w:val="00AA5457"/>
    <w:rsid w:val="00AA5959"/>
    <w:rsid w:val="00AB1109"/>
    <w:rsid w:val="00AB26E4"/>
    <w:rsid w:val="00AB2883"/>
    <w:rsid w:val="00AB4350"/>
    <w:rsid w:val="00AB50CE"/>
    <w:rsid w:val="00AB6837"/>
    <w:rsid w:val="00AB6988"/>
    <w:rsid w:val="00AC05A6"/>
    <w:rsid w:val="00AC3551"/>
    <w:rsid w:val="00AC4E81"/>
    <w:rsid w:val="00AC5539"/>
    <w:rsid w:val="00AC6B24"/>
    <w:rsid w:val="00AD43F1"/>
    <w:rsid w:val="00AD51CE"/>
    <w:rsid w:val="00AD63E7"/>
    <w:rsid w:val="00AE14C4"/>
    <w:rsid w:val="00AE1615"/>
    <w:rsid w:val="00AE2A13"/>
    <w:rsid w:val="00AE2D43"/>
    <w:rsid w:val="00AE56C7"/>
    <w:rsid w:val="00AE7233"/>
    <w:rsid w:val="00AE7B84"/>
    <w:rsid w:val="00AF0EFB"/>
    <w:rsid w:val="00AF1776"/>
    <w:rsid w:val="00AF19CC"/>
    <w:rsid w:val="00AF1A4D"/>
    <w:rsid w:val="00AF1E0A"/>
    <w:rsid w:val="00AF204C"/>
    <w:rsid w:val="00AF3977"/>
    <w:rsid w:val="00AF4636"/>
    <w:rsid w:val="00AF4EEC"/>
    <w:rsid w:val="00B0123F"/>
    <w:rsid w:val="00B02001"/>
    <w:rsid w:val="00B021C1"/>
    <w:rsid w:val="00B03DCB"/>
    <w:rsid w:val="00B1128E"/>
    <w:rsid w:val="00B11541"/>
    <w:rsid w:val="00B11660"/>
    <w:rsid w:val="00B12B01"/>
    <w:rsid w:val="00B13693"/>
    <w:rsid w:val="00B13BA9"/>
    <w:rsid w:val="00B157D4"/>
    <w:rsid w:val="00B205CF"/>
    <w:rsid w:val="00B23B63"/>
    <w:rsid w:val="00B24C4A"/>
    <w:rsid w:val="00B25B2F"/>
    <w:rsid w:val="00B25E55"/>
    <w:rsid w:val="00B264EA"/>
    <w:rsid w:val="00B26F16"/>
    <w:rsid w:val="00B30D64"/>
    <w:rsid w:val="00B31BE0"/>
    <w:rsid w:val="00B325C7"/>
    <w:rsid w:val="00B33407"/>
    <w:rsid w:val="00B35227"/>
    <w:rsid w:val="00B35949"/>
    <w:rsid w:val="00B35DC6"/>
    <w:rsid w:val="00B367A1"/>
    <w:rsid w:val="00B40162"/>
    <w:rsid w:val="00B4060B"/>
    <w:rsid w:val="00B407F6"/>
    <w:rsid w:val="00B41031"/>
    <w:rsid w:val="00B42058"/>
    <w:rsid w:val="00B42C6A"/>
    <w:rsid w:val="00B45720"/>
    <w:rsid w:val="00B459CD"/>
    <w:rsid w:val="00B46008"/>
    <w:rsid w:val="00B4721E"/>
    <w:rsid w:val="00B47BCB"/>
    <w:rsid w:val="00B50D0C"/>
    <w:rsid w:val="00B50FF1"/>
    <w:rsid w:val="00B523FB"/>
    <w:rsid w:val="00B526A4"/>
    <w:rsid w:val="00B52D67"/>
    <w:rsid w:val="00B5782F"/>
    <w:rsid w:val="00B579E2"/>
    <w:rsid w:val="00B60094"/>
    <w:rsid w:val="00B60D06"/>
    <w:rsid w:val="00B615D0"/>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25B7"/>
    <w:rsid w:val="00B83EA8"/>
    <w:rsid w:val="00B84664"/>
    <w:rsid w:val="00B84675"/>
    <w:rsid w:val="00B85DAC"/>
    <w:rsid w:val="00B94D31"/>
    <w:rsid w:val="00B95F9A"/>
    <w:rsid w:val="00B963F6"/>
    <w:rsid w:val="00B9672D"/>
    <w:rsid w:val="00BA029B"/>
    <w:rsid w:val="00BA0C86"/>
    <w:rsid w:val="00BA1E46"/>
    <w:rsid w:val="00BA1EC4"/>
    <w:rsid w:val="00BA2837"/>
    <w:rsid w:val="00BA3887"/>
    <w:rsid w:val="00BA4AED"/>
    <w:rsid w:val="00BA4EAE"/>
    <w:rsid w:val="00BA610E"/>
    <w:rsid w:val="00BA63E5"/>
    <w:rsid w:val="00BB0CA1"/>
    <w:rsid w:val="00BB0CEF"/>
    <w:rsid w:val="00BB0E46"/>
    <w:rsid w:val="00BB2347"/>
    <w:rsid w:val="00BB362F"/>
    <w:rsid w:val="00BB36B4"/>
    <w:rsid w:val="00BB3CDD"/>
    <w:rsid w:val="00BB4A13"/>
    <w:rsid w:val="00BB526B"/>
    <w:rsid w:val="00BB607F"/>
    <w:rsid w:val="00BB62A7"/>
    <w:rsid w:val="00BB67D9"/>
    <w:rsid w:val="00BB72BE"/>
    <w:rsid w:val="00BC10B7"/>
    <w:rsid w:val="00BC1F13"/>
    <w:rsid w:val="00BC3C47"/>
    <w:rsid w:val="00BC3E7C"/>
    <w:rsid w:val="00BC4494"/>
    <w:rsid w:val="00BC53C3"/>
    <w:rsid w:val="00BC565E"/>
    <w:rsid w:val="00BC70CD"/>
    <w:rsid w:val="00BD150E"/>
    <w:rsid w:val="00BD3AC0"/>
    <w:rsid w:val="00BD578E"/>
    <w:rsid w:val="00BD6649"/>
    <w:rsid w:val="00BE0C46"/>
    <w:rsid w:val="00BE1863"/>
    <w:rsid w:val="00BE21BF"/>
    <w:rsid w:val="00BE3E08"/>
    <w:rsid w:val="00BE645D"/>
    <w:rsid w:val="00BE659D"/>
    <w:rsid w:val="00BE65A2"/>
    <w:rsid w:val="00BE65A5"/>
    <w:rsid w:val="00BE7192"/>
    <w:rsid w:val="00BE7A65"/>
    <w:rsid w:val="00BF2156"/>
    <w:rsid w:val="00BF633D"/>
    <w:rsid w:val="00C009DD"/>
    <w:rsid w:val="00C01753"/>
    <w:rsid w:val="00C02B50"/>
    <w:rsid w:val="00C0563A"/>
    <w:rsid w:val="00C1024E"/>
    <w:rsid w:val="00C1035A"/>
    <w:rsid w:val="00C1107C"/>
    <w:rsid w:val="00C12BDA"/>
    <w:rsid w:val="00C13172"/>
    <w:rsid w:val="00C142DD"/>
    <w:rsid w:val="00C1522A"/>
    <w:rsid w:val="00C1573D"/>
    <w:rsid w:val="00C15C9B"/>
    <w:rsid w:val="00C1735C"/>
    <w:rsid w:val="00C20099"/>
    <w:rsid w:val="00C22774"/>
    <w:rsid w:val="00C22893"/>
    <w:rsid w:val="00C228F7"/>
    <w:rsid w:val="00C22DC8"/>
    <w:rsid w:val="00C2350E"/>
    <w:rsid w:val="00C2355F"/>
    <w:rsid w:val="00C23F9D"/>
    <w:rsid w:val="00C25FAD"/>
    <w:rsid w:val="00C270F3"/>
    <w:rsid w:val="00C300BA"/>
    <w:rsid w:val="00C30586"/>
    <w:rsid w:val="00C30837"/>
    <w:rsid w:val="00C31B10"/>
    <w:rsid w:val="00C324A6"/>
    <w:rsid w:val="00C33055"/>
    <w:rsid w:val="00C33D87"/>
    <w:rsid w:val="00C33F99"/>
    <w:rsid w:val="00C35289"/>
    <w:rsid w:val="00C445BB"/>
    <w:rsid w:val="00C445FB"/>
    <w:rsid w:val="00C449D7"/>
    <w:rsid w:val="00C44DF8"/>
    <w:rsid w:val="00C45020"/>
    <w:rsid w:val="00C46209"/>
    <w:rsid w:val="00C5000B"/>
    <w:rsid w:val="00C50B40"/>
    <w:rsid w:val="00C51CFA"/>
    <w:rsid w:val="00C557F2"/>
    <w:rsid w:val="00C55ACB"/>
    <w:rsid w:val="00C5669B"/>
    <w:rsid w:val="00C566A6"/>
    <w:rsid w:val="00C569B2"/>
    <w:rsid w:val="00C571F5"/>
    <w:rsid w:val="00C60811"/>
    <w:rsid w:val="00C6127D"/>
    <w:rsid w:val="00C61492"/>
    <w:rsid w:val="00C622F8"/>
    <w:rsid w:val="00C64C7A"/>
    <w:rsid w:val="00C650A5"/>
    <w:rsid w:val="00C65CFE"/>
    <w:rsid w:val="00C66016"/>
    <w:rsid w:val="00C661FF"/>
    <w:rsid w:val="00C670C3"/>
    <w:rsid w:val="00C67327"/>
    <w:rsid w:val="00C67F45"/>
    <w:rsid w:val="00C75256"/>
    <w:rsid w:val="00C75B58"/>
    <w:rsid w:val="00C76856"/>
    <w:rsid w:val="00C77A75"/>
    <w:rsid w:val="00C77B58"/>
    <w:rsid w:val="00C808BF"/>
    <w:rsid w:val="00C80F50"/>
    <w:rsid w:val="00C81061"/>
    <w:rsid w:val="00C81537"/>
    <w:rsid w:val="00C817D9"/>
    <w:rsid w:val="00C819F1"/>
    <w:rsid w:val="00C8214F"/>
    <w:rsid w:val="00C829C4"/>
    <w:rsid w:val="00C86173"/>
    <w:rsid w:val="00C92369"/>
    <w:rsid w:val="00C92634"/>
    <w:rsid w:val="00C93C39"/>
    <w:rsid w:val="00C94DF7"/>
    <w:rsid w:val="00CA0D71"/>
    <w:rsid w:val="00CA0FCB"/>
    <w:rsid w:val="00CA1DC0"/>
    <w:rsid w:val="00CA1F22"/>
    <w:rsid w:val="00CA265B"/>
    <w:rsid w:val="00CA2CCF"/>
    <w:rsid w:val="00CA2D12"/>
    <w:rsid w:val="00CA3732"/>
    <w:rsid w:val="00CA4E0B"/>
    <w:rsid w:val="00CA6405"/>
    <w:rsid w:val="00CA69FB"/>
    <w:rsid w:val="00CA7065"/>
    <w:rsid w:val="00CA7969"/>
    <w:rsid w:val="00CB150E"/>
    <w:rsid w:val="00CB22D7"/>
    <w:rsid w:val="00CB2743"/>
    <w:rsid w:val="00CB2FFF"/>
    <w:rsid w:val="00CB3322"/>
    <w:rsid w:val="00CB34C5"/>
    <w:rsid w:val="00CB3515"/>
    <w:rsid w:val="00CB3F32"/>
    <w:rsid w:val="00CB6493"/>
    <w:rsid w:val="00CB7068"/>
    <w:rsid w:val="00CB783E"/>
    <w:rsid w:val="00CB7C66"/>
    <w:rsid w:val="00CB7F4C"/>
    <w:rsid w:val="00CC083B"/>
    <w:rsid w:val="00CC345D"/>
    <w:rsid w:val="00CC40D5"/>
    <w:rsid w:val="00CC5690"/>
    <w:rsid w:val="00CD007A"/>
    <w:rsid w:val="00CD19AD"/>
    <w:rsid w:val="00CD1CA0"/>
    <w:rsid w:val="00CD25CF"/>
    <w:rsid w:val="00CD2F6B"/>
    <w:rsid w:val="00CD2F9D"/>
    <w:rsid w:val="00CD41D1"/>
    <w:rsid w:val="00CD6644"/>
    <w:rsid w:val="00CE0528"/>
    <w:rsid w:val="00CE063D"/>
    <w:rsid w:val="00CE151C"/>
    <w:rsid w:val="00CE3774"/>
    <w:rsid w:val="00CE42D6"/>
    <w:rsid w:val="00CE689F"/>
    <w:rsid w:val="00CE6FE4"/>
    <w:rsid w:val="00CF1B9D"/>
    <w:rsid w:val="00CF21FE"/>
    <w:rsid w:val="00CF474C"/>
    <w:rsid w:val="00CF60AD"/>
    <w:rsid w:val="00CF6126"/>
    <w:rsid w:val="00CF7E82"/>
    <w:rsid w:val="00D016F4"/>
    <w:rsid w:val="00D01CDC"/>
    <w:rsid w:val="00D01DD1"/>
    <w:rsid w:val="00D030EC"/>
    <w:rsid w:val="00D04686"/>
    <w:rsid w:val="00D047A5"/>
    <w:rsid w:val="00D055E8"/>
    <w:rsid w:val="00D0745A"/>
    <w:rsid w:val="00D07532"/>
    <w:rsid w:val="00D10B55"/>
    <w:rsid w:val="00D115CF"/>
    <w:rsid w:val="00D12264"/>
    <w:rsid w:val="00D1280A"/>
    <w:rsid w:val="00D13097"/>
    <w:rsid w:val="00D13220"/>
    <w:rsid w:val="00D14BE3"/>
    <w:rsid w:val="00D14EEF"/>
    <w:rsid w:val="00D152F9"/>
    <w:rsid w:val="00D20874"/>
    <w:rsid w:val="00D217B0"/>
    <w:rsid w:val="00D22898"/>
    <w:rsid w:val="00D23184"/>
    <w:rsid w:val="00D23B07"/>
    <w:rsid w:val="00D25AC9"/>
    <w:rsid w:val="00D262E9"/>
    <w:rsid w:val="00D26F8B"/>
    <w:rsid w:val="00D27B70"/>
    <w:rsid w:val="00D3203D"/>
    <w:rsid w:val="00D32C4B"/>
    <w:rsid w:val="00D337F0"/>
    <w:rsid w:val="00D346A5"/>
    <w:rsid w:val="00D3602F"/>
    <w:rsid w:val="00D43255"/>
    <w:rsid w:val="00D43824"/>
    <w:rsid w:val="00D444F7"/>
    <w:rsid w:val="00D44A05"/>
    <w:rsid w:val="00D463BD"/>
    <w:rsid w:val="00D46DFB"/>
    <w:rsid w:val="00D5032E"/>
    <w:rsid w:val="00D50516"/>
    <w:rsid w:val="00D50753"/>
    <w:rsid w:val="00D52AEB"/>
    <w:rsid w:val="00D5306B"/>
    <w:rsid w:val="00D539E8"/>
    <w:rsid w:val="00D554BF"/>
    <w:rsid w:val="00D56E10"/>
    <w:rsid w:val="00D57933"/>
    <w:rsid w:val="00D60B48"/>
    <w:rsid w:val="00D6667A"/>
    <w:rsid w:val="00D67639"/>
    <w:rsid w:val="00D72DE9"/>
    <w:rsid w:val="00D753F7"/>
    <w:rsid w:val="00D75717"/>
    <w:rsid w:val="00D75D16"/>
    <w:rsid w:val="00D8032D"/>
    <w:rsid w:val="00D80A8B"/>
    <w:rsid w:val="00D8238F"/>
    <w:rsid w:val="00D83001"/>
    <w:rsid w:val="00D8579D"/>
    <w:rsid w:val="00D921C7"/>
    <w:rsid w:val="00D922B0"/>
    <w:rsid w:val="00D922B6"/>
    <w:rsid w:val="00D92DD9"/>
    <w:rsid w:val="00D93E27"/>
    <w:rsid w:val="00D94641"/>
    <w:rsid w:val="00D956D3"/>
    <w:rsid w:val="00D96E00"/>
    <w:rsid w:val="00DA0BF2"/>
    <w:rsid w:val="00DA0D91"/>
    <w:rsid w:val="00DA1DD7"/>
    <w:rsid w:val="00DA1F4D"/>
    <w:rsid w:val="00DA24EE"/>
    <w:rsid w:val="00DA2FCF"/>
    <w:rsid w:val="00DA588B"/>
    <w:rsid w:val="00DA7F27"/>
    <w:rsid w:val="00DB0329"/>
    <w:rsid w:val="00DB246F"/>
    <w:rsid w:val="00DB30D8"/>
    <w:rsid w:val="00DB5844"/>
    <w:rsid w:val="00DB59A4"/>
    <w:rsid w:val="00DB5A25"/>
    <w:rsid w:val="00DB6C6B"/>
    <w:rsid w:val="00DC2C44"/>
    <w:rsid w:val="00DC2D97"/>
    <w:rsid w:val="00DC44CA"/>
    <w:rsid w:val="00DC47FA"/>
    <w:rsid w:val="00DC4802"/>
    <w:rsid w:val="00DC593F"/>
    <w:rsid w:val="00DC6506"/>
    <w:rsid w:val="00DC6EC3"/>
    <w:rsid w:val="00DD046B"/>
    <w:rsid w:val="00DD109D"/>
    <w:rsid w:val="00DD1488"/>
    <w:rsid w:val="00DD25A3"/>
    <w:rsid w:val="00DD2C29"/>
    <w:rsid w:val="00DD778E"/>
    <w:rsid w:val="00DE18B7"/>
    <w:rsid w:val="00DE22DA"/>
    <w:rsid w:val="00DE2FAA"/>
    <w:rsid w:val="00DE3307"/>
    <w:rsid w:val="00DE47A8"/>
    <w:rsid w:val="00DE5E6A"/>
    <w:rsid w:val="00DE5F0B"/>
    <w:rsid w:val="00DF2A72"/>
    <w:rsid w:val="00DF3C79"/>
    <w:rsid w:val="00DF3F4E"/>
    <w:rsid w:val="00DF40AD"/>
    <w:rsid w:val="00DF445D"/>
    <w:rsid w:val="00DF4C5C"/>
    <w:rsid w:val="00DF4C9F"/>
    <w:rsid w:val="00DF5CB4"/>
    <w:rsid w:val="00DF616E"/>
    <w:rsid w:val="00DF648A"/>
    <w:rsid w:val="00DF772B"/>
    <w:rsid w:val="00DF7BA1"/>
    <w:rsid w:val="00E007D7"/>
    <w:rsid w:val="00E012A1"/>
    <w:rsid w:val="00E01538"/>
    <w:rsid w:val="00E01713"/>
    <w:rsid w:val="00E01CD2"/>
    <w:rsid w:val="00E027E0"/>
    <w:rsid w:val="00E0356F"/>
    <w:rsid w:val="00E06B92"/>
    <w:rsid w:val="00E07A28"/>
    <w:rsid w:val="00E07E61"/>
    <w:rsid w:val="00E10A81"/>
    <w:rsid w:val="00E10B14"/>
    <w:rsid w:val="00E12980"/>
    <w:rsid w:val="00E12AC4"/>
    <w:rsid w:val="00E16BE0"/>
    <w:rsid w:val="00E21870"/>
    <w:rsid w:val="00E21DE0"/>
    <w:rsid w:val="00E220CC"/>
    <w:rsid w:val="00E2225A"/>
    <w:rsid w:val="00E22850"/>
    <w:rsid w:val="00E22ACD"/>
    <w:rsid w:val="00E22E86"/>
    <w:rsid w:val="00E23464"/>
    <w:rsid w:val="00E23AAF"/>
    <w:rsid w:val="00E24553"/>
    <w:rsid w:val="00E24D9A"/>
    <w:rsid w:val="00E26039"/>
    <w:rsid w:val="00E264E3"/>
    <w:rsid w:val="00E269BF"/>
    <w:rsid w:val="00E30A76"/>
    <w:rsid w:val="00E31028"/>
    <w:rsid w:val="00E320A5"/>
    <w:rsid w:val="00E32868"/>
    <w:rsid w:val="00E336E1"/>
    <w:rsid w:val="00E34E50"/>
    <w:rsid w:val="00E37A1B"/>
    <w:rsid w:val="00E40C63"/>
    <w:rsid w:val="00E41296"/>
    <w:rsid w:val="00E43711"/>
    <w:rsid w:val="00E4384E"/>
    <w:rsid w:val="00E43C7D"/>
    <w:rsid w:val="00E45AD5"/>
    <w:rsid w:val="00E473DE"/>
    <w:rsid w:val="00E47548"/>
    <w:rsid w:val="00E47BE3"/>
    <w:rsid w:val="00E47F7B"/>
    <w:rsid w:val="00E51794"/>
    <w:rsid w:val="00E523E0"/>
    <w:rsid w:val="00E52536"/>
    <w:rsid w:val="00E5287E"/>
    <w:rsid w:val="00E5487F"/>
    <w:rsid w:val="00E54A3D"/>
    <w:rsid w:val="00E54D91"/>
    <w:rsid w:val="00E573BE"/>
    <w:rsid w:val="00E61345"/>
    <w:rsid w:val="00E61F3F"/>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435E"/>
    <w:rsid w:val="00E7556F"/>
    <w:rsid w:val="00E75BC3"/>
    <w:rsid w:val="00E76E7A"/>
    <w:rsid w:val="00E827F4"/>
    <w:rsid w:val="00E8298D"/>
    <w:rsid w:val="00E848A0"/>
    <w:rsid w:val="00E84B5F"/>
    <w:rsid w:val="00E85462"/>
    <w:rsid w:val="00E856AE"/>
    <w:rsid w:val="00E86F50"/>
    <w:rsid w:val="00E86FF2"/>
    <w:rsid w:val="00E87C67"/>
    <w:rsid w:val="00E90D56"/>
    <w:rsid w:val="00E93BF4"/>
    <w:rsid w:val="00E97F70"/>
    <w:rsid w:val="00EA1A91"/>
    <w:rsid w:val="00EA4F04"/>
    <w:rsid w:val="00EA5099"/>
    <w:rsid w:val="00EA55A1"/>
    <w:rsid w:val="00EA5EBB"/>
    <w:rsid w:val="00EA62C7"/>
    <w:rsid w:val="00EA684A"/>
    <w:rsid w:val="00EA6B8C"/>
    <w:rsid w:val="00EA70F7"/>
    <w:rsid w:val="00EB0C4A"/>
    <w:rsid w:val="00EB1275"/>
    <w:rsid w:val="00EB354E"/>
    <w:rsid w:val="00EB39A2"/>
    <w:rsid w:val="00EB7458"/>
    <w:rsid w:val="00EB7A2B"/>
    <w:rsid w:val="00EC6504"/>
    <w:rsid w:val="00EC7514"/>
    <w:rsid w:val="00ED03BB"/>
    <w:rsid w:val="00ED073E"/>
    <w:rsid w:val="00ED135A"/>
    <w:rsid w:val="00ED4BD8"/>
    <w:rsid w:val="00ED5DE2"/>
    <w:rsid w:val="00EE2FC0"/>
    <w:rsid w:val="00EE34AF"/>
    <w:rsid w:val="00EE3CDE"/>
    <w:rsid w:val="00EE3E30"/>
    <w:rsid w:val="00EE4427"/>
    <w:rsid w:val="00EE4779"/>
    <w:rsid w:val="00EE54E5"/>
    <w:rsid w:val="00EE5668"/>
    <w:rsid w:val="00EE6274"/>
    <w:rsid w:val="00EE6AFD"/>
    <w:rsid w:val="00EE6D71"/>
    <w:rsid w:val="00EF0B0E"/>
    <w:rsid w:val="00EF2F6C"/>
    <w:rsid w:val="00EF5172"/>
    <w:rsid w:val="00EF6C54"/>
    <w:rsid w:val="00F0343F"/>
    <w:rsid w:val="00F03A80"/>
    <w:rsid w:val="00F04940"/>
    <w:rsid w:val="00F065D1"/>
    <w:rsid w:val="00F07CB8"/>
    <w:rsid w:val="00F10117"/>
    <w:rsid w:val="00F1086F"/>
    <w:rsid w:val="00F13B89"/>
    <w:rsid w:val="00F160A4"/>
    <w:rsid w:val="00F1683C"/>
    <w:rsid w:val="00F17508"/>
    <w:rsid w:val="00F179E6"/>
    <w:rsid w:val="00F22BEB"/>
    <w:rsid w:val="00F260D4"/>
    <w:rsid w:val="00F33077"/>
    <w:rsid w:val="00F3366D"/>
    <w:rsid w:val="00F342C0"/>
    <w:rsid w:val="00F34AF8"/>
    <w:rsid w:val="00F35265"/>
    <w:rsid w:val="00F3591B"/>
    <w:rsid w:val="00F3688C"/>
    <w:rsid w:val="00F37142"/>
    <w:rsid w:val="00F37E5D"/>
    <w:rsid w:val="00F4063D"/>
    <w:rsid w:val="00F41DA6"/>
    <w:rsid w:val="00F42F61"/>
    <w:rsid w:val="00F433E8"/>
    <w:rsid w:val="00F459F9"/>
    <w:rsid w:val="00F468A0"/>
    <w:rsid w:val="00F4699C"/>
    <w:rsid w:val="00F47268"/>
    <w:rsid w:val="00F47C9B"/>
    <w:rsid w:val="00F47DA4"/>
    <w:rsid w:val="00F511DE"/>
    <w:rsid w:val="00F5127D"/>
    <w:rsid w:val="00F5237F"/>
    <w:rsid w:val="00F52E0D"/>
    <w:rsid w:val="00F60D95"/>
    <w:rsid w:val="00F61679"/>
    <w:rsid w:val="00F61BBB"/>
    <w:rsid w:val="00F63A25"/>
    <w:rsid w:val="00F64786"/>
    <w:rsid w:val="00F64C51"/>
    <w:rsid w:val="00F65A14"/>
    <w:rsid w:val="00F6605D"/>
    <w:rsid w:val="00F6694B"/>
    <w:rsid w:val="00F66A97"/>
    <w:rsid w:val="00F670D7"/>
    <w:rsid w:val="00F67900"/>
    <w:rsid w:val="00F70D3D"/>
    <w:rsid w:val="00F71DD4"/>
    <w:rsid w:val="00F71DD5"/>
    <w:rsid w:val="00F72D30"/>
    <w:rsid w:val="00F72DC6"/>
    <w:rsid w:val="00F732D4"/>
    <w:rsid w:val="00F74060"/>
    <w:rsid w:val="00F7495E"/>
    <w:rsid w:val="00F74A42"/>
    <w:rsid w:val="00F761D5"/>
    <w:rsid w:val="00F76849"/>
    <w:rsid w:val="00F76FC2"/>
    <w:rsid w:val="00F80A60"/>
    <w:rsid w:val="00F82B70"/>
    <w:rsid w:val="00F8326B"/>
    <w:rsid w:val="00F83AC1"/>
    <w:rsid w:val="00F83F7E"/>
    <w:rsid w:val="00F84AD3"/>
    <w:rsid w:val="00F854CF"/>
    <w:rsid w:val="00F866E7"/>
    <w:rsid w:val="00F878D9"/>
    <w:rsid w:val="00F91EDA"/>
    <w:rsid w:val="00F9222B"/>
    <w:rsid w:val="00F92E55"/>
    <w:rsid w:val="00F9412D"/>
    <w:rsid w:val="00F954F3"/>
    <w:rsid w:val="00F95C89"/>
    <w:rsid w:val="00F97C62"/>
    <w:rsid w:val="00FA098D"/>
    <w:rsid w:val="00FA0B2C"/>
    <w:rsid w:val="00FA0BE4"/>
    <w:rsid w:val="00FA2CBD"/>
    <w:rsid w:val="00FA3086"/>
    <w:rsid w:val="00FA737B"/>
    <w:rsid w:val="00FA7635"/>
    <w:rsid w:val="00FA7A31"/>
    <w:rsid w:val="00FB0FFE"/>
    <w:rsid w:val="00FB1655"/>
    <w:rsid w:val="00FB19A1"/>
    <w:rsid w:val="00FB4152"/>
    <w:rsid w:val="00FB43E1"/>
    <w:rsid w:val="00FB4CD3"/>
    <w:rsid w:val="00FB5966"/>
    <w:rsid w:val="00FB65D9"/>
    <w:rsid w:val="00FB6763"/>
    <w:rsid w:val="00FB6DB7"/>
    <w:rsid w:val="00FB7F2D"/>
    <w:rsid w:val="00FC0CCD"/>
    <w:rsid w:val="00FC13F0"/>
    <w:rsid w:val="00FC2D00"/>
    <w:rsid w:val="00FC4480"/>
    <w:rsid w:val="00FC5634"/>
    <w:rsid w:val="00FC6275"/>
    <w:rsid w:val="00FC64B1"/>
    <w:rsid w:val="00FC6AC2"/>
    <w:rsid w:val="00FC7EC8"/>
    <w:rsid w:val="00FD0532"/>
    <w:rsid w:val="00FD246E"/>
    <w:rsid w:val="00FD3671"/>
    <w:rsid w:val="00FD3D2D"/>
    <w:rsid w:val="00FD431D"/>
    <w:rsid w:val="00FD49B2"/>
    <w:rsid w:val="00FD54BE"/>
    <w:rsid w:val="00FD6A62"/>
    <w:rsid w:val="00FE0A6A"/>
    <w:rsid w:val="00FE1C80"/>
    <w:rsid w:val="00FE4EB8"/>
    <w:rsid w:val="00FE5558"/>
    <w:rsid w:val="00FE5639"/>
    <w:rsid w:val="00FE6409"/>
    <w:rsid w:val="00FF2410"/>
    <w:rsid w:val="00FF48CF"/>
    <w:rsid w:val="00FF5C3A"/>
    <w:rsid w:val="00FF71ED"/>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3C0ACA21-0EC2-4E27-8149-494C92EB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link w:val="BVIfnrCarCarCarCarCharCharCharChar"/>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E12AC4"/>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2">
    <w:name w:val="Unresolved Mention2"/>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customStyle="1" w:styleId="BVIfnrCarCarCarCarCharCharCharChar">
    <w:name w:val="BVI fnr Car Car Car Car Char Char Char Char"/>
    <w:basedOn w:val="Normal"/>
    <w:link w:val="FootnoteReference"/>
    <w:uiPriority w:val="99"/>
    <w:rsid w:val="00C75B58"/>
    <w:pPr>
      <w:spacing w:after="160" w:line="240" w:lineRule="exact"/>
    </w:pPr>
    <w:rPr>
      <w:sz w:val="20"/>
      <w:szCs w:val="20"/>
      <w:vertAlign w:val="superscript"/>
      <w:lang w:eastAsia="en-GB" w:bidi="hi-IN"/>
    </w:rPr>
  </w:style>
  <w:style w:type="paragraph" w:styleId="ListNumber">
    <w:name w:val="List Number"/>
    <w:basedOn w:val="Normal"/>
    <w:uiPriority w:val="1"/>
    <w:rsid w:val="00DD1488"/>
    <w:pPr>
      <w:numPr>
        <w:numId w:val="21"/>
      </w:numPr>
      <w:spacing w:after="240" w:line="240" w:lineRule="auto"/>
      <w:jc w:val="both"/>
    </w:pPr>
    <w:rPr>
      <w:rFonts w:ascii="Times New Roman" w:eastAsia="Times New Roman" w:hAnsi="Times New Roman"/>
      <w:sz w:val="24"/>
      <w:szCs w:val="20"/>
      <w:lang w:eastAsia="en-IE"/>
    </w:rPr>
  </w:style>
  <w:style w:type="paragraph" w:customStyle="1" w:styleId="ListNumberLevel2">
    <w:name w:val="List Number (Level 2)"/>
    <w:basedOn w:val="Normal"/>
    <w:uiPriority w:val="1"/>
    <w:rsid w:val="00DD1488"/>
    <w:pPr>
      <w:numPr>
        <w:ilvl w:val="1"/>
        <w:numId w:val="21"/>
      </w:numPr>
      <w:spacing w:after="240" w:line="240" w:lineRule="auto"/>
      <w:jc w:val="both"/>
    </w:pPr>
    <w:rPr>
      <w:rFonts w:ascii="Times New Roman" w:eastAsia="Times New Roman" w:hAnsi="Times New Roman"/>
      <w:sz w:val="24"/>
      <w:szCs w:val="20"/>
      <w:lang w:eastAsia="en-IE"/>
    </w:rPr>
  </w:style>
  <w:style w:type="paragraph" w:customStyle="1" w:styleId="ListNumberLevel3">
    <w:name w:val="List Number (Level 3)"/>
    <w:basedOn w:val="Normal"/>
    <w:uiPriority w:val="1"/>
    <w:semiHidden/>
    <w:unhideWhenUsed/>
    <w:rsid w:val="00DD1488"/>
    <w:pPr>
      <w:numPr>
        <w:ilvl w:val="2"/>
        <w:numId w:val="21"/>
      </w:numPr>
      <w:spacing w:after="240" w:line="240" w:lineRule="auto"/>
      <w:jc w:val="both"/>
    </w:pPr>
    <w:rPr>
      <w:rFonts w:ascii="Times New Roman" w:eastAsia="Times New Roman" w:hAnsi="Times New Roman"/>
      <w:sz w:val="24"/>
      <w:szCs w:val="20"/>
      <w:lang w:eastAsia="en-IE"/>
    </w:rPr>
  </w:style>
  <w:style w:type="paragraph" w:customStyle="1" w:styleId="ListNumberLevel4">
    <w:name w:val="List Number (Level 4)"/>
    <w:basedOn w:val="Normal"/>
    <w:uiPriority w:val="1"/>
    <w:semiHidden/>
    <w:unhideWhenUsed/>
    <w:rsid w:val="00DD1488"/>
    <w:pPr>
      <w:numPr>
        <w:ilvl w:val="3"/>
        <w:numId w:val="21"/>
      </w:numPr>
      <w:spacing w:after="240" w:line="240" w:lineRule="auto"/>
      <w:jc w:val="both"/>
    </w:pPr>
    <w:rPr>
      <w:rFonts w:ascii="Times New Roman" w:eastAsia="Times New Roman" w:hAnsi="Times New Roman"/>
      <w:sz w:val="24"/>
      <w:szCs w:val="20"/>
      <w:lang w:eastAsia="en-IE"/>
    </w:rPr>
  </w:style>
  <w:style w:type="paragraph" w:styleId="TOC2">
    <w:name w:val="toc 2"/>
    <w:basedOn w:val="Normal"/>
    <w:next w:val="Normal"/>
    <w:autoRedefine/>
    <w:uiPriority w:val="39"/>
    <w:unhideWhenUsed/>
    <w:rsid w:val="00750FA0"/>
    <w:pPr>
      <w:spacing w:after="100"/>
      <w:ind w:left="220"/>
    </w:pPr>
  </w:style>
  <w:style w:type="paragraph" w:customStyle="1" w:styleId="Languesfaisantfoi">
    <w:name w:val="Langues faisant foi"/>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F03A80"/>
    <w:pPr>
      <w:spacing w:after="0"/>
    </w:pPr>
  </w:style>
  <w:style w:type="paragraph" w:customStyle="1" w:styleId="IntrtEEEPagedecouverture">
    <w:name w:val="Intérêt EEE (Page de couverture)"/>
    <w:basedOn w:val="IntrtEEE"/>
    <w:next w:val="Normal"/>
    <w:rsid w:val="00F03A80"/>
  </w:style>
  <w:style w:type="paragraph" w:customStyle="1" w:styleId="Disclaimer">
    <w:name w:val="Disclaimer"/>
    <w:basedOn w:val="Normal"/>
    <w:rsid w:val="00E12AC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rsid w:val="00E12AC4"/>
    <w:pPr>
      <w:spacing w:after="0"/>
      <w:ind w:left="5103"/>
    </w:pPr>
    <w:rPr>
      <w:rFonts w:ascii="Times New Roman" w:eastAsiaTheme="minorHAnsi" w:hAnsi="Times New Roman"/>
      <w:sz w:val="28"/>
    </w:rPr>
  </w:style>
  <w:style w:type="paragraph" w:customStyle="1" w:styleId="DateMarking">
    <w:name w:val="DateMarking"/>
    <w:basedOn w:val="Normal"/>
    <w:rsid w:val="00E12AC4"/>
    <w:pPr>
      <w:spacing w:after="0"/>
      <w:ind w:left="5103"/>
    </w:pPr>
    <w:rPr>
      <w:rFonts w:ascii="Times New Roman" w:eastAsiaTheme="minorHAnsi" w:hAnsi="Times New Roman"/>
      <w:i/>
      <w:sz w:val="28"/>
    </w:rPr>
  </w:style>
  <w:style w:type="paragraph" w:customStyle="1" w:styleId="ReleasableTo">
    <w:name w:val="ReleasableTo"/>
    <w:basedOn w:val="Normal"/>
    <w:rsid w:val="00E12AC4"/>
    <w:pPr>
      <w:spacing w:after="0"/>
      <w:ind w:left="5103"/>
    </w:pPr>
    <w:rPr>
      <w:rFonts w:ascii="Times New Roman" w:eastAsiaTheme="minorHAnsi" w:hAnsi="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882">
      <w:bodyDiv w:val="1"/>
      <w:marLeft w:val="0"/>
      <w:marRight w:val="0"/>
      <w:marTop w:val="0"/>
      <w:marBottom w:val="0"/>
      <w:divBdr>
        <w:top w:val="none" w:sz="0" w:space="0" w:color="auto"/>
        <w:left w:val="none" w:sz="0" w:space="0" w:color="auto"/>
        <w:bottom w:val="none" w:sz="0" w:space="0" w:color="auto"/>
        <w:right w:val="none" w:sz="0" w:space="0" w:color="auto"/>
      </w:divBdr>
    </w:div>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86773957">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56406119">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24913176">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755590820">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32890069">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67294371">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793553575">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1987736421">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090882449">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climate.copernicus.eu/esotc/2025" TargetMode="External"/><Relationship Id="rId1" Type="http://schemas.openxmlformats.org/officeDocument/2006/relationships/hyperlink" Target="https://climate.copernicus.eu/esotc/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22866-32FD-484E-887A-8C222A156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12</Pages>
  <Words>4930</Words>
  <Characters>26675</Characters>
  <Application>Microsoft Office Word</Application>
  <DocSecurity>0</DocSecurity>
  <Lines>410</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31500</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LAGES CARVALHO Patrick (SG)</cp:lastModifiedBy>
  <cp:revision>17</cp:revision>
  <dcterms:created xsi:type="dcterms:W3CDTF">2026-06-15T09:46:00Z</dcterms:created>
  <dcterms:modified xsi:type="dcterms:W3CDTF">2026-06-30T07:59:00Z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2026-06-01T08:38:32Z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c61407f0-a390-4ec8-a4ab-8e2797850c36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