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283213" w14:textId="11DF92CC" w:rsidR="00971E00" w:rsidRPr="000C5EC3" w:rsidRDefault="005A5537" w:rsidP="005A5537">
      <w:pPr>
        <w:pStyle w:val="Pagedecouverture"/>
        <w:rPr>
          <w:noProof/>
        </w:rPr>
      </w:pPr>
      <w:bookmarkStart w:id="0" w:name="LW_BM_COVERPAGE"/>
      <w:r>
        <w:rPr>
          <w:noProof/>
        </w:rPr>
        <w:pict w14:anchorId="484EC5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7C761071-2EA4-48EC-A344-4123813382DA" style="width:455.25pt;height:300pt">
            <v:imagedata r:id="rId14" o:title=""/>
          </v:shape>
        </w:pict>
      </w:r>
    </w:p>
    <w:bookmarkEnd w:id="0"/>
    <w:p w14:paraId="5E15E462" w14:textId="77777777" w:rsidR="00971E00" w:rsidRPr="000C5EC3" w:rsidRDefault="00971E00">
      <w:pPr>
        <w:rPr>
          <w:noProof/>
        </w:rPr>
        <w:sectPr w:rsidR="00971E00" w:rsidRPr="000C5EC3" w:rsidSect="005A5537">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08E76982" w14:textId="7795C500" w:rsidR="00971E00" w:rsidRPr="000C5EC3" w:rsidRDefault="00971E00" w:rsidP="00AB212E">
      <w:pPr>
        <w:pStyle w:val="Heading1"/>
        <w:rPr>
          <w:noProof/>
        </w:rPr>
      </w:pPr>
      <w:bookmarkStart w:id="1" w:name="_Toc213083330"/>
      <w:bookmarkStart w:id="2" w:name="_GoBack"/>
      <w:bookmarkEnd w:id="2"/>
      <w:r w:rsidRPr="000C5EC3">
        <w:rPr>
          <w:noProof/>
        </w:rPr>
        <w:lastRenderedPageBreak/>
        <w:t>Introduction</w:t>
      </w:r>
      <w:bookmarkEnd w:id="1"/>
    </w:p>
    <w:p w14:paraId="41896243" w14:textId="77777777" w:rsidR="007317B9" w:rsidRPr="000C5EC3" w:rsidRDefault="007317B9" w:rsidP="00E37A99">
      <w:pPr>
        <w:pStyle w:val="Heading2"/>
        <w:rPr>
          <w:noProof/>
        </w:rPr>
      </w:pPr>
      <w:r w:rsidRPr="000C5EC3">
        <w:rPr>
          <w:noProof/>
        </w:rPr>
        <w:t>Contexte politique et juridique</w:t>
      </w:r>
    </w:p>
    <w:p w14:paraId="1A743FB7" w14:textId="2508C286" w:rsidR="003E3FEF" w:rsidRPr="000C5EC3" w:rsidRDefault="008F2E5E" w:rsidP="004879EA">
      <w:pPr>
        <w:rPr>
          <w:rFonts w:eastAsia="Yu Mincho"/>
          <w:noProof/>
        </w:rPr>
      </w:pPr>
      <w:r w:rsidRPr="000C5EC3">
        <w:rPr>
          <w:noProof/>
        </w:rPr>
        <w:t>Les pneumatiques constituent un composant essentiel de tout véhicule routier. La résistance au roulement des pneumatiques a une incidence directe sur la consommation d’énergie du véhicule. Encourager la demande, le développement et la production de pneumatiques plus efficaces peut donc réduire les coûts de carburant, les émissions et les importations de combustibles fossiles, ou augmenter l’autonomie des véhicules électriques en limitant l’électricité nécessaire par kilomètre parcouru. Le premier acte officiel de l’Union sur des pneumatiques efficaces a été adopté à la suite de la crise pétrolière de 1973, recommandant aux États membres «d’encourager l’équipement des véhicules, y compris des véhicules lourds, de pneumatiques à carcasse radiale» </w:t>
      </w:r>
      <w:r w:rsidRPr="000C5EC3">
        <w:rPr>
          <w:noProof/>
          <w:vertAlign w:val="superscript"/>
        </w:rPr>
        <w:t>(</w:t>
      </w:r>
      <w:r w:rsidRPr="000C5EC3">
        <w:rPr>
          <w:rStyle w:val="FootnoteReference"/>
          <w:rFonts w:eastAsia="Yu Mincho"/>
          <w:noProof/>
          <w:lang w:eastAsia="en-US"/>
        </w:rPr>
        <w:footnoteReference w:id="1"/>
      </w:r>
      <w:r w:rsidRPr="000C5EC3">
        <w:rPr>
          <w:noProof/>
          <w:vertAlign w:val="superscript"/>
        </w:rPr>
        <w:t>)</w:t>
      </w:r>
      <w:r w:rsidRPr="000C5EC3">
        <w:rPr>
          <w:noProof/>
        </w:rPr>
        <w:t>.</w:t>
      </w:r>
    </w:p>
    <w:p w14:paraId="39BD0FE9" w14:textId="48FED43B" w:rsidR="00E31771" w:rsidRPr="000C5EC3" w:rsidRDefault="00B610AE" w:rsidP="004879EA">
      <w:pPr>
        <w:rPr>
          <w:rFonts w:eastAsia="Yu Mincho"/>
          <w:noProof/>
        </w:rPr>
      </w:pPr>
      <w:r w:rsidRPr="000C5EC3">
        <w:rPr>
          <w:noProof/>
        </w:rPr>
        <w:t>Cinquante ans plus tard, si les pneumatiques à carcasse radiale sont devenus la technologie par défaut, le transport routier représente toujours une part importante de la consommation d’énergie finale totale de l’UE (environ un quart) et la grande majorité de cette énergie provient toujours du pétrole. Dans le même temps, l’innovation dans la conception et les matériaux des pneumatiques a rendu possibles de nouveaux gains d’efficacité. Selon les estimations, le remplacement des pneumatiques à haute résistance au roulement par des pneumatiques à faible résistance au roulement pourrait réduire la consommation moyenne d’énergie des voitures particulières d’environ 2 % </w:t>
      </w:r>
      <w:r w:rsidRPr="000C5EC3">
        <w:rPr>
          <w:noProof/>
          <w:vertAlign w:val="superscript"/>
        </w:rPr>
        <w:t>(</w:t>
      </w:r>
      <w:r w:rsidRPr="000C5EC3">
        <w:rPr>
          <w:rStyle w:val="FootnoteReference"/>
          <w:rFonts w:eastAsia="Yu Mincho"/>
          <w:noProof/>
          <w:lang w:eastAsia="en-US"/>
        </w:rPr>
        <w:footnoteReference w:id="2"/>
      </w:r>
      <w:r w:rsidRPr="000C5EC3">
        <w:rPr>
          <w:noProof/>
          <w:vertAlign w:val="superscript"/>
        </w:rPr>
        <w:t>)</w:t>
      </w:r>
      <w:r w:rsidRPr="000C5EC3">
        <w:rPr>
          <w:noProof/>
        </w:rPr>
        <w:t>. Pour les véhicules utilitaires lourds, la résistance au roulement des pneumatiques est beaucoup plus importante et le potentiel de gains d’efficacité est plus élevé: la résistance au roulement influence jusqu’à un tiers de la consommation d’énergie des camions diesel et plus de la moitié de la consommation d’énergie des modèles électriques plus efficaces </w:t>
      </w:r>
      <w:r w:rsidRPr="000C5EC3">
        <w:rPr>
          <w:noProof/>
          <w:vertAlign w:val="superscript"/>
        </w:rPr>
        <w:t>(</w:t>
      </w:r>
      <w:r w:rsidRPr="000C5EC3">
        <w:rPr>
          <w:rStyle w:val="FootnoteReference"/>
          <w:rFonts w:eastAsia="Yu Mincho"/>
          <w:noProof/>
          <w:lang w:eastAsia="en-US"/>
        </w:rPr>
        <w:footnoteReference w:id="3"/>
      </w:r>
      <w:r w:rsidRPr="000C5EC3">
        <w:rPr>
          <w:noProof/>
          <w:vertAlign w:val="superscript"/>
        </w:rPr>
        <w:t>)</w:t>
      </w:r>
      <w:r w:rsidRPr="000C5EC3">
        <w:rPr>
          <w:noProof/>
        </w:rPr>
        <w:t>.</w:t>
      </w:r>
    </w:p>
    <w:p w14:paraId="064E3B56" w14:textId="26895635" w:rsidR="003D1F0D" w:rsidRPr="000C5EC3" w:rsidRDefault="003E3FEF" w:rsidP="004879EA">
      <w:pPr>
        <w:rPr>
          <w:rFonts w:eastAsia="Yu Mincho"/>
          <w:noProof/>
        </w:rPr>
      </w:pPr>
      <w:r w:rsidRPr="000C5EC3">
        <w:rPr>
          <w:noProof/>
        </w:rPr>
        <w:t xml:space="preserve">Par ailleurs, un autre paramètre des pneumatiques, à savoir l’adhérence sur sol mouillé, est essentiel pour la sécurité, car il détermine la distance de freinage d’un véhicule. L’adhérence sur sol mouillé et la résistance au roulement sont des paramètres qui se concurrencent et, au moment de choisir un type de pneumatique à acheter, des compromis peuvent s’imposer entre la sécurité et la performance énergétique. Pour pouvoir prendre des décisions d’achat en connaissance de cause, les clients devraient donc disposer d’informations sur les deux paramètres. À cette fin, le premier règlement de l’UE sur l’étiquetage des pneumatiques a été adopté en 2009 et révisé en 2020. Les étiquettes des pneumatiques fournissent des informations faciles à comprendre afin de stimuler la demande et l’offre concurrentielle de pneumatiques de meilleure qualité. </w:t>
      </w:r>
    </w:p>
    <w:p w14:paraId="48793CC3" w14:textId="660720B9" w:rsidR="00423C71" w:rsidRPr="000C5EC3" w:rsidRDefault="00971E00" w:rsidP="00423C71">
      <w:pPr>
        <w:rPr>
          <w:noProof/>
        </w:rPr>
      </w:pPr>
      <w:r w:rsidRPr="000C5EC3">
        <w:rPr>
          <w:noProof/>
        </w:rPr>
        <w:t>Les bases juridiques du règlement sur l’étiquetage des pneumatiques sont les articles 114 et 194 du traité sur le fonctionnement de l’Union européenne. Le champ d’application du règlement couvre les pneumatiques pour les véhicules particuliers (C1), les véhicules utilitaires légers (C2) ainsi que les poids lourds et les autobus (C3) </w:t>
      </w:r>
      <w:r w:rsidRPr="000C5EC3">
        <w:rPr>
          <w:noProof/>
          <w:vertAlign w:val="superscript"/>
        </w:rPr>
        <w:t>(</w:t>
      </w:r>
      <w:r w:rsidRPr="000C5EC3">
        <w:rPr>
          <w:rStyle w:val="FootnoteReference"/>
          <w:noProof/>
        </w:rPr>
        <w:footnoteReference w:id="4"/>
      </w:r>
      <w:r w:rsidRPr="000C5EC3">
        <w:rPr>
          <w:noProof/>
          <w:vertAlign w:val="superscript"/>
        </w:rPr>
        <w:t>)</w:t>
      </w:r>
      <w:r w:rsidRPr="000C5EC3">
        <w:rPr>
          <w:noProof/>
        </w:rPr>
        <w:t>. Le règlement sur l’étiquetage des pneumatiques va de pair avec les exigences minimales de performance fixées dans d’autres actes législatifs. La législation relative à l’homologation de type, en particulier le règlement nº 117 de la CEE-ONU, établit les normes minimales de performance les plus importantes pour les pneumatiques mis sur le marché de l’UE en ce qui concerne la résistance au roulement, l’adhérence sur sol mouillé, le bruit, l’adhérence sur la neige et l’adhérence sur le verglas. Des normes de performance minimales pertinentes sont également fixées dans les règlements CEE-ONU nº 30 (pneumatiques C1), nº 54 (pneumatiques C2 et C3) et nº 172 (pneumatiques rechapés). Bien qu’aucune législation de l’UE en matière d’écoconception n’ait encore été adoptée pour les pneumatiques, ces derniers sont inclus dans le plan de travail 2025-2030 sur l’écoconception et l’étiquetage énergétique </w:t>
      </w:r>
      <w:r w:rsidRPr="000C5EC3">
        <w:rPr>
          <w:noProof/>
          <w:vertAlign w:val="superscript"/>
        </w:rPr>
        <w:t>(</w:t>
      </w:r>
      <w:r w:rsidRPr="000C5EC3">
        <w:rPr>
          <w:rStyle w:val="FootnoteReference"/>
          <w:noProof/>
        </w:rPr>
        <w:footnoteReference w:id="5"/>
      </w:r>
      <w:r w:rsidRPr="000C5EC3">
        <w:rPr>
          <w:noProof/>
          <w:vertAlign w:val="superscript"/>
        </w:rPr>
        <w:t>)</w:t>
      </w:r>
      <w:r w:rsidRPr="000C5EC3">
        <w:rPr>
          <w:noProof/>
        </w:rPr>
        <w:t>.</w:t>
      </w:r>
    </w:p>
    <w:p w14:paraId="676D6AD3" w14:textId="098B22B5" w:rsidR="00A83CED" w:rsidRPr="000C5EC3" w:rsidRDefault="00A83CED" w:rsidP="00A83CED">
      <w:pPr>
        <w:pStyle w:val="Heading2"/>
        <w:rPr>
          <w:noProof/>
        </w:rPr>
      </w:pPr>
      <w:r w:rsidRPr="000C5EC3">
        <w:rPr>
          <w:noProof/>
        </w:rPr>
        <w:t>Principales modifications apportées en 2020 par la révision du règlement sur l’étiquetage des pneumatiques</w:t>
      </w:r>
    </w:p>
    <w:p w14:paraId="6BA80DE5" w14:textId="77777777" w:rsidR="00A83CED" w:rsidRPr="000C5EC3" w:rsidRDefault="00A83CED" w:rsidP="00A83CED">
      <w:pPr>
        <w:spacing w:after="120"/>
        <w:rPr>
          <w:noProof/>
        </w:rPr>
      </w:pPr>
      <w:r w:rsidRPr="000C5EC3">
        <w:rPr>
          <w:noProof/>
        </w:rPr>
        <w:t>Les principales modifications introduites par la révision de 2020 visaient:</w:t>
      </w:r>
    </w:p>
    <w:p w14:paraId="292A03F4" w14:textId="77777777" w:rsidR="00A83CED" w:rsidRPr="000C5EC3" w:rsidRDefault="00A83CED" w:rsidP="00A83CED">
      <w:pPr>
        <w:pStyle w:val="ListParagraph"/>
        <w:numPr>
          <w:ilvl w:val="0"/>
          <w:numId w:val="23"/>
        </w:numPr>
        <w:rPr>
          <w:noProof/>
        </w:rPr>
      </w:pPr>
      <w:r w:rsidRPr="000C5EC3">
        <w:rPr>
          <w:noProof/>
        </w:rPr>
        <w:t>à aligner le style et le format de l’étiquette sur ceux de l’étiquette énergétique, plus connue;</w:t>
      </w:r>
    </w:p>
    <w:p w14:paraId="4BE6618F" w14:textId="3A7F4FD2" w:rsidR="00A83CED" w:rsidRPr="000C5EC3" w:rsidRDefault="00A83CED" w:rsidP="00A83CED">
      <w:pPr>
        <w:pStyle w:val="ListParagraph"/>
        <w:numPr>
          <w:ilvl w:val="0"/>
          <w:numId w:val="23"/>
        </w:numPr>
        <w:rPr>
          <w:noProof/>
        </w:rPr>
      </w:pPr>
      <w:r w:rsidRPr="000C5EC3">
        <w:rPr>
          <w:noProof/>
        </w:rPr>
        <w:t>à réduire le nombre de classes de performance, de sept (A-G) à cinq (A-E), tant pour la résistance au roulement (efficacité énergétique) que pour l’adhérence sur sol mouillé (sécurité), des exigences plus strictes en matière d’homologation de type de la CEE-ONU ayant interdit les pneumatiques qui relèvent des classes les moins performantes figurant sur l’étiquette;</w:t>
      </w:r>
    </w:p>
    <w:p w14:paraId="60399472" w14:textId="0879DD31" w:rsidR="00A83CED" w:rsidRPr="000C5EC3" w:rsidRDefault="00A83CED" w:rsidP="00A83CED">
      <w:pPr>
        <w:pStyle w:val="ListParagraph"/>
        <w:numPr>
          <w:ilvl w:val="0"/>
          <w:numId w:val="23"/>
        </w:numPr>
        <w:rPr>
          <w:noProof/>
        </w:rPr>
      </w:pPr>
      <w:r w:rsidRPr="000C5EC3">
        <w:rPr>
          <w:noProof/>
        </w:rPr>
        <w:t>à exiger l’enregistrement de chaque type de pneumatique dans le registre européen de l’étiquetage énergétique des produits (EPREL) </w:t>
      </w:r>
      <w:r w:rsidRPr="000C5EC3">
        <w:rPr>
          <w:noProof/>
          <w:vertAlign w:val="superscript"/>
        </w:rPr>
        <w:t>(</w:t>
      </w:r>
      <w:r w:rsidRPr="000C5EC3">
        <w:rPr>
          <w:noProof/>
          <w:vertAlign w:val="superscript"/>
        </w:rPr>
        <w:footnoteReference w:id="6"/>
      </w:r>
      <w:r w:rsidRPr="000C5EC3">
        <w:rPr>
          <w:noProof/>
          <w:vertAlign w:val="superscript"/>
        </w:rPr>
        <w:t>)</w:t>
      </w:r>
      <w:r w:rsidRPr="000C5EC3">
        <w:rPr>
          <w:noProof/>
        </w:rPr>
        <w:t>;</w:t>
      </w:r>
    </w:p>
    <w:p w14:paraId="1C00D007" w14:textId="46276343" w:rsidR="00A83CED" w:rsidRPr="000C5EC3" w:rsidRDefault="00A83CED" w:rsidP="00A83CED">
      <w:pPr>
        <w:pStyle w:val="ListParagraph"/>
        <w:numPr>
          <w:ilvl w:val="0"/>
          <w:numId w:val="23"/>
        </w:numPr>
        <w:rPr>
          <w:noProof/>
        </w:rPr>
      </w:pPr>
      <w:r w:rsidRPr="000C5EC3">
        <w:rPr>
          <w:noProof/>
        </w:rPr>
        <w:t>à sensibiliser davantage les consommateurs à l’étiquette des pneumatiques en renforçant les exigences relatives à la présentation de cette dernière aux consommateurs;</w:t>
      </w:r>
    </w:p>
    <w:p w14:paraId="1D841FDE" w14:textId="019F8C30" w:rsidR="00F27061" w:rsidRPr="000C5EC3" w:rsidRDefault="00A83CED" w:rsidP="00F27061">
      <w:pPr>
        <w:pStyle w:val="ListParagraph"/>
        <w:numPr>
          <w:ilvl w:val="0"/>
          <w:numId w:val="23"/>
        </w:numPr>
        <w:rPr>
          <w:noProof/>
        </w:rPr>
      </w:pPr>
      <w:r w:rsidRPr="000C5EC3">
        <w:rPr>
          <w:noProof/>
        </w:rPr>
        <w:t>à habiliter la Commission à adopter certaines modifications au moyen d’actes délégués.</w:t>
      </w:r>
    </w:p>
    <w:p w14:paraId="3FAC21B2" w14:textId="77777777" w:rsidR="00F27061" w:rsidRPr="000C5EC3" w:rsidRDefault="00F27061" w:rsidP="00E37A99">
      <w:pPr>
        <w:rPr>
          <w:noProof/>
        </w:rPr>
      </w:pPr>
    </w:p>
    <w:p w14:paraId="3973BF02" w14:textId="77777777" w:rsidR="006F222C" w:rsidRPr="000C5EC3" w:rsidRDefault="006F222C" w:rsidP="008E2097">
      <w:pPr>
        <w:pStyle w:val="Heading2"/>
        <w:rPr>
          <w:noProof/>
        </w:rPr>
      </w:pPr>
      <w:r w:rsidRPr="000C5EC3">
        <w:rPr>
          <w:noProof/>
        </w:rPr>
        <w:t>Champ d’application du présent rapport</w:t>
      </w:r>
    </w:p>
    <w:p w14:paraId="2873738A" w14:textId="7F15CDE9" w:rsidR="006F222C" w:rsidRPr="000C5EC3" w:rsidRDefault="006F222C" w:rsidP="006F222C">
      <w:pPr>
        <w:rPr>
          <w:noProof/>
        </w:rPr>
      </w:pPr>
      <w:r w:rsidRPr="000C5EC3">
        <w:rPr>
          <w:noProof/>
        </w:rPr>
        <w:t>L’article 15 du règlement de l’UE sur l’étiquetage des pneumatiques impose à la Commission de procéder à une évaluation du règlement et de soumettre un rapport au Parlement européen, au Conseil et au Comité économique et social européen.</w:t>
      </w:r>
      <w:r w:rsidRPr="000C5EC3">
        <w:rPr>
          <w:i/>
          <w:noProof/>
        </w:rPr>
        <w:t xml:space="preserve"> </w:t>
      </w:r>
      <w:r w:rsidRPr="000C5EC3">
        <w:rPr>
          <w:noProof/>
        </w:rPr>
        <w:t>Le rapport a pour objectif d’évaluer «dans quelle mesure le [...] règlement et les actes délégués adoptés en vertu de celui-ci ont effectivement amené les utilisateurs finaux à choisir des pneumatiques plus performants, en tenant compte de l’incidence [...] sur les entreprises, la consommation de carburant, la sécurité, les émissions de gaz à effet de serre, la sensibilisation des consommateurs et les activités de surveillance du marché. Le rapport examine également les coûts et avantages de la vérification obligatoire par des tiers indépendants des informations fournies sur l’étiquette des pneumatiques, en tenant compte de l’expérience acquise dans le cadre plus large établi par le règlement (CE) nº 661/2009».</w:t>
      </w:r>
    </w:p>
    <w:p w14:paraId="3B4C3056" w14:textId="4DF7F546" w:rsidR="00E307E2" w:rsidRPr="000C5EC3" w:rsidDel="000610D0" w:rsidRDefault="00E307E2" w:rsidP="00653373">
      <w:pPr>
        <w:spacing w:after="120"/>
        <w:rPr>
          <w:noProof/>
        </w:rPr>
      </w:pPr>
      <w:r w:rsidRPr="000C5EC3">
        <w:rPr>
          <w:noProof/>
        </w:rPr>
        <w:t>Le présent rapport aborde les thèmes suivants:</w:t>
      </w:r>
    </w:p>
    <w:p w14:paraId="74E72C54" w14:textId="3ED3336B" w:rsidR="00E307E2" w:rsidRPr="000C5EC3" w:rsidRDefault="00617FE0" w:rsidP="00E307E2">
      <w:pPr>
        <w:pStyle w:val="ListParagraph"/>
        <w:numPr>
          <w:ilvl w:val="0"/>
          <w:numId w:val="33"/>
        </w:numPr>
        <w:spacing w:after="120" w:line="264" w:lineRule="auto"/>
        <w:rPr>
          <w:noProof/>
        </w:rPr>
      </w:pPr>
      <w:r w:rsidRPr="000C5EC3">
        <w:rPr>
          <w:noProof/>
        </w:rPr>
        <w:t>la connaissance, la compréhension et l’utilisation de l’étiquette des pneumatiques par les consommateurs;</w:t>
      </w:r>
    </w:p>
    <w:p w14:paraId="639C9198" w14:textId="47686BA8" w:rsidR="00E307E2" w:rsidRPr="000C5EC3" w:rsidRDefault="00617FE0" w:rsidP="00E307E2">
      <w:pPr>
        <w:pStyle w:val="ListParagraph"/>
        <w:numPr>
          <w:ilvl w:val="0"/>
          <w:numId w:val="33"/>
        </w:numPr>
        <w:spacing w:after="120" w:line="264" w:lineRule="auto"/>
        <w:rPr>
          <w:noProof/>
        </w:rPr>
      </w:pPr>
      <w:r w:rsidRPr="000C5EC3">
        <w:rPr>
          <w:noProof/>
        </w:rPr>
        <w:t>l’évolution du marché;</w:t>
      </w:r>
    </w:p>
    <w:p w14:paraId="7D34336A" w14:textId="1CCBABEF" w:rsidR="00B610AE" w:rsidRPr="000C5EC3" w:rsidRDefault="00617FE0" w:rsidP="00E307E2">
      <w:pPr>
        <w:pStyle w:val="ListParagraph"/>
        <w:numPr>
          <w:ilvl w:val="0"/>
          <w:numId w:val="33"/>
        </w:numPr>
        <w:spacing w:after="120" w:line="264" w:lineRule="auto"/>
        <w:rPr>
          <w:noProof/>
        </w:rPr>
      </w:pPr>
      <w:r w:rsidRPr="000C5EC3">
        <w:rPr>
          <w:noProof/>
        </w:rPr>
        <w:t>les actes délégués;</w:t>
      </w:r>
    </w:p>
    <w:p w14:paraId="088A5076" w14:textId="4C8FA16D" w:rsidR="00E307E2" w:rsidRPr="000C5EC3" w:rsidRDefault="00617FE0" w:rsidP="00E307E2">
      <w:pPr>
        <w:pStyle w:val="ListParagraph"/>
        <w:numPr>
          <w:ilvl w:val="0"/>
          <w:numId w:val="33"/>
        </w:numPr>
        <w:spacing w:after="120" w:line="264" w:lineRule="auto"/>
        <w:rPr>
          <w:noProof/>
        </w:rPr>
      </w:pPr>
      <w:r w:rsidRPr="000C5EC3">
        <w:rPr>
          <w:noProof/>
        </w:rPr>
        <w:t>la surveillance du marché et le contrôle de l’application de la législation;</w:t>
      </w:r>
    </w:p>
    <w:p w14:paraId="3D3D62FC" w14:textId="3D30B5E1" w:rsidR="00E307E2" w:rsidRPr="000C5EC3" w:rsidRDefault="00617FE0" w:rsidP="00E307E2">
      <w:pPr>
        <w:pStyle w:val="ListParagraph"/>
        <w:numPr>
          <w:ilvl w:val="0"/>
          <w:numId w:val="33"/>
        </w:numPr>
        <w:spacing w:after="120" w:line="264" w:lineRule="auto"/>
        <w:rPr>
          <w:noProof/>
        </w:rPr>
      </w:pPr>
      <w:r w:rsidRPr="000C5EC3">
        <w:rPr>
          <w:noProof/>
        </w:rPr>
        <w:t>la vérification et les essais par des tiers;</w:t>
      </w:r>
    </w:p>
    <w:p w14:paraId="2FC4B1F8" w14:textId="10BE4611" w:rsidR="00B610AE" w:rsidRPr="000C5EC3" w:rsidRDefault="00617FE0" w:rsidP="00E307E2">
      <w:pPr>
        <w:pStyle w:val="ListParagraph"/>
        <w:numPr>
          <w:ilvl w:val="0"/>
          <w:numId w:val="33"/>
        </w:numPr>
        <w:spacing w:after="120" w:line="264" w:lineRule="auto"/>
        <w:rPr>
          <w:noProof/>
        </w:rPr>
      </w:pPr>
      <w:r w:rsidRPr="000C5EC3">
        <w:rPr>
          <w:noProof/>
        </w:rPr>
        <w:t>l’alignement des machines d’essai;</w:t>
      </w:r>
    </w:p>
    <w:p w14:paraId="1ADBAC73" w14:textId="6E92BF08" w:rsidR="00A15F2F" w:rsidRPr="000C5EC3" w:rsidRDefault="00617FE0" w:rsidP="00E307E2">
      <w:pPr>
        <w:pStyle w:val="ListParagraph"/>
        <w:numPr>
          <w:ilvl w:val="0"/>
          <w:numId w:val="33"/>
        </w:numPr>
        <w:spacing w:after="120" w:line="264" w:lineRule="auto"/>
        <w:rPr>
          <w:noProof/>
        </w:rPr>
      </w:pPr>
      <w:r w:rsidRPr="000C5EC3">
        <w:rPr>
          <w:noProof/>
        </w:rPr>
        <w:t>les problèmes recensés dans le cadre de la mise en œuvre.</w:t>
      </w:r>
    </w:p>
    <w:p w14:paraId="628DA939" w14:textId="48030D70" w:rsidR="00FF3E63" w:rsidRPr="000C5EC3" w:rsidRDefault="00C827EE" w:rsidP="006F222C">
      <w:pPr>
        <w:rPr>
          <w:noProof/>
        </w:rPr>
      </w:pPr>
      <w:r w:rsidRPr="000C5EC3">
        <w:rPr>
          <w:noProof/>
        </w:rPr>
        <w:t>Certains aspects sont étudiés dans le cadre de l’analyse d’impact accompagnant la proposition de simplification omnibus relative à la législation sur les produits efficaces sur le plan énergétique adoptée parallèlement au présent rapport et à l’analyse sous-jacente, sur lesquels elle s’appuie. Un rapport distinct sur la mise en œuvre du règlement sur l’étiquetage énergétique [règlement (UE) 2017/1369] est adopté parallèlement au présent rapport.</w:t>
      </w:r>
    </w:p>
    <w:p w14:paraId="7024375E" w14:textId="77777777" w:rsidR="006F222C" w:rsidRPr="000C5EC3" w:rsidRDefault="006F222C" w:rsidP="006F222C">
      <w:pPr>
        <w:pStyle w:val="Heading2"/>
        <w:rPr>
          <w:noProof/>
        </w:rPr>
      </w:pPr>
      <w:r w:rsidRPr="000C5EC3">
        <w:rPr>
          <w:noProof/>
        </w:rPr>
        <w:t>Base analytique</w:t>
      </w:r>
    </w:p>
    <w:p w14:paraId="04D731AF" w14:textId="3781216B" w:rsidR="00C508FF" w:rsidRPr="000C5EC3" w:rsidRDefault="00204326" w:rsidP="00653373">
      <w:pPr>
        <w:spacing w:after="120"/>
        <w:rPr>
          <w:noProof/>
        </w:rPr>
      </w:pPr>
      <w:r w:rsidRPr="000C5EC3">
        <w:rPr>
          <w:noProof/>
        </w:rPr>
        <w:t>Le présent rapport s’appuie sur plusieurs sources de données et de contributions, notamment:</w:t>
      </w:r>
    </w:p>
    <w:p w14:paraId="0CAA1ECB" w14:textId="01FDBB73" w:rsidR="00204326" w:rsidRPr="000C5EC3" w:rsidRDefault="00204326" w:rsidP="00C508FF">
      <w:pPr>
        <w:pStyle w:val="ListParagraph"/>
        <w:numPr>
          <w:ilvl w:val="0"/>
          <w:numId w:val="34"/>
        </w:numPr>
        <w:rPr>
          <w:noProof/>
        </w:rPr>
      </w:pPr>
      <w:r w:rsidRPr="000C5EC3">
        <w:rPr>
          <w:noProof/>
        </w:rPr>
        <w:t xml:space="preserve">une enquête auprès des consommateurs et des revendeurs de pneumatiques et de véhicules </w:t>
      </w:r>
      <w:r w:rsidRPr="000C5EC3">
        <w:rPr>
          <w:noProof/>
          <w:vertAlign w:val="superscript"/>
        </w:rPr>
        <w:t>(</w:t>
      </w:r>
      <w:r w:rsidRPr="000C5EC3">
        <w:rPr>
          <w:rStyle w:val="FootnoteReference"/>
          <w:noProof/>
        </w:rPr>
        <w:footnoteReference w:id="7"/>
      </w:r>
      <w:r w:rsidRPr="000C5EC3">
        <w:rPr>
          <w:noProof/>
          <w:vertAlign w:val="superscript"/>
        </w:rPr>
        <w:t>)</w:t>
      </w:r>
      <w:r w:rsidRPr="000C5EC3">
        <w:rPr>
          <w:noProof/>
        </w:rPr>
        <w:t>;</w:t>
      </w:r>
    </w:p>
    <w:p w14:paraId="768BF9EB" w14:textId="00B6C1E1" w:rsidR="00C508FF" w:rsidRPr="000C5EC3" w:rsidRDefault="00C508FF" w:rsidP="00C508FF">
      <w:pPr>
        <w:pStyle w:val="ListParagraph"/>
        <w:numPr>
          <w:ilvl w:val="0"/>
          <w:numId w:val="34"/>
        </w:numPr>
        <w:rPr>
          <w:noProof/>
        </w:rPr>
      </w:pPr>
      <w:r w:rsidRPr="000C5EC3">
        <w:rPr>
          <w:noProof/>
        </w:rPr>
        <w:t>les données EPREL pour l’enregistrement des pneumatiques;</w:t>
      </w:r>
    </w:p>
    <w:p w14:paraId="192BB543" w14:textId="7E0CDEB3" w:rsidR="00272C4A" w:rsidRPr="000C5EC3" w:rsidRDefault="00540A81" w:rsidP="007E676D">
      <w:pPr>
        <w:pStyle w:val="ListParagraph"/>
        <w:numPr>
          <w:ilvl w:val="0"/>
          <w:numId w:val="34"/>
        </w:numPr>
        <w:rPr>
          <w:noProof/>
        </w:rPr>
      </w:pPr>
      <w:r w:rsidRPr="000C5EC3">
        <w:rPr>
          <w:noProof/>
        </w:rPr>
        <w:t>les contributions des parties prenantes et des autorités, y compris dans le cadre des travaux de divers groupes de travail, dont le groupe de coopération administrative (AdCo) pour l’étiquetage des pneumatiques </w:t>
      </w:r>
      <w:r w:rsidRPr="000C5EC3">
        <w:rPr>
          <w:noProof/>
          <w:vertAlign w:val="superscript"/>
        </w:rPr>
        <w:t>(</w:t>
      </w:r>
      <w:r w:rsidRPr="000C5EC3">
        <w:rPr>
          <w:rStyle w:val="FootnoteReference"/>
          <w:noProof/>
        </w:rPr>
        <w:footnoteReference w:id="8"/>
      </w:r>
      <w:r w:rsidRPr="000C5EC3">
        <w:rPr>
          <w:noProof/>
          <w:vertAlign w:val="superscript"/>
        </w:rPr>
        <w:t>)</w:t>
      </w:r>
      <w:r w:rsidRPr="000C5EC3">
        <w:rPr>
          <w:noProof/>
        </w:rPr>
        <w:t xml:space="preserve"> et le groupe d’experts sur l’alignement des laboratoires pour la mesure de la résistance au roulement des pneumatiques </w:t>
      </w:r>
      <w:r w:rsidRPr="000C5EC3">
        <w:rPr>
          <w:noProof/>
          <w:vertAlign w:val="superscript"/>
        </w:rPr>
        <w:t>(</w:t>
      </w:r>
      <w:r w:rsidRPr="000C5EC3">
        <w:rPr>
          <w:rStyle w:val="FootnoteReference"/>
          <w:noProof/>
        </w:rPr>
        <w:footnoteReference w:id="9"/>
      </w:r>
      <w:r w:rsidRPr="000C5EC3">
        <w:rPr>
          <w:noProof/>
          <w:vertAlign w:val="superscript"/>
        </w:rPr>
        <w:t>)</w:t>
      </w:r>
      <w:r w:rsidRPr="000C5EC3">
        <w:rPr>
          <w:noProof/>
        </w:rPr>
        <w:t>;</w:t>
      </w:r>
    </w:p>
    <w:p w14:paraId="7BEA04D9" w14:textId="4B275D32" w:rsidR="001E4066" w:rsidRPr="000C5EC3" w:rsidRDefault="00311D1C" w:rsidP="00E37A99">
      <w:pPr>
        <w:pStyle w:val="ListParagraph"/>
        <w:numPr>
          <w:ilvl w:val="0"/>
          <w:numId w:val="34"/>
        </w:numPr>
        <w:rPr>
          <w:noProof/>
        </w:rPr>
      </w:pPr>
      <w:r w:rsidRPr="000C5EC3">
        <w:rPr>
          <w:noProof/>
        </w:rPr>
        <w:t>le système d’information et de communication pour la surveillance des marchés (l’«ICSMS») </w:t>
      </w:r>
      <w:r w:rsidRPr="000C5EC3">
        <w:rPr>
          <w:noProof/>
          <w:vertAlign w:val="superscript"/>
        </w:rPr>
        <w:t>(</w:t>
      </w:r>
      <w:r w:rsidRPr="000C5EC3">
        <w:rPr>
          <w:rStyle w:val="FootnoteReference"/>
          <w:noProof/>
        </w:rPr>
        <w:footnoteReference w:id="10"/>
      </w:r>
      <w:r w:rsidRPr="000C5EC3">
        <w:rPr>
          <w:noProof/>
          <w:vertAlign w:val="superscript"/>
        </w:rPr>
        <w:t>)</w:t>
      </w:r>
      <w:r w:rsidRPr="000C5EC3">
        <w:rPr>
          <w:noProof/>
        </w:rPr>
        <w:t xml:space="preserve">; </w:t>
      </w:r>
    </w:p>
    <w:p w14:paraId="041102A1" w14:textId="4EC87483" w:rsidR="002A60E3" w:rsidRPr="000C5EC3" w:rsidRDefault="00204326" w:rsidP="00E37A99">
      <w:pPr>
        <w:pStyle w:val="ListParagraph"/>
        <w:numPr>
          <w:ilvl w:val="0"/>
          <w:numId w:val="34"/>
        </w:numPr>
        <w:rPr>
          <w:noProof/>
        </w:rPr>
      </w:pPr>
      <w:r w:rsidRPr="000C5EC3">
        <w:rPr>
          <w:noProof/>
        </w:rPr>
        <w:t>d’autres analyses et ressources accessibles au public.</w:t>
      </w:r>
      <w:bookmarkStart w:id="3" w:name="_Toc213083336"/>
    </w:p>
    <w:p w14:paraId="24764579" w14:textId="77777777" w:rsidR="00971E00" w:rsidRPr="000C5EC3" w:rsidRDefault="00971E00" w:rsidP="00AB212E">
      <w:pPr>
        <w:pStyle w:val="Heading1"/>
        <w:rPr>
          <w:noProof/>
        </w:rPr>
      </w:pPr>
      <w:r w:rsidRPr="000C5EC3">
        <w:rPr>
          <w:noProof/>
        </w:rPr>
        <w:t>La nouvelle conception de l’étiquette des pneumatiques</w:t>
      </w:r>
      <w:bookmarkEnd w:id="3"/>
    </w:p>
    <w:p w14:paraId="6853F02C" w14:textId="24E27A84" w:rsidR="00971E00" w:rsidRPr="000C5EC3" w:rsidRDefault="00971E00">
      <w:pPr>
        <w:widowControl w:val="0"/>
        <w:spacing w:after="120"/>
        <w:rPr>
          <w:noProof/>
        </w:rPr>
      </w:pPr>
      <w:r w:rsidRPr="000C5EC3">
        <w:rPr>
          <w:noProof/>
        </w:rPr>
        <w:t>Une étude à l’appui du réexamen réalisée en 2018 </w:t>
      </w:r>
      <w:r w:rsidRPr="000C5EC3">
        <w:rPr>
          <w:noProof/>
          <w:vertAlign w:val="superscript"/>
        </w:rPr>
        <w:t>(</w:t>
      </w:r>
      <w:r w:rsidRPr="000C5EC3">
        <w:rPr>
          <w:rStyle w:val="FootnoteReference"/>
          <w:noProof/>
        </w:rPr>
        <w:footnoteReference w:id="11"/>
      </w:r>
      <w:r w:rsidRPr="000C5EC3">
        <w:rPr>
          <w:noProof/>
          <w:vertAlign w:val="superscript"/>
        </w:rPr>
        <w:t>)</w:t>
      </w:r>
      <w:r w:rsidRPr="000C5EC3">
        <w:rPr>
          <w:noProof/>
        </w:rPr>
        <w:t xml:space="preserve"> a révélé que l’étiquette des pneumatiques n’avait pas atteint son plein potentiel parce que les utilisateurs finaux n’étaient pas suffisamment informés de son existence et que son utilisation n’était pas correctement imposée par les autorités de surveillance du marché. L’étude a également montré que certains facteurs intrinsèques entravaient le succès de l’étiquette, tels qu’une subdivision peu claire des classes de performance, des informations inexactes et incomplètes et un manque de confiance dans ce que certains répondants considéraient comme une autodéclaration.</w:t>
      </w:r>
    </w:p>
    <w:p w14:paraId="6986D2E8" w14:textId="62DE8EFB" w:rsidR="005444B1" w:rsidRPr="000C5EC3" w:rsidRDefault="000C5EC3" w:rsidP="005444B1">
      <w:pPr>
        <w:keepNext/>
        <w:jc w:val="center"/>
        <w:rPr>
          <w:noProof/>
        </w:rPr>
      </w:pPr>
      <w:r w:rsidRPr="000C5EC3">
        <w:rPr>
          <w:noProof/>
          <w:lang w:val="en-GB" w:eastAsia="en-GB"/>
        </w:rPr>
        <w:drawing>
          <wp:inline distT="0" distB="0" distL="0" distR="0" wp14:anchorId="72C7DC32" wp14:editId="041570DA">
            <wp:extent cx="5472430" cy="2722880"/>
            <wp:effectExtent l="0" t="0" r="0" b="1270"/>
            <wp:docPr id="7661312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72430" cy="2722880"/>
                    </a:xfrm>
                    <a:prstGeom prst="rect">
                      <a:avLst/>
                    </a:prstGeom>
                    <a:noFill/>
                    <a:ln>
                      <a:noFill/>
                    </a:ln>
                  </pic:spPr>
                </pic:pic>
              </a:graphicData>
            </a:graphic>
          </wp:inline>
        </w:drawing>
      </w:r>
      <w:r w:rsidR="00CA2669" w:rsidRPr="000C5EC3">
        <w:rPr>
          <w:noProof/>
          <w:lang w:val="en-GB" w:eastAsia="en-GB"/>
        </w:rPr>
        <mc:AlternateContent>
          <mc:Choice Requires="wps">
            <w:drawing>
              <wp:anchor distT="0" distB="0" distL="114300" distR="114300" simplePos="0" relativeHeight="251664386" behindDoc="0" locked="0" layoutInCell="1" allowOverlap="1" wp14:anchorId="5612CD96" wp14:editId="0ED36834">
                <wp:simplePos x="0" y="0"/>
                <wp:positionH relativeFrom="margin">
                  <wp:posOffset>2921997</wp:posOffset>
                </wp:positionH>
                <wp:positionV relativeFrom="paragraph">
                  <wp:posOffset>2533378</wp:posOffset>
                </wp:positionV>
                <wp:extent cx="908957" cy="183999"/>
                <wp:effectExtent l="0" t="0" r="5715" b="6985"/>
                <wp:wrapNone/>
                <wp:docPr id="20280872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8957" cy="183999"/>
                        </a:xfrm>
                        <a:prstGeom prst="rect">
                          <a:avLst/>
                        </a:prstGeom>
                        <a:solidFill>
                          <a:sysClr val="window" lastClr="FFFFFF"/>
                        </a:solidFill>
                        <a:ln w="6350">
                          <a:noFill/>
                        </a:ln>
                      </wps:spPr>
                      <wps:txbx>
                        <w:txbxContent>
                          <w:p w14:paraId="221F8943" w14:textId="77777777" w:rsidR="005444B1" w:rsidRPr="000C5EC3" w:rsidRDefault="005444B1" w:rsidP="005444B1">
                            <w:pPr>
                              <w:widowControl w:val="0"/>
                              <w:spacing w:after="0"/>
                              <w:contextualSpacing/>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5612CD96" id="_x0000_t202" coordsize="21600,21600" o:spt="202" path="m,l,21600r21600,l21600,xe">
                <v:stroke joinstyle="miter"/>
                <v:path gradientshapeok="t" o:connecttype="rect"/>
              </v:shapetype>
              <v:shape id="Text Box 1" o:spid="_x0000_s1026" type="#_x0000_t202" style="position:absolute;left:0;text-align:left;margin-left:230.1pt;margin-top:199.5pt;width:71.55pt;height:14.5pt;z-index:25166438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" fillcolor="window" stroked="f" strokeweight=".5pt">
                <v:path arrowok="t"/>
                <v:textbox>
                  <w:txbxContent>
                    <w:p w14:paraId="221F8943" w14:textId="77777777" w:rsidR="005444B1" w:rsidRPr="000C5EC3" w:rsidRDefault="005444B1" w:rsidP="005444B1">
                      <w:pPr>
                        <w:widowControl w:val="0"/>
                        <w:spacing w:after="0"/>
                        <w:contextualSpacing/>
                        <w:rPr>
                          <w:rFonts w:ascii="Arial" w:hAnsi="Arial" w:cs="Arial"/>
                          <w:sz w:val="16"/>
                          <w:szCs w:val="16"/>
                        </w:rPr>
                      </w:pPr>
                    </w:p>
                  </w:txbxContent>
                </v:textbox>
                <w10:wrap anchorx="margin"/>
              </v:shape>
            </w:pict>
          </mc:Fallback>
        </mc:AlternateContent>
      </w:r>
    </w:p>
    <w:p w14:paraId="486732D0" w14:textId="10BABB4D" w:rsidR="00971E00" w:rsidRPr="000C5EC3" w:rsidRDefault="00971E00">
      <w:pPr>
        <w:pStyle w:val="Caption"/>
        <w:rPr>
          <w:noProof/>
        </w:rPr>
      </w:pPr>
      <w:bookmarkStart w:id="4" w:name="_Ref211607424"/>
      <w:r w:rsidRPr="000C5EC3">
        <w:rPr>
          <w:noProof/>
        </w:rPr>
        <w:t>Figure </w:t>
      </w:r>
      <w:r w:rsidR="005A5537">
        <w:rPr>
          <w:noProof/>
        </w:rPr>
        <w:fldChar w:fldCharType="begin"/>
      </w:r>
      <w:r w:rsidR="005A5537">
        <w:rPr>
          <w:noProof/>
        </w:rPr>
        <w:instrText xml:space="preserve"> SEQ Figure \* ARABIC </w:instrText>
      </w:r>
      <w:r w:rsidR="005A5537">
        <w:rPr>
          <w:noProof/>
        </w:rPr>
        <w:fldChar w:fldCharType="separate"/>
      </w:r>
      <w:r w:rsidRPr="000C5EC3">
        <w:rPr>
          <w:noProof/>
        </w:rPr>
        <w:t>1</w:t>
      </w:r>
      <w:r w:rsidR="005A5537">
        <w:rPr>
          <w:noProof/>
        </w:rPr>
        <w:fldChar w:fldCharType="end"/>
      </w:r>
      <w:bookmarkEnd w:id="4"/>
      <w:r w:rsidRPr="000C5EC3">
        <w:rPr>
          <w:noProof/>
        </w:rPr>
        <w:t xml:space="preserve">.  </w:t>
      </w:r>
      <w:r w:rsidRPr="000C5EC3">
        <w:rPr>
          <w:i w:val="0"/>
          <w:noProof/>
        </w:rPr>
        <w:t>Illustration de l’étiquette des pneumatiques initiale (2012) et de la (nouvelle) étiquette révisée (2021).</w:t>
      </w:r>
    </w:p>
    <w:p w14:paraId="599A5628" w14:textId="58A259FB" w:rsidR="00971E00" w:rsidRPr="000C5EC3" w:rsidRDefault="00971E00">
      <w:pPr>
        <w:spacing w:after="120"/>
        <w:rPr>
          <w:noProof/>
        </w:rPr>
      </w:pPr>
      <w:r w:rsidRPr="000C5EC3">
        <w:rPr>
          <w:noProof/>
        </w:rPr>
        <w:t>La législation actualisée sur l’étiquetage des pneumatiques s’applique depuis le 1</w:t>
      </w:r>
      <w:r w:rsidRPr="000C5EC3">
        <w:rPr>
          <w:noProof/>
          <w:vertAlign w:val="superscript"/>
        </w:rPr>
        <w:t>er</w:t>
      </w:r>
      <w:r w:rsidRPr="000C5EC3">
        <w:rPr>
          <w:noProof/>
        </w:rPr>
        <w:t xml:space="preserve"> mai 2021. La </w:t>
      </w:r>
      <w:r w:rsidRPr="000C5EC3">
        <w:rPr>
          <w:noProof/>
        </w:rPr>
        <w:fldChar w:fldCharType="begin"/>
      </w:r>
      <w:r w:rsidRPr="000C5EC3">
        <w:rPr>
          <w:noProof/>
        </w:rPr>
        <w:instrText xml:space="preserve"> REF _Ref211607424 \h  \* MERGEFORMAT </w:instrText>
      </w:r>
      <w:r w:rsidRPr="000C5EC3">
        <w:rPr>
          <w:noProof/>
        </w:rPr>
      </w:r>
      <w:r w:rsidRPr="000C5EC3">
        <w:rPr>
          <w:noProof/>
        </w:rPr>
        <w:fldChar w:fldCharType="separate"/>
      </w:r>
      <w:r w:rsidRPr="000C5EC3">
        <w:rPr>
          <w:noProof/>
        </w:rPr>
        <w:t>Figure 1</w:t>
      </w:r>
      <w:r w:rsidRPr="000C5EC3">
        <w:rPr>
          <w:noProof/>
        </w:rPr>
        <w:fldChar w:fldCharType="end"/>
      </w:r>
      <w:r w:rsidRPr="000C5EC3">
        <w:rPr>
          <w:noProof/>
        </w:rPr>
        <w:t xml:space="preserve"> compare l’étiquette initiale et l’étiquette révisée. La nouvelle étiquette comporte plusieurs éléments nouveaux:</w:t>
      </w:r>
    </w:p>
    <w:p w14:paraId="10E8317F" w14:textId="7AB6281C" w:rsidR="00971E00" w:rsidRPr="000C5EC3" w:rsidRDefault="00617FE0" w:rsidP="00EC7481">
      <w:pPr>
        <w:pStyle w:val="ListParagraph"/>
        <w:numPr>
          <w:ilvl w:val="0"/>
          <w:numId w:val="24"/>
        </w:numPr>
        <w:rPr>
          <w:noProof/>
        </w:rPr>
      </w:pPr>
      <w:r w:rsidRPr="000C5EC3">
        <w:rPr>
          <w:noProof/>
        </w:rPr>
        <w:t>la résistance au roulement. Les classes les plus basses ont été remaniées pour devenir D et E, éliminant la classe D vide pour les pneumatiques C1 et C2 </w:t>
      </w:r>
      <w:r w:rsidRPr="000C5EC3">
        <w:rPr>
          <w:noProof/>
          <w:vertAlign w:val="superscript"/>
        </w:rPr>
        <w:t>(</w:t>
      </w:r>
      <w:r w:rsidRPr="000C5EC3">
        <w:rPr>
          <w:noProof/>
          <w:vertAlign w:val="superscript"/>
        </w:rPr>
        <w:footnoteReference w:id="12"/>
      </w:r>
      <w:r w:rsidRPr="000C5EC3">
        <w:rPr>
          <w:noProof/>
          <w:vertAlign w:val="superscript"/>
        </w:rPr>
        <w:t>)</w:t>
      </w:r>
      <w:r w:rsidRPr="000C5EC3">
        <w:rPr>
          <w:noProof/>
        </w:rPr>
        <w:t>. La même fourchette de valeurs a été conservée pour chaque type de pneumatique;</w:t>
      </w:r>
    </w:p>
    <w:p w14:paraId="36BF9D5E" w14:textId="1A257F7F" w:rsidR="00971E00" w:rsidRPr="000C5EC3" w:rsidRDefault="00617FE0" w:rsidP="00EC7481">
      <w:pPr>
        <w:pStyle w:val="ListParagraph"/>
        <w:numPr>
          <w:ilvl w:val="0"/>
          <w:numId w:val="24"/>
        </w:numPr>
        <w:rPr>
          <w:noProof/>
        </w:rPr>
      </w:pPr>
      <w:r w:rsidRPr="000C5EC3">
        <w:rPr>
          <w:noProof/>
        </w:rPr>
        <w:t>l’adhérence sur sol mouillé. Les classes d’étiquettes ont été remaniées et la classe D vide a été supprimée. Des flèches de différentes nuances de bleu ont été ajoutées à l’échelle d’adhérence sur sol mouillé (évacuation de l’eau), afin de distinguer les aspects liés à la sécurité de ceux liés à l’énergie;</w:t>
      </w:r>
    </w:p>
    <w:p w14:paraId="7004FCE2" w14:textId="670C8CE0" w:rsidR="00971E00" w:rsidRPr="000C5EC3" w:rsidRDefault="00617FE0" w:rsidP="00EC7481">
      <w:pPr>
        <w:pStyle w:val="ListParagraph"/>
        <w:numPr>
          <w:ilvl w:val="0"/>
          <w:numId w:val="24"/>
        </w:numPr>
        <w:rPr>
          <w:noProof/>
        </w:rPr>
      </w:pPr>
      <w:r w:rsidRPr="000C5EC3">
        <w:rPr>
          <w:noProof/>
        </w:rPr>
        <w:t>le bruit de roulement externe. L’indication de classe a été alignée sur d’autres étiquettes énergétiques qui se fondent sur une échelle de lettres. Le niveau sonore est exprimé en décibels (comme pour les autres produits étiquetés) et un pictogramme avec des ondes sonores a été retenu;</w:t>
      </w:r>
    </w:p>
    <w:p w14:paraId="119F56FC" w14:textId="3E1CD625" w:rsidR="00971E00" w:rsidRPr="000C5EC3" w:rsidRDefault="00617FE0" w:rsidP="00E821B0">
      <w:pPr>
        <w:pStyle w:val="ListParagraph"/>
        <w:numPr>
          <w:ilvl w:val="0"/>
          <w:numId w:val="24"/>
        </w:numPr>
        <w:rPr>
          <w:noProof/>
        </w:rPr>
      </w:pPr>
      <w:r w:rsidRPr="000C5EC3">
        <w:rPr>
          <w:noProof/>
        </w:rPr>
        <w:t>deux nouveaux pictogrammes ont été ajoutés pour les pneumatiques homologués pour une utilisation dans des conditions de neige et de verglas extrêmes </w:t>
      </w:r>
      <w:r w:rsidRPr="000C5EC3">
        <w:rPr>
          <w:noProof/>
          <w:vertAlign w:val="superscript"/>
        </w:rPr>
        <w:t>(</w:t>
      </w:r>
      <w:r w:rsidRPr="000C5EC3">
        <w:rPr>
          <w:noProof/>
          <w:vertAlign w:val="superscript"/>
        </w:rPr>
        <w:footnoteReference w:id="13"/>
      </w:r>
      <w:r w:rsidRPr="000C5EC3">
        <w:rPr>
          <w:noProof/>
          <w:vertAlign w:val="superscript"/>
        </w:rPr>
        <w:t>)</w:t>
      </w:r>
      <w:r w:rsidRPr="000C5EC3">
        <w:rPr>
          <w:noProof/>
        </w:rPr>
        <w:t>.</w:t>
      </w:r>
    </w:p>
    <w:p w14:paraId="219DC3B1" w14:textId="77777777" w:rsidR="00BD61DF" w:rsidRPr="000C5EC3" w:rsidRDefault="00BD61DF" w:rsidP="00BD61DF">
      <w:pPr>
        <w:pStyle w:val="Heading1"/>
        <w:rPr>
          <w:noProof/>
        </w:rPr>
      </w:pPr>
      <w:bookmarkStart w:id="5" w:name="_Toc213083337"/>
      <w:r w:rsidRPr="000C5EC3">
        <w:rPr>
          <w:noProof/>
        </w:rPr>
        <w:t>Connaissance, utilisation et compréhension de l’étiquette des pneumatiques par les consommateurs</w:t>
      </w:r>
    </w:p>
    <w:p w14:paraId="3C691E90" w14:textId="1A5B1438" w:rsidR="00E505A9" w:rsidRDefault="00BD61DF" w:rsidP="00BD61DF">
      <w:pPr>
        <w:rPr>
          <w:noProof/>
        </w:rPr>
      </w:pPr>
      <w:r w:rsidRPr="000C5EC3">
        <w:rPr>
          <w:noProof/>
        </w:rPr>
        <w:t>La compréhension de l’étiquette des pneumatiques par les consommateurs a été testée dans le cadre d’une enquête menée auprès de ces derniers. Les principales conclusions sont résumées ci-dessous.</w:t>
      </w:r>
    </w:p>
    <w:p w14:paraId="3323565A" w14:textId="77777777" w:rsidR="00E505A9" w:rsidRDefault="00E505A9">
      <w:pPr>
        <w:spacing w:after="0"/>
        <w:jc w:val="left"/>
        <w:rPr>
          <w:noProof/>
        </w:rPr>
      </w:pPr>
      <w:r>
        <w:rPr>
          <w:noProof/>
        </w:rPr>
        <w:br w:type="page"/>
      </w:r>
    </w:p>
    <w:p w14:paraId="3E889F7B" w14:textId="77777777" w:rsidR="00BD61DF" w:rsidRPr="000C5EC3" w:rsidRDefault="00BD61DF" w:rsidP="00BD61DF">
      <w:pPr>
        <w:rPr>
          <w:noProof/>
        </w:rPr>
      </w:pPr>
    </w:p>
    <w:p w14:paraId="27C65C2C" w14:textId="2B655C99" w:rsidR="00BD61DF" w:rsidRPr="000C5EC3" w:rsidRDefault="00E505A9" w:rsidP="00BD61DF">
      <w:pPr>
        <w:jc w:val="right"/>
        <w:rPr>
          <w:noProof/>
        </w:rPr>
      </w:pPr>
      <w:r w:rsidRPr="00E505A9">
        <w:rPr>
          <w:noProof/>
          <w:lang w:val="en-GB" w:eastAsia="en-GB"/>
        </w:rPr>
        <w:drawing>
          <wp:inline distT="0" distB="0" distL="0" distR="0" wp14:anchorId="6A9E21E3" wp14:editId="76785E46">
            <wp:extent cx="3753335" cy="2469970"/>
            <wp:effectExtent l="0" t="0" r="0" b="0"/>
            <wp:docPr id="5293411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89459" cy="2493742"/>
                    </a:xfrm>
                    <a:prstGeom prst="rect">
                      <a:avLst/>
                    </a:prstGeom>
                    <a:noFill/>
                    <a:ln>
                      <a:noFill/>
                    </a:ln>
                  </pic:spPr>
                </pic:pic>
              </a:graphicData>
            </a:graphic>
          </wp:inline>
        </w:drawing>
      </w:r>
      <w:r w:rsidR="005444B1" w:rsidRPr="000C5EC3">
        <w:rPr>
          <w:noProof/>
          <w:lang w:val="en-GB" w:eastAsia="en-GB"/>
        </w:rPr>
        <mc:AlternateContent>
          <mc:Choice Requires="wps">
            <w:drawing>
              <wp:anchor distT="0" distB="0" distL="114300" distR="114300" simplePos="0" relativeHeight="251671554" behindDoc="0" locked="0" layoutInCell="1" allowOverlap="1" wp14:anchorId="05ABC875" wp14:editId="02FBE280">
                <wp:simplePos x="0" y="0"/>
                <wp:positionH relativeFrom="margin">
                  <wp:posOffset>1033145</wp:posOffset>
                </wp:positionH>
                <wp:positionV relativeFrom="paragraph">
                  <wp:posOffset>635635</wp:posOffset>
                </wp:positionV>
                <wp:extent cx="325755" cy="232410"/>
                <wp:effectExtent l="0" t="0" r="0" b="0"/>
                <wp:wrapNone/>
                <wp:docPr id="22295963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 cy="232410"/>
                        </a:xfrm>
                        <a:prstGeom prst="rect">
                          <a:avLst/>
                        </a:prstGeom>
                        <a:solidFill>
                          <a:sysClr val="window" lastClr="FFFFFF"/>
                        </a:solidFill>
                        <a:ln w="6350">
                          <a:noFill/>
                        </a:ln>
                      </wps:spPr>
                      <wps:txbx>
                        <w:txbxContent>
                          <w:p w14:paraId="06994783" w14:textId="77777777" w:rsidR="005444B1" w:rsidRPr="000C5EC3" w:rsidRDefault="005444B1" w:rsidP="005444B1">
                            <w:pPr>
                              <w:widowControl w:val="0"/>
                              <w:spacing w:after="0"/>
                              <w:contextualSpacing/>
                              <w:jc w:val="left"/>
                              <w:rPr>
                                <w:rFonts w:ascii="Arial Narrow" w:hAnsi="Arial Narrow" w:cs="Arial"/>
                                <w:sz w:val="10"/>
                                <w:szCs w:val="10"/>
                              </w:rPr>
                            </w:pPr>
                            <w:r w:rsidRPr="000C5EC3">
                              <w:rPr>
                                <w:rFonts w:ascii="Arial Narrow" w:hAnsi="Arial Narrow"/>
                                <w:sz w:val="10"/>
                              </w:rPr>
                              <w:t>TYPE</w:t>
                            </w:r>
                          </w:p>
                          <w:p w14:paraId="41590E4F" w14:textId="77777777" w:rsidR="005444B1" w:rsidRPr="000C5EC3" w:rsidRDefault="005444B1" w:rsidP="005444B1">
                            <w:pPr>
                              <w:widowControl w:val="0"/>
                              <w:spacing w:after="0"/>
                              <w:contextualSpacing/>
                              <w:jc w:val="left"/>
                              <w:rPr>
                                <w:rFonts w:ascii="Arial Narrow" w:hAnsi="Arial Narrow" w:cs="Arial"/>
                                <w:sz w:val="10"/>
                                <w:szCs w:val="10"/>
                              </w:rPr>
                            </w:pPr>
                            <w:r w:rsidRPr="000C5EC3">
                              <w:rPr>
                                <w:rFonts w:ascii="Arial Narrow" w:hAnsi="Arial Narrow"/>
                                <w:sz w:val="10"/>
                              </w:rPr>
                              <w:t>Classe</w:t>
                            </w:r>
                          </w:p>
                          <w:p w14:paraId="1086BC80" w14:textId="77777777" w:rsidR="005444B1" w:rsidRPr="000C5EC3" w:rsidRDefault="005444B1" w:rsidP="005444B1">
                            <w:pPr>
                              <w:widowControl w:val="0"/>
                              <w:spacing w:after="0"/>
                              <w:contextualSpacing/>
                              <w:jc w:val="left"/>
                              <w:rPr>
                                <w:rFonts w:ascii="Arial Narrow" w:hAnsi="Arial Narrow" w:cs="Arial"/>
                                <w:sz w:val="10"/>
                                <w:szCs w:val="10"/>
                              </w:rPr>
                            </w:pPr>
                            <w:r w:rsidRPr="000C5EC3">
                              <w:rPr>
                                <w:rFonts w:ascii="Arial Narrow" w:hAnsi="Arial Narrow"/>
                                <w:sz w:val="10"/>
                              </w:rPr>
                              <w:t>Calibre</w:t>
                            </w:r>
                          </w:p>
                          <w:p w14:paraId="1BFA3F23" w14:textId="77777777" w:rsidR="005444B1" w:rsidRPr="000C5EC3" w:rsidRDefault="005444B1" w:rsidP="005444B1">
                            <w:pPr>
                              <w:widowControl w:val="0"/>
                              <w:spacing w:after="0"/>
                              <w:contextualSpacing/>
                              <w:jc w:val="left"/>
                              <w:rPr>
                                <w:rFonts w:ascii="Arial" w:hAnsi="Arial" w:cs="Arial"/>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5ABC875" id="_x0000_s1027" type="#_x0000_t202" style="position:absolute;left:0;text-align:left;margin-left:81.35pt;margin-top:50.05pt;width:25.65pt;height:18.3pt;z-index:2516715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" fillcolor="window" stroked="f" strokeweight=".5pt">
                <v:path arrowok="t"/>
                <v:textbox>
                  <w:txbxContent>
                    <w:p w14:paraId="06994783" w14:textId="77777777" w:rsidR="005444B1" w:rsidRPr="000C5EC3" w:rsidRDefault="005444B1" w:rsidP="005444B1">
                      <w:pPr>
                        <w:widowControl w:val="0"/>
                        <w:spacing w:after="0"/>
                        <w:contextualSpacing/>
                        <w:jc w:val="left"/>
                        <w:rPr>
                          <w:rFonts w:ascii="Arial Narrow" w:hAnsi="Arial Narrow" w:cs="Arial"/>
                          <w:sz w:val="10"/>
                          <w:szCs w:val="10"/>
                        </w:rPr>
                      </w:pPr>
                      <w:r w:rsidRPr="000C5EC3">
                        <w:rPr>
                          <w:rFonts w:ascii="Arial Narrow" w:hAnsi="Arial Narrow"/>
                          <w:sz w:val="10"/>
                        </w:rPr>
                        <w:t>TYPE</w:t>
                      </w:r>
                    </w:p>
                    <w:p w14:paraId="41590E4F" w14:textId="77777777" w:rsidR="005444B1" w:rsidRPr="000C5EC3" w:rsidRDefault="005444B1" w:rsidP="005444B1">
                      <w:pPr>
                        <w:widowControl w:val="0"/>
                        <w:spacing w:after="0"/>
                        <w:contextualSpacing/>
                        <w:jc w:val="left"/>
                        <w:rPr>
                          <w:rFonts w:ascii="Arial Narrow" w:hAnsi="Arial Narrow" w:cs="Arial"/>
                          <w:sz w:val="10"/>
                          <w:szCs w:val="10"/>
                        </w:rPr>
                      </w:pPr>
                      <w:r w:rsidRPr="000C5EC3">
                        <w:rPr>
                          <w:rFonts w:ascii="Arial Narrow" w:hAnsi="Arial Narrow"/>
                          <w:sz w:val="10"/>
                        </w:rPr>
                        <w:t>Classe</w:t>
                      </w:r>
                    </w:p>
                    <w:p w14:paraId="1086BC80" w14:textId="77777777" w:rsidR="005444B1" w:rsidRPr="000C5EC3" w:rsidRDefault="005444B1" w:rsidP="005444B1">
                      <w:pPr>
                        <w:widowControl w:val="0"/>
                        <w:spacing w:after="0"/>
                        <w:contextualSpacing/>
                        <w:jc w:val="left"/>
                        <w:rPr>
                          <w:rFonts w:ascii="Arial Narrow" w:hAnsi="Arial Narrow" w:cs="Arial"/>
                          <w:sz w:val="10"/>
                          <w:szCs w:val="10"/>
                        </w:rPr>
                      </w:pPr>
                      <w:r w:rsidRPr="000C5EC3">
                        <w:rPr>
                          <w:rFonts w:ascii="Arial Narrow" w:hAnsi="Arial Narrow"/>
                          <w:sz w:val="10"/>
                        </w:rPr>
                        <w:t>Calibre</w:t>
                      </w:r>
                    </w:p>
                    <w:p w14:paraId="1BFA3F23" w14:textId="77777777" w:rsidR="005444B1" w:rsidRPr="000C5EC3" w:rsidRDefault="005444B1" w:rsidP="005444B1">
                      <w:pPr>
                        <w:widowControl w:val="0"/>
                        <w:spacing w:after="0"/>
                        <w:contextualSpacing/>
                        <w:jc w:val="left"/>
                        <w:rPr>
                          <w:rFonts w:ascii="Arial" w:hAnsi="Arial" w:cs="Arial"/>
                          <w:sz w:val="10"/>
                          <w:szCs w:val="10"/>
                        </w:rPr>
                      </w:pPr>
                    </w:p>
                  </w:txbxContent>
                </v:textbox>
                <w10:wrap anchorx="margin"/>
              </v:shape>
            </w:pict>
          </mc:Fallback>
        </mc:AlternateContent>
      </w:r>
      <w:r w:rsidR="005444B1" w:rsidRPr="000C5EC3">
        <w:rPr>
          <w:noProof/>
          <w:lang w:val="en-GB" w:eastAsia="en-GB"/>
        </w:rPr>
        <mc:AlternateContent>
          <mc:Choice Requires="wps">
            <w:drawing>
              <wp:anchor distT="0" distB="0" distL="114300" distR="114300" simplePos="0" relativeHeight="251670530" behindDoc="0" locked="0" layoutInCell="1" allowOverlap="1" wp14:anchorId="7B21F706" wp14:editId="189ABAC5">
                <wp:simplePos x="0" y="0"/>
                <wp:positionH relativeFrom="margin">
                  <wp:posOffset>158115</wp:posOffset>
                </wp:positionH>
                <wp:positionV relativeFrom="paragraph">
                  <wp:posOffset>647700</wp:posOffset>
                </wp:positionV>
                <wp:extent cx="414655" cy="232410"/>
                <wp:effectExtent l="0" t="0" r="4445" b="0"/>
                <wp:wrapNone/>
                <wp:docPr id="2383184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655" cy="232410"/>
                        </a:xfrm>
                        <a:prstGeom prst="rect">
                          <a:avLst/>
                        </a:prstGeom>
                        <a:solidFill>
                          <a:sysClr val="window" lastClr="FFFFFF"/>
                        </a:solidFill>
                        <a:ln w="6350">
                          <a:noFill/>
                        </a:ln>
                      </wps:spPr>
                      <wps:txbx>
                        <w:txbxContent>
                          <w:p w14:paraId="153FC861" w14:textId="77777777" w:rsidR="005444B1" w:rsidRPr="000C5EC3" w:rsidRDefault="005444B1" w:rsidP="005444B1">
                            <w:pPr>
                              <w:widowControl w:val="0"/>
                              <w:spacing w:after="0"/>
                              <w:contextualSpacing/>
                              <w:jc w:val="left"/>
                              <w:rPr>
                                <w:rFonts w:ascii="Arial Narrow" w:hAnsi="Arial Narrow" w:cs="Arial"/>
                                <w:b/>
                                <w:bCs/>
                                <w:sz w:val="10"/>
                                <w:szCs w:val="10"/>
                              </w:rPr>
                            </w:pPr>
                            <w:r w:rsidRPr="000C5EC3">
                              <w:rPr>
                                <w:rFonts w:ascii="Arial Narrow" w:hAnsi="Arial Narrow"/>
                                <w:b/>
                                <w:sz w:val="10"/>
                              </w:rPr>
                              <w:t>Marque</w:t>
                            </w:r>
                          </w:p>
                          <w:p w14:paraId="4AF6DD72" w14:textId="77777777" w:rsidR="005444B1" w:rsidRPr="000C5EC3" w:rsidRDefault="005444B1" w:rsidP="005444B1">
                            <w:pPr>
                              <w:widowControl w:val="0"/>
                              <w:spacing w:after="0"/>
                              <w:contextualSpacing/>
                              <w:jc w:val="left"/>
                              <w:rPr>
                                <w:rFonts w:ascii="Arial Narrow" w:hAnsi="Arial Narrow" w:cs="Arial"/>
                                <w:sz w:val="10"/>
                                <w:szCs w:val="10"/>
                              </w:rPr>
                            </w:pPr>
                            <w:r w:rsidRPr="000C5EC3">
                              <w:rPr>
                                <w:rFonts w:ascii="Arial Narrow" w:hAnsi="Arial Narrow"/>
                                <w:sz w:val="10"/>
                              </w:rPr>
                              <w:t>Calibre</w:t>
                            </w:r>
                          </w:p>
                          <w:p w14:paraId="7B9A3EB2" w14:textId="77777777" w:rsidR="005444B1" w:rsidRPr="000C5EC3" w:rsidRDefault="005444B1" w:rsidP="005444B1">
                            <w:pPr>
                              <w:widowControl w:val="0"/>
                              <w:spacing w:after="0"/>
                              <w:contextualSpacing/>
                              <w:jc w:val="left"/>
                              <w:rPr>
                                <w:rFonts w:ascii="Arial" w:hAnsi="Arial" w:cs="Arial"/>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B21F706" id="_x0000_s1028" type="#_x0000_t202" style="position:absolute;left:0;text-align:left;margin-left:12.45pt;margin-top:51pt;width:32.65pt;height:18.3pt;z-index:25167053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" fillcolor="window" stroked="f" strokeweight=".5pt">
                <v:path arrowok="t"/>
                <v:textbox>
                  <w:txbxContent>
                    <w:p w14:paraId="153FC861" w14:textId="77777777" w:rsidR="005444B1" w:rsidRPr="000C5EC3" w:rsidRDefault="005444B1" w:rsidP="005444B1">
                      <w:pPr>
                        <w:widowControl w:val="0"/>
                        <w:spacing w:after="0"/>
                        <w:contextualSpacing/>
                        <w:jc w:val="left"/>
                        <w:rPr>
                          <w:rFonts w:ascii="Arial Narrow" w:hAnsi="Arial Narrow" w:cs="Arial"/>
                          <w:b/>
                          <w:bCs/>
                          <w:sz w:val="10"/>
                          <w:szCs w:val="10"/>
                        </w:rPr>
                      </w:pPr>
                      <w:r w:rsidRPr="000C5EC3">
                        <w:rPr>
                          <w:rFonts w:ascii="Arial Narrow" w:hAnsi="Arial Narrow"/>
                          <w:b/>
                          <w:sz w:val="10"/>
                        </w:rPr>
                        <w:t>Marque</w:t>
                      </w:r>
                    </w:p>
                    <w:p w14:paraId="4AF6DD72" w14:textId="77777777" w:rsidR="005444B1" w:rsidRPr="000C5EC3" w:rsidRDefault="005444B1" w:rsidP="005444B1">
                      <w:pPr>
                        <w:widowControl w:val="0"/>
                        <w:spacing w:after="0"/>
                        <w:contextualSpacing/>
                        <w:jc w:val="left"/>
                        <w:rPr>
                          <w:rFonts w:ascii="Arial Narrow" w:hAnsi="Arial Narrow" w:cs="Arial"/>
                          <w:sz w:val="10"/>
                          <w:szCs w:val="10"/>
                        </w:rPr>
                      </w:pPr>
                      <w:r w:rsidRPr="000C5EC3">
                        <w:rPr>
                          <w:rFonts w:ascii="Arial Narrow" w:hAnsi="Arial Narrow"/>
                          <w:sz w:val="10"/>
                        </w:rPr>
                        <w:t>Calibre</w:t>
                      </w:r>
                    </w:p>
                    <w:p w14:paraId="7B9A3EB2" w14:textId="77777777" w:rsidR="005444B1" w:rsidRPr="000C5EC3" w:rsidRDefault="005444B1" w:rsidP="005444B1">
                      <w:pPr>
                        <w:widowControl w:val="0"/>
                        <w:spacing w:after="0"/>
                        <w:contextualSpacing/>
                        <w:jc w:val="left"/>
                        <w:rPr>
                          <w:rFonts w:ascii="Arial" w:hAnsi="Arial" w:cs="Arial"/>
                          <w:sz w:val="10"/>
                          <w:szCs w:val="10"/>
                        </w:rPr>
                      </w:pPr>
                    </w:p>
                  </w:txbxContent>
                </v:textbox>
                <w10:wrap anchorx="margin"/>
              </v:shape>
            </w:pict>
          </mc:Fallback>
        </mc:AlternateContent>
      </w:r>
      <w:r w:rsidR="005444B1" w:rsidRPr="000C5EC3">
        <w:rPr>
          <w:noProof/>
          <w:lang w:val="en-GB" w:eastAsia="en-GB"/>
        </w:rPr>
        <w:drawing>
          <wp:anchor distT="0" distB="0" distL="114300" distR="114300" simplePos="0" relativeHeight="251669506" behindDoc="0" locked="0" layoutInCell="1" allowOverlap="1" wp14:anchorId="664D2FEA" wp14:editId="5BBB57B4">
            <wp:simplePos x="0" y="0"/>
            <wp:positionH relativeFrom="margin">
              <wp:posOffset>-160020</wp:posOffset>
            </wp:positionH>
            <wp:positionV relativeFrom="paragraph">
              <wp:posOffset>381000</wp:posOffset>
            </wp:positionV>
            <wp:extent cx="1817370" cy="1819910"/>
            <wp:effectExtent l="0" t="0" r="0" b="8890"/>
            <wp:wrapNone/>
            <wp:docPr id="1580274576" name="Picture 6" descr="Une étiquette avec symbole et texte &#10; &#10;Le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abel with symbols and text&#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17370" cy="1819910"/>
                    </a:xfrm>
                    <a:prstGeom prst="rect">
                      <a:avLst/>
                    </a:prstGeom>
                    <a:noFill/>
                  </pic:spPr>
                </pic:pic>
              </a:graphicData>
            </a:graphic>
            <wp14:sizeRelH relativeFrom="margin">
              <wp14:pctWidth>0</wp14:pctWidth>
            </wp14:sizeRelH>
            <wp14:sizeRelV relativeFrom="margin">
              <wp14:pctHeight>0</wp14:pctHeight>
            </wp14:sizeRelV>
          </wp:anchor>
        </w:drawing>
      </w:r>
    </w:p>
    <w:p w14:paraId="5CA6C369" w14:textId="3B935497" w:rsidR="002C79A8" w:rsidRPr="000C5EC3" w:rsidRDefault="002C79A8" w:rsidP="002C79A8">
      <w:pPr>
        <w:keepNext/>
        <w:jc w:val="right"/>
        <w:rPr>
          <w:i/>
          <w:iCs/>
          <w:noProof/>
          <w:sz w:val="22"/>
          <w:szCs w:val="22"/>
        </w:rPr>
      </w:pPr>
    </w:p>
    <w:p w14:paraId="7FCAC000" w14:textId="148C60C1" w:rsidR="00BD61DF" w:rsidRPr="000C5EC3" w:rsidRDefault="00BD61DF" w:rsidP="00BD61DF">
      <w:pPr>
        <w:keepNext/>
        <w:rPr>
          <w:i/>
          <w:iCs/>
          <w:noProof/>
          <w:sz w:val="22"/>
          <w:szCs w:val="22"/>
        </w:rPr>
      </w:pPr>
      <w:r w:rsidRPr="000C5EC3">
        <w:rPr>
          <w:i/>
          <w:noProof/>
          <w:sz w:val="22"/>
        </w:rPr>
        <w:t>Figure </w:t>
      </w:r>
      <w:r w:rsidRPr="000C5EC3">
        <w:rPr>
          <w:i/>
          <w:noProof/>
          <w:sz w:val="22"/>
        </w:rPr>
        <w:fldChar w:fldCharType="begin"/>
      </w:r>
      <w:r w:rsidRPr="000C5EC3">
        <w:rPr>
          <w:i/>
          <w:noProof/>
          <w:sz w:val="22"/>
        </w:rPr>
        <w:instrText xml:space="preserve"> SEQ Figure \* ARABIC </w:instrText>
      </w:r>
      <w:r w:rsidRPr="000C5EC3">
        <w:rPr>
          <w:i/>
          <w:noProof/>
          <w:sz w:val="22"/>
        </w:rPr>
        <w:fldChar w:fldCharType="separate"/>
      </w:r>
      <w:r w:rsidRPr="000C5EC3">
        <w:rPr>
          <w:i/>
          <w:noProof/>
          <w:sz w:val="22"/>
        </w:rPr>
        <w:t>2</w:t>
      </w:r>
      <w:r w:rsidRPr="000C5EC3">
        <w:rPr>
          <w:i/>
          <w:noProof/>
          <w:sz w:val="22"/>
        </w:rPr>
        <w:fldChar w:fldCharType="end"/>
      </w:r>
      <w:r w:rsidRPr="000C5EC3">
        <w:rPr>
          <w:i/>
          <w:noProof/>
          <w:sz w:val="22"/>
        </w:rPr>
        <w:t xml:space="preserve">. </w:t>
      </w:r>
      <w:r w:rsidRPr="000C5EC3">
        <w:rPr>
          <w:noProof/>
          <w:sz w:val="22"/>
        </w:rPr>
        <w:t>Consommateurs estimant comprendre les éléments d’étiquetage des pneumatiques [niveau de référence = tous les répondants (n = 4 590)].</w:t>
      </w:r>
    </w:p>
    <w:p w14:paraId="2034ACCC" w14:textId="543137F1" w:rsidR="00BD61DF" w:rsidRPr="000C5EC3" w:rsidRDefault="0047209E" w:rsidP="00BD61DF">
      <w:pPr>
        <w:spacing w:after="120"/>
        <w:rPr>
          <w:noProof/>
        </w:rPr>
      </w:pPr>
      <w:r w:rsidRPr="000C5EC3">
        <w:rPr>
          <w:noProof/>
        </w:rPr>
        <w:t xml:space="preserve">Comme le montre la figure 2, la plupart des </w:t>
      </w:r>
      <w:r w:rsidRPr="000C5EC3">
        <w:rPr>
          <w:b/>
          <w:bCs/>
          <w:noProof/>
        </w:rPr>
        <w:t>consommateurs</w:t>
      </w:r>
      <w:r w:rsidRPr="000C5EC3">
        <w:rPr>
          <w:noProof/>
        </w:rPr>
        <w:t xml:space="preserve"> estiment que l’étiquette des pneumatiques est facile à comprendre. Seuls 9 à 18 % des répondants font état de difficultés liées à un élément spécifique. Une grande majorité d’entre eux considèrent que tous les éléments actuels de l’étiquette sont pertinents, en particulier l’adhérence sur sol mouillé (94 %). La plupart des répondants (78 %) estiment que la quantité d’informations figurant sur l’étiquette est appropriée. D’autres paramètres qui ne figurent pas actuellement sur l’étiquette, tels que le kilométrage, ont été jugés d’une pertinence égale voire supérieure. Le bruit et les rejets de microplastiques sont considérés comme moins importants ou ayant une faible influence sur le choix des consommateurs </w:t>
      </w:r>
      <w:r w:rsidRPr="000C5EC3">
        <w:rPr>
          <w:noProof/>
          <w:vertAlign w:val="superscript"/>
        </w:rPr>
        <w:t>(</w:t>
      </w:r>
      <w:r w:rsidRPr="000C5EC3">
        <w:rPr>
          <w:rStyle w:val="FootnoteReference"/>
          <w:noProof/>
        </w:rPr>
        <w:footnoteReference w:id="14"/>
      </w:r>
      <w:r w:rsidRPr="000C5EC3">
        <w:rPr>
          <w:noProof/>
          <w:vertAlign w:val="superscript"/>
        </w:rPr>
        <w:t>)</w:t>
      </w:r>
      <w:r w:rsidRPr="000C5EC3">
        <w:rPr>
          <w:noProof/>
        </w:rPr>
        <w:t>.</w:t>
      </w:r>
    </w:p>
    <w:p w14:paraId="301C138B" w14:textId="77777777" w:rsidR="00653373" w:rsidRPr="000C5EC3" w:rsidRDefault="00BD61DF" w:rsidP="00653373">
      <w:pPr>
        <w:rPr>
          <w:noProof/>
        </w:rPr>
      </w:pPr>
      <w:r w:rsidRPr="000C5EC3">
        <w:rPr>
          <w:noProof/>
        </w:rPr>
        <w:t>L’enquête confirme les résultats d’une étude de 2019 </w:t>
      </w:r>
      <w:r w:rsidRPr="000C5EC3">
        <w:rPr>
          <w:noProof/>
          <w:vertAlign w:val="superscript"/>
        </w:rPr>
        <w:t>(</w:t>
      </w:r>
      <w:r w:rsidRPr="000C5EC3">
        <w:rPr>
          <w:rStyle w:val="FootnoteReference"/>
          <w:noProof/>
        </w:rPr>
        <w:footnoteReference w:id="15"/>
      </w:r>
      <w:r w:rsidRPr="000C5EC3">
        <w:rPr>
          <w:noProof/>
          <w:vertAlign w:val="superscript"/>
        </w:rPr>
        <w:t>)</w:t>
      </w:r>
      <w:r w:rsidRPr="000C5EC3">
        <w:rPr>
          <w:noProof/>
        </w:rPr>
        <w:t xml:space="preserve"> et conclut que l’étiquette joue un rôle significatif pour guider les consommateurs et les acheteurs professionnels qui la consultent. Environ 80 % des deux groupes ont déclaré que l’étiquette les aidait à sélectionner des pneumatiques plus efficaces ou plus sûrs.</w:t>
      </w:r>
    </w:p>
    <w:p w14:paraId="32B9D532" w14:textId="1C2770B8" w:rsidR="00653373" w:rsidRPr="000C5EC3" w:rsidRDefault="00653373" w:rsidP="00653373">
      <w:pPr>
        <w:rPr>
          <w:noProof/>
        </w:rPr>
      </w:pPr>
      <w:r w:rsidRPr="000C5EC3">
        <w:rPr>
          <w:b/>
          <w:bCs/>
          <w:noProof/>
        </w:rPr>
        <w:t>Les revendeurs et les distributeurs de pneumatiques</w:t>
      </w:r>
      <w:r w:rsidRPr="000C5EC3">
        <w:rPr>
          <w:noProof/>
        </w:rPr>
        <w:t xml:space="preserve"> connaissent bien l’étiquette et en ont généralement une opinion favorable, ce qui ne se traduit pas systématiquement par un usage proactif lors des ventes. La moitié des vendeurs interrogés déclarent n’évoquer l’étiquette que si le consommateur les y incite. Un vendeur sur six déconseille aux clients de se fier à l’étiquette, en soulignant qu’elle repose uniquement sur une autodéclaration; ils fondent plutôt leurs recommandations sur les marges bénéficiaires, les remises, les incitations, la disponibilité des stocks ou le budget des clients.</w:t>
      </w:r>
    </w:p>
    <w:p w14:paraId="1FD5DE0F" w14:textId="1E34A992" w:rsidR="00BD61DF" w:rsidRPr="000C5EC3" w:rsidRDefault="00BD61DF" w:rsidP="00BD61DF">
      <w:pPr>
        <w:spacing w:after="120"/>
        <w:rPr>
          <w:noProof/>
        </w:rPr>
      </w:pPr>
    </w:p>
    <w:p w14:paraId="6AB4B805" w14:textId="1D8D0F35" w:rsidR="00BD61DF" w:rsidRPr="000C5EC3" w:rsidRDefault="00E505A9" w:rsidP="00BD61DF">
      <w:pPr>
        <w:rPr>
          <w:noProof/>
        </w:rPr>
      </w:pPr>
      <w:r w:rsidRPr="00E505A9">
        <w:rPr>
          <w:noProof/>
          <w:lang w:val="en-GB" w:eastAsia="en-GB"/>
        </w:rPr>
        <w:drawing>
          <wp:inline distT="0" distB="0" distL="0" distR="0" wp14:anchorId="069DCC68" wp14:editId="27D337A8">
            <wp:extent cx="5472430" cy="3121025"/>
            <wp:effectExtent l="0" t="0" r="0" b="3175"/>
            <wp:docPr id="36977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72430" cy="3121025"/>
                    </a:xfrm>
                    <a:prstGeom prst="rect">
                      <a:avLst/>
                    </a:prstGeom>
                    <a:noFill/>
                    <a:ln>
                      <a:noFill/>
                    </a:ln>
                  </pic:spPr>
                </pic:pic>
              </a:graphicData>
            </a:graphic>
          </wp:inline>
        </w:drawing>
      </w:r>
    </w:p>
    <w:p w14:paraId="3204781A" w14:textId="24623DCB" w:rsidR="00BD61DF" w:rsidRPr="000C5EC3" w:rsidRDefault="00BD61DF" w:rsidP="00BD61DF">
      <w:pPr>
        <w:keepNext/>
        <w:rPr>
          <w:i/>
          <w:iCs/>
          <w:noProof/>
          <w:sz w:val="22"/>
          <w:szCs w:val="22"/>
        </w:rPr>
      </w:pPr>
      <w:r w:rsidRPr="000C5EC3">
        <w:rPr>
          <w:i/>
          <w:noProof/>
          <w:sz w:val="22"/>
        </w:rPr>
        <w:t>Figure </w:t>
      </w:r>
      <w:r w:rsidRPr="000C5EC3">
        <w:rPr>
          <w:i/>
          <w:noProof/>
          <w:sz w:val="22"/>
        </w:rPr>
        <w:fldChar w:fldCharType="begin"/>
      </w:r>
      <w:r w:rsidRPr="000C5EC3">
        <w:rPr>
          <w:i/>
          <w:noProof/>
          <w:sz w:val="22"/>
        </w:rPr>
        <w:instrText xml:space="preserve"> SEQ Figure \* ARABIC </w:instrText>
      </w:r>
      <w:r w:rsidRPr="000C5EC3">
        <w:rPr>
          <w:i/>
          <w:noProof/>
          <w:sz w:val="22"/>
        </w:rPr>
        <w:fldChar w:fldCharType="separate"/>
      </w:r>
      <w:r w:rsidRPr="000C5EC3">
        <w:rPr>
          <w:i/>
          <w:noProof/>
          <w:sz w:val="22"/>
        </w:rPr>
        <w:t>3</w:t>
      </w:r>
      <w:r w:rsidRPr="000C5EC3">
        <w:rPr>
          <w:i/>
          <w:noProof/>
          <w:sz w:val="22"/>
        </w:rPr>
        <w:fldChar w:fldCharType="end"/>
      </w:r>
      <w:r w:rsidRPr="000C5EC3">
        <w:rPr>
          <w:i/>
          <w:noProof/>
          <w:sz w:val="22"/>
        </w:rPr>
        <w:t>.</w:t>
      </w:r>
      <w:r w:rsidRPr="000C5EC3">
        <w:rPr>
          <w:noProof/>
          <w:sz w:val="22"/>
        </w:rPr>
        <w:t xml:space="preserve"> Perception de l’étiquette des pneumatiques par les revendeurs et les distributeurs de pneumatiques [base de référence = tous les répondants (n = 201)].</w:t>
      </w:r>
    </w:p>
    <w:p w14:paraId="033A6462" w14:textId="176CA20E" w:rsidR="00BD61DF" w:rsidRPr="000C5EC3" w:rsidRDefault="00BD61DF" w:rsidP="00BD61DF">
      <w:pPr>
        <w:rPr>
          <w:noProof/>
        </w:rPr>
      </w:pPr>
      <w:r w:rsidRPr="000C5EC3">
        <w:rPr>
          <w:noProof/>
        </w:rPr>
        <w:t xml:space="preserve">Environ la moitié des </w:t>
      </w:r>
      <w:r w:rsidRPr="000C5EC3">
        <w:rPr>
          <w:b/>
          <w:bCs/>
          <w:noProof/>
        </w:rPr>
        <w:t>concessionnaires automobiles</w:t>
      </w:r>
      <w:r w:rsidRPr="000C5EC3">
        <w:rPr>
          <w:noProof/>
        </w:rPr>
        <w:t xml:space="preserve"> voient peu d’intérêt à inclure des étiquettes de pneumatiques pour toutes les options disponibles dans les offres d’achat de véhicules, en raison du faible intérêt du client au moment de la vente ou parce que ce dernier n’a pas la possibilité de choisir </w:t>
      </w:r>
      <w:r w:rsidRPr="000C5EC3">
        <w:rPr>
          <w:noProof/>
          <w:vertAlign w:val="superscript"/>
        </w:rPr>
        <w:t>(</w:t>
      </w:r>
      <w:r w:rsidRPr="000C5EC3">
        <w:rPr>
          <w:rStyle w:val="FootnoteReference"/>
          <w:noProof/>
        </w:rPr>
        <w:footnoteReference w:id="16"/>
      </w:r>
      <w:r w:rsidRPr="000C5EC3">
        <w:rPr>
          <w:noProof/>
          <w:vertAlign w:val="superscript"/>
        </w:rPr>
        <w:t>)</w:t>
      </w:r>
      <w:r w:rsidRPr="000C5EC3">
        <w:rPr>
          <w:noProof/>
        </w:rPr>
        <w:t>. Par conséquent, ces concessionnaires estiment que les exigences actuelles représentent une charge disproportionnée et suggèrent qu’une version plus succincte ou simplifiée de l’étiquette devrait pouvoir être utilisée dans les offres d’achat </w:t>
      </w:r>
      <w:r w:rsidRPr="000C5EC3">
        <w:rPr>
          <w:noProof/>
          <w:vertAlign w:val="superscript"/>
        </w:rPr>
        <w:t>(</w:t>
      </w:r>
      <w:r w:rsidRPr="000C5EC3">
        <w:rPr>
          <w:rStyle w:val="FootnoteReference"/>
          <w:noProof/>
        </w:rPr>
        <w:footnoteReference w:id="17"/>
      </w:r>
      <w:r w:rsidRPr="000C5EC3">
        <w:rPr>
          <w:noProof/>
          <w:vertAlign w:val="superscript"/>
        </w:rPr>
        <w:t>)</w:t>
      </w:r>
      <w:r w:rsidRPr="000C5EC3">
        <w:rPr>
          <w:noProof/>
        </w:rPr>
        <w:t>.</w:t>
      </w:r>
    </w:p>
    <w:p w14:paraId="7229A564" w14:textId="5386EADE" w:rsidR="00BD61DF" w:rsidRPr="000C5EC3" w:rsidRDefault="003801A4" w:rsidP="00BD61DF">
      <w:pPr>
        <w:rPr>
          <w:noProof/>
        </w:rPr>
      </w:pPr>
      <w:r w:rsidRPr="000C5EC3">
        <w:rPr>
          <w:b/>
          <w:bCs/>
          <w:noProof/>
        </w:rPr>
        <w:t>Le site web EPREL</w:t>
      </w:r>
      <w:r w:rsidRPr="000C5EC3">
        <w:rPr>
          <w:noProof/>
        </w:rPr>
        <w:t xml:space="preserve"> est reconnu comme une source précieuse d’informations supplémentaires par les consommateurs, les acheteurs professionnels, les revendeurs et les distributeurs qui en ont connaissance, bien que son utilisation réelle semble limitée. Toutefois, des informations sur certains paramètres importants font actuellement défaut dans la base de données </w:t>
      </w:r>
      <w:r w:rsidRPr="000C5EC3">
        <w:rPr>
          <w:noProof/>
          <w:vertAlign w:val="superscript"/>
        </w:rPr>
        <w:t>(</w:t>
      </w:r>
      <w:r w:rsidRPr="000C5EC3">
        <w:rPr>
          <w:rStyle w:val="FootnoteReference"/>
          <w:noProof/>
        </w:rPr>
        <w:footnoteReference w:id="18"/>
      </w:r>
      <w:r w:rsidRPr="000C5EC3">
        <w:rPr>
          <w:noProof/>
          <w:vertAlign w:val="superscript"/>
        </w:rPr>
        <w:t>)</w:t>
      </w:r>
      <w:r w:rsidRPr="000C5EC3">
        <w:rPr>
          <w:noProof/>
        </w:rPr>
        <w:t>. Certains revendeurs font observer que le site EPREL simplifie leur travail, car il réduit leur dépendance à l’égard des fournisseurs pour obtenir des informations. Certains revendeurs ont intégré des interfaces de programmation d’applications (API) pour relier directement leurs sites web à EPREL, ce qui permet l’affichage automatique des étiquettes des pneumatiques et des fiches d’information sur le produit dans la langue appropriée.</w:t>
      </w:r>
    </w:p>
    <w:p w14:paraId="1FE9F338" w14:textId="5458F1DF" w:rsidR="00971E00" w:rsidRPr="000C5EC3" w:rsidRDefault="00971E00" w:rsidP="00AB212E">
      <w:pPr>
        <w:pStyle w:val="Heading1"/>
        <w:rPr>
          <w:noProof/>
        </w:rPr>
      </w:pPr>
      <w:r w:rsidRPr="000C5EC3">
        <w:rPr>
          <w:noProof/>
        </w:rPr>
        <w:t>Évolution</w:t>
      </w:r>
      <w:bookmarkEnd w:id="5"/>
      <w:r w:rsidRPr="000C5EC3">
        <w:rPr>
          <w:noProof/>
        </w:rPr>
        <w:t xml:space="preserve"> du marché</w:t>
      </w:r>
    </w:p>
    <w:p w14:paraId="44866B68" w14:textId="7FAC0C08" w:rsidR="00807531" w:rsidRPr="000C5EC3" w:rsidRDefault="00807531" w:rsidP="00807531">
      <w:pPr>
        <w:rPr>
          <w:noProof/>
        </w:rPr>
      </w:pPr>
      <w:r w:rsidRPr="000C5EC3">
        <w:rPr>
          <w:noProof/>
        </w:rPr>
        <w:t>Les progrès technologiques ont permis d’améliorer simultanément la résistance au roulement et l’adhérence sur sol mouillé, tandis que la législation parallèle de la CEE-ONU a interdit les pneumatiques qui auraient appartenu aux classes de résistance au roulement F et G. Cette tendance se poursuit et, en particulier pour les pneumatiques C1, les exigences de la CEE-ONU ne permettront pas la mise sur le marché de nouveaux pneumatiques de classe E et de la plupart des pneumatiques de classe D. En conséquence, l’échelle actuelle offre une différenciation limitée pour les choix d’achat et incite moins les fabricants à innover. De même, en ce qui concerne le bruit, tous les pneumatiques relevaient déjà des classes A et B avant l’entrée en vigueur du règlement.</w:t>
      </w:r>
    </w:p>
    <w:p w14:paraId="6D247AC4" w14:textId="05ADAA95" w:rsidR="00971E00" w:rsidRPr="000C5EC3" w:rsidRDefault="00971E00">
      <w:pPr>
        <w:rPr>
          <w:noProof/>
        </w:rPr>
      </w:pPr>
      <w:r w:rsidRPr="000C5EC3">
        <w:rPr>
          <w:noProof/>
        </w:rPr>
        <w:t>Le règlement sur l’étiquetage des pneumatiques impose aux fournisseurs d’enregistrer les pneumatiques dans EPREL avant de les mettre sur le marché. En 2025, EPREL avait répertorié près de 230 000 types de pneumatiques: 81 % de classe C1, 10 % de classe C2 et 9 % de classe C3. Les paramètres de ces enregistrements sont présentés ci-dessous.</w:t>
      </w:r>
    </w:p>
    <w:p w14:paraId="2B869FB9" w14:textId="77777777" w:rsidR="00971E00" w:rsidRPr="000C5EC3" w:rsidRDefault="00971E00">
      <w:pPr>
        <w:pStyle w:val="Heading2"/>
        <w:rPr>
          <w:noProof/>
        </w:rPr>
      </w:pPr>
      <w:bookmarkStart w:id="6" w:name="_Toc213083338"/>
      <w:r w:rsidRPr="000C5EC3">
        <w:rPr>
          <w:noProof/>
        </w:rPr>
        <w:t>Pneumatiques C1</w:t>
      </w:r>
      <w:bookmarkEnd w:id="6"/>
    </w:p>
    <w:p w14:paraId="66AA530C" w14:textId="77777777" w:rsidR="00971E00" w:rsidRPr="000C5EC3" w:rsidRDefault="00971E00" w:rsidP="00AB212E">
      <w:pPr>
        <w:pStyle w:val="Heading3"/>
        <w:rPr>
          <w:noProof/>
        </w:rPr>
      </w:pPr>
      <w:bookmarkStart w:id="7" w:name="_Toc213083339"/>
      <w:r w:rsidRPr="000C5EC3">
        <w:rPr>
          <w:noProof/>
        </w:rPr>
        <w:t>Résistance au roulement</w:t>
      </w:r>
      <w:bookmarkEnd w:id="7"/>
    </w:p>
    <w:p w14:paraId="2F40E135" w14:textId="7C26E27B" w:rsidR="00971E00" w:rsidRPr="000C5EC3" w:rsidRDefault="00971E00">
      <w:pPr>
        <w:rPr>
          <w:noProof/>
        </w:rPr>
      </w:pPr>
      <w:r w:rsidRPr="000C5EC3">
        <w:rPr>
          <w:noProof/>
        </w:rPr>
        <w:t>La figure 2 montre la résistance au roulement moyenne estimée des pneumatiques C1, sur la base des classes d’étiquettes et de la date de mise sur le marché </w:t>
      </w:r>
      <w:r w:rsidRPr="000C5EC3">
        <w:rPr>
          <w:noProof/>
          <w:vertAlign w:val="superscript"/>
        </w:rPr>
        <w:t>(</w:t>
      </w:r>
      <w:r w:rsidRPr="000C5EC3">
        <w:rPr>
          <w:rStyle w:val="FootnoteReference"/>
          <w:noProof/>
        </w:rPr>
        <w:footnoteReference w:id="19"/>
      </w:r>
      <w:r w:rsidRPr="000C5EC3">
        <w:rPr>
          <w:noProof/>
          <w:vertAlign w:val="superscript"/>
        </w:rPr>
        <w:t>)</w:t>
      </w:r>
      <w:r w:rsidRPr="000C5EC3">
        <w:rPr>
          <w:noProof/>
        </w:rPr>
        <w:t>. La ligne en pointillés montre le scénario de statu quo extrapolé à 2024 sur la base des modèles enregistrés dans EPREL de 2015 à 2021, avec des progrès modestes pour les nouveaux types de pneumatiques mis sur le marché.</w:t>
      </w:r>
    </w:p>
    <w:p w14:paraId="670C6CAB" w14:textId="20F4BE6F" w:rsidR="00971E00" w:rsidRPr="000C5EC3" w:rsidRDefault="00E505A9">
      <w:pPr>
        <w:keepNext/>
        <w:jc w:val="center"/>
        <w:rPr>
          <w:noProof/>
        </w:rPr>
      </w:pPr>
      <w:r w:rsidRPr="00E505A9">
        <w:rPr>
          <w:noProof/>
          <w:lang w:val="en-GB" w:eastAsia="en-GB"/>
        </w:rPr>
        <w:drawing>
          <wp:inline distT="0" distB="0" distL="0" distR="0" wp14:anchorId="73F9B2C0" wp14:editId="268A3518">
            <wp:extent cx="5472430" cy="3231515"/>
            <wp:effectExtent l="0" t="0" r="0" b="0"/>
            <wp:docPr id="1992205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72430" cy="3231515"/>
                    </a:xfrm>
                    <a:prstGeom prst="rect">
                      <a:avLst/>
                    </a:prstGeom>
                    <a:noFill/>
                    <a:ln>
                      <a:noFill/>
                    </a:ln>
                  </pic:spPr>
                </pic:pic>
              </a:graphicData>
            </a:graphic>
          </wp:inline>
        </w:drawing>
      </w:r>
    </w:p>
    <w:p w14:paraId="62B1C1B9" w14:textId="43EBD615" w:rsidR="00971E00" w:rsidRPr="000C5EC3" w:rsidRDefault="00971E00" w:rsidP="00CB681C">
      <w:pPr>
        <w:pStyle w:val="Caption"/>
        <w:spacing w:before="0"/>
        <w:rPr>
          <w:noProof/>
        </w:rPr>
      </w:pPr>
      <w:r w:rsidRPr="000C5EC3">
        <w:rPr>
          <w:noProof/>
        </w:rPr>
        <w:t>Figure </w:t>
      </w:r>
      <w:r w:rsidR="005A5537">
        <w:rPr>
          <w:noProof/>
        </w:rPr>
        <w:fldChar w:fldCharType="begin"/>
      </w:r>
      <w:r w:rsidR="005A5537">
        <w:rPr>
          <w:noProof/>
        </w:rPr>
        <w:instrText xml:space="preserve"> SEQ Figure \* ARABIC </w:instrText>
      </w:r>
      <w:r w:rsidR="005A5537">
        <w:rPr>
          <w:noProof/>
        </w:rPr>
        <w:fldChar w:fldCharType="separate"/>
      </w:r>
      <w:r w:rsidRPr="000C5EC3">
        <w:rPr>
          <w:noProof/>
        </w:rPr>
        <w:t>4</w:t>
      </w:r>
      <w:r w:rsidR="005A5537">
        <w:rPr>
          <w:noProof/>
        </w:rPr>
        <w:fldChar w:fldCharType="end"/>
      </w:r>
      <w:r w:rsidRPr="000C5EC3">
        <w:rPr>
          <w:noProof/>
        </w:rPr>
        <w:t xml:space="preserve">. </w:t>
      </w:r>
      <w:r w:rsidRPr="000C5EC3">
        <w:rPr>
          <w:i w:val="0"/>
          <w:noProof/>
        </w:rPr>
        <w:t>Résistance au roulement des pneumatiques C1.</w:t>
      </w:r>
    </w:p>
    <w:p w14:paraId="5861BBBC" w14:textId="6125CFAB" w:rsidR="00971E00" w:rsidRPr="000C5EC3" w:rsidRDefault="00234A31">
      <w:pPr>
        <w:rPr>
          <w:noProof/>
        </w:rPr>
      </w:pPr>
      <w:r w:rsidRPr="000C5EC3">
        <w:rPr>
          <w:noProof/>
        </w:rPr>
        <w:t>La résistance moyenne au roulement des nouveaux pneumatiques mis sur le marché depuis 2021 semble s’être considérablement améliorée </w:t>
      </w:r>
      <w:r w:rsidRPr="000C5EC3">
        <w:rPr>
          <w:noProof/>
          <w:vertAlign w:val="superscript"/>
        </w:rPr>
        <w:t>(</w:t>
      </w:r>
      <w:r w:rsidRPr="000C5EC3">
        <w:rPr>
          <w:rStyle w:val="FootnoteReference"/>
          <w:noProof/>
        </w:rPr>
        <w:footnoteReference w:id="20"/>
      </w:r>
      <w:r w:rsidRPr="000C5EC3">
        <w:rPr>
          <w:noProof/>
          <w:vertAlign w:val="superscript"/>
        </w:rPr>
        <w:t>)</w:t>
      </w:r>
      <w:r w:rsidRPr="000C5EC3">
        <w:rPr>
          <w:noProof/>
        </w:rPr>
        <w:t xml:space="preserve">. </w:t>
      </w:r>
      <w:r w:rsidRPr="000C5EC3">
        <w:rPr>
          <w:noProof/>
          <w:color w:val="000000"/>
        </w:rPr>
        <w:t>On estime que la résistance au roulement des pneumatiques C1 a diminué de 5,1 % depuis 2021 par rapport au statu quo.</w:t>
      </w:r>
    </w:p>
    <w:p w14:paraId="386BF9DB" w14:textId="77777777" w:rsidR="00971E00" w:rsidRPr="000C5EC3" w:rsidRDefault="00971E00" w:rsidP="00AB212E">
      <w:pPr>
        <w:pStyle w:val="Heading3"/>
        <w:rPr>
          <w:noProof/>
        </w:rPr>
      </w:pPr>
      <w:bookmarkStart w:id="8" w:name="_Toc213083340"/>
      <w:r w:rsidRPr="000C5EC3">
        <w:rPr>
          <w:noProof/>
        </w:rPr>
        <w:t>Adhérence sur sol mouillé</w:t>
      </w:r>
      <w:bookmarkEnd w:id="8"/>
    </w:p>
    <w:p w14:paraId="3A447433" w14:textId="3F9451E4" w:rsidR="00223712" w:rsidRPr="000C5EC3" w:rsidRDefault="00223712" w:rsidP="00223712">
      <w:pPr>
        <w:rPr>
          <w:noProof/>
        </w:rPr>
      </w:pPr>
      <w:r w:rsidRPr="000C5EC3">
        <w:rPr>
          <w:noProof/>
        </w:rPr>
        <w:fldChar w:fldCharType="begin"/>
      </w:r>
      <w:r w:rsidR="00971E00" w:rsidRPr="000C5EC3">
        <w:rPr>
          <w:noProof/>
        </w:rPr>
        <w:instrText xml:space="preserve"> REF _Ref209039639 \h  \* MERGEFORMAT </w:instrText>
      </w:r>
      <w:r w:rsidRPr="000C5EC3">
        <w:rPr>
          <w:noProof/>
        </w:rPr>
      </w:r>
      <w:r w:rsidRPr="000C5EC3">
        <w:rPr>
          <w:noProof/>
        </w:rPr>
        <w:fldChar w:fldCharType="separate"/>
      </w:r>
      <w:r w:rsidR="00E505A9" w:rsidRPr="00E505A9">
        <w:rPr>
          <w:noProof/>
          <w:lang w:val="en-GB" w:eastAsia="en-GB"/>
        </w:rPr>
        <w:drawing>
          <wp:inline distT="0" distB="0" distL="0" distR="0" wp14:anchorId="3DE3115C" wp14:editId="67852029">
            <wp:extent cx="5472430" cy="3248660"/>
            <wp:effectExtent l="0" t="0" r="0" b="0"/>
            <wp:docPr id="16664231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72430" cy="3248660"/>
                    </a:xfrm>
                    <a:prstGeom prst="rect">
                      <a:avLst/>
                    </a:prstGeom>
                    <a:noFill/>
                    <a:ln>
                      <a:noFill/>
                    </a:ln>
                  </pic:spPr>
                </pic:pic>
              </a:graphicData>
            </a:graphic>
          </wp:inline>
        </w:drawing>
      </w:r>
    </w:p>
    <w:p w14:paraId="215D293E" w14:textId="76FF756E" w:rsidR="00971E00" w:rsidRPr="000C5EC3" w:rsidRDefault="000F6B8E">
      <w:pPr>
        <w:rPr>
          <w:noProof/>
        </w:rPr>
      </w:pPr>
      <w:r w:rsidRPr="000C5EC3">
        <w:rPr>
          <w:noProof/>
        </w:rPr>
        <w:t>La </w:t>
      </w:r>
      <w:r w:rsidR="00223712" w:rsidRPr="000C5EC3">
        <w:rPr>
          <w:noProof/>
        </w:rPr>
        <w:t>Figure 5</w:t>
      </w:r>
      <w:r w:rsidR="00223712" w:rsidRPr="000C5EC3">
        <w:rPr>
          <w:noProof/>
        </w:rPr>
        <w:fldChar w:fldCharType="end"/>
      </w:r>
      <w:r w:rsidR="00223712" w:rsidRPr="000C5EC3">
        <w:rPr>
          <w:noProof/>
        </w:rPr>
        <w:t xml:space="preserve"> indique l’adhérence moyenne estimée sur sol mouillé des pneumatiques C1. Bien que l’évolution soit moins prononcée, les performances en matière d’adhérence sur sol mouillé semblent également s’être améliorées par rapport au statu quo pour les pneumatiques mis sur le marché après 2021 </w:t>
      </w:r>
      <w:r w:rsidR="00223712" w:rsidRPr="000C5EC3">
        <w:rPr>
          <w:noProof/>
          <w:vertAlign w:val="superscript"/>
        </w:rPr>
        <w:t>(</w:t>
      </w:r>
      <w:r w:rsidR="00223712" w:rsidRPr="000C5EC3">
        <w:rPr>
          <w:rStyle w:val="FootnoteReference"/>
          <w:noProof/>
        </w:rPr>
        <w:footnoteReference w:id="21"/>
      </w:r>
      <w:r w:rsidR="00223712" w:rsidRPr="000C5EC3">
        <w:rPr>
          <w:noProof/>
          <w:vertAlign w:val="superscript"/>
        </w:rPr>
        <w:t>)</w:t>
      </w:r>
      <w:r w:rsidR="00223712" w:rsidRPr="000C5EC3">
        <w:rPr>
          <w:noProof/>
        </w:rPr>
        <w:t>.</w:t>
      </w:r>
    </w:p>
    <w:p w14:paraId="5DE8BA69" w14:textId="4877A739" w:rsidR="005444B1" w:rsidRPr="000C5EC3" w:rsidRDefault="00E505A9" w:rsidP="00653373">
      <w:pPr>
        <w:pStyle w:val="Caption"/>
        <w:spacing w:before="0"/>
        <w:rPr>
          <w:noProof/>
        </w:rPr>
      </w:pPr>
      <w:bookmarkStart w:id="9" w:name="_Ref209039639"/>
      <w:r w:rsidRPr="00E505A9">
        <w:rPr>
          <w:noProof/>
          <w:lang w:val="en-GB" w:eastAsia="en-GB"/>
        </w:rPr>
        <w:drawing>
          <wp:inline distT="0" distB="0" distL="0" distR="0" wp14:anchorId="2418845C" wp14:editId="5BA9C423">
            <wp:extent cx="5472430" cy="3243580"/>
            <wp:effectExtent l="0" t="0" r="0" b="0"/>
            <wp:docPr id="91258895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72430" cy="3243580"/>
                    </a:xfrm>
                    <a:prstGeom prst="rect">
                      <a:avLst/>
                    </a:prstGeom>
                    <a:noFill/>
                    <a:ln>
                      <a:noFill/>
                    </a:ln>
                  </pic:spPr>
                </pic:pic>
              </a:graphicData>
            </a:graphic>
          </wp:inline>
        </w:drawing>
      </w:r>
    </w:p>
    <w:p w14:paraId="476D1A0F" w14:textId="24DF1ED6" w:rsidR="00971E00" w:rsidRPr="000C5EC3" w:rsidRDefault="00971E00" w:rsidP="00653373">
      <w:pPr>
        <w:pStyle w:val="Caption"/>
        <w:spacing w:before="0"/>
        <w:rPr>
          <w:noProof/>
        </w:rPr>
      </w:pPr>
      <w:r w:rsidRPr="000C5EC3">
        <w:rPr>
          <w:noProof/>
        </w:rPr>
        <w:t>Figure </w:t>
      </w:r>
      <w:r w:rsidR="005A5537">
        <w:rPr>
          <w:noProof/>
        </w:rPr>
        <w:fldChar w:fldCharType="begin"/>
      </w:r>
      <w:r w:rsidR="005A5537">
        <w:rPr>
          <w:noProof/>
        </w:rPr>
        <w:instrText xml:space="preserve"> SEQ Figure \* ARABIC </w:instrText>
      </w:r>
      <w:r w:rsidR="005A5537">
        <w:rPr>
          <w:noProof/>
        </w:rPr>
        <w:fldChar w:fldCharType="separate"/>
      </w:r>
      <w:r w:rsidRPr="000C5EC3">
        <w:rPr>
          <w:noProof/>
        </w:rPr>
        <w:t>5</w:t>
      </w:r>
      <w:r w:rsidR="005A5537">
        <w:rPr>
          <w:noProof/>
        </w:rPr>
        <w:fldChar w:fldCharType="end"/>
      </w:r>
      <w:bookmarkEnd w:id="9"/>
      <w:r w:rsidRPr="000C5EC3">
        <w:rPr>
          <w:noProof/>
        </w:rPr>
        <w:t>.</w:t>
      </w:r>
      <w:r w:rsidRPr="000C5EC3">
        <w:rPr>
          <w:i w:val="0"/>
          <w:noProof/>
        </w:rPr>
        <w:t xml:space="preserve"> Adhérence sur sol mouillé des pneumatiques C1.</w:t>
      </w:r>
    </w:p>
    <w:p w14:paraId="3F8D8585" w14:textId="35DAA6B3" w:rsidR="00971E00" w:rsidRPr="000C5EC3" w:rsidRDefault="00971E00">
      <w:pPr>
        <w:rPr>
          <w:noProof/>
        </w:rPr>
      </w:pPr>
      <w:r w:rsidRPr="000C5EC3">
        <w:rPr>
          <w:noProof/>
        </w:rPr>
        <w:t>On estime que les performances en matière d’adhérence sur sol mouillé se sont améliorées d’environ 2,4 % par rapport au statu quo. Il en résulte des distances de freinage plus courtes sur route mouillée.</w:t>
      </w:r>
    </w:p>
    <w:p w14:paraId="33481184" w14:textId="77777777" w:rsidR="00971E00" w:rsidRPr="000C5EC3" w:rsidRDefault="00971E00" w:rsidP="00AB212E">
      <w:pPr>
        <w:pStyle w:val="Heading3"/>
        <w:rPr>
          <w:noProof/>
        </w:rPr>
      </w:pPr>
      <w:bookmarkStart w:id="10" w:name="_Toc213083341"/>
      <w:r w:rsidRPr="000C5EC3">
        <w:rPr>
          <w:noProof/>
        </w:rPr>
        <w:t>Bruit de roulement externe</w:t>
      </w:r>
      <w:bookmarkEnd w:id="10"/>
    </w:p>
    <w:p w14:paraId="6ED4B264" w14:textId="03E91DE3" w:rsidR="00971E00" w:rsidRPr="000C5EC3" w:rsidRDefault="00971E00">
      <w:pPr>
        <w:rPr>
          <w:noProof/>
        </w:rPr>
      </w:pPr>
      <w:r w:rsidRPr="000C5EC3">
        <w:rPr>
          <w:noProof/>
        </w:rPr>
        <w:t xml:space="preserve">La </w:t>
      </w:r>
      <w:r w:rsidRPr="000C5EC3">
        <w:rPr>
          <w:noProof/>
        </w:rPr>
        <w:fldChar w:fldCharType="begin"/>
      </w:r>
      <w:r w:rsidRPr="000C5EC3">
        <w:rPr>
          <w:noProof/>
        </w:rPr>
        <w:instrText xml:space="preserve"> REF _Ref209039652 \h </w:instrText>
      </w:r>
      <w:r w:rsidRPr="000C5EC3">
        <w:rPr>
          <w:noProof/>
        </w:rPr>
      </w:r>
      <w:r w:rsidRPr="000C5EC3">
        <w:rPr>
          <w:noProof/>
        </w:rPr>
        <w:fldChar w:fldCharType="separate"/>
      </w:r>
      <w:r w:rsidRPr="000C5EC3">
        <w:rPr>
          <w:noProof/>
        </w:rPr>
        <w:t>Figure 6</w:t>
      </w:r>
      <w:r w:rsidRPr="000C5EC3">
        <w:rPr>
          <w:noProof/>
        </w:rPr>
        <w:fldChar w:fldCharType="end"/>
      </w:r>
      <w:r w:rsidRPr="000C5EC3">
        <w:rPr>
          <w:noProof/>
        </w:rPr>
        <w:t xml:space="preserve"> indique le bruit externe moyen estimé, sur la base de la valeur déclarée. Le bruit n’a légèrement augmenté que jusqu’en 2018, probablement en raison d’un compromis avec l’adhérence sur sol mouillé (qui s’est considérablement améliorée) et d’une tendance à équiper les nouveaux modèles de voitures de pneumatiques présentant un rapport d’aspect plus élevé. Il n’y a pas de divergence perceptible par rapport au statu quo.</w:t>
      </w:r>
    </w:p>
    <w:p w14:paraId="75CD04C5" w14:textId="25A0F619" w:rsidR="00971E00" w:rsidRPr="000C5EC3" w:rsidRDefault="00E505A9">
      <w:pPr>
        <w:keepNext/>
        <w:jc w:val="center"/>
        <w:rPr>
          <w:noProof/>
        </w:rPr>
      </w:pPr>
      <w:r w:rsidRPr="00E505A9">
        <w:rPr>
          <w:noProof/>
          <w:lang w:val="en-GB" w:eastAsia="en-GB"/>
        </w:rPr>
        <w:drawing>
          <wp:inline distT="0" distB="0" distL="0" distR="0" wp14:anchorId="447071E0" wp14:editId="2FC29F8E">
            <wp:extent cx="5472430" cy="3235325"/>
            <wp:effectExtent l="0" t="0" r="0" b="0"/>
            <wp:docPr id="7328785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72430" cy="3235325"/>
                    </a:xfrm>
                    <a:prstGeom prst="rect">
                      <a:avLst/>
                    </a:prstGeom>
                    <a:noFill/>
                    <a:ln>
                      <a:noFill/>
                    </a:ln>
                  </pic:spPr>
                </pic:pic>
              </a:graphicData>
            </a:graphic>
          </wp:inline>
        </w:drawing>
      </w:r>
    </w:p>
    <w:p w14:paraId="553D00A9" w14:textId="4B6C3E3E" w:rsidR="00971E00" w:rsidRPr="000C5EC3" w:rsidRDefault="00971E00">
      <w:pPr>
        <w:pStyle w:val="Caption"/>
        <w:rPr>
          <w:noProof/>
        </w:rPr>
      </w:pPr>
      <w:bookmarkStart w:id="11" w:name="_Ref209039652"/>
      <w:r w:rsidRPr="000C5EC3">
        <w:rPr>
          <w:noProof/>
        </w:rPr>
        <w:t>Figure </w:t>
      </w:r>
      <w:r w:rsidR="005A5537">
        <w:rPr>
          <w:noProof/>
        </w:rPr>
        <w:fldChar w:fldCharType="begin"/>
      </w:r>
      <w:r w:rsidR="005A5537">
        <w:rPr>
          <w:noProof/>
        </w:rPr>
        <w:instrText xml:space="preserve"> SEQ Figure \* ARABIC </w:instrText>
      </w:r>
      <w:r w:rsidR="005A5537">
        <w:rPr>
          <w:noProof/>
        </w:rPr>
        <w:fldChar w:fldCharType="separate"/>
      </w:r>
      <w:r w:rsidRPr="000C5EC3">
        <w:rPr>
          <w:noProof/>
        </w:rPr>
        <w:t>6</w:t>
      </w:r>
      <w:r w:rsidR="005A5537">
        <w:rPr>
          <w:noProof/>
        </w:rPr>
        <w:fldChar w:fldCharType="end"/>
      </w:r>
      <w:bookmarkEnd w:id="11"/>
      <w:r w:rsidRPr="000C5EC3">
        <w:rPr>
          <w:noProof/>
        </w:rPr>
        <w:t xml:space="preserve">. </w:t>
      </w:r>
      <w:r w:rsidRPr="000C5EC3">
        <w:rPr>
          <w:i w:val="0"/>
          <w:noProof/>
        </w:rPr>
        <w:t>Bruit de roulement externe des pneumatiques C1.</w:t>
      </w:r>
    </w:p>
    <w:p w14:paraId="204F406B" w14:textId="77777777" w:rsidR="00971E00" w:rsidRPr="000C5EC3" w:rsidRDefault="00971E00" w:rsidP="00CB681C">
      <w:pPr>
        <w:pStyle w:val="Heading2"/>
        <w:rPr>
          <w:rStyle w:val="Strong"/>
          <w:b/>
          <w:bCs w:val="0"/>
          <w:noProof/>
        </w:rPr>
      </w:pPr>
      <w:r w:rsidRPr="000C5EC3">
        <w:rPr>
          <w:rStyle w:val="Strong"/>
          <w:b/>
          <w:noProof/>
        </w:rPr>
        <w:t>Pneumatiques C2 et C3</w:t>
      </w:r>
    </w:p>
    <w:p w14:paraId="5A9240FE" w14:textId="2116CE9E" w:rsidR="00971E00" w:rsidRPr="000C5EC3" w:rsidRDefault="00971E00" w:rsidP="00653373">
      <w:pPr>
        <w:spacing w:after="120"/>
        <w:rPr>
          <w:noProof/>
        </w:rPr>
      </w:pPr>
      <w:r w:rsidRPr="000C5EC3">
        <w:rPr>
          <w:noProof/>
        </w:rPr>
        <w:t>Des tendances similaires à celles observées pour les pneumatiques C1 ont été relevées pour les pneumatiques C2 et C3. Pour les pneumatiques C3, une amélioration de la résistance au roulement d’environ 7,3 % a été constatée par rapport au statu quo. D’autres facteurs peuvent avoir contribué aux progrès démontrés par les données EPREL. L’attention accrue accordée à la sécurité et l’augmentation de la part des véhicules électriques sur les routes pourraient avoir stimulé l’amélioration de la résistance au roulement </w:t>
      </w:r>
      <w:r w:rsidRPr="000C5EC3">
        <w:rPr>
          <w:noProof/>
          <w:vertAlign w:val="superscript"/>
        </w:rPr>
        <w:t>(</w:t>
      </w:r>
      <w:r w:rsidRPr="000C5EC3">
        <w:rPr>
          <w:rStyle w:val="FootnoteReference"/>
          <w:noProof/>
        </w:rPr>
        <w:footnoteReference w:id="22"/>
      </w:r>
      <w:r w:rsidRPr="000C5EC3">
        <w:rPr>
          <w:noProof/>
          <w:vertAlign w:val="superscript"/>
        </w:rPr>
        <w:t>)</w:t>
      </w:r>
      <w:r w:rsidRPr="000C5EC3">
        <w:rPr>
          <w:noProof/>
        </w:rPr>
        <w:t>.</w:t>
      </w:r>
    </w:p>
    <w:p w14:paraId="6282BF25" w14:textId="3268E817" w:rsidR="00971E00" w:rsidRPr="000C5EC3" w:rsidRDefault="00971E00" w:rsidP="00CB681C">
      <w:pPr>
        <w:keepNext/>
        <w:spacing w:after="120"/>
        <w:rPr>
          <w:noProof/>
        </w:rPr>
      </w:pPr>
      <w:r w:rsidRPr="000C5EC3">
        <w:rPr>
          <w:noProof/>
        </w:rPr>
        <w:t>Bien que la résistance au roulement, l’adhérence sur sol mouillé et le bruit soient des paramètres interdépendants mais antagonistes, il est possible de les améliorer simultanément. En 2025, plusieurs fabricants proposaient des pneumatiques de classe A pour les trois paramètres.</w:t>
      </w:r>
    </w:p>
    <w:tbl>
      <w:tblPr>
        <w:tblStyle w:val="TableGrid"/>
        <w:tblW w:w="8641" w:type="dxa"/>
        <w:tblLook w:val="04A0" w:firstRow="1" w:lastRow="0" w:firstColumn="1" w:lastColumn="0" w:noHBand="0" w:noVBand="1"/>
      </w:tblPr>
      <w:tblGrid>
        <w:gridCol w:w="759"/>
        <w:gridCol w:w="1161"/>
        <w:gridCol w:w="842"/>
        <w:gridCol w:w="1039"/>
        <w:gridCol w:w="1039"/>
        <w:gridCol w:w="1039"/>
        <w:gridCol w:w="842"/>
        <w:gridCol w:w="960"/>
        <w:gridCol w:w="960"/>
      </w:tblGrid>
      <w:tr w:rsidR="00971E00" w:rsidRPr="000C5EC3" w14:paraId="391153A5" w14:textId="77777777">
        <w:trPr>
          <w:trHeight w:val="290"/>
        </w:trPr>
        <w:tc>
          <w:tcPr>
            <w:tcW w:w="8641" w:type="dxa"/>
            <w:gridSpan w:val="9"/>
            <w:tcBorders>
              <w:bottom w:val="nil"/>
            </w:tcBorders>
            <w:shd w:val="clear" w:color="000000" w:fill="F2F2F2"/>
            <w:noWrap/>
            <w:vAlign w:val="bottom"/>
          </w:tcPr>
          <w:p w14:paraId="4CEBCD9A" w14:textId="1A7BD249" w:rsidR="00971E00" w:rsidRPr="000C5EC3" w:rsidRDefault="00971E00">
            <w:pPr>
              <w:widowControl w:val="0"/>
              <w:rPr>
                <w:rFonts w:ascii="Calibri" w:hAnsi="Calibri" w:cs="Arial"/>
                <w:noProof/>
                <w:color w:val="000000"/>
                <w:kern w:val="24"/>
                <w:sz w:val="20"/>
              </w:rPr>
            </w:pPr>
            <w:r w:rsidRPr="000C5EC3">
              <w:rPr>
                <w:rFonts w:ascii="Calibri" w:hAnsi="Calibri"/>
                <w:noProof/>
                <w:color w:val="000000"/>
                <w:sz w:val="20"/>
              </w:rPr>
              <w:t xml:space="preserve">Part des nouveaux modèles: </w:t>
            </w:r>
            <w:r w:rsidR="005A5537">
              <w:rPr>
                <w:noProof/>
              </w:rPr>
            </w:r>
            <w:r w:rsidR="005A5537">
              <w:rPr>
                <w:noProof/>
              </w:rPr>
              <w:pict w14:anchorId="739FD617">
                <v:rect id="Rectangle 1" o:spid="_x0000_s2054" style="width:21.4pt;height:11.45pt;flip:y;visibility:visible;mso-left-percent:-10001;mso-top-percent:-10001;mso-position-horizontal:absolute;mso-position-horizontal-relative:char;mso-position-vertical:absolute;mso-position-vertical-relative:line;mso-left-percent:-10001;mso-top-percent:-10001;v-text-anchor:middle" fillcolor="#d9d9d9" stroked="f" strokeweight="1pt">
                  <w10:wrap type="none"/>
                  <w10:anchorlock/>
                </v:rect>
              </w:pict>
            </w:r>
            <w:r w:rsidRPr="000C5EC3">
              <w:rPr>
                <w:rFonts w:ascii="Calibri" w:hAnsi="Calibri"/>
                <w:noProof/>
                <w:color w:val="000000"/>
                <w:sz w:val="20"/>
              </w:rPr>
              <w:t xml:space="preserve"> 5 - 10 % </w:t>
            </w:r>
            <w:r w:rsidR="005A5537">
              <w:rPr>
                <w:noProof/>
              </w:rPr>
            </w:r>
            <w:r w:rsidR="005A5537">
              <w:rPr>
                <w:noProof/>
              </w:rPr>
              <w:pict w14:anchorId="51DB6E6C">
                <v:rect id="Rectangle 2" o:spid="_x0000_s2053" style="width:21.4pt;height:11.45pt;flip:y;visibility:visible;mso-left-percent:-10001;mso-top-percent:-10001;mso-position-horizontal:absolute;mso-position-horizontal-relative:char;mso-position-vertical:absolute;mso-position-vertical-relative:line;mso-left-percent:-10001;mso-top-percent:-10001;v-text-anchor:middle" fillcolor="#7f7f7f" stroked="f" strokeweight="1pt">
                  <w10:wrap type="none"/>
                  <w10:anchorlock/>
                </v:rect>
              </w:pict>
            </w:r>
            <w:r w:rsidRPr="000C5EC3">
              <w:rPr>
                <w:rFonts w:ascii="Calibri" w:hAnsi="Calibri"/>
                <w:noProof/>
                <w:color w:val="000000"/>
                <w:sz w:val="20"/>
              </w:rPr>
              <w:t xml:space="preserve"> &gt; 10 %</w:t>
            </w:r>
          </w:p>
          <w:p w14:paraId="0D3B5AA6" w14:textId="77777777" w:rsidR="00971E00" w:rsidRPr="000C5EC3" w:rsidRDefault="00971E00">
            <w:pPr>
              <w:widowControl w:val="0"/>
              <w:rPr>
                <w:rFonts w:ascii="Aptos Narrow" w:hAnsi="Aptos Narrow"/>
                <w:noProof/>
                <w:color w:val="000000"/>
                <w:sz w:val="22"/>
                <w:szCs w:val="22"/>
              </w:rPr>
            </w:pPr>
          </w:p>
        </w:tc>
      </w:tr>
      <w:tr w:rsidR="00971E00" w:rsidRPr="000C5EC3" w14:paraId="696EC8DA" w14:textId="77777777">
        <w:trPr>
          <w:trHeight w:val="290"/>
        </w:trPr>
        <w:tc>
          <w:tcPr>
            <w:tcW w:w="1920" w:type="dxa"/>
            <w:gridSpan w:val="2"/>
            <w:tcBorders>
              <w:top w:val="single" w:sz="4" w:space="0" w:color="auto"/>
              <w:left w:val="single" w:sz="4" w:space="0" w:color="auto"/>
              <w:bottom w:val="nil"/>
              <w:right w:val="nil"/>
            </w:tcBorders>
            <w:shd w:val="clear" w:color="000000" w:fill="F2F2F2"/>
            <w:noWrap/>
            <w:vAlign w:val="bottom"/>
          </w:tcPr>
          <w:p w14:paraId="68C2A367"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C1</w:t>
            </w:r>
          </w:p>
        </w:tc>
        <w:tc>
          <w:tcPr>
            <w:tcW w:w="4801" w:type="dxa"/>
            <w:gridSpan w:val="5"/>
            <w:tcBorders>
              <w:top w:val="single" w:sz="4" w:space="0" w:color="auto"/>
              <w:left w:val="nil"/>
              <w:bottom w:val="nil"/>
              <w:right w:val="nil"/>
            </w:tcBorders>
            <w:noWrap/>
            <w:vAlign w:val="bottom"/>
          </w:tcPr>
          <w:p w14:paraId="0E0384AE"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Résistance au roulement</w:t>
            </w:r>
          </w:p>
        </w:tc>
        <w:tc>
          <w:tcPr>
            <w:tcW w:w="960" w:type="dxa"/>
            <w:tcBorders>
              <w:top w:val="single" w:sz="4" w:space="0" w:color="auto"/>
              <w:left w:val="single" w:sz="4" w:space="0" w:color="auto"/>
              <w:bottom w:val="nil"/>
              <w:right w:val="single" w:sz="4" w:space="0" w:color="auto"/>
            </w:tcBorders>
            <w:noWrap/>
            <w:vAlign w:val="bottom"/>
          </w:tcPr>
          <w:p w14:paraId="3805CE05" w14:textId="1B3EF065" w:rsidR="00971E00" w:rsidRPr="000C5EC3" w:rsidRDefault="00971E00">
            <w:pPr>
              <w:widowControl w:val="0"/>
              <w:rPr>
                <w:rFonts w:ascii="Aptos Narrow" w:hAnsi="Aptos Narrow"/>
                <w:noProof/>
                <w:color w:val="000000"/>
                <w:sz w:val="22"/>
                <w:szCs w:val="22"/>
              </w:rPr>
            </w:pPr>
          </w:p>
        </w:tc>
        <w:tc>
          <w:tcPr>
            <w:tcW w:w="960" w:type="dxa"/>
            <w:tcBorders>
              <w:top w:val="single" w:sz="4" w:space="0" w:color="auto"/>
              <w:left w:val="single" w:sz="4" w:space="0" w:color="auto"/>
              <w:bottom w:val="nil"/>
              <w:right w:val="single" w:sz="4" w:space="0" w:color="auto"/>
            </w:tcBorders>
          </w:tcPr>
          <w:p w14:paraId="51BD623E" w14:textId="77777777" w:rsidR="00971E00" w:rsidRPr="000C5EC3" w:rsidRDefault="00971E00">
            <w:pPr>
              <w:widowControl w:val="0"/>
              <w:rPr>
                <w:rFonts w:ascii="Aptos Narrow" w:hAnsi="Aptos Narrow"/>
                <w:noProof/>
                <w:color w:val="000000"/>
                <w:sz w:val="22"/>
                <w:szCs w:val="22"/>
              </w:rPr>
            </w:pPr>
          </w:p>
        </w:tc>
      </w:tr>
      <w:tr w:rsidR="00971E00" w:rsidRPr="000C5EC3" w14:paraId="747495D2" w14:textId="77777777">
        <w:trPr>
          <w:trHeight w:val="290"/>
        </w:trPr>
        <w:tc>
          <w:tcPr>
            <w:tcW w:w="759" w:type="dxa"/>
            <w:tcBorders>
              <w:top w:val="nil"/>
              <w:left w:val="single" w:sz="4" w:space="0" w:color="auto"/>
              <w:bottom w:val="nil"/>
              <w:right w:val="nil"/>
            </w:tcBorders>
            <w:shd w:val="clear" w:color="000000" w:fill="F2F2F2"/>
            <w:noWrap/>
            <w:vAlign w:val="bottom"/>
          </w:tcPr>
          <w:p w14:paraId="5A1C355A" w14:textId="58991D2B" w:rsidR="00971E00" w:rsidRPr="000C5EC3" w:rsidRDefault="00971E00">
            <w:pPr>
              <w:widowControl w:val="0"/>
              <w:rPr>
                <w:rFonts w:ascii="Aptos Narrow" w:hAnsi="Aptos Narrow"/>
                <w:noProof/>
                <w:color w:val="000000"/>
                <w:sz w:val="22"/>
                <w:szCs w:val="22"/>
              </w:rPr>
            </w:pPr>
          </w:p>
        </w:tc>
        <w:tc>
          <w:tcPr>
            <w:tcW w:w="1161" w:type="dxa"/>
            <w:tcBorders>
              <w:top w:val="nil"/>
              <w:left w:val="nil"/>
              <w:bottom w:val="nil"/>
              <w:right w:val="nil"/>
            </w:tcBorders>
            <w:shd w:val="clear" w:color="000000" w:fill="F2F2F2"/>
            <w:noWrap/>
            <w:vAlign w:val="bottom"/>
          </w:tcPr>
          <w:p w14:paraId="07379597"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2015</w:t>
            </w:r>
          </w:p>
        </w:tc>
        <w:tc>
          <w:tcPr>
            <w:tcW w:w="842" w:type="dxa"/>
            <w:tcBorders>
              <w:top w:val="nil"/>
              <w:left w:val="nil"/>
              <w:bottom w:val="nil"/>
              <w:right w:val="nil"/>
            </w:tcBorders>
            <w:shd w:val="clear" w:color="000000" w:fill="00B050"/>
            <w:noWrap/>
            <w:vAlign w:val="bottom"/>
          </w:tcPr>
          <w:p w14:paraId="7A7277CD"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A</w:t>
            </w:r>
          </w:p>
        </w:tc>
        <w:tc>
          <w:tcPr>
            <w:tcW w:w="1039" w:type="dxa"/>
            <w:tcBorders>
              <w:top w:val="nil"/>
              <w:left w:val="nil"/>
              <w:bottom w:val="nil"/>
              <w:right w:val="nil"/>
            </w:tcBorders>
            <w:shd w:val="clear" w:color="000000" w:fill="92D050"/>
            <w:noWrap/>
            <w:vAlign w:val="bottom"/>
          </w:tcPr>
          <w:p w14:paraId="146AEB49"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B</w:t>
            </w:r>
          </w:p>
        </w:tc>
        <w:tc>
          <w:tcPr>
            <w:tcW w:w="1039" w:type="dxa"/>
            <w:tcBorders>
              <w:top w:val="nil"/>
              <w:left w:val="nil"/>
              <w:bottom w:val="nil"/>
              <w:right w:val="nil"/>
            </w:tcBorders>
            <w:shd w:val="clear" w:color="000000" w:fill="FFFF00"/>
            <w:noWrap/>
            <w:vAlign w:val="bottom"/>
          </w:tcPr>
          <w:p w14:paraId="64D11414"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C</w:t>
            </w:r>
          </w:p>
        </w:tc>
        <w:tc>
          <w:tcPr>
            <w:tcW w:w="1039" w:type="dxa"/>
            <w:tcBorders>
              <w:top w:val="nil"/>
              <w:left w:val="nil"/>
              <w:bottom w:val="nil"/>
              <w:right w:val="nil"/>
            </w:tcBorders>
            <w:shd w:val="clear" w:color="000000" w:fill="F1A983"/>
            <w:noWrap/>
            <w:vAlign w:val="bottom"/>
          </w:tcPr>
          <w:p w14:paraId="43FC24D3"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D</w:t>
            </w:r>
          </w:p>
        </w:tc>
        <w:tc>
          <w:tcPr>
            <w:tcW w:w="842" w:type="dxa"/>
            <w:tcBorders>
              <w:top w:val="nil"/>
              <w:left w:val="nil"/>
              <w:bottom w:val="nil"/>
              <w:right w:val="nil"/>
            </w:tcBorders>
            <w:shd w:val="clear" w:color="000000" w:fill="FF0000"/>
            <w:noWrap/>
            <w:vAlign w:val="bottom"/>
          </w:tcPr>
          <w:p w14:paraId="3B1D7929"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E</w:t>
            </w:r>
          </w:p>
        </w:tc>
        <w:tc>
          <w:tcPr>
            <w:tcW w:w="960" w:type="dxa"/>
            <w:tcBorders>
              <w:top w:val="nil"/>
              <w:left w:val="single" w:sz="4" w:space="0" w:color="auto"/>
              <w:bottom w:val="nil"/>
              <w:right w:val="single" w:sz="4" w:space="0" w:color="auto"/>
            </w:tcBorders>
            <w:noWrap/>
            <w:vAlign w:val="bottom"/>
          </w:tcPr>
          <w:p w14:paraId="74BDF0CF" w14:textId="0500E998" w:rsidR="00971E00" w:rsidRPr="000C5EC3" w:rsidRDefault="00971E00">
            <w:pPr>
              <w:widowControl w:val="0"/>
              <w:rPr>
                <w:rFonts w:ascii="Aptos Narrow" w:hAnsi="Aptos Narrow"/>
                <w:noProof/>
                <w:color w:val="000000"/>
                <w:sz w:val="22"/>
                <w:szCs w:val="22"/>
              </w:rPr>
            </w:pPr>
          </w:p>
        </w:tc>
        <w:tc>
          <w:tcPr>
            <w:tcW w:w="960" w:type="dxa"/>
            <w:tcBorders>
              <w:top w:val="nil"/>
              <w:left w:val="single" w:sz="4" w:space="0" w:color="auto"/>
              <w:bottom w:val="nil"/>
              <w:right w:val="single" w:sz="4" w:space="0" w:color="auto"/>
            </w:tcBorders>
          </w:tcPr>
          <w:p w14:paraId="35CC2A03" w14:textId="77777777" w:rsidR="00971E00" w:rsidRPr="000C5EC3" w:rsidRDefault="00971E00">
            <w:pPr>
              <w:widowControl w:val="0"/>
              <w:rPr>
                <w:rFonts w:ascii="Aptos Narrow" w:hAnsi="Aptos Narrow"/>
                <w:noProof/>
                <w:color w:val="000000"/>
                <w:sz w:val="22"/>
                <w:szCs w:val="22"/>
              </w:rPr>
            </w:pPr>
          </w:p>
        </w:tc>
      </w:tr>
      <w:tr w:rsidR="00971E00" w:rsidRPr="000C5EC3" w14:paraId="672B5044" w14:textId="77777777">
        <w:trPr>
          <w:trHeight w:val="290"/>
        </w:trPr>
        <w:tc>
          <w:tcPr>
            <w:tcW w:w="759" w:type="dxa"/>
            <w:vMerge w:val="restart"/>
            <w:tcBorders>
              <w:top w:val="nil"/>
              <w:left w:val="single" w:sz="4" w:space="0" w:color="auto"/>
              <w:bottom w:val="nil"/>
              <w:right w:val="nil"/>
            </w:tcBorders>
            <w:noWrap/>
            <w:textDirection w:val="btLr"/>
            <w:vAlign w:val="center"/>
          </w:tcPr>
          <w:p w14:paraId="37A4863C"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Adhérence sur sol mouillé</w:t>
            </w:r>
          </w:p>
        </w:tc>
        <w:tc>
          <w:tcPr>
            <w:tcW w:w="1161" w:type="dxa"/>
            <w:tcBorders>
              <w:top w:val="nil"/>
              <w:left w:val="nil"/>
              <w:bottom w:val="nil"/>
              <w:right w:val="nil"/>
            </w:tcBorders>
            <w:shd w:val="clear" w:color="000000" w:fill="4F81BD"/>
            <w:noWrap/>
            <w:vAlign w:val="bottom"/>
          </w:tcPr>
          <w:p w14:paraId="3DBE89D5" w14:textId="77777777" w:rsidR="00971E00" w:rsidRPr="000C5EC3" w:rsidRDefault="00971E00">
            <w:pPr>
              <w:widowControl w:val="0"/>
              <w:jc w:val="center"/>
              <w:rPr>
                <w:rFonts w:ascii="Aptos Narrow" w:hAnsi="Aptos Narrow"/>
                <w:b/>
                <w:bCs/>
                <w:noProof/>
                <w:color w:val="FFFFFF"/>
                <w:sz w:val="22"/>
                <w:szCs w:val="22"/>
              </w:rPr>
            </w:pPr>
            <w:r w:rsidRPr="000C5EC3">
              <w:rPr>
                <w:rFonts w:ascii="Aptos Narrow" w:hAnsi="Aptos Narrow"/>
                <w:b/>
                <w:noProof/>
                <w:color w:val="FFFFFF"/>
                <w:sz w:val="22"/>
              </w:rPr>
              <w:t>A</w:t>
            </w:r>
          </w:p>
        </w:tc>
        <w:tc>
          <w:tcPr>
            <w:tcW w:w="842" w:type="dxa"/>
            <w:tcBorders>
              <w:top w:val="nil"/>
              <w:left w:val="nil"/>
              <w:bottom w:val="nil"/>
              <w:right w:val="nil"/>
            </w:tcBorders>
            <w:noWrap/>
            <w:vAlign w:val="bottom"/>
          </w:tcPr>
          <w:p w14:paraId="51BA88A5"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0,0 %</w:t>
            </w:r>
          </w:p>
        </w:tc>
        <w:tc>
          <w:tcPr>
            <w:tcW w:w="1039" w:type="dxa"/>
            <w:tcBorders>
              <w:top w:val="nil"/>
              <w:left w:val="nil"/>
              <w:bottom w:val="nil"/>
              <w:right w:val="nil"/>
            </w:tcBorders>
            <w:noWrap/>
            <w:vAlign w:val="bottom"/>
          </w:tcPr>
          <w:p w14:paraId="7C18FABA"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0,5 %</w:t>
            </w:r>
          </w:p>
        </w:tc>
        <w:tc>
          <w:tcPr>
            <w:tcW w:w="1039" w:type="dxa"/>
            <w:tcBorders>
              <w:top w:val="nil"/>
              <w:left w:val="nil"/>
              <w:bottom w:val="nil"/>
              <w:right w:val="nil"/>
            </w:tcBorders>
            <w:noWrap/>
            <w:vAlign w:val="bottom"/>
          </w:tcPr>
          <w:p w14:paraId="6557BB23"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2,0 %</w:t>
            </w:r>
          </w:p>
        </w:tc>
        <w:tc>
          <w:tcPr>
            <w:tcW w:w="1039" w:type="dxa"/>
            <w:tcBorders>
              <w:top w:val="nil"/>
              <w:left w:val="nil"/>
              <w:bottom w:val="nil"/>
              <w:right w:val="nil"/>
            </w:tcBorders>
            <w:noWrap/>
            <w:vAlign w:val="bottom"/>
          </w:tcPr>
          <w:p w14:paraId="71B31A6F"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2,3 %</w:t>
            </w:r>
          </w:p>
        </w:tc>
        <w:tc>
          <w:tcPr>
            <w:tcW w:w="842" w:type="dxa"/>
            <w:tcBorders>
              <w:top w:val="nil"/>
              <w:left w:val="nil"/>
              <w:bottom w:val="nil"/>
              <w:right w:val="nil"/>
            </w:tcBorders>
            <w:noWrap/>
            <w:vAlign w:val="bottom"/>
          </w:tcPr>
          <w:p w14:paraId="7F0A03AA"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0,0 %</w:t>
            </w:r>
          </w:p>
        </w:tc>
        <w:tc>
          <w:tcPr>
            <w:tcW w:w="960" w:type="dxa"/>
            <w:tcBorders>
              <w:top w:val="nil"/>
              <w:left w:val="single" w:sz="4" w:space="0" w:color="auto"/>
              <w:bottom w:val="nil"/>
              <w:right w:val="single" w:sz="4" w:space="0" w:color="auto"/>
            </w:tcBorders>
            <w:noWrap/>
            <w:vAlign w:val="bottom"/>
          </w:tcPr>
          <w:p w14:paraId="3E3B8DF7"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4,8 %</w:t>
            </w:r>
          </w:p>
        </w:tc>
        <w:tc>
          <w:tcPr>
            <w:tcW w:w="960" w:type="dxa"/>
            <w:tcBorders>
              <w:top w:val="nil"/>
              <w:left w:val="single" w:sz="4" w:space="0" w:color="auto"/>
              <w:bottom w:val="nil"/>
              <w:right w:val="single" w:sz="4" w:space="0" w:color="auto"/>
            </w:tcBorders>
          </w:tcPr>
          <w:p w14:paraId="0DC2044A" w14:textId="77777777" w:rsidR="00971E00" w:rsidRPr="000C5EC3" w:rsidRDefault="00971E00">
            <w:pPr>
              <w:widowControl w:val="0"/>
              <w:jc w:val="center"/>
              <w:rPr>
                <w:rFonts w:ascii="Aptos Narrow" w:hAnsi="Aptos Narrow"/>
                <w:noProof/>
                <w:color w:val="000000"/>
                <w:sz w:val="22"/>
                <w:szCs w:val="22"/>
              </w:rPr>
            </w:pPr>
          </w:p>
        </w:tc>
      </w:tr>
      <w:tr w:rsidR="00971E00" w:rsidRPr="000C5EC3" w14:paraId="22CCF227" w14:textId="77777777">
        <w:trPr>
          <w:trHeight w:val="290"/>
        </w:trPr>
        <w:tc>
          <w:tcPr>
            <w:tcW w:w="759" w:type="dxa"/>
            <w:vMerge/>
            <w:tcBorders>
              <w:top w:val="nil"/>
              <w:left w:val="single" w:sz="4" w:space="0" w:color="auto"/>
              <w:bottom w:val="nil"/>
              <w:right w:val="nil"/>
            </w:tcBorders>
            <w:vAlign w:val="center"/>
          </w:tcPr>
          <w:p w14:paraId="03B32230" w14:textId="77777777" w:rsidR="00971E00" w:rsidRPr="000C5EC3"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4D93D9"/>
            <w:noWrap/>
            <w:vAlign w:val="bottom"/>
          </w:tcPr>
          <w:p w14:paraId="0A334AFB" w14:textId="77777777" w:rsidR="00971E00" w:rsidRPr="000C5EC3" w:rsidRDefault="00971E00">
            <w:pPr>
              <w:widowControl w:val="0"/>
              <w:jc w:val="center"/>
              <w:rPr>
                <w:rFonts w:ascii="Aptos Narrow" w:hAnsi="Aptos Narrow"/>
                <w:b/>
                <w:bCs/>
                <w:noProof/>
                <w:color w:val="FFFFFF"/>
                <w:sz w:val="22"/>
                <w:szCs w:val="22"/>
              </w:rPr>
            </w:pPr>
            <w:r w:rsidRPr="000C5EC3">
              <w:rPr>
                <w:rFonts w:ascii="Aptos Narrow" w:hAnsi="Aptos Narrow"/>
                <w:b/>
                <w:noProof/>
                <w:color w:val="FFFFFF"/>
                <w:sz w:val="22"/>
              </w:rPr>
              <w:t>B</w:t>
            </w:r>
          </w:p>
        </w:tc>
        <w:tc>
          <w:tcPr>
            <w:tcW w:w="842" w:type="dxa"/>
            <w:tcBorders>
              <w:top w:val="nil"/>
              <w:left w:val="nil"/>
              <w:bottom w:val="nil"/>
              <w:right w:val="nil"/>
            </w:tcBorders>
            <w:noWrap/>
            <w:vAlign w:val="bottom"/>
          </w:tcPr>
          <w:p w14:paraId="6CD033DB"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0,0 %</w:t>
            </w:r>
          </w:p>
        </w:tc>
        <w:tc>
          <w:tcPr>
            <w:tcW w:w="1039" w:type="dxa"/>
            <w:tcBorders>
              <w:top w:val="nil"/>
              <w:left w:val="nil"/>
              <w:bottom w:val="nil"/>
              <w:right w:val="nil"/>
            </w:tcBorders>
            <w:noWrap/>
            <w:vAlign w:val="bottom"/>
          </w:tcPr>
          <w:p w14:paraId="0A624D00"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1,9 %</w:t>
            </w:r>
          </w:p>
        </w:tc>
        <w:tc>
          <w:tcPr>
            <w:tcW w:w="1039" w:type="dxa"/>
            <w:tcBorders>
              <w:top w:val="nil"/>
              <w:left w:val="nil"/>
              <w:bottom w:val="nil"/>
              <w:right w:val="nil"/>
            </w:tcBorders>
            <w:shd w:val="clear" w:color="000000" w:fill="A6A6A6"/>
            <w:noWrap/>
            <w:vAlign w:val="bottom"/>
          </w:tcPr>
          <w:p w14:paraId="7830B6F6"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19,8 %</w:t>
            </w:r>
          </w:p>
        </w:tc>
        <w:tc>
          <w:tcPr>
            <w:tcW w:w="1039" w:type="dxa"/>
            <w:tcBorders>
              <w:top w:val="nil"/>
              <w:left w:val="nil"/>
              <w:bottom w:val="nil"/>
              <w:right w:val="nil"/>
            </w:tcBorders>
            <w:shd w:val="clear" w:color="000000" w:fill="A6A6A6"/>
            <w:noWrap/>
            <w:vAlign w:val="bottom"/>
          </w:tcPr>
          <w:p w14:paraId="7FE803E2"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11,6 %</w:t>
            </w:r>
          </w:p>
        </w:tc>
        <w:tc>
          <w:tcPr>
            <w:tcW w:w="842" w:type="dxa"/>
            <w:tcBorders>
              <w:top w:val="nil"/>
              <w:left w:val="nil"/>
              <w:bottom w:val="nil"/>
              <w:right w:val="nil"/>
            </w:tcBorders>
            <w:noWrap/>
            <w:vAlign w:val="bottom"/>
          </w:tcPr>
          <w:p w14:paraId="02E9F382"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0,7 %</w:t>
            </w:r>
          </w:p>
        </w:tc>
        <w:tc>
          <w:tcPr>
            <w:tcW w:w="960" w:type="dxa"/>
            <w:tcBorders>
              <w:top w:val="nil"/>
              <w:left w:val="single" w:sz="4" w:space="0" w:color="auto"/>
              <w:bottom w:val="nil"/>
              <w:right w:val="single" w:sz="4" w:space="0" w:color="auto"/>
            </w:tcBorders>
            <w:noWrap/>
            <w:vAlign w:val="bottom"/>
          </w:tcPr>
          <w:p w14:paraId="642F862F"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34,0 %</w:t>
            </w:r>
          </w:p>
        </w:tc>
        <w:tc>
          <w:tcPr>
            <w:tcW w:w="960" w:type="dxa"/>
            <w:tcBorders>
              <w:top w:val="nil"/>
              <w:left w:val="single" w:sz="4" w:space="0" w:color="auto"/>
              <w:bottom w:val="nil"/>
              <w:right w:val="single" w:sz="4" w:space="0" w:color="auto"/>
            </w:tcBorders>
          </w:tcPr>
          <w:p w14:paraId="0E3BAF9E" w14:textId="77777777" w:rsidR="00971E00" w:rsidRPr="000C5EC3" w:rsidRDefault="00971E00">
            <w:pPr>
              <w:widowControl w:val="0"/>
              <w:jc w:val="center"/>
              <w:rPr>
                <w:rFonts w:ascii="Aptos Narrow" w:hAnsi="Aptos Narrow"/>
                <w:noProof/>
                <w:color w:val="000000"/>
                <w:sz w:val="22"/>
                <w:szCs w:val="22"/>
              </w:rPr>
            </w:pPr>
          </w:p>
        </w:tc>
      </w:tr>
      <w:tr w:rsidR="00971E00" w:rsidRPr="000C5EC3" w14:paraId="1593F2A6" w14:textId="77777777">
        <w:trPr>
          <w:trHeight w:val="290"/>
        </w:trPr>
        <w:tc>
          <w:tcPr>
            <w:tcW w:w="759" w:type="dxa"/>
            <w:vMerge/>
            <w:tcBorders>
              <w:top w:val="nil"/>
              <w:left w:val="single" w:sz="4" w:space="0" w:color="auto"/>
              <w:bottom w:val="nil"/>
              <w:right w:val="nil"/>
            </w:tcBorders>
            <w:vAlign w:val="center"/>
          </w:tcPr>
          <w:p w14:paraId="2B728D06" w14:textId="77777777" w:rsidR="00971E00" w:rsidRPr="000C5EC3"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44B3E1"/>
            <w:noWrap/>
            <w:vAlign w:val="bottom"/>
          </w:tcPr>
          <w:p w14:paraId="6498E443" w14:textId="77777777" w:rsidR="00971E00" w:rsidRPr="000C5EC3" w:rsidRDefault="00971E00">
            <w:pPr>
              <w:widowControl w:val="0"/>
              <w:jc w:val="center"/>
              <w:rPr>
                <w:rFonts w:ascii="Aptos Narrow" w:hAnsi="Aptos Narrow"/>
                <w:b/>
                <w:bCs/>
                <w:noProof/>
                <w:color w:val="FFFFFF"/>
                <w:sz w:val="22"/>
                <w:szCs w:val="22"/>
              </w:rPr>
            </w:pPr>
            <w:r w:rsidRPr="000C5EC3">
              <w:rPr>
                <w:rFonts w:ascii="Aptos Narrow" w:hAnsi="Aptos Narrow"/>
                <w:b/>
                <w:noProof/>
                <w:color w:val="FFFFFF"/>
                <w:sz w:val="22"/>
              </w:rPr>
              <w:t>C</w:t>
            </w:r>
          </w:p>
        </w:tc>
        <w:tc>
          <w:tcPr>
            <w:tcW w:w="842" w:type="dxa"/>
            <w:tcBorders>
              <w:top w:val="nil"/>
              <w:left w:val="nil"/>
              <w:bottom w:val="nil"/>
              <w:right w:val="nil"/>
            </w:tcBorders>
            <w:noWrap/>
            <w:vAlign w:val="bottom"/>
          </w:tcPr>
          <w:p w14:paraId="5879CA4F"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0,0 %</w:t>
            </w:r>
          </w:p>
        </w:tc>
        <w:tc>
          <w:tcPr>
            <w:tcW w:w="1039" w:type="dxa"/>
            <w:tcBorders>
              <w:top w:val="nil"/>
              <w:left w:val="nil"/>
              <w:bottom w:val="nil"/>
              <w:right w:val="nil"/>
            </w:tcBorders>
            <w:noWrap/>
            <w:vAlign w:val="bottom"/>
          </w:tcPr>
          <w:p w14:paraId="53532F16"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0,5 %</w:t>
            </w:r>
          </w:p>
        </w:tc>
        <w:tc>
          <w:tcPr>
            <w:tcW w:w="1039" w:type="dxa"/>
            <w:tcBorders>
              <w:top w:val="nil"/>
              <w:left w:val="nil"/>
              <w:bottom w:val="nil"/>
              <w:right w:val="nil"/>
            </w:tcBorders>
            <w:shd w:val="clear" w:color="000000" w:fill="A6A6A6"/>
            <w:noWrap/>
            <w:vAlign w:val="bottom"/>
          </w:tcPr>
          <w:p w14:paraId="39423888"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21,0 %</w:t>
            </w:r>
          </w:p>
        </w:tc>
        <w:tc>
          <w:tcPr>
            <w:tcW w:w="1039" w:type="dxa"/>
            <w:tcBorders>
              <w:top w:val="nil"/>
              <w:left w:val="nil"/>
              <w:bottom w:val="nil"/>
              <w:right w:val="nil"/>
            </w:tcBorders>
            <w:shd w:val="clear" w:color="000000" w:fill="A6A6A6"/>
            <w:noWrap/>
            <w:vAlign w:val="bottom"/>
          </w:tcPr>
          <w:p w14:paraId="3C7F9592"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22,5 %</w:t>
            </w:r>
          </w:p>
        </w:tc>
        <w:tc>
          <w:tcPr>
            <w:tcW w:w="842" w:type="dxa"/>
            <w:tcBorders>
              <w:top w:val="nil"/>
              <w:left w:val="nil"/>
              <w:bottom w:val="nil"/>
              <w:right w:val="nil"/>
            </w:tcBorders>
            <w:noWrap/>
            <w:vAlign w:val="bottom"/>
          </w:tcPr>
          <w:p w14:paraId="0599C58E"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2,5 %</w:t>
            </w:r>
          </w:p>
        </w:tc>
        <w:tc>
          <w:tcPr>
            <w:tcW w:w="960" w:type="dxa"/>
            <w:tcBorders>
              <w:top w:val="nil"/>
              <w:left w:val="single" w:sz="4" w:space="0" w:color="auto"/>
              <w:bottom w:val="nil"/>
              <w:right w:val="single" w:sz="4" w:space="0" w:color="auto"/>
            </w:tcBorders>
            <w:noWrap/>
            <w:vAlign w:val="bottom"/>
          </w:tcPr>
          <w:p w14:paraId="773C7EF2"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46,6 %</w:t>
            </w:r>
          </w:p>
        </w:tc>
        <w:tc>
          <w:tcPr>
            <w:tcW w:w="960" w:type="dxa"/>
            <w:tcBorders>
              <w:top w:val="nil"/>
              <w:left w:val="single" w:sz="4" w:space="0" w:color="auto"/>
              <w:bottom w:val="nil"/>
              <w:right w:val="single" w:sz="4" w:space="0" w:color="auto"/>
            </w:tcBorders>
          </w:tcPr>
          <w:p w14:paraId="66DF0A1D" w14:textId="77777777" w:rsidR="00971E00" w:rsidRPr="000C5EC3" w:rsidRDefault="00971E00">
            <w:pPr>
              <w:widowControl w:val="0"/>
              <w:jc w:val="center"/>
              <w:rPr>
                <w:rFonts w:ascii="Aptos Narrow" w:hAnsi="Aptos Narrow"/>
                <w:noProof/>
                <w:color w:val="000000"/>
                <w:sz w:val="22"/>
                <w:szCs w:val="22"/>
              </w:rPr>
            </w:pPr>
          </w:p>
        </w:tc>
      </w:tr>
      <w:tr w:rsidR="00971E00" w:rsidRPr="000C5EC3" w14:paraId="5591A97D" w14:textId="77777777">
        <w:trPr>
          <w:trHeight w:val="290"/>
        </w:trPr>
        <w:tc>
          <w:tcPr>
            <w:tcW w:w="759" w:type="dxa"/>
            <w:vMerge/>
            <w:tcBorders>
              <w:top w:val="nil"/>
              <w:left w:val="single" w:sz="4" w:space="0" w:color="auto"/>
              <w:bottom w:val="nil"/>
              <w:right w:val="nil"/>
            </w:tcBorders>
            <w:vAlign w:val="center"/>
          </w:tcPr>
          <w:p w14:paraId="67D0844C" w14:textId="77777777" w:rsidR="00971E00" w:rsidRPr="000C5EC3"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83CCEB"/>
            <w:noWrap/>
            <w:vAlign w:val="bottom"/>
          </w:tcPr>
          <w:p w14:paraId="45704814" w14:textId="77777777" w:rsidR="00971E00" w:rsidRPr="000C5EC3" w:rsidRDefault="00971E00">
            <w:pPr>
              <w:widowControl w:val="0"/>
              <w:jc w:val="center"/>
              <w:rPr>
                <w:rFonts w:ascii="Aptos Narrow" w:hAnsi="Aptos Narrow"/>
                <w:b/>
                <w:bCs/>
                <w:noProof/>
                <w:color w:val="FFFFFF"/>
                <w:sz w:val="22"/>
                <w:szCs w:val="22"/>
              </w:rPr>
            </w:pPr>
            <w:r w:rsidRPr="000C5EC3">
              <w:rPr>
                <w:rFonts w:ascii="Aptos Narrow" w:hAnsi="Aptos Narrow"/>
                <w:b/>
                <w:noProof/>
                <w:color w:val="FFFFFF"/>
                <w:sz w:val="22"/>
              </w:rPr>
              <w:t>D</w:t>
            </w:r>
          </w:p>
        </w:tc>
        <w:tc>
          <w:tcPr>
            <w:tcW w:w="842" w:type="dxa"/>
            <w:tcBorders>
              <w:top w:val="nil"/>
              <w:left w:val="nil"/>
              <w:bottom w:val="nil"/>
              <w:right w:val="nil"/>
            </w:tcBorders>
            <w:noWrap/>
            <w:vAlign w:val="bottom"/>
          </w:tcPr>
          <w:p w14:paraId="7F89F364"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0,0 %</w:t>
            </w:r>
          </w:p>
        </w:tc>
        <w:tc>
          <w:tcPr>
            <w:tcW w:w="1039" w:type="dxa"/>
            <w:tcBorders>
              <w:top w:val="nil"/>
              <w:left w:val="nil"/>
              <w:bottom w:val="nil"/>
              <w:right w:val="nil"/>
            </w:tcBorders>
            <w:noWrap/>
            <w:vAlign w:val="bottom"/>
          </w:tcPr>
          <w:p w14:paraId="6A4B3225"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0,1 %</w:t>
            </w:r>
          </w:p>
        </w:tc>
        <w:tc>
          <w:tcPr>
            <w:tcW w:w="1039" w:type="dxa"/>
            <w:tcBorders>
              <w:top w:val="nil"/>
              <w:left w:val="nil"/>
              <w:bottom w:val="nil"/>
              <w:right w:val="nil"/>
            </w:tcBorders>
            <w:noWrap/>
            <w:vAlign w:val="bottom"/>
          </w:tcPr>
          <w:p w14:paraId="61CFA828"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2,6 %</w:t>
            </w:r>
          </w:p>
        </w:tc>
        <w:tc>
          <w:tcPr>
            <w:tcW w:w="1039" w:type="dxa"/>
            <w:tcBorders>
              <w:top w:val="nil"/>
              <w:left w:val="nil"/>
              <w:bottom w:val="nil"/>
              <w:right w:val="nil"/>
            </w:tcBorders>
            <w:shd w:val="clear" w:color="000000" w:fill="D9D9D9"/>
            <w:noWrap/>
            <w:vAlign w:val="bottom"/>
          </w:tcPr>
          <w:p w14:paraId="7672E3E4"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9,6 %</w:t>
            </w:r>
          </w:p>
        </w:tc>
        <w:tc>
          <w:tcPr>
            <w:tcW w:w="842" w:type="dxa"/>
            <w:tcBorders>
              <w:top w:val="nil"/>
              <w:left w:val="nil"/>
              <w:bottom w:val="nil"/>
              <w:right w:val="nil"/>
            </w:tcBorders>
            <w:noWrap/>
            <w:vAlign w:val="bottom"/>
          </w:tcPr>
          <w:p w14:paraId="309D881B"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0,7 %</w:t>
            </w:r>
          </w:p>
        </w:tc>
        <w:tc>
          <w:tcPr>
            <w:tcW w:w="960" w:type="dxa"/>
            <w:tcBorders>
              <w:top w:val="nil"/>
              <w:left w:val="single" w:sz="4" w:space="0" w:color="auto"/>
              <w:bottom w:val="nil"/>
              <w:right w:val="single" w:sz="4" w:space="0" w:color="auto"/>
            </w:tcBorders>
            <w:noWrap/>
            <w:vAlign w:val="bottom"/>
          </w:tcPr>
          <w:p w14:paraId="267B4B67"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12,9 %</w:t>
            </w:r>
          </w:p>
        </w:tc>
        <w:tc>
          <w:tcPr>
            <w:tcW w:w="960" w:type="dxa"/>
            <w:tcBorders>
              <w:top w:val="nil"/>
              <w:left w:val="single" w:sz="4" w:space="0" w:color="auto"/>
              <w:bottom w:val="nil"/>
              <w:right w:val="single" w:sz="4" w:space="0" w:color="auto"/>
            </w:tcBorders>
          </w:tcPr>
          <w:p w14:paraId="63086EDB" w14:textId="77777777" w:rsidR="00971E00" w:rsidRPr="000C5EC3" w:rsidRDefault="00971E00">
            <w:pPr>
              <w:widowControl w:val="0"/>
              <w:jc w:val="center"/>
              <w:rPr>
                <w:rFonts w:ascii="Aptos Narrow" w:hAnsi="Aptos Narrow"/>
                <w:noProof/>
                <w:color w:val="000000"/>
                <w:sz w:val="22"/>
                <w:szCs w:val="22"/>
              </w:rPr>
            </w:pPr>
          </w:p>
        </w:tc>
      </w:tr>
      <w:tr w:rsidR="00971E00" w:rsidRPr="000C5EC3" w14:paraId="42321F3E" w14:textId="77777777">
        <w:trPr>
          <w:trHeight w:val="290"/>
        </w:trPr>
        <w:tc>
          <w:tcPr>
            <w:tcW w:w="759" w:type="dxa"/>
            <w:vMerge/>
            <w:tcBorders>
              <w:top w:val="nil"/>
              <w:left w:val="single" w:sz="4" w:space="0" w:color="auto"/>
              <w:bottom w:val="nil"/>
              <w:right w:val="nil"/>
            </w:tcBorders>
            <w:vAlign w:val="center"/>
          </w:tcPr>
          <w:p w14:paraId="502009C2" w14:textId="77777777" w:rsidR="00971E00" w:rsidRPr="000C5EC3"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CAEDFB"/>
            <w:noWrap/>
            <w:vAlign w:val="bottom"/>
          </w:tcPr>
          <w:p w14:paraId="78234026" w14:textId="77777777" w:rsidR="00971E00" w:rsidRPr="000C5EC3" w:rsidRDefault="00971E00">
            <w:pPr>
              <w:widowControl w:val="0"/>
              <w:jc w:val="center"/>
              <w:rPr>
                <w:rFonts w:ascii="Aptos Narrow" w:hAnsi="Aptos Narrow"/>
                <w:b/>
                <w:bCs/>
                <w:noProof/>
                <w:color w:val="FFFFFF"/>
                <w:sz w:val="22"/>
                <w:szCs w:val="22"/>
              </w:rPr>
            </w:pPr>
            <w:r w:rsidRPr="000C5EC3">
              <w:rPr>
                <w:rFonts w:ascii="Aptos Narrow" w:hAnsi="Aptos Narrow"/>
                <w:b/>
                <w:noProof/>
                <w:color w:val="FFFFFF"/>
                <w:sz w:val="22"/>
              </w:rPr>
              <w:t>E</w:t>
            </w:r>
          </w:p>
        </w:tc>
        <w:tc>
          <w:tcPr>
            <w:tcW w:w="842" w:type="dxa"/>
            <w:tcBorders>
              <w:top w:val="nil"/>
              <w:left w:val="nil"/>
              <w:bottom w:val="nil"/>
              <w:right w:val="nil"/>
            </w:tcBorders>
            <w:noWrap/>
            <w:vAlign w:val="bottom"/>
          </w:tcPr>
          <w:p w14:paraId="7B60E87D"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0,0 %</w:t>
            </w:r>
          </w:p>
        </w:tc>
        <w:tc>
          <w:tcPr>
            <w:tcW w:w="1039" w:type="dxa"/>
            <w:tcBorders>
              <w:top w:val="nil"/>
              <w:left w:val="nil"/>
              <w:bottom w:val="nil"/>
              <w:right w:val="nil"/>
            </w:tcBorders>
            <w:noWrap/>
            <w:vAlign w:val="bottom"/>
          </w:tcPr>
          <w:p w14:paraId="4FC3F8D2"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0,0 %</w:t>
            </w:r>
          </w:p>
        </w:tc>
        <w:tc>
          <w:tcPr>
            <w:tcW w:w="1039" w:type="dxa"/>
            <w:tcBorders>
              <w:top w:val="nil"/>
              <w:left w:val="nil"/>
              <w:bottom w:val="nil"/>
              <w:right w:val="nil"/>
            </w:tcBorders>
            <w:noWrap/>
            <w:vAlign w:val="bottom"/>
          </w:tcPr>
          <w:p w14:paraId="2C2D8268"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0,2 %</w:t>
            </w:r>
          </w:p>
        </w:tc>
        <w:tc>
          <w:tcPr>
            <w:tcW w:w="1039" w:type="dxa"/>
            <w:tcBorders>
              <w:top w:val="nil"/>
              <w:left w:val="nil"/>
              <w:bottom w:val="nil"/>
              <w:right w:val="nil"/>
            </w:tcBorders>
            <w:noWrap/>
            <w:vAlign w:val="bottom"/>
          </w:tcPr>
          <w:p w14:paraId="68F09BC2"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0,8 %</w:t>
            </w:r>
          </w:p>
        </w:tc>
        <w:tc>
          <w:tcPr>
            <w:tcW w:w="842" w:type="dxa"/>
            <w:tcBorders>
              <w:top w:val="nil"/>
              <w:left w:val="nil"/>
              <w:bottom w:val="nil"/>
              <w:right w:val="nil"/>
            </w:tcBorders>
            <w:noWrap/>
            <w:vAlign w:val="bottom"/>
          </w:tcPr>
          <w:p w14:paraId="7194425B"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0,7 %</w:t>
            </w:r>
          </w:p>
        </w:tc>
        <w:tc>
          <w:tcPr>
            <w:tcW w:w="960" w:type="dxa"/>
            <w:tcBorders>
              <w:top w:val="nil"/>
              <w:left w:val="single" w:sz="4" w:space="0" w:color="auto"/>
              <w:bottom w:val="nil"/>
              <w:right w:val="single" w:sz="4" w:space="0" w:color="auto"/>
            </w:tcBorders>
            <w:noWrap/>
            <w:vAlign w:val="bottom"/>
          </w:tcPr>
          <w:p w14:paraId="5FC297F0"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1,7 %</w:t>
            </w:r>
          </w:p>
        </w:tc>
        <w:tc>
          <w:tcPr>
            <w:tcW w:w="960" w:type="dxa"/>
            <w:tcBorders>
              <w:top w:val="nil"/>
              <w:left w:val="single" w:sz="4" w:space="0" w:color="auto"/>
              <w:bottom w:val="nil"/>
              <w:right w:val="single" w:sz="4" w:space="0" w:color="auto"/>
            </w:tcBorders>
          </w:tcPr>
          <w:p w14:paraId="474BCE32" w14:textId="77777777" w:rsidR="00971E00" w:rsidRPr="000C5EC3" w:rsidRDefault="00971E00">
            <w:pPr>
              <w:widowControl w:val="0"/>
              <w:jc w:val="center"/>
              <w:rPr>
                <w:rFonts w:ascii="Aptos Narrow" w:hAnsi="Aptos Narrow"/>
                <w:noProof/>
                <w:color w:val="000000"/>
                <w:sz w:val="22"/>
                <w:szCs w:val="22"/>
              </w:rPr>
            </w:pPr>
          </w:p>
        </w:tc>
      </w:tr>
      <w:tr w:rsidR="00971E00" w:rsidRPr="000C5EC3" w14:paraId="01F79E0A" w14:textId="77777777">
        <w:trPr>
          <w:trHeight w:val="290"/>
        </w:trPr>
        <w:tc>
          <w:tcPr>
            <w:tcW w:w="759" w:type="dxa"/>
            <w:tcBorders>
              <w:top w:val="single" w:sz="4" w:space="0" w:color="auto"/>
              <w:left w:val="single" w:sz="4" w:space="0" w:color="auto"/>
              <w:bottom w:val="single" w:sz="4" w:space="0" w:color="auto"/>
              <w:right w:val="nil"/>
            </w:tcBorders>
            <w:noWrap/>
            <w:vAlign w:val="bottom"/>
          </w:tcPr>
          <w:p w14:paraId="17E56784" w14:textId="0F0E2013" w:rsidR="00971E00" w:rsidRPr="000C5EC3" w:rsidRDefault="00971E00">
            <w:pPr>
              <w:widowControl w:val="0"/>
              <w:rPr>
                <w:rFonts w:ascii="Aptos Narrow" w:hAnsi="Aptos Narrow"/>
                <w:noProof/>
                <w:color w:val="000000"/>
                <w:sz w:val="22"/>
                <w:szCs w:val="22"/>
              </w:rPr>
            </w:pPr>
          </w:p>
        </w:tc>
        <w:tc>
          <w:tcPr>
            <w:tcW w:w="1161" w:type="dxa"/>
            <w:tcBorders>
              <w:top w:val="single" w:sz="4" w:space="0" w:color="auto"/>
              <w:left w:val="nil"/>
              <w:bottom w:val="single" w:sz="4" w:space="0" w:color="auto"/>
              <w:right w:val="nil"/>
            </w:tcBorders>
            <w:noWrap/>
            <w:vAlign w:val="bottom"/>
          </w:tcPr>
          <w:p w14:paraId="56C0EC33" w14:textId="2BF120B1" w:rsidR="00971E00" w:rsidRPr="000C5EC3" w:rsidRDefault="00971E00">
            <w:pPr>
              <w:widowControl w:val="0"/>
              <w:rPr>
                <w:rFonts w:ascii="Aptos Narrow" w:hAnsi="Aptos Narrow"/>
                <w:noProof/>
                <w:color w:val="000000"/>
                <w:sz w:val="22"/>
                <w:szCs w:val="22"/>
              </w:rPr>
            </w:pPr>
          </w:p>
        </w:tc>
        <w:tc>
          <w:tcPr>
            <w:tcW w:w="842" w:type="dxa"/>
            <w:tcBorders>
              <w:top w:val="single" w:sz="4" w:space="0" w:color="auto"/>
              <w:left w:val="nil"/>
              <w:bottom w:val="single" w:sz="4" w:space="0" w:color="auto"/>
              <w:right w:val="nil"/>
            </w:tcBorders>
            <w:noWrap/>
            <w:vAlign w:val="bottom"/>
          </w:tcPr>
          <w:p w14:paraId="423231AD"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0,0 %</w:t>
            </w:r>
          </w:p>
        </w:tc>
        <w:tc>
          <w:tcPr>
            <w:tcW w:w="1039" w:type="dxa"/>
            <w:tcBorders>
              <w:top w:val="single" w:sz="4" w:space="0" w:color="auto"/>
              <w:left w:val="nil"/>
              <w:bottom w:val="single" w:sz="4" w:space="0" w:color="auto"/>
              <w:right w:val="nil"/>
            </w:tcBorders>
            <w:noWrap/>
            <w:vAlign w:val="bottom"/>
          </w:tcPr>
          <w:p w14:paraId="1AA888D3"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3,0 %</w:t>
            </w:r>
          </w:p>
        </w:tc>
        <w:tc>
          <w:tcPr>
            <w:tcW w:w="1039" w:type="dxa"/>
            <w:tcBorders>
              <w:top w:val="single" w:sz="4" w:space="0" w:color="auto"/>
              <w:left w:val="nil"/>
              <w:bottom w:val="single" w:sz="4" w:space="0" w:color="auto"/>
              <w:right w:val="nil"/>
            </w:tcBorders>
            <w:noWrap/>
            <w:vAlign w:val="bottom"/>
          </w:tcPr>
          <w:p w14:paraId="4E95CB5C"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45,7 %</w:t>
            </w:r>
          </w:p>
        </w:tc>
        <w:tc>
          <w:tcPr>
            <w:tcW w:w="1039" w:type="dxa"/>
            <w:tcBorders>
              <w:top w:val="single" w:sz="4" w:space="0" w:color="auto"/>
              <w:left w:val="nil"/>
              <w:bottom w:val="single" w:sz="4" w:space="0" w:color="auto"/>
              <w:right w:val="nil"/>
            </w:tcBorders>
            <w:noWrap/>
            <w:vAlign w:val="bottom"/>
          </w:tcPr>
          <w:p w14:paraId="63A777EA"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46,7 %</w:t>
            </w:r>
          </w:p>
        </w:tc>
        <w:tc>
          <w:tcPr>
            <w:tcW w:w="842" w:type="dxa"/>
            <w:tcBorders>
              <w:top w:val="single" w:sz="4" w:space="0" w:color="auto"/>
              <w:left w:val="nil"/>
              <w:bottom w:val="single" w:sz="4" w:space="0" w:color="auto"/>
              <w:right w:val="nil"/>
            </w:tcBorders>
            <w:noWrap/>
            <w:vAlign w:val="bottom"/>
          </w:tcPr>
          <w:p w14:paraId="2AB030A3"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4,6 %</w:t>
            </w:r>
          </w:p>
        </w:tc>
        <w:tc>
          <w:tcPr>
            <w:tcW w:w="960" w:type="dxa"/>
            <w:tcBorders>
              <w:top w:val="single" w:sz="4" w:space="0" w:color="auto"/>
              <w:left w:val="single" w:sz="4" w:space="0" w:color="auto"/>
              <w:bottom w:val="single" w:sz="4" w:space="0" w:color="auto"/>
              <w:right w:val="single" w:sz="4" w:space="0" w:color="auto"/>
            </w:tcBorders>
            <w:noWrap/>
            <w:vAlign w:val="bottom"/>
          </w:tcPr>
          <w:p w14:paraId="4446B4E2" w14:textId="5C7FEB15" w:rsidR="00971E00" w:rsidRPr="000C5EC3" w:rsidRDefault="00971E00">
            <w:pPr>
              <w:widowControl w:val="0"/>
              <w:rPr>
                <w:rFonts w:ascii="Aptos Narrow" w:hAnsi="Aptos Narrow"/>
                <w:noProof/>
                <w:color w:val="000000"/>
                <w:sz w:val="22"/>
                <w:szCs w:val="22"/>
              </w:rPr>
            </w:pPr>
          </w:p>
        </w:tc>
        <w:tc>
          <w:tcPr>
            <w:tcW w:w="960" w:type="dxa"/>
            <w:tcBorders>
              <w:top w:val="single" w:sz="4" w:space="0" w:color="auto"/>
              <w:left w:val="single" w:sz="4" w:space="0" w:color="auto"/>
              <w:bottom w:val="single" w:sz="4" w:space="0" w:color="auto"/>
              <w:right w:val="single" w:sz="4" w:space="0" w:color="auto"/>
            </w:tcBorders>
          </w:tcPr>
          <w:p w14:paraId="67960982" w14:textId="77777777" w:rsidR="00971E00" w:rsidRPr="000C5EC3" w:rsidRDefault="00971E00">
            <w:pPr>
              <w:widowControl w:val="0"/>
              <w:rPr>
                <w:rFonts w:ascii="Aptos Narrow" w:hAnsi="Aptos Narrow"/>
                <w:noProof/>
                <w:color w:val="000000"/>
                <w:sz w:val="22"/>
                <w:szCs w:val="22"/>
              </w:rPr>
            </w:pPr>
          </w:p>
        </w:tc>
      </w:tr>
      <w:tr w:rsidR="00971E00" w:rsidRPr="000C5EC3" w14:paraId="74F56B86" w14:textId="77777777">
        <w:trPr>
          <w:trHeight w:val="290"/>
        </w:trPr>
        <w:tc>
          <w:tcPr>
            <w:tcW w:w="759" w:type="dxa"/>
            <w:tcBorders>
              <w:top w:val="nil"/>
              <w:left w:val="nil"/>
              <w:bottom w:val="nil"/>
              <w:right w:val="nil"/>
            </w:tcBorders>
            <w:shd w:val="clear" w:color="000000" w:fill="FFFFFF"/>
            <w:noWrap/>
            <w:vAlign w:val="bottom"/>
          </w:tcPr>
          <w:p w14:paraId="1376A8FF" w14:textId="326A7B17" w:rsidR="00971E00" w:rsidRPr="000C5EC3" w:rsidRDefault="00971E00">
            <w:pPr>
              <w:widowControl w:val="0"/>
              <w:rPr>
                <w:rFonts w:ascii="Aptos Narrow" w:hAnsi="Aptos Narrow"/>
                <w:noProof/>
                <w:color w:val="000000"/>
                <w:sz w:val="22"/>
                <w:szCs w:val="22"/>
              </w:rPr>
            </w:pPr>
          </w:p>
        </w:tc>
        <w:tc>
          <w:tcPr>
            <w:tcW w:w="1161" w:type="dxa"/>
            <w:tcBorders>
              <w:top w:val="nil"/>
              <w:left w:val="nil"/>
              <w:bottom w:val="nil"/>
              <w:right w:val="nil"/>
            </w:tcBorders>
            <w:shd w:val="clear" w:color="000000" w:fill="FFFFFF"/>
            <w:noWrap/>
            <w:vAlign w:val="bottom"/>
          </w:tcPr>
          <w:p w14:paraId="4A3DFD6E" w14:textId="3A0101DD" w:rsidR="00971E00" w:rsidRPr="000C5EC3" w:rsidRDefault="00971E00">
            <w:pPr>
              <w:widowControl w:val="0"/>
              <w:rPr>
                <w:rFonts w:ascii="Aptos Narrow" w:hAnsi="Aptos Narrow"/>
                <w:noProof/>
                <w:color w:val="000000"/>
                <w:sz w:val="22"/>
                <w:szCs w:val="22"/>
              </w:rPr>
            </w:pPr>
          </w:p>
        </w:tc>
        <w:tc>
          <w:tcPr>
            <w:tcW w:w="842" w:type="dxa"/>
            <w:tcBorders>
              <w:top w:val="nil"/>
              <w:left w:val="nil"/>
              <w:bottom w:val="nil"/>
              <w:right w:val="nil"/>
            </w:tcBorders>
            <w:shd w:val="clear" w:color="000000" w:fill="FFFFFF"/>
            <w:noWrap/>
            <w:vAlign w:val="bottom"/>
          </w:tcPr>
          <w:p w14:paraId="473037AF" w14:textId="53B15353" w:rsidR="00971E00" w:rsidRPr="000C5EC3" w:rsidRDefault="00971E00">
            <w:pPr>
              <w:widowControl w:val="0"/>
              <w:rPr>
                <w:rFonts w:ascii="Aptos Narrow" w:hAnsi="Aptos Narrow"/>
                <w:noProof/>
                <w:color w:val="000000"/>
                <w:sz w:val="22"/>
                <w:szCs w:val="22"/>
              </w:rPr>
            </w:pPr>
          </w:p>
        </w:tc>
        <w:tc>
          <w:tcPr>
            <w:tcW w:w="1039" w:type="dxa"/>
            <w:tcBorders>
              <w:top w:val="nil"/>
              <w:left w:val="nil"/>
              <w:bottom w:val="nil"/>
              <w:right w:val="nil"/>
            </w:tcBorders>
            <w:shd w:val="clear" w:color="000000" w:fill="FFFFFF"/>
            <w:noWrap/>
            <w:vAlign w:val="bottom"/>
          </w:tcPr>
          <w:p w14:paraId="1FD4FC6F" w14:textId="54D68166" w:rsidR="00971E00" w:rsidRPr="000C5EC3" w:rsidRDefault="00971E00">
            <w:pPr>
              <w:widowControl w:val="0"/>
              <w:rPr>
                <w:rFonts w:ascii="Aptos Narrow" w:hAnsi="Aptos Narrow"/>
                <w:noProof/>
                <w:color w:val="000000"/>
                <w:sz w:val="22"/>
                <w:szCs w:val="22"/>
              </w:rPr>
            </w:pPr>
          </w:p>
        </w:tc>
        <w:tc>
          <w:tcPr>
            <w:tcW w:w="1039" w:type="dxa"/>
            <w:tcBorders>
              <w:top w:val="nil"/>
              <w:left w:val="nil"/>
              <w:bottom w:val="nil"/>
              <w:right w:val="nil"/>
            </w:tcBorders>
            <w:shd w:val="clear" w:color="000000" w:fill="FFFFFF"/>
            <w:noWrap/>
            <w:vAlign w:val="bottom"/>
          </w:tcPr>
          <w:p w14:paraId="48E4E938" w14:textId="442F159F" w:rsidR="00971E00" w:rsidRPr="000C5EC3" w:rsidRDefault="00971E00">
            <w:pPr>
              <w:widowControl w:val="0"/>
              <w:rPr>
                <w:rFonts w:ascii="Aptos Narrow" w:hAnsi="Aptos Narrow"/>
                <w:noProof/>
                <w:color w:val="000000"/>
                <w:sz w:val="22"/>
                <w:szCs w:val="22"/>
              </w:rPr>
            </w:pPr>
          </w:p>
        </w:tc>
        <w:tc>
          <w:tcPr>
            <w:tcW w:w="1039" w:type="dxa"/>
            <w:tcBorders>
              <w:top w:val="nil"/>
              <w:left w:val="nil"/>
              <w:bottom w:val="nil"/>
              <w:right w:val="nil"/>
            </w:tcBorders>
            <w:shd w:val="clear" w:color="000000" w:fill="FFFFFF"/>
            <w:noWrap/>
            <w:vAlign w:val="bottom"/>
          </w:tcPr>
          <w:p w14:paraId="10D3DA58" w14:textId="5D5D605B" w:rsidR="00971E00" w:rsidRPr="000C5EC3" w:rsidRDefault="00971E00">
            <w:pPr>
              <w:widowControl w:val="0"/>
              <w:rPr>
                <w:rFonts w:ascii="Aptos Narrow" w:hAnsi="Aptos Narrow"/>
                <w:noProof/>
                <w:color w:val="000000"/>
                <w:sz w:val="22"/>
                <w:szCs w:val="22"/>
              </w:rPr>
            </w:pPr>
          </w:p>
        </w:tc>
        <w:tc>
          <w:tcPr>
            <w:tcW w:w="842" w:type="dxa"/>
            <w:tcBorders>
              <w:top w:val="nil"/>
              <w:left w:val="nil"/>
              <w:bottom w:val="nil"/>
              <w:right w:val="nil"/>
            </w:tcBorders>
            <w:shd w:val="clear" w:color="000000" w:fill="FFFFFF"/>
            <w:noWrap/>
            <w:vAlign w:val="bottom"/>
          </w:tcPr>
          <w:p w14:paraId="2A6C2302" w14:textId="62467CF7" w:rsidR="00971E00" w:rsidRPr="000C5EC3" w:rsidRDefault="00971E00">
            <w:pPr>
              <w:widowControl w:val="0"/>
              <w:rPr>
                <w:rFonts w:ascii="Aptos Narrow" w:hAnsi="Aptos Narrow"/>
                <w:noProof/>
                <w:color w:val="000000"/>
                <w:sz w:val="22"/>
                <w:szCs w:val="22"/>
              </w:rPr>
            </w:pPr>
          </w:p>
        </w:tc>
        <w:tc>
          <w:tcPr>
            <w:tcW w:w="960" w:type="dxa"/>
            <w:tcBorders>
              <w:top w:val="nil"/>
              <w:left w:val="nil"/>
              <w:bottom w:val="nil"/>
              <w:right w:val="nil"/>
            </w:tcBorders>
            <w:shd w:val="clear" w:color="000000" w:fill="FFFFFF"/>
            <w:noWrap/>
            <w:vAlign w:val="bottom"/>
          </w:tcPr>
          <w:p w14:paraId="1187D0AE" w14:textId="4534FDE0" w:rsidR="00971E00" w:rsidRPr="000C5EC3" w:rsidRDefault="00971E00">
            <w:pPr>
              <w:widowControl w:val="0"/>
              <w:rPr>
                <w:rFonts w:ascii="Aptos Narrow" w:hAnsi="Aptos Narrow"/>
                <w:noProof/>
                <w:color w:val="000000"/>
                <w:sz w:val="22"/>
                <w:szCs w:val="22"/>
              </w:rPr>
            </w:pPr>
          </w:p>
        </w:tc>
        <w:tc>
          <w:tcPr>
            <w:tcW w:w="960" w:type="dxa"/>
            <w:tcBorders>
              <w:top w:val="nil"/>
              <w:left w:val="nil"/>
              <w:bottom w:val="nil"/>
              <w:right w:val="nil"/>
            </w:tcBorders>
            <w:shd w:val="clear" w:color="000000" w:fill="FFFFFF"/>
          </w:tcPr>
          <w:p w14:paraId="225D6B98" w14:textId="77777777" w:rsidR="00971E00" w:rsidRPr="000C5EC3" w:rsidRDefault="00971E00">
            <w:pPr>
              <w:widowControl w:val="0"/>
              <w:rPr>
                <w:rFonts w:ascii="Aptos Narrow" w:hAnsi="Aptos Narrow"/>
                <w:noProof/>
                <w:color w:val="000000"/>
                <w:sz w:val="22"/>
                <w:szCs w:val="22"/>
              </w:rPr>
            </w:pPr>
          </w:p>
        </w:tc>
      </w:tr>
      <w:tr w:rsidR="00971E00" w:rsidRPr="000C5EC3" w14:paraId="4A6CEA87" w14:textId="77777777">
        <w:trPr>
          <w:trHeight w:val="290"/>
        </w:trPr>
        <w:tc>
          <w:tcPr>
            <w:tcW w:w="1920" w:type="dxa"/>
            <w:gridSpan w:val="2"/>
            <w:tcBorders>
              <w:top w:val="single" w:sz="4" w:space="0" w:color="auto"/>
              <w:left w:val="single" w:sz="4" w:space="0" w:color="auto"/>
              <w:bottom w:val="nil"/>
              <w:right w:val="nil"/>
            </w:tcBorders>
            <w:shd w:val="clear" w:color="000000" w:fill="F2F2F2"/>
            <w:noWrap/>
            <w:vAlign w:val="bottom"/>
          </w:tcPr>
          <w:p w14:paraId="062AF48F"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C1</w:t>
            </w:r>
          </w:p>
        </w:tc>
        <w:tc>
          <w:tcPr>
            <w:tcW w:w="4801" w:type="dxa"/>
            <w:gridSpan w:val="5"/>
            <w:tcBorders>
              <w:top w:val="single" w:sz="4" w:space="0" w:color="auto"/>
              <w:left w:val="nil"/>
              <w:bottom w:val="nil"/>
              <w:right w:val="single" w:sz="4" w:space="0" w:color="000000"/>
            </w:tcBorders>
            <w:noWrap/>
            <w:vAlign w:val="bottom"/>
          </w:tcPr>
          <w:p w14:paraId="38F4D59C"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Résistance au roulement</w:t>
            </w:r>
          </w:p>
        </w:tc>
        <w:tc>
          <w:tcPr>
            <w:tcW w:w="960" w:type="dxa"/>
            <w:tcBorders>
              <w:top w:val="single" w:sz="4" w:space="0" w:color="auto"/>
              <w:left w:val="nil"/>
              <w:bottom w:val="nil"/>
              <w:right w:val="single" w:sz="4" w:space="0" w:color="auto"/>
            </w:tcBorders>
            <w:noWrap/>
            <w:vAlign w:val="bottom"/>
          </w:tcPr>
          <w:p w14:paraId="23B39C56" w14:textId="1CFC54AB" w:rsidR="00971E00" w:rsidRPr="000C5EC3" w:rsidRDefault="00971E00">
            <w:pPr>
              <w:widowControl w:val="0"/>
              <w:rPr>
                <w:rFonts w:ascii="Aptos Narrow" w:hAnsi="Aptos Narrow"/>
                <w:noProof/>
                <w:color w:val="000000"/>
                <w:sz w:val="22"/>
                <w:szCs w:val="22"/>
              </w:rPr>
            </w:pPr>
          </w:p>
        </w:tc>
        <w:tc>
          <w:tcPr>
            <w:tcW w:w="960" w:type="dxa"/>
            <w:tcBorders>
              <w:top w:val="single" w:sz="4" w:space="0" w:color="auto"/>
              <w:left w:val="nil"/>
              <w:bottom w:val="nil"/>
              <w:right w:val="single" w:sz="4" w:space="0" w:color="auto"/>
            </w:tcBorders>
          </w:tcPr>
          <w:p w14:paraId="3C8160D7" w14:textId="77777777" w:rsidR="00971E00" w:rsidRPr="000C5EC3" w:rsidRDefault="00971E00">
            <w:pPr>
              <w:widowControl w:val="0"/>
              <w:rPr>
                <w:rFonts w:ascii="Aptos Narrow" w:hAnsi="Aptos Narrow"/>
                <w:noProof/>
                <w:color w:val="000000"/>
                <w:sz w:val="22"/>
                <w:szCs w:val="22"/>
              </w:rPr>
            </w:pPr>
          </w:p>
        </w:tc>
      </w:tr>
      <w:tr w:rsidR="00971E00" w:rsidRPr="000C5EC3" w14:paraId="49CFD17C" w14:textId="77777777">
        <w:trPr>
          <w:trHeight w:val="290"/>
        </w:trPr>
        <w:tc>
          <w:tcPr>
            <w:tcW w:w="759" w:type="dxa"/>
            <w:tcBorders>
              <w:top w:val="nil"/>
              <w:left w:val="single" w:sz="4" w:space="0" w:color="auto"/>
              <w:bottom w:val="nil"/>
              <w:right w:val="nil"/>
            </w:tcBorders>
            <w:shd w:val="clear" w:color="000000" w:fill="F2F2F2"/>
            <w:noWrap/>
            <w:vAlign w:val="bottom"/>
          </w:tcPr>
          <w:p w14:paraId="4F6E0F63" w14:textId="1748D2E1" w:rsidR="00971E00" w:rsidRPr="000C5EC3" w:rsidRDefault="00971E00">
            <w:pPr>
              <w:widowControl w:val="0"/>
              <w:rPr>
                <w:rFonts w:ascii="Aptos Narrow" w:hAnsi="Aptos Narrow"/>
                <w:noProof/>
                <w:color w:val="000000"/>
                <w:sz w:val="22"/>
                <w:szCs w:val="22"/>
              </w:rPr>
            </w:pPr>
          </w:p>
        </w:tc>
        <w:tc>
          <w:tcPr>
            <w:tcW w:w="1161" w:type="dxa"/>
            <w:tcBorders>
              <w:top w:val="nil"/>
              <w:left w:val="nil"/>
              <w:bottom w:val="nil"/>
              <w:right w:val="nil"/>
            </w:tcBorders>
            <w:shd w:val="clear" w:color="000000" w:fill="F2F2F2"/>
            <w:noWrap/>
            <w:vAlign w:val="bottom"/>
          </w:tcPr>
          <w:p w14:paraId="4C513AB5"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2020</w:t>
            </w:r>
          </w:p>
        </w:tc>
        <w:tc>
          <w:tcPr>
            <w:tcW w:w="842" w:type="dxa"/>
            <w:tcBorders>
              <w:top w:val="nil"/>
              <w:left w:val="nil"/>
              <w:bottom w:val="nil"/>
              <w:right w:val="nil"/>
            </w:tcBorders>
            <w:shd w:val="clear" w:color="000000" w:fill="00B050"/>
            <w:noWrap/>
            <w:vAlign w:val="bottom"/>
          </w:tcPr>
          <w:p w14:paraId="63460140"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A</w:t>
            </w:r>
          </w:p>
        </w:tc>
        <w:tc>
          <w:tcPr>
            <w:tcW w:w="1039" w:type="dxa"/>
            <w:tcBorders>
              <w:top w:val="nil"/>
              <w:left w:val="nil"/>
              <w:bottom w:val="nil"/>
              <w:right w:val="nil"/>
            </w:tcBorders>
            <w:shd w:val="clear" w:color="000000" w:fill="92D050"/>
            <w:noWrap/>
            <w:vAlign w:val="bottom"/>
          </w:tcPr>
          <w:p w14:paraId="0FAAE9BE"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B</w:t>
            </w:r>
          </w:p>
        </w:tc>
        <w:tc>
          <w:tcPr>
            <w:tcW w:w="1039" w:type="dxa"/>
            <w:tcBorders>
              <w:top w:val="nil"/>
              <w:left w:val="nil"/>
              <w:bottom w:val="nil"/>
              <w:right w:val="nil"/>
            </w:tcBorders>
            <w:shd w:val="clear" w:color="000000" w:fill="FFFF00"/>
            <w:noWrap/>
            <w:vAlign w:val="bottom"/>
          </w:tcPr>
          <w:p w14:paraId="2AD5CA4F"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C</w:t>
            </w:r>
          </w:p>
        </w:tc>
        <w:tc>
          <w:tcPr>
            <w:tcW w:w="1039" w:type="dxa"/>
            <w:tcBorders>
              <w:top w:val="nil"/>
              <w:left w:val="nil"/>
              <w:bottom w:val="nil"/>
              <w:right w:val="nil"/>
            </w:tcBorders>
            <w:shd w:val="clear" w:color="000000" w:fill="F1A983"/>
            <w:noWrap/>
            <w:vAlign w:val="bottom"/>
          </w:tcPr>
          <w:p w14:paraId="66BEF996"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D</w:t>
            </w:r>
          </w:p>
        </w:tc>
        <w:tc>
          <w:tcPr>
            <w:tcW w:w="842" w:type="dxa"/>
            <w:tcBorders>
              <w:top w:val="nil"/>
              <w:left w:val="nil"/>
              <w:bottom w:val="nil"/>
              <w:right w:val="nil"/>
            </w:tcBorders>
            <w:shd w:val="clear" w:color="000000" w:fill="FF0000"/>
            <w:noWrap/>
            <w:vAlign w:val="bottom"/>
          </w:tcPr>
          <w:p w14:paraId="4779D4DF"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E</w:t>
            </w:r>
          </w:p>
        </w:tc>
        <w:tc>
          <w:tcPr>
            <w:tcW w:w="960" w:type="dxa"/>
            <w:tcBorders>
              <w:top w:val="nil"/>
              <w:left w:val="single" w:sz="4" w:space="0" w:color="auto"/>
              <w:bottom w:val="nil"/>
              <w:right w:val="single" w:sz="4" w:space="0" w:color="auto"/>
            </w:tcBorders>
            <w:noWrap/>
            <w:vAlign w:val="bottom"/>
          </w:tcPr>
          <w:p w14:paraId="27E83FA3" w14:textId="5FCEC266" w:rsidR="00971E00" w:rsidRPr="000C5EC3" w:rsidRDefault="00971E00">
            <w:pPr>
              <w:widowControl w:val="0"/>
              <w:rPr>
                <w:rFonts w:ascii="Aptos Narrow" w:hAnsi="Aptos Narrow"/>
                <w:noProof/>
                <w:color w:val="000000"/>
                <w:sz w:val="22"/>
                <w:szCs w:val="22"/>
              </w:rPr>
            </w:pPr>
          </w:p>
        </w:tc>
        <w:tc>
          <w:tcPr>
            <w:tcW w:w="960" w:type="dxa"/>
            <w:tcBorders>
              <w:top w:val="nil"/>
              <w:left w:val="single" w:sz="4" w:space="0" w:color="auto"/>
              <w:bottom w:val="nil"/>
              <w:right w:val="single" w:sz="4" w:space="0" w:color="auto"/>
            </w:tcBorders>
          </w:tcPr>
          <w:p w14:paraId="13DE14C7" w14:textId="77777777" w:rsidR="00971E00" w:rsidRPr="000C5EC3" w:rsidRDefault="00971E00">
            <w:pPr>
              <w:widowControl w:val="0"/>
              <w:rPr>
                <w:rFonts w:ascii="Aptos Narrow" w:hAnsi="Aptos Narrow"/>
                <w:noProof/>
                <w:color w:val="000000"/>
                <w:sz w:val="22"/>
                <w:szCs w:val="22"/>
              </w:rPr>
            </w:pPr>
          </w:p>
        </w:tc>
      </w:tr>
      <w:tr w:rsidR="00971E00" w:rsidRPr="000C5EC3" w14:paraId="76C54838" w14:textId="77777777">
        <w:trPr>
          <w:trHeight w:val="290"/>
        </w:trPr>
        <w:tc>
          <w:tcPr>
            <w:tcW w:w="759" w:type="dxa"/>
            <w:vMerge w:val="restart"/>
            <w:tcBorders>
              <w:top w:val="nil"/>
              <w:left w:val="single" w:sz="4" w:space="0" w:color="auto"/>
              <w:bottom w:val="single" w:sz="4" w:space="0" w:color="000000"/>
              <w:right w:val="nil"/>
            </w:tcBorders>
            <w:noWrap/>
            <w:textDirection w:val="btLr"/>
            <w:vAlign w:val="center"/>
          </w:tcPr>
          <w:p w14:paraId="44A46EEB"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Adhérence sur sol mouillé</w:t>
            </w:r>
          </w:p>
        </w:tc>
        <w:tc>
          <w:tcPr>
            <w:tcW w:w="1161" w:type="dxa"/>
            <w:tcBorders>
              <w:top w:val="nil"/>
              <w:left w:val="nil"/>
              <w:bottom w:val="nil"/>
              <w:right w:val="nil"/>
            </w:tcBorders>
            <w:shd w:val="clear" w:color="000000" w:fill="4F81BD"/>
            <w:noWrap/>
            <w:vAlign w:val="bottom"/>
          </w:tcPr>
          <w:p w14:paraId="73400449" w14:textId="77777777" w:rsidR="00971E00" w:rsidRPr="000C5EC3" w:rsidRDefault="00971E00">
            <w:pPr>
              <w:widowControl w:val="0"/>
              <w:jc w:val="center"/>
              <w:rPr>
                <w:rFonts w:ascii="Aptos Narrow" w:hAnsi="Aptos Narrow"/>
                <w:b/>
                <w:bCs/>
                <w:noProof/>
                <w:color w:val="FFFFFF"/>
                <w:sz w:val="22"/>
                <w:szCs w:val="22"/>
              </w:rPr>
            </w:pPr>
            <w:r w:rsidRPr="000C5EC3">
              <w:rPr>
                <w:rFonts w:ascii="Aptos Narrow" w:hAnsi="Aptos Narrow"/>
                <w:b/>
                <w:noProof/>
                <w:color w:val="FFFFFF"/>
                <w:sz w:val="22"/>
              </w:rPr>
              <w:t>A</w:t>
            </w:r>
          </w:p>
        </w:tc>
        <w:tc>
          <w:tcPr>
            <w:tcW w:w="842" w:type="dxa"/>
            <w:tcBorders>
              <w:top w:val="nil"/>
              <w:left w:val="nil"/>
              <w:bottom w:val="nil"/>
              <w:right w:val="nil"/>
            </w:tcBorders>
            <w:noWrap/>
            <w:vAlign w:val="bottom"/>
          </w:tcPr>
          <w:p w14:paraId="79F15954"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0,7 %</w:t>
            </w:r>
          </w:p>
        </w:tc>
        <w:tc>
          <w:tcPr>
            <w:tcW w:w="1039" w:type="dxa"/>
            <w:tcBorders>
              <w:top w:val="nil"/>
              <w:left w:val="nil"/>
              <w:bottom w:val="nil"/>
              <w:right w:val="nil"/>
            </w:tcBorders>
            <w:noWrap/>
            <w:vAlign w:val="bottom"/>
          </w:tcPr>
          <w:p w14:paraId="3AFCF29D"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1,7 %</w:t>
            </w:r>
          </w:p>
        </w:tc>
        <w:tc>
          <w:tcPr>
            <w:tcW w:w="1039" w:type="dxa"/>
            <w:tcBorders>
              <w:top w:val="nil"/>
              <w:left w:val="nil"/>
              <w:bottom w:val="nil"/>
              <w:right w:val="nil"/>
            </w:tcBorders>
            <w:shd w:val="clear" w:color="000000" w:fill="D9D9D9"/>
            <w:noWrap/>
            <w:vAlign w:val="bottom"/>
          </w:tcPr>
          <w:p w14:paraId="14F437B2"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7,5 %</w:t>
            </w:r>
          </w:p>
        </w:tc>
        <w:tc>
          <w:tcPr>
            <w:tcW w:w="1039" w:type="dxa"/>
            <w:tcBorders>
              <w:top w:val="nil"/>
              <w:left w:val="nil"/>
              <w:bottom w:val="nil"/>
              <w:right w:val="nil"/>
            </w:tcBorders>
            <w:noWrap/>
            <w:vAlign w:val="bottom"/>
          </w:tcPr>
          <w:p w14:paraId="78096627"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2,9 %</w:t>
            </w:r>
          </w:p>
        </w:tc>
        <w:tc>
          <w:tcPr>
            <w:tcW w:w="842" w:type="dxa"/>
            <w:tcBorders>
              <w:top w:val="nil"/>
              <w:left w:val="nil"/>
              <w:bottom w:val="nil"/>
              <w:right w:val="nil"/>
            </w:tcBorders>
            <w:noWrap/>
            <w:vAlign w:val="bottom"/>
          </w:tcPr>
          <w:p w14:paraId="1BA0D2BE"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0,0 %</w:t>
            </w:r>
          </w:p>
        </w:tc>
        <w:tc>
          <w:tcPr>
            <w:tcW w:w="960" w:type="dxa"/>
            <w:tcBorders>
              <w:top w:val="nil"/>
              <w:left w:val="single" w:sz="4" w:space="0" w:color="auto"/>
              <w:bottom w:val="nil"/>
              <w:right w:val="single" w:sz="4" w:space="0" w:color="auto"/>
            </w:tcBorders>
            <w:noWrap/>
            <w:vAlign w:val="bottom"/>
          </w:tcPr>
          <w:p w14:paraId="03C17E25"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12,8 %</w:t>
            </w:r>
          </w:p>
        </w:tc>
        <w:tc>
          <w:tcPr>
            <w:tcW w:w="960" w:type="dxa"/>
            <w:tcBorders>
              <w:top w:val="nil"/>
              <w:left w:val="single" w:sz="4" w:space="0" w:color="auto"/>
              <w:bottom w:val="nil"/>
              <w:right w:val="single" w:sz="4" w:space="0" w:color="auto"/>
            </w:tcBorders>
          </w:tcPr>
          <w:p w14:paraId="311110FB" w14:textId="77777777" w:rsidR="00971E00" w:rsidRPr="000C5EC3" w:rsidRDefault="00971E00">
            <w:pPr>
              <w:widowControl w:val="0"/>
              <w:jc w:val="center"/>
              <w:rPr>
                <w:rFonts w:ascii="Aptos Narrow" w:hAnsi="Aptos Narrow"/>
                <w:noProof/>
                <w:color w:val="000000"/>
                <w:sz w:val="22"/>
                <w:szCs w:val="22"/>
              </w:rPr>
            </w:pPr>
          </w:p>
        </w:tc>
      </w:tr>
      <w:tr w:rsidR="00971E00" w:rsidRPr="000C5EC3" w14:paraId="4C044DEC" w14:textId="77777777">
        <w:trPr>
          <w:trHeight w:val="290"/>
        </w:trPr>
        <w:tc>
          <w:tcPr>
            <w:tcW w:w="759" w:type="dxa"/>
            <w:vMerge/>
            <w:tcBorders>
              <w:top w:val="nil"/>
              <w:left w:val="single" w:sz="4" w:space="0" w:color="auto"/>
              <w:bottom w:val="single" w:sz="4" w:space="0" w:color="000000"/>
              <w:right w:val="nil"/>
            </w:tcBorders>
            <w:vAlign w:val="center"/>
          </w:tcPr>
          <w:p w14:paraId="097080C9" w14:textId="77777777" w:rsidR="00971E00" w:rsidRPr="000C5EC3"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4D93D9"/>
            <w:noWrap/>
            <w:vAlign w:val="bottom"/>
          </w:tcPr>
          <w:p w14:paraId="3C095CFC" w14:textId="77777777" w:rsidR="00971E00" w:rsidRPr="000C5EC3" w:rsidRDefault="00971E00">
            <w:pPr>
              <w:widowControl w:val="0"/>
              <w:jc w:val="center"/>
              <w:rPr>
                <w:rFonts w:ascii="Aptos Narrow" w:hAnsi="Aptos Narrow"/>
                <w:b/>
                <w:bCs/>
                <w:noProof/>
                <w:color w:val="FFFFFF"/>
                <w:sz w:val="22"/>
                <w:szCs w:val="22"/>
              </w:rPr>
            </w:pPr>
            <w:r w:rsidRPr="000C5EC3">
              <w:rPr>
                <w:rFonts w:ascii="Aptos Narrow" w:hAnsi="Aptos Narrow"/>
                <w:b/>
                <w:noProof/>
                <w:color w:val="FFFFFF"/>
                <w:sz w:val="22"/>
              </w:rPr>
              <w:t>B</w:t>
            </w:r>
          </w:p>
        </w:tc>
        <w:tc>
          <w:tcPr>
            <w:tcW w:w="842" w:type="dxa"/>
            <w:tcBorders>
              <w:top w:val="nil"/>
              <w:left w:val="nil"/>
              <w:bottom w:val="nil"/>
              <w:right w:val="nil"/>
            </w:tcBorders>
            <w:noWrap/>
            <w:vAlign w:val="bottom"/>
          </w:tcPr>
          <w:p w14:paraId="4E4111B4"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1,4 %</w:t>
            </w:r>
          </w:p>
        </w:tc>
        <w:tc>
          <w:tcPr>
            <w:tcW w:w="1039" w:type="dxa"/>
            <w:tcBorders>
              <w:top w:val="nil"/>
              <w:left w:val="nil"/>
              <w:bottom w:val="nil"/>
              <w:right w:val="nil"/>
            </w:tcBorders>
            <w:noWrap/>
            <w:vAlign w:val="bottom"/>
          </w:tcPr>
          <w:p w14:paraId="3150FE48"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2,4 %</w:t>
            </w:r>
          </w:p>
        </w:tc>
        <w:tc>
          <w:tcPr>
            <w:tcW w:w="1039" w:type="dxa"/>
            <w:tcBorders>
              <w:top w:val="nil"/>
              <w:left w:val="nil"/>
              <w:bottom w:val="nil"/>
              <w:right w:val="nil"/>
            </w:tcBorders>
            <w:shd w:val="clear" w:color="000000" w:fill="A6A6A6"/>
            <w:noWrap/>
            <w:vAlign w:val="bottom"/>
          </w:tcPr>
          <w:p w14:paraId="0B37EC79"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18,9 %</w:t>
            </w:r>
          </w:p>
        </w:tc>
        <w:tc>
          <w:tcPr>
            <w:tcW w:w="1039" w:type="dxa"/>
            <w:tcBorders>
              <w:top w:val="nil"/>
              <w:left w:val="nil"/>
              <w:bottom w:val="nil"/>
              <w:right w:val="nil"/>
            </w:tcBorders>
            <w:shd w:val="clear" w:color="000000" w:fill="A6A6A6"/>
            <w:noWrap/>
            <w:vAlign w:val="bottom"/>
          </w:tcPr>
          <w:p w14:paraId="7B77890A"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16,4 %</w:t>
            </w:r>
          </w:p>
        </w:tc>
        <w:tc>
          <w:tcPr>
            <w:tcW w:w="842" w:type="dxa"/>
            <w:tcBorders>
              <w:top w:val="nil"/>
              <w:left w:val="nil"/>
              <w:bottom w:val="nil"/>
              <w:right w:val="nil"/>
            </w:tcBorders>
            <w:noWrap/>
            <w:vAlign w:val="bottom"/>
          </w:tcPr>
          <w:p w14:paraId="33D12F7B"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0,9 %</w:t>
            </w:r>
          </w:p>
        </w:tc>
        <w:tc>
          <w:tcPr>
            <w:tcW w:w="960" w:type="dxa"/>
            <w:tcBorders>
              <w:top w:val="nil"/>
              <w:left w:val="single" w:sz="4" w:space="0" w:color="auto"/>
              <w:bottom w:val="nil"/>
              <w:right w:val="single" w:sz="4" w:space="0" w:color="auto"/>
            </w:tcBorders>
            <w:noWrap/>
            <w:vAlign w:val="bottom"/>
          </w:tcPr>
          <w:p w14:paraId="7B175C6B"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40,0 %</w:t>
            </w:r>
          </w:p>
        </w:tc>
        <w:tc>
          <w:tcPr>
            <w:tcW w:w="960" w:type="dxa"/>
            <w:tcBorders>
              <w:top w:val="nil"/>
              <w:left w:val="single" w:sz="4" w:space="0" w:color="auto"/>
              <w:bottom w:val="nil"/>
              <w:right w:val="single" w:sz="4" w:space="0" w:color="auto"/>
            </w:tcBorders>
          </w:tcPr>
          <w:p w14:paraId="4A4173CD" w14:textId="77777777" w:rsidR="00971E00" w:rsidRPr="000C5EC3" w:rsidRDefault="00971E00">
            <w:pPr>
              <w:widowControl w:val="0"/>
              <w:jc w:val="center"/>
              <w:rPr>
                <w:rFonts w:ascii="Aptos Narrow" w:hAnsi="Aptos Narrow"/>
                <w:noProof/>
                <w:color w:val="000000"/>
                <w:sz w:val="22"/>
                <w:szCs w:val="22"/>
              </w:rPr>
            </w:pPr>
          </w:p>
        </w:tc>
      </w:tr>
      <w:tr w:rsidR="00971E00" w:rsidRPr="000C5EC3" w14:paraId="1F8253EC" w14:textId="77777777">
        <w:trPr>
          <w:trHeight w:val="290"/>
        </w:trPr>
        <w:tc>
          <w:tcPr>
            <w:tcW w:w="759" w:type="dxa"/>
            <w:vMerge/>
            <w:tcBorders>
              <w:top w:val="nil"/>
              <w:left w:val="single" w:sz="4" w:space="0" w:color="auto"/>
              <w:bottom w:val="single" w:sz="4" w:space="0" w:color="000000"/>
              <w:right w:val="nil"/>
            </w:tcBorders>
            <w:vAlign w:val="center"/>
          </w:tcPr>
          <w:p w14:paraId="5C2E3764" w14:textId="77777777" w:rsidR="00971E00" w:rsidRPr="000C5EC3"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44B3E1"/>
            <w:noWrap/>
            <w:vAlign w:val="bottom"/>
          </w:tcPr>
          <w:p w14:paraId="740FDD4D" w14:textId="77777777" w:rsidR="00971E00" w:rsidRPr="000C5EC3" w:rsidRDefault="00971E00">
            <w:pPr>
              <w:widowControl w:val="0"/>
              <w:jc w:val="center"/>
              <w:rPr>
                <w:rFonts w:ascii="Aptos Narrow" w:hAnsi="Aptos Narrow"/>
                <w:b/>
                <w:bCs/>
                <w:noProof/>
                <w:color w:val="FFFFFF"/>
                <w:sz w:val="22"/>
                <w:szCs w:val="22"/>
              </w:rPr>
            </w:pPr>
            <w:r w:rsidRPr="000C5EC3">
              <w:rPr>
                <w:rFonts w:ascii="Aptos Narrow" w:hAnsi="Aptos Narrow"/>
                <w:b/>
                <w:noProof/>
                <w:color w:val="FFFFFF"/>
                <w:sz w:val="22"/>
              </w:rPr>
              <w:t>C</w:t>
            </w:r>
          </w:p>
        </w:tc>
        <w:tc>
          <w:tcPr>
            <w:tcW w:w="842" w:type="dxa"/>
            <w:tcBorders>
              <w:top w:val="nil"/>
              <w:left w:val="nil"/>
              <w:bottom w:val="nil"/>
              <w:right w:val="nil"/>
            </w:tcBorders>
            <w:noWrap/>
            <w:vAlign w:val="bottom"/>
          </w:tcPr>
          <w:p w14:paraId="1FA9DB58"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0,1 %</w:t>
            </w:r>
          </w:p>
        </w:tc>
        <w:tc>
          <w:tcPr>
            <w:tcW w:w="1039" w:type="dxa"/>
            <w:tcBorders>
              <w:top w:val="nil"/>
              <w:left w:val="nil"/>
              <w:bottom w:val="nil"/>
              <w:right w:val="nil"/>
            </w:tcBorders>
            <w:noWrap/>
            <w:vAlign w:val="bottom"/>
          </w:tcPr>
          <w:p w14:paraId="525088EC"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0,7 %</w:t>
            </w:r>
          </w:p>
        </w:tc>
        <w:tc>
          <w:tcPr>
            <w:tcW w:w="1039" w:type="dxa"/>
            <w:tcBorders>
              <w:top w:val="nil"/>
              <w:left w:val="nil"/>
              <w:bottom w:val="nil"/>
              <w:right w:val="nil"/>
            </w:tcBorders>
            <w:shd w:val="clear" w:color="000000" w:fill="A6A6A6"/>
            <w:noWrap/>
            <w:vAlign w:val="bottom"/>
          </w:tcPr>
          <w:p w14:paraId="76A1AA49"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11,2 %</w:t>
            </w:r>
          </w:p>
        </w:tc>
        <w:tc>
          <w:tcPr>
            <w:tcW w:w="1039" w:type="dxa"/>
            <w:tcBorders>
              <w:top w:val="nil"/>
              <w:left w:val="nil"/>
              <w:bottom w:val="nil"/>
              <w:right w:val="nil"/>
            </w:tcBorders>
            <w:shd w:val="clear" w:color="000000" w:fill="A6A6A6"/>
            <w:noWrap/>
            <w:vAlign w:val="bottom"/>
          </w:tcPr>
          <w:p w14:paraId="330EA995"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23,6 %</w:t>
            </w:r>
          </w:p>
        </w:tc>
        <w:tc>
          <w:tcPr>
            <w:tcW w:w="842" w:type="dxa"/>
            <w:tcBorders>
              <w:top w:val="nil"/>
              <w:left w:val="nil"/>
              <w:bottom w:val="nil"/>
              <w:right w:val="nil"/>
            </w:tcBorders>
            <w:noWrap/>
            <w:vAlign w:val="bottom"/>
          </w:tcPr>
          <w:p w14:paraId="548C84BB"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0,5 %</w:t>
            </w:r>
          </w:p>
        </w:tc>
        <w:tc>
          <w:tcPr>
            <w:tcW w:w="960" w:type="dxa"/>
            <w:tcBorders>
              <w:top w:val="nil"/>
              <w:left w:val="single" w:sz="4" w:space="0" w:color="auto"/>
              <w:bottom w:val="nil"/>
              <w:right w:val="single" w:sz="4" w:space="0" w:color="auto"/>
            </w:tcBorders>
            <w:noWrap/>
            <w:vAlign w:val="bottom"/>
          </w:tcPr>
          <w:p w14:paraId="2DCCDE57"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36,1 %</w:t>
            </w:r>
          </w:p>
        </w:tc>
        <w:tc>
          <w:tcPr>
            <w:tcW w:w="960" w:type="dxa"/>
            <w:tcBorders>
              <w:top w:val="nil"/>
              <w:left w:val="single" w:sz="4" w:space="0" w:color="auto"/>
              <w:bottom w:val="nil"/>
              <w:right w:val="single" w:sz="4" w:space="0" w:color="auto"/>
            </w:tcBorders>
          </w:tcPr>
          <w:p w14:paraId="277A725E" w14:textId="77777777" w:rsidR="00971E00" w:rsidRPr="000C5EC3" w:rsidRDefault="00971E00">
            <w:pPr>
              <w:widowControl w:val="0"/>
              <w:jc w:val="center"/>
              <w:rPr>
                <w:rFonts w:ascii="Aptos Narrow" w:hAnsi="Aptos Narrow"/>
                <w:noProof/>
                <w:color w:val="000000"/>
                <w:sz w:val="22"/>
                <w:szCs w:val="22"/>
              </w:rPr>
            </w:pPr>
          </w:p>
        </w:tc>
      </w:tr>
      <w:tr w:rsidR="00971E00" w:rsidRPr="000C5EC3" w14:paraId="5F31C214" w14:textId="77777777">
        <w:trPr>
          <w:trHeight w:val="290"/>
        </w:trPr>
        <w:tc>
          <w:tcPr>
            <w:tcW w:w="759" w:type="dxa"/>
            <w:vMerge/>
            <w:tcBorders>
              <w:top w:val="nil"/>
              <w:left w:val="single" w:sz="4" w:space="0" w:color="auto"/>
              <w:bottom w:val="single" w:sz="4" w:space="0" w:color="000000"/>
              <w:right w:val="nil"/>
            </w:tcBorders>
            <w:vAlign w:val="center"/>
          </w:tcPr>
          <w:p w14:paraId="65DA3B0E" w14:textId="77777777" w:rsidR="00971E00" w:rsidRPr="000C5EC3"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83CCEB"/>
            <w:noWrap/>
            <w:vAlign w:val="bottom"/>
          </w:tcPr>
          <w:p w14:paraId="00187C61" w14:textId="77777777" w:rsidR="00971E00" w:rsidRPr="000C5EC3" w:rsidRDefault="00971E00">
            <w:pPr>
              <w:widowControl w:val="0"/>
              <w:jc w:val="center"/>
              <w:rPr>
                <w:rFonts w:ascii="Aptos Narrow" w:hAnsi="Aptos Narrow"/>
                <w:b/>
                <w:bCs/>
                <w:noProof/>
                <w:color w:val="FFFFFF"/>
                <w:sz w:val="22"/>
                <w:szCs w:val="22"/>
              </w:rPr>
            </w:pPr>
            <w:r w:rsidRPr="000C5EC3">
              <w:rPr>
                <w:rFonts w:ascii="Aptos Narrow" w:hAnsi="Aptos Narrow"/>
                <w:b/>
                <w:noProof/>
                <w:color w:val="FFFFFF"/>
                <w:sz w:val="22"/>
              </w:rPr>
              <w:t>D</w:t>
            </w:r>
          </w:p>
        </w:tc>
        <w:tc>
          <w:tcPr>
            <w:tcW w:w="842" w:type="dxa"/>
            <w:tcBorders>
              <w:top w:val="nil"/>
              <w:left w:val="nil"/>
              <w:bottom w:val="nil"/>
              <w:right w:val="nil"/>
            </w:tcBorders>
            <w:noWrap/>
            <w:vAlign w:val="bottom"/>
          </w:tcPr>
          <w:p w14:paraId="4668451E"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0,0 %</w:t>
            </w:r>
          </w:p>
        </w:tc>
        <w:tc>
          <w:tcPr>
            <w:tcW w:w="1039" w:type="dxa"/>
            <w:tcBorders>
              <w:top w:val="nil"/>
              <w:left w:val="nil"/>
              <w:bottom w:val="nil"/>
              <w:right w:val="nil"/>
            </w:tcBorders>
            <w:noWrap/>
            <w:vAlign w:val="bottom"/>
          </w:tcPr>
          <w:p w14:paraId="29306C5D"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0,2 %</w:t>
            </w:r>
          </w:p>
        </w:tc>
        <w:tc>
          <w:tcPr>
            <w:tcW w:w="1039" w:type="dxa"/>
            <w:tcBorders>
              <w:top w:val="nil"/>
              <w:left w:val="nil"/>
              <w:bottom w:val="nil"/>
              <w:right w:val="nil"/>
            </w:tcBorders>
            <w:noWrap/>
            <w:vAlign w:val="bottom"/>
          </w:tcPr>
          <w:p w14:paraId="41B9F271"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1,4 %</w:t>
            </w:r>
          </w:p>
        </w:tc>
        <w:tc>
          <w:tcPr>
            <w:tcW w:w="1039" w:type="dxa"/>
            <w:tcBorders>
              <w:top w:val="nil"/>
              <w:left w:val="nil"/>
              <w:bottom w:val="nil"/>
              <w:right w:val="nil"/>
            </w:tcBorders>
            <w:shd w:val="clear" w:color="000000" w:fill="D9D9D9"/>
            <w:noWrap/>
            <w:vAlign w:val="bottom"/>
          </w:tcPr>
          <w:p w14:paraId="1596BDE8"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6,6 %</w:t>
            </w:r>
          </w:p>
        </w:tc>
        <w:tc>
          <w:tcPr>
            <w:tcW w:w="842" w:type="dxa"/>
            <w:tcBorders>
              <w:top w:val="nil"/>
              <w:left w:val="nil"/>
              <w:bottom w:val="nil"/>
              <w:right w:val="nil"/>
            </w:tcBorders>
            <w:noWrap/>
            <w:vAlign w:val="bottom"/>
          </w:tcPr>
          <w:p w14:paraId="5300337D"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0,5 %</w:t>
            </w:r>
          </w:p>
        </w:tc>
        <w:tc>
          <w:tcPr>
            <w:tcW w:w="960" w:type="dxa"/>
            <w:tcBorders>
              <w:top w:val="nil"/>
              <w:left w:val="single" w:sz="4" w:space="0" w:color="auto"/>
              <w:bottom w:val="nil"/>
              <w:right w:val="single" w:sz="4" w:space="0" w:color="auto"/>
            </w:tcBorders>
            <w:noWrap/>
            <w:vAlign w:val="bottom"/>
          </w:tcPr>
          <w:p w14:paraId="49C423D1"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8,7 %</w:t>
            </w:r>
          </w:p>
        </w:tc>
        <w:tc>
          <w:tcPr>
            <w:tcW w:w="960" w:type="dxa"/>
            <w:tcBorders>
              <w:top w:val="nil"/>
              <w:left w:val="single" w:sz="4" w:space="0" w:color="auto"/>
              <w:bottom w:val="nil"/>
              <w:right w:val="single" w:sz="4" w:space="0" w:color="auto"/>
            </w:tcBorders>
          </w:tcPr>
          <w:p w14:paraId="049EE7DD" w14:textId="77777777" w:rsidR="00971E00" w:rsidRPr="000C5EC3" w:rsidRDefault="00971E00">
            <w:pPr>
              <w:widowControl w:val="0"/>
              <w:jc w:val="center"/>
              <w:rPr>
                <w:rFonts w:ascii="Aptos Narrow" w:hAnsi="Aptos Narrow"/>
                <w:noProof/>
                <w:color w:val="000000"/>
                <w:sz w:val="22"/>
                <w:szCs w:val="22"/>
              </w:rPr>
            </w:pPr>
          </w:p>
        </w:tc>
      </w:tr>
      <w:tr w:rsidR="00971E00" w:rsidRPr="000C5EC3" w14:paraId="7CE0367D" w14:textId="77777777">
        <w:trPr>
          <w:trHeight w:val="290"/>
        </w:trPr>
        <w:tc>
          <w:tcPr>
            <w:tcW w:w="759" w:type="dxa"/>
            <w:vMerge/>
            <w:tcBorders>
              <w:top w:val="nil"/>
              <w:left w:val="single" w:sz="4" w:space="0" w:color="auto"/>
              <w:bottom w:val="single" w:sz="4" w:space="0" w:color="000000"/>
              <w:right w:val="nil"/>
            </w:tcBorders>
            <w:vAlign w:val="center"/>
          </w:tcPr>
          <w:p w14:paraId="12EF6D55" w14:textId="77777777" w:rsidR="00971E00" w:rsidRPr="000C5EC3"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CAEDFB"/>
            <w:noWrap/>
            <w:vAlign w:val="bottom"/>
          </w:tcPr>
          <w:p w14:paraId="06421738" w14:textId="77777777" w:rsidR="00971E00" w:rsidRPr="000C5EC3" w:rsidRDefault="00971E00">
            <w:pPr>
              <w:widowControl w:val="0"/>
              <w:jc w:val="center"/>
              <w:rPr>
                <w:rFonts w:ascii="Aptos Narrow" w:hAnsi="Aptos Narrow"/>
                <w:b/>
                <w:bCs/>
                <w:noProof/>
                <w:color w:val="FFFFFF"/>
                <w:sz w:val="22"/>
                <w:szCs w:val="22"/>
              </w:rPr>
            </w:pPr>
            <w:r w:rsidRPr="000C5EC3">
              <w:rPr>
                <w:rFonts w:ascii="Aptos Narrow" w:hAnsi="Aptos Narrow"/>
                <w:b/>
                <w:noProof/>
                <w:color w:val="FFFFFF"/>
                <w:sz w:val="22"/>
              </w:rPr>
              <w:t>E</w:t>
            </w:r>
          </w:p>
        </w:tc>
        <w:tc>
          <w:tcPr>
            <w:tcW w:w="842" w:type="dxa"/>
            <w:tcBorders>
              <w:top w:val="nil"/>
              <w:left w:val="nil"/>
              <w:bottom w:val="nil"/>
              <w:right w:val="nil"/>
            </w:tcBorders>
            <w:noWrap/>
            <w:vAlign w:val="bottom"/>
          </w:tcPr>
          <w:p w14:paraId="308181CE"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0,0 %</w:t>
            </w:r>
          </w:p>
        </w:tc>
        <w:tc>
          <w:tcPr>
            <w:tcW w:w="1039" w:type="dxa"/>
            <w:tcBorders>
              <w:top w:val="nil"/>
              <w:left w:val="nil"/>
              <w:bottom w:val="nil"/>
              <w:right w:val="nil"/>
            </w:tcBorders>
            <w:noWrap/>
            <w:vAlign w:val="bottom"/>
          </w:tcPr>
          <w:p w14:paraId="735D9A18"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0,3 %</w:t>
            </w:r>
          </w:p>
        </w:tc>
        <w:tc>
          <w:tcPr>
            <w:tcW w:w="1039" w:type="dxa"/>
            <w:tcBorders>
              <w:top w:val="nil"/>
              <w:left w:val="nil"/>
              <w:bottom w:val="nil"/>
              <w:right w:val="nil"/>
            </w:tcBorders>
            <w:noWrap/>
            <w:vAlign w:val="bottom"/>
          </w:tcPr>
          <w:p w14:paraId="68ED77E3"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0,7 %</w:t>
            </w:r>
          </w:p>
        </w:tc>
        <w:tc>
          <w:tcPr>
            <w:tcW w:w="1039" w:type="dxa"/>
            <w:tcBorders>
              <w:top w:val="nil"/>
              <w:left w:val="nil"/>
              <w:bottom w:val="nil"/>
              <w:right w:val="nil"/>
            </w:tcBorders>
            <w:noWrap/>
            <w:vAlign w:val="bottom"/>
          </w:tcPr>
          <w:p w14:paraId="791D3254"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0,3 %</w:t>
            </w:r>
          </w:p>
        </w:tc>
        <w:tc>
          <w:tcPr>
            <w:tcW w:w="842" w:type="dxa"/>
            <w:tcBorders>
              <w:top w:val="nil"/>
              <w:left w:val="nil"/>
              <w:bottom w:val="nil"/>
              <w:right w:val="nil"/>
            </w:tcBorders>
            <w:noWrap/>
            <w:vAlign w:val="bottom"/>
          </w:tcPr>
          <w:p w14:paraId="7020ABCF"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1,2 %</w:t>
            </w:r>
          </w:p>
        </w:tc>
        <w:tc>
          <w:tcPr>
            <w:tcW w:w="960" w:type="dxa"/>
            <w:tcBorders>
              <w:top w:val="nil"/>
              <w:left w:val="single" w:sz="4" w:space="0" w:color="auto"/>
              <w:bottom w:val="nil"/>
              <w:right w:val="single" w:sz="4" w:space="0" w:color="auto"/>
            </w:tcBorders>
            <w:noWrap/>
            <w:vAlign w:val="bottom"/>
          </w:tcPr>
          <w:p w14:paraId="306C2899"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2,4 %</w:t>
            </w:r>
          </w:p>
        </w:tc>
        <w:tc>
          <w:tcPr>
            <w:tcW w:w="960" w:type="dxa"/>
            <w:tcBorders>
              <w:top w:val="nil"/>
              <w:left w:val="single" w:sz="4" w:space="0" w:color="auto"/>
              <w:bottom w:val="nil"/>
              <w:right w:val="single" w:sz="4" w:space="0" w:color="auto"/>
            </w:tcBorders>
          </w:tcPr>
          <w:p w14:paraId="405E4DEC" w14:textId="77777777" w:rsidR="00971E00" w:rsidRPr="000C5EC3" w:rsidRDefault="00971E00">
            <w:pPr>
              <w:widowControl w:val="0"/>
              <w:jc w:val="center"/>
              <w:rPr>
                <w:rFonts w:ascii="Aptos Narrow" w:hAnsi="Aptos Narrow"/>
                <w:noProof/>
                <w:color w:val="000000"/>
                <w:sz w:val="22"/>
                <w:szCs w:val="22"/>
              </w:rPr>
            </w:pPr>
          </w:p>
        </w:tc>
      </w:tr>
      <w:tr w:rsidR="00971E00" w:rsidRPr="000C5EC3" w14:paraId="00301D6B" w14:textId="77777777">
        <w:trPr>
          <w:trHeight w:val="290"/>
        </w:trPr>
        <w:tc>
          <w:tcPr>
            <w:tcW w:w="759" w:type="dxa"/>
            <w:tcBorders>
              <w:top w:val="nil"/>
              <w:left w:val="single" w:sz="4" w:space="0" w:color="auto"/>
              <w:bottom w:val="single" w:sz="4" w:space="0" w:color="auto"/>
              <w:right w:val="nil"/>
            </w:tcBorders>
            <w:noWrap/>
            <w:vAlign w:val="bottom"/>
          </w:tcPr>
          <w:p w14:paraId="40975EDC" w14:textId="1A04B9E5" w:rsidR="00971E00" w:rsidRPr="000C5EC3" w:rsidRDefault="00971E00">
            <w:pPr>
              <w:widowControl w:val="0"/>
              <w:rPr>
                <w:rFonts w:ascii="Aptos Narrow" w:hAnsi="Aptos Narrow"/>
                <w:noProof/>
                <w:color w:val="000000"/>
                <w:sz w:val="22"/>
                <w:szCs w:val="22"/>
              </w:rPr>
            </w:pPr>
          </w:p>
        </w:tc>
        <w:tc>
          <w:tcPr>
            <w:tcW w:w="1161" w:type="dxa"/>
            <w:tcBorders>
              <w:top w:val="single" w:sz="4" w:space="0" w:color="auto"/>
              <w:left w:val="nil"/>
              <w:bottom w:val="single" w:sz="4" w:space="0" w:color="auto"/>
              <w:right w:val="nil"/>
            </w:tcBorders>
            <w:noWrap/>
            <w:vAlign w:val="bottom"/>
          </w:tcPr>
          <w:p w14:paraId="0A1EE4BC" w14:textId="425C3CD0" w:rsidR="00971E00" w:rsidRPr="000C5EC3" w:rsidRDefault="00971E00">
            <w:pPr>
              <w:widowControl w:val="0"/>
              <w:rPr>
                <w:rFonts w:ascii="Aptos Narrow" w:hAnsi="Aptos Narrow"/>
                <w:noProof/>
                <w:color w:val="000000"/>
                <w:sz w:val="22"/>
                <w:szCs w:val="22"/>
              </w:rPr>
            </w:pPr>
          </w:p>
        </w:tc>
        <w:tc>
          <w:tcPr>
            <w:tcW w:w="842" w:type="dxa"/>
            <w:tcBorders>
              <w:top w:val="single" w:sz="4" w:space="0" w:color="auto"/>
              <w:left w:val="nil"/>
              <w:bottom w:val="single" w:sz="4" w:space="0" w:color="auto"/>
              <w:right w:val="nil"/>
            </w:tcBorders>
            <w:noWrap/>
            <w:vAlign w:val="bottom"/>
          </w:tcPr>
          <w:p w14:paraId="5E39A65C"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2,2 %</w:t>
            </w:r>
          </w:p>
        </w:tc>
        <w:tc>
          <w:tcPr>
            <w:tcW w:w="1039" w:type="dxa"/>
            <w:tcBorders>
              <w:top w:val="single" w:sz="4" w:space="0" w:color="auto"/>
              <w:left w:val="nil"/>
              <w:bottom w:val="single" w:sz="4" w:space="0" w:color="auto"/>
              <w:right w:val="nil"/>
            </w:tcBorders>
            <w:noWrap/>
            <w:vAlign w:val="bottom"/>
          </w:tcPr>
          <w:p w14:paraId="64AFFBC0"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5,3 %</w:t>
            </w:r>
          </w:p>
        </w:tc>
        <w:tc>
          <w:tcPr>
            <w:tcW w:w="1039" w:type="dxa"/>
            <w:tcBorders>
              <w:top w:val="single" w:sz="4" w:space="0" w:color="auto"/>
              <w:left w:val="nil"/>
              <w:bottom w:val="single" w:sz="4" w:space="0" w:color="auto"/>
              <w:right w:val="nil"/>
            </w:tcBorders>
            <w:noWrap/>
            <w:vAlign w:val="bottom"/>
          </w:tcPr>
          <w:p w14:paraId="4E59D6E8"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39,6 %</w:t>
            </w:r>
          </w:p>
        </w:tc>
        <w:tc>
          <w:tcPr>
            <w:tcW w:w="1039" w:type="dxa"/>
            <w:tcBorders>
              <w:top w:val="single" w:sz="4" w:space="0" w:color="auto"/>
              <w:left w:val="nil"/>
              <w:bottom w:val="single" w:sz="4" w:space="0" w:color="auto"/>
              <w:right w:val="nil"/>
            </w:tcBorders>
            <w:noWrap/>
            <w:vAlign w:val="bottom"/>
          </w:tcPr>
          <w:p w14:paraId="67965A2C"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49,8 %</w:t>
            </w:r>
          </w:p>
        </w:tc>
        <w:tc>
          <w:tcPr>
            <w:tcW w:w="842" w:type="dxa"/>
            <w:tcBorders>
              <w:top w:val="single" w:sz="4" w:space="0" w:color="auto"/>
              <w:left w:val="nil"/>
              <w:bottom w:val="single" w:sz="4" w:space="0" w:color="auto"/>
              <w:right w:val="nil"/>
            </w:tcBorders>
            <w:noWrap/>
            <w:vAlign w:val="bottom"/>
          </w:tcPr>
          <w:p w14:paraId="0E0E264D"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3,2 %</w:t>
            </w:r>
          </w:p>
        </w:tc>
        <w:tc>
          <w:tcPr>
            <w:tcW w:w="960" w:type="dxa"/>
            <w:tcBorders>
              <w:top w:val="single" w:sz="4" w:space="0" w:color="auto"/>
              <w:left w:val="single" w:sz="4" w:space="0" w:color="auto"/>
              <w:bottom w:val="single" w:sz="4" w:space="0" w:color="auto"/>
              <w:right w:val="single" w:sz="4" w:space="0" w:color="auto"/>
            </w:tcBorders>
            <w:noWrap/>
            <w:vAlign w:val="bottom"/>
          </w:tcPr>
          <w:p w14:paraId="4FE0030E" w14:textId="6795E15C" w:rsidR="00971E00" w:rsidRPr="000C5EC3" w:rsidRDefault="00971E00">
            <w:pPr>
              <w:widowControl w:val="0"/>
              <w:rPr>
                <w:rFonts w:ascii="Aptos Narrow" w:hAnsi="Aptos Narrow"/>
                <w:noProof/>
                <w:color w:val="000000"/>
                <w:sz w:val="22"/>
                <w:szCs w:val="22"/>
              </w:rPr>
            </w:pPr>
          </w:p>
        </w:tc>
        <w:tc>
          <w:tcPr>
            <w:tcW w:w="960" w:type="dxa"/>
            <w:tcBorders>
              <w:top w:val="single" w:sz="4" w:space="0" w:color="auto"/>
              <w:left w:val="single" w:sz="4" w:space="0" w:color="auto"/>
              <w:bottom w:val="single" w:sz="4" w:space="0" w:color="auto"/>
              <w:right w:val="single" w:sz="4" w:space="0" w:color="auto"/>
            </w:tcBorders>
          </w:tcPr>
          <w:p w14:paraId="5FE21AEF" w14:textId="77777777" w:rsidR="00971E00" w:rsidRPr="000C5EC3" w:rsidRDefault="00971E00">
            <w:pPr>
              <w:widowControl w:val="0"/>
              <w:rPr>
                <w:rFonts w:ascii="Aptos Narrow" w:hAnsi="Aptos Narrow"/>
                <w:noProof/>
                <w:color w:val="000000"/>
                <w:sz w:val="22"/>
                <w:szCs w:val="22"/>
              </w:rPr>
            </w:pPr>
          </w:p>
        </w:tc>
      </w:tr>
      <w:tr w:rsidR="00971E00" w:rsidRPr="000C5EC3" w14:paraId="56D469CA" w14:textId="77777777">
        <w:trPr>
          <w:trHeight w:val="290"/>
        </w:trPr>
        <w:tc>
          <w:tcPr>
            <w:tcW w:w="759" w:type="dxa"/>
            <w:tcBorders>
              <w:top w:val="nil"/>
              <w:left w:val="nil"/>
              <w:bottom w:val="nil"/>
              <w:right w:val="nil"/>
            </w:tcBorders>
            <w:shd w:val="clear" w:color="000000" w:fill="FFFFFF"/>
            <w:noWrap/>
            <w:vAlign w:val="bottom"/>
          </w:tcPr>
          <w:p w14:paraId="50E53623" w14:textId="7BF3728A" w:rsidR="00971E00" w:rsidRPr="000C5EC3" w:rsidRDefault="00971E00">
            <w:pPr>
              <w:widowControl w:val="0"/>
              <w:rPr>
                <w:rFonts w:ascii="Aptos Narrow" w:hAnsi="Aptos Narrow"/>
                <w:noProof/>
                <w:color w:val="000000"/>
                <w:sz w:val="22"/>
                <w:szCs w:val="22"/>
              </w:rPr>
            </w:pPr>
          </w:p>
        </w:tc>
        <w:tc>
          <w:tcPr>
            <w:tcW w:w="1161" w:type="dxa"/>
            <w:tcBorders>
              <w:top w:val="nil"/>
              <w:left w:val="nil"/>
              <w:bottom w:val="nil"/>
              <w:right w:val="nil"/>
            </w:tcBorders>
            <w:shd w:val="clear" w:color="000000" w:fill="FFFFFF"/>
            <w:noWrap/>
            <w:vAlign w:val="bottom"/>
          </w:tcPr>
          <w:p w14:paraId="045AB343" w14:textId="457E1C75" w:rsidR="00971E00" w:rsidRPr="000C5EC3" w:rsidRDefault="00971E00">
            <w:pPr>
              <w:widowControl w:val="0"/>
              <w:rPr>
                <w:rFonts w:ascii="Aptos Narrow" w:hAnsi="Aptos Narrow"/>
                <w:noProof/>
                <w:color w:val="000000"/>
                <w:sz w:val="22"/>
                <w:szCs w:val="22"/>
              </w:rPr>
            </w:pPr>
          </w:p>
        </w:tc>
        <w:tc>
          <w:tcPr>
            <w:tcW w:w="842" w:type="dxa"/>
            <w:tcBorders>
              <w:top w:val="nil"/>
              <w:left w:val="nil"/>
              <w:bottom w:val="nil"/>
              <w:right w:val="nil"/>
            </w:tcBorders>
            <w:shd w:val="clear" w:color="000000" w:fill="FFFFFF"/>
            <w:noWrap/>
            <w:vAlign w:val="bottom"/>
          </w:tcPr>
          <w:p w14:paraId="269BCB56" w14:textId="121685F4" w:rsidR="00971E00" w:rsidRPr="000C5EC3" w:rsidRDefault="00971E00">
            <w:pPr>
              <w:widowControl w:val="0"/>
              <w:rPr>
                <w:rFonts w:ascii="Aptos Narrow" w:hAnsi="Aptos Narrow"/>
                <w:noProof/>
                <w:color w:val="000000"/>
                <w:sz w:val="22"/>
                <w:szCs w:val="22"/>
              </w:rPr>
            </w:pPr>
          </w:p>
        </w:tc>
        <w:tc>
          <w:tcPr>
            <w:tcW w:w="1039" w:type="dxa"/>
            <w:tcBorders>
              <w:top w:val="nil"/>
              <w:left w:val="nil"/>
              <w:bottom w:val="nil"/>
              <w:right w:val="nil"/>
            </w:tcBorders>
            <w:shd w:val="clear" w:color="000000" w:fill="FFFFFF"/>
            <w:noWrap/>
            <w:vAlign w:val="bottom"/>
          </w:tcPr>
          <w:p w14:paraId="41D46C59" w14:textId="051DA621" w:rsidR="00971E00" w:rsidRPr="000C5EC3" w:rsidRDefault="00971E00">
            <w:pPr>
              <w:widowControl w:val="0"/>
              <w:rPr>
                <w:rFonts w:ascii="Aptos Narrow" w:hAnsi="Aptos Narrow"/>
                <w:noProof/>
                <w:color w:val="000000"/>
                <w:sz w:val="22"/>
                <w:szCs w:val="22"/>
              </w:rPr>
            </w:pPr>
          </w:p>
        </w:tc>
        <w:tc>
          <w:tcPr>
            <w:tcW w:w="1039" w:type="dxa"/>
            <w:tcBorders>
              <w:top w:val="nil"/>
              <w:left w:val="nil"/>
              <w:bottom w:val="nil"/>
              <w:right w:val="nil"/>
            </w:tcBorders>
            <w:shd w:val="clear" w:color="000000" w:fill="FFFFFF"/>
            <w:noWrap/>
            <w:vAlign w:val="bottom"/>
          </w:tcPr>
          <w:p w14:paraId="0D4D5E76" w14:textId="5D7AF436" w:rsidR="00971E00" w:rsidRPr="000C5EC3" w:rsidRDefault="00971E00">
            <w:pPr>
              <w:widowControl w:val="0"/>
              <w:rPr>
                <w:rFonts w:ascii="Aptos Narrow" w:hAnsi="Aptos Narrow"/>
                <w:noProof/>
                <w:color w:val="000000"/>
                <w:sz w:val="22"/>
                <w:szCs w:val="22"/>
              </w:rPr>
            </w:pPr>
          </w:p>
        </w:tc>
        <w:tc>
          <w:tcPr>
            <w:tcW w:w="1039" w:type="dxa"/>
            <w:tcBorders>
              <w:top w:val="nil"/>
              <w:left w:val="nil"/>
              <w:bottom w:val="nil"/>
              <w:right w:val="nil"/>
            </w:tcBorders>
            <w:shd w:val="clear" w:color="000000" w:fill="FFFFFF"/>
            <w:noWrap/>
            <w:vAlign w:val="bottom"/>
          </w:tcPr>
          <w:p w14:paraId="6C2D9D52" w14:textId="50F7AC9C" w:rsidR="00971E00" w:rsidRPr="000C5EC3" w:rsidRDefault="00971E00">
            <w:pPr>
              <w:widowControl w:val="0"/>
              <w:rPr>
                <w:rFonts w:ascii="Aptos Narrow" w:hAnsi="Aptos Narrow"/>
                <w:noProof/>
                <w:color w:val="000000"/>
                <w:sz w:val="22"/>
                <w:szCs w:val="22"/>
              </w:rPr>
            </w:pPr>
          </w:p>
        </w:tc>
        <w:tc>
          <w:tcPr>
            <w:tcW w:w="842" w:type="dxa"/>
            <w:tcBorders>
              <w:top w:val="nil"/>
              <w:left w:val="nil"/>
              <w:bottom w:val="nil"/>
              <w:right w:val="nil"/>
            </w:tcBorders>
            <w:shd w:val="clear" w:color="000000" w:fill="FFFFFF"/>
            <w:noWrap/>
            <w:vAlign w:val="bottom"/>
          </w:tcPr>
          <w:p w14:paraId="2CF9456E" w14:textId="48A5B337" w:rsidR="00971E00" w:rsidRPr="000C5EC3" w:rsidRDefault="00971E00">
            <w:pPr>
              <w:widowControl w:val="0"/>
              <w:rPr>
                <w:rFonts w:ascii="Aptos Narrow" w:hAnsi="Aptos Narrow"/>
                <w:noProof/>
                <w:color w:val="000000"/>
                <w:sz w:val="22"/>
                <w:szCs w:val="22"/>
              </w:rPr>
            </w:pPr>
          </w:p>
        </w:tc>
        <w:tc>
          <w:tcPr>
            <w:tcW w:w="960" w:type="dxa"/>
            <w:tcBorders>
              <w:top w:val="nil"/>
              <w:left w:val="nil"/>
              <w:bottom w:val="nil"/>
              <w:right w:val="nil"/>
            </w:tcBorders>
            <w:shd w:val="clear" w:color="000000" w:fill="FFFFFF"/>
            <w:noWrap/>
            <w:vAlign w:val="bottom"/>
          </w:tcPr>
          <w:p w14:paraId="71E96380" w14:textId="17D916F4" w:rsidR="00971E00" w:rsidRPr="000C5EC3" w:rsidRDefault="00971E00">
            <w:pPr>
              <w:widowControl w:val="0"/>
              <w:rPr>
                <w:rFonts w:ascii="Aptos Narrow" w:hAnsi="Aptos Narrow"/>
                <w:noProof/>
                <w:color w:val="000000"/>
                <w:sz w:val="22"/>
                <w:szCs w:val="22"/>
              </w:rPr>
            </w:pPr>
          </w:p>
        </w:tc>
        <w:tc>
          <w:tcPr>
            <w:tcW w:w="960" w:type="dxa"/>
            <w:tcBorders>
              <w:top w:val="nil"/>
              <w:left w:val="nil"/>
              <w:bottom w:val="nil"/>
              <w:right w:val="nil"/>
            </w:tcBorders>
            <w:shd w:val="clear" w:color="000000" w:fill="FFFFFF"/>
          </w:tcPr>
          <w:p w14:paraId="219B1DD6" w14:textId="77777777" w:rsidR="00971E00" w:rsidRPr="000C5EC3" w:rsidRDefault="00971E00">
            <w:pPr>
              <w:widowControl w:val="0"/>
              <w:rPr>
                <w:rFonts w:ascii="Aptos Narrow" w:hAnsi="Aptos Narrow"/>
                <w:noProof/>
                <w:color w:val="000000"/>
                <w:sz w:val="22"/>
                <w:szCs w:val="22"/>
              </w:rPr>
            </w:pPr>
          </w:p>
        </w:tc>
      </w:tr>
      <w:tr w:rsidR="00971E00" w:rsidRPr="000C5EC3" w14:paraId="1E69AC6C" w14:textId="77777777">
        <w:trPr>
          <w:trHeight w:val="290"/>
        </w:trPr>
        <w:tc>
          <w:tcPr>
            <w:tcW w:w="1920" w:type="dxa"/>
            <w:gridSpan w:val="2"/>
            <w:tcBorders>
              <w:top w:val="single" w:sz="4" w:space="0" w:color="auto"/>
              <w:left w:val="single" w:sz="4" w:space="0" w:color="auto"/>
              <w:bottom w:val="nil"/>
              <w:right w:val="nil"/>
            </w:tcBorders>
            <w:shd w:val="clear" w:color="000000" w:fill="F2F2F2"/>
            <w:noWrap/>
            <w:vAlign w:val="bottom"/>
          </w:tcPr>
          <w:p w14:paraId="2DEB5C6D"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C1</w:t>
            </w:r>
          </w:p>
        </w:tc>
        <w:tc>
          <w:tcPr>
            <w:tcW w:w="4801" w:type="dxa"/>
            <w:gridSpan w:val="5"/>
            <w:tcBorders>
              <w:top w:val="single" w:sz="4" w:space="0" w:color="auto"/>
              <w:left w:val="nil"/>
              <w:bottom w:val="nil"/>
              <w:right w:val="single" w:sz="4" w:space="0" w:color="000000"/>
            </w:tcBorders>
            <w:noWrap/>
            <w:vAlign w:val="bottom"/>
          </w:tcPr>
          <w:p w14:paraId="3945869B"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Résistance au roulement</w:t>
            </w:r>
          </w:p>
        </w:tc>
        <w:tc>
          <w:tcPr>
            <w:tcW w:w="960" w:type="dxa"/>
            <w:tcBorders>
              <w:top w:val="single" w:sz="4" w:space="0" w:color="auto"/>
              <w:left w:val="nil"/>
              <w:bottom w:val="nil"/>
              <w:right w:val="single" w:sz="4" w:space="0" w:color="auto"/>
            </w:tcBorders>
            <w:shd w:val="clear" w:color="000000" w:fill="FFFFFF"/>
            <w:noWrap/>
            <w:vAlign w:val="bottom"/>
          </w:tcPr>
          <w:p w14:paraId="3B49CD50" w14:textId="7E525D89" w:rsidR="00971E00" w:rsidRPr="000C5EC3" w:rsidRDefault="00971E00">
            <w:pPr>
              <w:widowControl w:val="0"/>
              <w:rPr>
                <w:rFonts w:ascii="Aptos Narrow" w:hAnsi="Aptos Narrow"/>
                <w:noProof/>
                <w:color w:val="000000"/>
                <w:sz w:val="22"/>
                <w:szCs w:val="22"/>
              </w:rPr>
            </w:pPr>
          </w:p>
        </w:tc>
        <w:tc>
          <w:tcPr>
            <w:tcW w:w="960" w:type="dxa"/>
            <w:tcBorders>
              <w:top w:val="single" w:sz="4" w:space="0" w:color="auto"/>
              <w:left w:val="nil"/>
              <w:bottom w:val="nil"/>
              <w:right w:val="single" w:sz="4" w:space="0" w:color="auto"/>
            </w:tcBorders>
            <w:shd w:val="clear" w:color="000000" w:fill="FFFFFF"/>
          </w:tcPr>
          <w:p w14:paraId="19564A36" w14:textId="77777777" w:rsidR="00971E00" w:rsidRPr="000C5EC3" w:rsidRDefault="00971E00">
            <w:pPr>
              <w:widowControl w:val="0"/>
              <w:rPr>
                <w:rFonts w:ascii="Aptos Narrow" w:hAnsi="Aptos Narrow"/>
                <w:noProof/>
                <w:color w:val="000000"/>
                <w:sz w:val="22"/>
                <w:szCs w:val="22"/>
              </w:rPr>
            </w:pPr>
          </w:p>
        </w:tc>
      </w:tr>
      <w:tr w:rsidR="00971E00" w:rsidRPr="000C5EC3" w14:paraId="2DCFB0EE" w14:textId="77777777">
        <w:trPr>
          <w:trHeight w:val="290"/>
        </w:trPr>
        <w:tc>
          <w:tcPr>
            <w:tcW w:w="759" w:type="dxa"/>
            <w:tcBorders>
              <w:top w:val="nil"/>
              <w:left w:val="single" w:sz="4" w:space="0" w:color="auto"/>
              <w:bottom w:val="nil"/>
              <w:right w:val="nil"/>
            </w:tcBorders>
            <w:shd w:val="clear" w:color="000000" w:fill="F2F2F2"/>
            <w:noWrap/>
            <w:vAlign w:val="bottom"/>
          </w:tcPr>
          <w:p w14:paraId="5708648E" w14:textId="38DB5B3D" w:rsidR="00971E00" w:rsidRPr="000C5EC3" w:rsidRDefault="00971E00">
            <w:pPr>
              <w:widowControl w:val="0"/>
              <w:rPr>
                <w:rFonts w:ascii="Aptos Narrow" w:hAnsi="Aptos Narrow"/>
                <w:noProof/>
                <w:color w:val="000000"/>
                <w:sz w:val="22"/>
                <w:szCs w:val="22"/>
              </w:rPr>
            </w:pPr>
          </w:p>
        </w:tc>
        <w:tc>
          <w:tcPr>
            <w:tcW w:w="1161" w:type="dxa"/>
            <w:tcBorders>
              <w:top w:val="nil"/>
              <w:left w:val="nil"/>
              <w:bottom w:val="nil"/>
              <w:right w:val="nil"/>
            </w:tcBorders>
            <w:shd w:val="clear" w:color="000000" w:fill="F2F2F2"/>
            <w:noWrap/>
            <w:vAlign w:val="bottom"/>
          </w:tcPr>
          <w:p w14:paraId="780673B3"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2024</w:t>
            </w:r>
          </w:p>
        </w:tc>
        <w:tc>
          <w:tcPr>
            <w:tcW w:w="842" w:type="dxa"/>
            <w:tcBorders>
              <w:top w:val="nil"/>
              <w:left w:val="nil"/>
              <w:bottom w:val="nil"/>
              <w:right w:val="nil"/>
            </w:tcBorders>
            <w:shd w:val="clear" w:color="000000" w:fill="00B050"/>
            <w:noWrap/>
            <w:vAlign w:val="bottom"/>
          </w:tcPr>
          <w:p w14:paraId="2A918B3F"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A</w:t>
            </w:r>
          </w:p>
        </w:tc>
        <w:tc>
          <w:tcPr>
            <w:tcW w:w="1039" w:type="dxa"/>
            <w:tcBorders>
              <w:top w:val="nil"/>
              <w:left w:val="nil"/>
              <w:bottom w:val="nil"/>
              <w:right w:val="nil"/>
            </w:tcBorders>
            <w:shd w:val="clear" w:color="000000" w:fill="92D050"/>
            <w:noWrap/>
            <w:vAlign w:val="bottom"/>
          </w:tcPr>
          <w:p w14:paraId="2C97B50C"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B</w:t>
            </w:r>
          </w:p>
        </w:tc>
        <w:tc>
          <w:tcPr>
            <w:tcW w:w="1039" w:type="dxa"/>
            <w:tcBorders>
              <w:top w:val="nil"/>
              <w:left w:val="nil"/>
              <w:bottom w:val="nil"/>
              <w:right w:val="nil"/>
            </w:tcBorders>
            <w:shd w:val="clear" w:color="000000" w:fill="FFFF00"/>
            <w:noWrap/>
            <w:vAlign w:val="bottom"/>
          </w:tcPr>
          <w:p w14:paraId="530959EF"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C</w:t>
            </w:r>
          </w:p>
        </w:tc>
        <w:tc>
          <w:tcPr>
            <w:tcW w:w="1039" w:type="dxa"/>
            <w:tcBorders>
              <w:top w:val="nil"/>
              <w:left w:val="nil"/>
              <w:bottom w:val="nil"/>
              <w:right w:val="nil"/>
            </w:tcBorders>
            <w:shd w:val="clear" w:color="000000" w:fill="F1A983"/>
            <w:noWrap/>
            <w:vAlign w:val="bottom"/>
          </w:tcPr>
          <w:p w14:paraId="28CC1817"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D</w:t>
            </w:r>
          </w:p>
        </w:tc>
        <w:tc>
          <w:tcPr>
            <w:tcW w:w="842" w:type="dxa"/>
            <w:tcBorders>
              <w:top w:val="nil"/>
              <w:left w:val="nil"/>
              <w:bottom w:val="nil"/>
              <w:right w:val="nil"/>
            </w:tcBorders>
            <w:shd w:val="clear" w:color="000000" w:fill="FF0000"/>
            <w:noWrap/>
            <w:vAlign w:val="bottom"/>
          </w:tcPr>
          <w:p w14:paraId="38C50445"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E</w:t>
            </w:r>
          </w:p>
        </w:tc>
        <w:tc>
          <w:tcPr>
            <w:tcW w:w="960" w:type="dxa"/>
            <w:tcBorders>
              <w:top w:val="nil"/>
              <w:left w:val="single" w:sz="4" w:space="0" w:color="auto"/>
              <w:bottom w:val="nil"/>
              <w:right w:val="single" w:sz="4" w:space="0" w:color="auto"/>
            </w:tcBorders>
            <w:shd w:val="clear" w:color="000000" w:fill="FFFFFF"/>
            <w:noWrap/>
            <w:vAlign w:val="bottom"/>
          </w:tcPr>
          <w:p w14:paraId="7941A3B4" w14:textId="52480069" w:rsidR="00971E00" w:rsidRPr="000C5EC3" w:rsidRDefault="00971E00">
            <w:pPr>
              <w:widowControl w:val="0"/>
              <w:rPr>
                <w:rFonts w:ascii="Aptos Narrow" w:hAnsi="Aptos Narrow"/>
                <w:noProof/>
                <w:color w:val="000000"/>
                <w:sz w:val="22"/>
                <w:szCs w:val="22"/>
              </w:rPr>
            </w:pPr>
          </w:p>
        </w:tc>
        <w:tc>
          <w:tcPr>
            <w:tcW w:w="960" w:type="dxa"/>
            <w:tcBorders>
              <w:top w:val="nil"/>
              <w:left w:val="single" w:sz="4" w:space="0" w:color="auto"/>
              <w:bottom w:val="nil"/>
              <w:right w:val="single" w:sz="4" w:space="0" w:color="auto"/>
            </w:tcBorders>
            <w:shd w:val="clear" w:color="000000" w:fill="FFFFFF"/>
          </w:tcPr>
          <w:p w14:paraId="66322C05" w14:textId="77777777" w:rsidR="00971E00" w:rsidRPr="000C5EC3" w:rsidRDefault="00971E00">
            <w:pPr>
              <w:widowControl w:val="0"/>
              <w:rPr>
                <w:rFonts w:ascii="Aptos Narrow" w:hAnsi="Aptos Narrow"/>
                <w:noProof/>
                <w:color w:val="000000"/>
                <w:sz w:val="22"/>
                <w:szCs w:val="22"/>
              </w:rPr>
            </w:pPr>
          </w:p>
        </w:tc>
      </w:tr>
      <w:tr w:rsidR="00971E00" w:rsidRPr="000C5EC3" w14:paraId="6298B2FA" w14:textId="77777777">
        <w:trPr>
          <w:trHeight w:val="290"/>
        </w:trPr>
        <w:tc>
          <w:tcPr>
            <w:tcW w:w="759" w:type="dxa"/>
            <w:vMerge w:val="restart"/>
            <w:tcBorders>
              <w:top w:val="nil"/>
              <w:left w:val="single" w:sz="4" w:space="0" w:color="auto"/>
              <w:bottom w:val="single" w:sz="4" w:space="0" w:color="000000"/>
              <w:right w:val="nil"/>
            </w:tcBorders>
            <w:noWrap/>
            <w:textDirection w:val="btLr"/>
            <w:vAlign w:val="center"/>
          </w:tcPr>
          <w:p w14:paraId="13C370A2"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Adhérence sur sol mouillé</w:t>
            </w:r>
          </w:p>
        </w:tc>
        <w:tc>
          <w:tcPr>
            <w:tcW w:w="1161" w:type="dxa"/>
            <w:tcBorders>
              <w:top w:val="nil"/>
              <w:left w:val="nil"/>
              <w:bottom w:val="nil"/>
              <w:right w:val="nil"/>
            </w:tcBorders>
            <w:shd w:val="clear" w:color="000000" w:fill="4F81BD"/>
            <w:noWrap/>
            <w:vAlign w:val="bottom"/>
          </w:tcPr>
          <w:p w14:paraId="4BC4A5FB" w14:textId="77777777" w:rsidR="00971E00" w:rsidRPr="000C5EC3" w:rsidRDefault="00971E00">
            <w:pPr>
              <w:widowControl w:val="0"/>
              <w:jc w:val="center"/>
              <w:rPr>
                <w:rFonts w:ascii="Aptos Narrow" w:hAnsi="Aptos Narrow"/>
                <w:b/>
                <w:bCs/>
                <w:noProof/>
                <w:color w:val="FFFFFF"/>
                <w:sz w:val="22"/>
                <w:szCs w:val="22"/>
              </w:rPr>
            </w:pPr>
            <w:r w:rsidRPr="000C5EC3">
              <w:rPr>
                <w:rFonts w:ascii="Aptos Narrow" w:hAnsi="Aptos Narrow"/>
                <w:b/>
                <w:noProof/>
                <w:color w:val="FFFFFF"/>
                <w:sz w:val="22"/>
              </w:rPr>
              <w:t>A</w:t>
            </w:r>
          </w:p>
        </w:tc>
        <w:tc>
          <w:tcPr>
            <w:tcW w:w="842" w:type="dxa"/>
            <w:tcBorders>
              <w:top w:val="nil"/>
              <w:left w:val="nil"/>
              <w:bottom w:val="nil"/>
              <w:right w:val="nil"/>
            </w:tcBorders>
            <w:noWrap/>
            <w:vAlign w:val="bottom"/>
          </w:tcPr>
          <w:p w14:paraId="522071B0"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1,1 %</w:t>
            </w:r>
          </w:p>
        </w:tc>
        <w:tc>
          <w:tcPr>
            <w:tcW w:w="1039" w:type="dxa"/>
            <w:tcBorders>
              <w:top w:val="nil"/>
              <w:left w:val="nil"/>
              <w:bottom w:val="nil"/>
              <w:right w:val="nil"/>
            </w:tcBorders>
            <w:shd w:val="clear" w:color="000000" w:fill="D9D9D9"/>
            <w:noWrap/>
            <w:vAlign w:val="bottom"/>
          </w:tcPr>
          <w:p w14:paraId="41B64F2B"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5,1 %</w:t>
            </w:r>
          </w:p>
        </w:tc>
        <w:tc>
          <w:tcPr>
            <w:tcW w:w="1039" w:type="dxa"/>
            <w:tcBorders>
              <w:top w:val="nil"/>
              <w:left w:val="nil"/>
              <w:bottom w:val="nil"/>
              <w:right w:val="nil"/>
            </w:tcBorders>
            <w:shd w:val="clear" w:color="000000" w:fill="D9D9D9"/>
            <w:noWrap/>
            <w:vAlign w:val="bottom"/>
          </w:tcPr>
          <w:p w14:paraId="0A08037C"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9,5 %</w:t>
            </w:r>
          </w:p>
        </w:tc>
        <w:tc>
          <w:tcPr>
            <w:tcW w:w="1039" w:type="dxa"/>
            <w:tcBorders>
              <w:top w:val="nil"/>
              <w:left w:val="nil"/>
              <w:bottom w:val="nil"/>
              <w:right w:val="nil"/>
            </w:tcBorders>
            <w:noWrap/>
            <w:vAlign w:val="bottom"/>
          </w:tcPr>
          <w:p w14:paraId="707A5DDF"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3,6 %</w:t>
            </w:r>
          </w:p>
        </w:tc>
        <w:tc>
          <w:tcPr>
            <w:tcW w:w="842" w:type="dxa"/>
            <w:tcBorders>
              <w:top w:val="nil"/>
              <w:left w:val="nil"/>
              <w:bottom w:val="nil"/>
              <w:right w:val="nil"/>
            </w:tcBorders>
            <w:noWrap/>
            <w:vAlign w:val="bottom"/>
          </w:tcPr>
          <w:p w14:paraId="21702C33"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0,0 %</w:t>
            </w:r>
          </w:p>
        </w:tc>
        <w:tc>
          <w:tcPr>
            <w:tcW w:w="960" w:type="dxa"/>
            <w:tcBorders>
              <w:top w:val="nil"/>
              <w:left w:val="single" w:sz="4" w:space="0" w:color="auto"/>
              <w:bottom w:val="nil"/>
              <w:right w:val="single" w:sz="4" w:space="0" w:color="auto"/>
            </w:tcBorders>
            <w:noWrap/>
            <w:vAlign w:val="bottom"/>
          </w:tcPr>
          <w:p w14:paraId="675C617D"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19,4 %</w:t>
            </w:r>
          </w:p>
        </w:tc>
        <w:tc>
          <w:tcPr>
            <w:tcW w:w="960" w:type="dxa"/>
            <w:tcBorders>
              <w:top w:val="nil"/>
              <w:left w:val="single" w:sz="4" w:space="0" w:color="auto"/>
              <w:bottom w:val="nil"/>
              <w:right w:val="single" w:sz="4" w:space="0" w:color="auto"/>
            </w:tcBorders>
          </w:tcPr>
          <w:p w14:paraId="5E14E4C1" w14:textId="77777777" w:rsidR="00971E00" w:rsidRPr="000C5EC3" w:rsidRDefault="00971E00">
            <w:pPr>
              <w:widowControl w:val="0"/>
              <w:jc w:val="center"/>
              <w:rPr>
                <w:rFonts w:ascii="Aptos Narrow" w:hAnsi="Aptos Narrow"/>
                <w:noProof/>
                <w:color w:val="000000"/>
                <w:sz w:val="22"/>
                <w:szCs w:val="22"/>
              </w:rPr>
            </w:pPr>
          </w:p>
        </w:tc>
      </w:tr>
      <w:tr w:rsidR="00971E00" w:rsidRPr="000C5EC3" w14:paraId="213B2BF8" w14:textId="77777777">
        <w:trPr>
          <w:trHeight w:val="290"/>
        </w:trPr>
        <w:tc>
          <w:tcPr>
            <w:tcW w:w="759" w:type="dxa"/>
            <w:vMerge/>
            <w:tcBorders>
              <w:top w:val="nil"/>
              <w:left w:val="single" w:sz="4" w:space="0" w:color="auto"/>
              <w:bottom w:val="single" w:sz="4" w:space="0" w:color="000000"/>
              <w:right w:val="nil"/>
            </w:tcBorders>
            <w:vAlign w:val="center"/>
          </w:tcPr>
          <w:p w14:paraId="17170C1F" w14:textId="77777777" w:rsidR="00971E00" w:rsidRPr="000C5EC3"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4D93D9"/>
            <w:noWrap/>
            <w:vAlign w:val="bottom"/>
          </w:tcPr>
          <w:p w14:paraId="6A38B8EE" w14:textId="77777777" w:rsidR="00971E00" w:rsidRPr="000C5EC3" w:rsidRDefault="00971E00">
            <w:pPr>
              <w:widowControl w:val="0"/>
              <w:jc w:val="center"/>
              <w:rPr>
                <w:rFonts w:ascii="Aptos Narrow" w:hAnsi="Aptos Narrow"/>
                <w:b/>
                <w:bCs/>
                <w:noProof/>
                <w:color w:val="FFFFFF"/>
                <w:sz w:val="22"/>
                <w:szCs w:val="22"/>
              </w:rPr>
            </w:pPr>
            <w:r w:rsidRPr="000C5EC3">
              <w:rPr>
                <w:rFonts w:ascii="Aptos Narrow" w:hAnsi="Aptos Narrow"/>
                <w:b/>
                <w:noProof/>
                <w:color w:val="FFFFFF"/>
                <w:sz w:val="22"/>
              </w:rPr>
              <w:t>B</w:t>
            </w:r>
          </w:p>
        </w:tc>
        <w:tc>
          <w:tcPr>
            <w:tcW w:w="842" w:type="dxa"/>
            <w:tcBorders>
              <w:top w:val="nil"/>
              <w:left w:val="nil"/>
              <w:bottom w:val="nil"/>
              <w:right w:val="nil"/>
            </w:tcBorders>
            <w:noWrap/>
            <w:vAlign w:val="bottom"/>
          </w:tcPr>
          <w:p w14:paraId="1D1B8118"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2,2 %</w:t>
            </w:r>
          </w:p>
        </w:tc>
        <w:tc>
          <w:tcPr>
            <w:tcW w:w="1039" w:type="dxa"/>
            <w:tcBorders>
              <w:top w:val="nil"/>
              <w:left w:val="nil"/>
              <w:bottom w:val="nil"/>
              <w:right w:val="nil"/>
            </w:tcBorders>
            <w:shd w:val="clear" w:color="000000" w:fill="D9D9D9"/>
            <w:noWrap/>
            <w:vAlign w:val="bottom"/>
          </w:tcPr>
          <w:p w14:paraId="43342825"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6,6 %</w:t>
            </w:r>
          </w:p>
        </w:tc>
        <w:tc>
          <w:tcPr>
            <w:tcW w:w="1039" w:type="dxa"/>
            <w:tcBorders>
              <w:top w:val="nil"/>
              <w:left w:val="nil"/>
              <w:bottom w:val="nil"/>
              <w:right w:val="nil"/>
            </w:tcBorders>
            <w:shd w:val="clear" w:color="000000" w:fill="A6A6A6"/>
            <w:noWrap/>
            <w:vAlign w:val="bottom"/>
          </w:tcPr>
          <w:p w14:paraId="42F4F6A6"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24,9 %</w:t>
            </w:r>
          </w:p>
        </w:tc>
        <w:tc>
          <w:tcPr>
            <w:tcW w:w="1039" w:type="dxa"/>
            <w:tcBorders>
              <w:top w:val="nil"/>
              <w:left w:val="nil"/>
              <w:bottom w:val="nil"/>
              <w:right w:val="nil"/>
            </w:tcBorders>
            <w:shd w:val="clear" w:color="000000" w:fill="D9D9D9"/>
            <w:noWrap/>
            <w:vAlign w:val="bottom"/>
          </w:tcPr>
          <w:p w14:paraId="4AA704A9"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7,7 %</w:t>
            </w:r>
          </w:p>
        </w:tc>
        <w:tc>
          <w:tcPr>
            <w:tcW w:w="842" w:type="dxa"/>
            <w:tcBorders>
              <w:top w:val="nil"/>
              <w:left w:val="nil"/>
              <w:bottom w:val="nil"/>
              <w:right w:val="nil"/>
            </w:tcBorders>
            <w:noWrap/>
            <w:vAlign w:val="bottom"/>
          </w:tcPr>
          <w:p w14:paraId="046AB6BE"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0,6 %</w:t>
            </w:r>
          </w:p>
        </w:tc>
        <w:tc>
          <w:tcPr>
            <w:tcW w:w="960" w:type="dxa"/>
            <w:tcBorders>
              <w:top w:val="nil"/>
              <w:left w:val="single" w:sz="4" w:space="0" w:color="auto"/>
              <w:bottom w:val="nil"/>
              <w:right w:val="single" w:sz="4" w:space="0" w:color="auto"/>
            </w:tcBorders>
            <w:noWrap/>
            <w:vAlign w:val="bottom"/>
          </w:tcPr>
          <w:p w14:paraId="0CF1475B"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42,1 %</w:t>
            </w:r>
          </w:p>
        </w:tc>
        <w:tc>
          <w:tcPr>
            <w:tcW w:w="960" w:type="dxa"/>
            <w:tcBorders>
              <w:top w:val="nil"/>
              <w:left w:val="single" w:sz="4" w:space="0" w:color="auto"/>
              <w:bottom w:val="nil"/>
              <w:right w:val="single" w:sz="4" w:space="0" w:color="auto"/>
            </w:tcBorders>
          </w:tcPr>
          <w:p w14:paraId="1F4B279B" w14:textId="77777777" w:rsidR="00971E00" w:rsidRPr="000C5EC3" w:rsidRDefault="00971E00">
            <w:pPr>
              <w:widowControl w:val="0"/>
              <w:jc w:val="center"/>
              <w:rPr>
                <w:rFonts w:ascii="Aptos Narrow" w:hAnsi="Aptos Narrow"/>
                <w:noProof/>
                <w:color w:val="000000"/>
                <w:sz w:val="22"/>
                <w:szCs w:val="22"/>
              </w:rPr>
            </w:pPr>
          </w:p>
        </w:tc>
      </w:tr>
      <w:tr w:rsidR="00971E00" w:rsidRPr="000C5EC3" w14:paraId="01CBA604" w14:textId="77777777">
        <w:trPr>
          <w:trHeight w:val="290"/>
        </w:trPr>
        <w:tc>
          <w:tcPr>
            <w:tcW w:w="759" w:type="dxa"/>
            <w:vMerge/>
            <w:tcBorders>
              <w:top w:val="nil"/>
              <w:left w:val="single" w:sz="4" w:space="0" w:color="auto"/>
              <w:bottom w:val="single" w:sz="4" w:space="0" w:color="000000"/>
              <w:right w:val="nil"/>
            </w:tcBorders>
            <w:vAlign w:val="center"/>
          </w:tcPr>
          <w:p w14:paraId="76128795" w14:textId="77777777" w:rsidR="00971E00" w:rsidRPr="000C5EC3"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44B3E1"/>
            <w:noWrap/>
            <w:vAlign w:val="bottom"/>
          </w:tcPr>
          <w:p w14:paraId="3FE84BB3" w14:textId="77777777" w:rsidR="00971E00" w:rsidRPr="000C5EC3" w:rsidRDefault="00971E00">
            <w:pPr>
              <w:widowControl w:val="0"/>
              <w:jc w:val="center"/>
              <w:rPr>
                <w:rFonts w:ascii="Aptos Narrow" w:hAnsi="Aptos Narrow"/>
                <w:b/>
                <w:bCs/>
                <w:noProof/>
                <w:color w:val="FFFFFF"/>
                <w:sz w:val="22"/>
                <w:szCs w:val="22"/>
              </w:rPr>
            </w:pPr>
            <w:r w:rsidRPr="000C5EC3">
              <w:rPr>
                <w:rFonts w:ascii="Aptos Narrow" w:hAnsi="Aptos Narrow"/>
                <w:b/>
                <w:noProof/>
                <w:color w:val="FFFFFF"/>
                <w:sz w:val="22"/>
              </w:rPr>
              <w:t>C</w:t>
            </w:r>
          </w:p>
        </w:tc>
        <w:tc>
          <w:tcPr>
            <w:tcW w:w="842" w:type="dxa"/>
            <w:tcBorders>
              <w:top w:val="nil"/>
              <w:left w:val="nil"/>
              <w:bottom w:val="nil"/>
              <w:right w:val="nil"/>
            </w:tcBorders>
            <w:noWrap/>
            <w:vAlign w:val="bottom"/>
          </w:tcPr>
          <w:p w14:paraId="4DACF382"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0,3 %</w:t>
            </w:r>
          </w:p>
        </w:tc>
        <w:tc>
          <w:tcPr>
            <w:tcW w:w="1039" w:type="dxa"/>
            <w:tcBorders>
              <w:top w:val="nil"/>
              <w:left w:val="nil"/>
              <w:bottom w:val="nil"/>
              <w:right w:val="nil"/>
            </w:tcBorders>
            <w:noWrap/>
            <w:vAlign w:val="bottom"/>
          </w:tcPr>
          <w:p w14:paraId="7F06A820"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1,3 %</w:t>
            </w:r>
          </w:p>
        </w:tc>
        <w:tc>
          <w:tcPr>
            <w:tcW w:w="1039" w:type="dxa"/>
            <w:tcBorders>
              <w:top w:val="nil"/>
              <w:left w:val="nil"/>
              <w:bottom w:val="nil"/>
              <w:right w:val="nil"/>
            </w:tcBorders>
            <w:shd w:val="clear" w:color="000000" w:fill="A6A6A6"/>
            <w:noWrap/>
            <w:vAlign w:val="bottom"/>
          </w:tcPr>
          <w:p w14:paraId="3D6CD507"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17,6 %</w:t>
            </w:r>
          </w:p>
        </w:tc>
        <w:tc>
          <w:tcPr>
            <w:tcW w:w="1039" w:type="dxa"/>
            <w:tcBorders>
              <w:top w:val="nil"/>
              <w:left w:val="nil"/>
              <w:bottom w:val="nil"/>
              <w:right w:val="nil"/>
            </w:tcBorders>
            <w:shd w:val="clear" w:color="000000" w:fill="D9D9D9"/>
            <w:noWrap/>
            <w:vAlign w:val="bottom"/>
          </w:tcPr>
          <w:p w14:paraId="13353BB2" w14:textId="77777777" w:rsidR="00971E00" w:rsidRPr="000C5EC3" w:rsidRDefault="00971E00">
            <w:pPr>
              <w:widowControl w:val="0"/>
              <w:jc w:val="center"/>
              <w:rPr>
                <w:rFonts w:ascii="Aptos Narrow" w:hAnsi="Aptos Narrow"/>
                <w:b/>
                <w:bCs/>
                <w:noProof/>
                <w:color w:val="000000"/>
                <w:sz w:val="22"/>
                <w:szCs w:val="22"/>
              </w:rPr>
            </w:pPr>
            <w:r w:rsidRPr="000C5EC3">
              <w:rPr>
                <w:rFonts w:ascii="Aptos Narrow" w:hAnsi="Aptos Narrow"/>
                <w:b/>
                <w:noProof/>
                <w:color w:val="000000"/>
                <w:sz w:val="22"/>
              </w:rPr>
              <w:t>7,5 %</w:t>
            </w:r>
          </w:p>
        </w:tc>
        <w:tc>
          <w:tcPr>
            <w:tcW w:w="842" w:type="dxa"/>
            <w:tcBorders>
              <w:top w:val="nil"/>
              <w:left w:val="nil"/>
              <w:bottom w:val="nil"/>
              <w:right w:val="nil"/>
            </w:tcBorders>
            <w:noWrap/>
            <w:vAlign w:val="bottom"/>
          </w:tcPr>
          <w:p w14:paraId="7C3FE072"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0,4 %</w:t>
            </w:r>
          </w:p>
        </w:tc>
        <w:tc>
          <w:tcPr>
            <w:tcW w:w="960" w:type="dxa"/>
            <w:tcBorders>
              <w:top w:val="nil"/>
              <w:left w:val="single" w:sz="4" w:space="0" w:color="auto"/>
              <w:bottom w:val="nil"/>
              <w:right w:val="single" w:sz="4" w:space="0" w:color="auto"/>
            </w:tcBorders>
            <w:noWrap/>
            <w:vAlign w:val="bottom"/>
          </w:tcPr>
          <w:p w14:paraId="39926BE0"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27,2 %</w:t>
            </w:r>
          </w:p>
        </w:tc>
        <w:tc>
          <w:tcPr>
            <w:tcW w:w="960" w:type="dxa"/>
            <w:tcBorders>
              <w:top w:val="nil"/>
              <w:left w:val="single" w:sz="4" w:space="0" w:color="auto"/>
              <w:bottom w:val="nil"/>
              <w:right w:val="single" w:sz="4" w:space="0" w:color="auto"/>
            </w:tcBorders>
          </w:tcPr>
          <w:p w14:paraId="414150F5" w14:textId="77777777" w:rsidR="00971E00" w:rsidRPr="000C5EC3" w:rsidRDefault="00971E00">
            <w:pPr>
              <w:widowControl w:val="0"/>
              <w:jc w:val="center"/>
              <w:rPr>
                <w:rFonts w:ascii="Aptos Narrow" w:hAnsi="Aptos Narrow"/>
                <w:noProof/>
                <w:color w:val="000000"/>
                <w:sz w:val="22"/>
                <w:szCs w:val="22"/>
              </w:rPr>
            </w:pPr>
          </w:p>
        </w:tc>
      </w:tr>
      <w:tr w:rsidR="00971E00" w:rsidRPr="000C5EC3" w14:paraId="3160F594" w14:textId="77777777">
        <w:trPr>
          <w:trHeight w:val="290"/>
        </w:trPr>
        <w:tc>
          <w:tcPr>
            <w:tcW w:w="759" w:type="dxa"/>
            <w:vMerge/>
            <w:tcBorders>
              <w:top w:val="nil"/>
              <w:left w:val="single" w:sz="4" w:space="0" w:color="auto"/>
              <w:bottom w:val="single" w:sz="4" w:space="0" w:color="000000"/>
              <w:right w:val="nil"/>
            </w:tcBorders>
            <w:vAlign w:val="center"/>
          </w:tcPr>
          <w:p w14:paraId="7CACA737" w14:textId="77777777" w:rsidR="00971E00" w:rsidRPr="000C5EC3"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83CCEB"/>
            <w:noWrap/>
            <w:vAlign w:val="bottom"/>
          </w:tcPr>
          <w:p w14:paraId="0697D8EE" w14:textId="77777777" w:rsidR="00971E00" w:rsidRPr="000C5EC3" w:rsidRDefault="00971E00">
            <w:pPr>
              <w:widowControl w:val="0"/>
              <w:jc w:val="center"/>
              <w:rPr>
                <w:rFonts w:ascii="Aptos Narrow" w:hAnsi="Aptos Narrow"/>
                <w:b/>
                <w:bCs/>
                <w:noProof/>
                <w:color w:val="FFFFFF"/>
                <w:sz w:val="22"/>
                <w:szCs w:val="22"/>
              </w:rPr>
            </w:pPr>
            <w:r w:rsidRPr="000C5EC3">
              <w:rPr>
                <w:rFonts w:ascii="Aptos Narrow" w:hAnsi="Aptos Narrow"/>
                <w:b/>
                <w:noProof/>
                <w:color w:val="FFFFFF"/>
                <w:sz w:val="22"/>
              </w:rPr>
              <w:t>D</w:t>
            </w:r>
          </w:p>
        </w:tc>
        <w:tc>
          <w:tcPr>
            <w:tcW w:w="842" w:type="dxa"/>
            <w:tcBorders>
              <w:top w:val="nil"/>
              <w:left w:val="nil"/>
              <w:bottom w:val="nil"/>
              <w:right w:val="nil"/>
            </w:tcBorders>
            <w:noWrap/>
            <w:vAlign w:val="bottom"/>
          </w:tcPr>
          <w:p w14:paraId="0A69D4E4"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0,2 %</w:t>
            </w:r>
          </w:p>
        </w:tc>
        <w:tc>
          <w:tcPr>
            <w:tcW w:w="1039" w:type="dxa"/>
            <w:tcBorders>
              <w:top w:val="nil"/>
              <w:left w:val="nil"/>
              <w:bottom w:val="nil"/>
              <w:right w:val="nil"/>
            </w:tcBorders>
            <w:noWrap/>
            <w:vAlign w:val="bottom"/>
          </w:tcPr>
          <w:p w14:paraId="1918EBAC"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0,6 %</w:t>
            </w:r>
          </w:p>
        </w:tc>
        <w:tc>
          <w:tcPr>
            <w:tcW w:w="1039" w:type="dxa"/>
            <w:tcBorders>
              <w:top w:val="nil"/>
              <w:left w:val="nil"/>
              <w:bottom w:val="nil"/>
              <w:right w:val="nil"/>
            </w:tcBorders>
            <w:noWrap/>
            <w:vAlign w:val="bottom"/>
          </w:tcPr>
          <w:p w14:paraId="6C15EBD7"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3,7 %</w:t>
            </w:r>
          </w:p>
        </w:tc>
        <w:tc>
          <w:tcPr>
            <w:tcW w:w="1039" w:type="dxa"/>
            <w:tcBorders>
              <w:top w:val="nil"/>
              <w:left w:val="nil"/>
              <w:bottom w:val="nil"/>
              <w:right w:val="nil"/>
            </w:tcBorders>
            <w:noWrap/>
            <w:vAlign w:val="bottom"/>
          </w:tcPr>
          <w:p w14:paraId="20058674"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4,9 %</w:t>
            </w:r>
          </w:p>
        </w:tc>
        <w:tc>
          <w:tcPr>
            <w:tcW w:w="842" w:type="dxa"/>
            <w:tcBorders>
              <w:top w:val="nil"/>
              <w:left w:val="nil"/>
              <w:bottom w:val="nil"/>
              <w:right w:val="nil"/>
            </w:tcBorders>
            <w:noWrap/>
            <w:vAlign w:val="bottom"/>
          </w:tcPr>
          <w:p w14:paraId="0F03C09F"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0,5 %</w:t>
            </w:r>
          </w:p>
        </w:tc>
        <w:tc>
          <w:tcPr>
            <w:tcW w:w="960" w:type="dxa"/>
            <w:tcBorders>
              <w:top w:val="nil"/>
              <w:left w:val="single" w:sz="4" w:space="0" w:color="auto"/>
              <w:bottom w:val="nil"/>
              <w:right w:val="single" w:sz="4" w:space="0" w:color="auto"/>
            </w:tcBorders>
            <w:noWrap/>
            <w:vAlign w:val="bottom"/>
          </w:tcPr>
          <w:p w14:paraId="1E015B3F"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9,9 %</w:t>
            </w:r>
          </w:p>
        </w:tc>
        <w:tc>
          <w:tcPr>
            <w:tcW w:w="960" w:type="dxa"/>
            <w:tcBorders>
              <w:top w:val="nil"/>
              <w:left w:val="single" w:sz="4" w:space="0" w:color="auto"/>
              <w:bottom w:val="nil"/>
              <w:right w:val="single" w:sz="4" w:space="0" w:color="auto"/>
            </w:tcBorders>
          </w:tcPr>
          <w:p w14:paraId="35163E4E" w14:textId="77777777" w:rsidR="00971E00" w:rsidRPr="000C5EC3" w:rsidRDefault="00971E00">
            <w:pPr>
              <w:widowControl w:val="0"/>
              <w:jc w:val="center"/>
              <w:rPr>
                <w:rFonts w:ascii="Aptos Narrow" w:hAnsi="Aptos Narrow"/>
                <w:noProof/>
                <w:color w:val="000000"/>
                <w:sz w:val="22"/>
                <w:szCs w:val="22"/>
              </w:rPr>
            </w:pPr>
          </w:p>
        </w:tc>
      </w:tr>
      <w:tr w:rsidR="00971E00" w:rsidRPr="000C5EC3" w14:paraId="3E866089" w14:textId="77777777">
        <w:trPr>
          <w:trHeight w:val="290"/>
        </w:trPr>
        <w:tc>
          <w:tcPr>
            <w:tcW w:w="759" w:type="dxa"/>
            <w:vMerge/>
            <w:tcBorders>
              <w:top w:val="nil"/>
              <w:left w:val="single" w:sz="4" w:space="0" w:color="auto"/>
              <w:bottom w:val="single" w:sz="4" w:space="0" w:color="000000"/>
              <w:right w:val="nil"/>
            </w:tcBorders>
            <w:vAlign w:val="center"/>
          </w:tcPr>
          <w:p w14:paraId="6FB9EDED" w14:textId="77777777" w:rsidR="00971E00" w:rsidRPr="000C5EC3"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CAEDFB"/>
            <w:noWrap/>
            <w:vAlign w:val="bottom"/>
          </w:tcPr>
          <w:p w14:paraId="4AE9A205" w14:textId="77777777" w:rsidR="00971E00" w:rsidRPr="000C5EC3" w:rsidRDefault="00971E00">
            <w:pPr>
              <w:widowControl w:val="0"/>
              <w:jc w:val="center"/>
              <w:rPr>
                <w:rFonts w:ascii="Aptos Narrow" w:hAnsi="Aptos Narrow"/>
                <w:b/>
                <w:bCs/>
                <w:noProof/>
                <w:color w:val="FFFFFF"/>
                <w:sz w:val="22"/>
                <w:szCs w:val="22"/>
              </w:rPr>
            </w:pPr>
            <w:r w:rsidRPr="000C5EC3">
              <w:rPr>
                <w:rFonts w:ascii="Aptos Narrow" w:hAnsi="Aptos Narrow"/>
                <w:b/>
                <w:noProof/>
                <w:color w:val="FFFFFF"/>
                <w:sz w:val="22"/>
              </w:rPr>
              <w:t>E</w:t>
            </w:r>
          </w:p>
        </w:tc>
        <w:tc>
          <w:tcPr>
            <w:tcW w:w="842" w:type="dxa"/>
            <w:tcBorders>
              <w:top w:val="nil"/>
              <w:left w:val="nil"/>
              <w:bottom w:val="nil"/>
              <w:right w:val="nil"/>
            </w:tcBorders>
            <w:noWrap/>
            <w:vAlign w:val="bottom"/>
          </w:tcPr>
          <w:p w14:paraId="7FF97CA5"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0,0 %</w:t>
            </w:r>
          </w:p>
        </w:tc>
        <w:tc>
          <w:tcPr>
            <w:tcW w:w="1039" w:type="dxa"/>
            <w:tcBorders>
              <w:top w:val="nil"/>
              <w:left w:val="nil"/>
              <w:bottom w:val="nil"/>
              <w:right w:val="nil"/>
            </w:tcBorders>
            <w:noWrap/>
            <w:vAlign w:val="bottom"/>
          </w:tcPr>
          <w:p w14:paraId="212FB630"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0,1 %</w:t>
            </w:r>
          </w:p>
        </w:tc>
        <w:tc>
          <w:tcPr>
            <w:tcW w:w="1039" w:type="dxa"/>
            <w:tcBorders>
              <w:top w:val="nil"/>
              <w:left w:val="nil"/>
              <w:bottom w:val="nil"/>
              <w:right w:val="nil"/>
            </w:tcBorders>
            <w:noWrap/>
            <w:vAlign w:val="bottom"/>
          </w:tcPr>
          <w:p w14:paraId="3E6D06CF"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1,1 %</w:t>
            </w:r>
          </w:p>
        </w:tc>
        <w:tc>
          <w:tcPr>
            <w:tcW w:w="1039" w:type="dxa"/>
            <w:tcBorders>
              <w:top w:val="nil"/>
              <w:left w:val="nil"/>
              <w:bottom w:val="nil"/>
              <w:right w:val="nil"/>
            </w:tcBorders>
            <w:noWrap/>
            <w:vAlign w:val="bottom"/>
          </w:tcPr>
          <w:p w14:paraId="77AB15F4"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0,1 %</w:t>
            </w:r>
          </w:p>
        </w:tc>
        <w:tc>
          <w:tcPr>
            <w:tcW w:w="842" w:type="dxa"/>
            <w:tcBorders>
              <w:top w:val="nil"/>
              <w:left w:val="nil"/>
              <w:bottom w:val="nil"/>
              <w:right w:val="nil"/>
            </w:tcBorders>
            <w:noWrap/>
            <w:vAlign w:val="bottom"/>
          </w:tcPr>
          <w:p w14:paraId="79761AE9"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0,1 %</w:t>
            </w:r>
          </w:p>
        </w:tc>
        <w:tc>
          <w:tcPr>
            <w:tcW w:w="960" w:type="dxa"/>
            <w:tcBorders>
              <w:top w:val="nil"/>
              <w:left w:val="single" w:sz="4" w:space="0" w:color="auto"/>
              <w:bottom w:val="nil"/>
              <w:right w:val="single" w:sz="4" w:space="0" w:color="auto"/>
            </w:tcBorders>
            <w:noWrap/>
            <w:vAlign w:val="bottom"/>
          </w:tcPr>
          <w:p w14:paraId="42F364CA"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1,4 %</w:t>
            </w:r>
          </w:p>
        </w:tc>
        <w:tc>
          <w:tcPr>
            <w:tcW w:w="960" w:type="dxa"/>
            <w:tcBorders>
              <w:top w:val="nil"/>
              <w:left w:val="single" w:sz="4" w:space="0" w:color="auto"/>
              <w:bottom w:val="nil"/>
              <w:right w:val="single" w:sz="4" w:space="0" w:color="auto"/>
            </w:tcBorders>
          </w:tcPr>
          <w:p w14:paraId="0E6E74E0" w14:textId="77777777" w:rsidR="00971E00" w:rsidRPr="000C5EC3" w:rsidRDefault="00971E00">
            <w:pPr>
              <w:widowControl w:val="0"/>
              <w:jc w:val="center"/>
              <w:rPr>
                <w:rFonts w:ascii="Aptos Narrow" w:hAnsi="Aptos Narrow"/>
                <w:noProof/>
                <w:color w:val="000000"/>
                <w:sz w:val="22"/>
                <w:szCs w:val="22"/>
              </w:rPr>
            </w:pPr>
          </w:p>
        </w:tc>
      </w:tr>
      <w:tr w:rsidR="00971E00" w:rsidRPr="000C5EC3" w14:paraId="2F77A2A5" w14:textId="77777777">
        <w:trPr>
          <w:trHeight w:val="290"/>
        </w:trPr>
        <w:tc>
          <w:tcPr>
            <w:tcW w:w="759" w:type="dxa"/>
            <w:tcBorders>
              <w:top w:val="nil"/>
              <w:left w:val="single" w:sz="4" w:space="0" w:color="auto"/>
              <w:bottom w:val="single" w:sz="4" w:space="0" w:color="auto"/>
              <w:right w:val="nil"/>
            </w:tcBorders>
            <w:shd w:val="clear" w:color="000000" w:fill="FFFFFF"/>
            <w:noWrap/>
            <w:vAlign w:val="bottom"/>
          </w:tcPr>
          <w:p w14:paraId="44323339" w14:textId="2F44A066" w:rsidR="00971E00" w:rsidRPr="000C5EC3" w:rsidRDefault="00971E00">
            <w:pPr>
              <w:widowControl w:val="0"/>
              <w:rPr>
                <w:rFonts w:ascii="Aptos Narrow" w:hAnsi="Aptos Narrow"/>
                <w:noProof/>
                <w:color w:val="000000"/>
                <w:sz w:val="22"/>
                <w:szCs w:val="22"/>
              </w:rPr>
            </w:pPr>
          </w:p>
        </w:tc>
        <w:tc>
          <w:tcPr>
            <w:tcW w:w="1161" w:type="dxa"/>
            <w:tcBorders>
              <w:top w:val="single" w:sz="4" w:space="0" w:color="auto"/>
              <w:left w:val="nil"/>
              <w:bottom w:val="single" w:sz="4" w:space="0" w:color="auto"/>
              <w:right w:val="nil"/>
            </w:tcBorders>
            <w:shd w:val="clear" w:color="000000" w:fill="FFFFFF"/>
            <w:noWrap/>
            <w:vAlign w:val="bottom"/>
          </w:tcPr>
          <w:p w14:paraId="54E3E82C" w14:textId="76CA443D" w:rsidR="00971E00" w:rsidRPr="000C5EC3" w:rsidRDefault="00971E00">
            <w:pPr>
              <w:widowControl w:val="0"/>
              <w:rPr>
                <w:rFonts w:ascii="Aptos Narrow" w:hAnsi="Aptos Narrow"/>
                <w:noProof/>
                <w:color w:val="000000"/>
                <w:sz w:val="22"/>
                <w:szCs w:val="22"/>
              </w:rPr>
            </w:pPr>
          </w:p>
        </w:tc>
        <w:tc>
          <w:tcPr>
            <w:tcW w:w="842" w:type="dxa"/>
            <w:tcBorders>
              <w:top w:val="single" w:sz="4" w:space="0" w:color="auto"/>
              <w:left w:val="nil"/>
              <w:bottom w:val="single" w:sz="4" w:space="0" w:color="auto"/>
              <w:right w:val="nil"/>
            </w:tcBorders>
            <w:noWrap/>
            <w:vAlign w:val="bottom"/>
          </w:tcPr>
          <w:p w14:paraId="464ED15A"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3,9 %</w:t>
            </w:r>
          </w:p>
        </w:tc>
        <w:tc>
          <w:tcPr>
            <w:tcW w:w="1039" w:type="dxa"/>
            <w:tcBorders>
              <w:top w:val="single" w:sz="4" w:space="0" w:color="auto"/>
              <w:left w:val="nil"/>
              <w:bottom w:val="single" w:sz="4" w:space="0" w:color="auto"/>
              <w:right w:val="nil"/>
            </w:tcBorders>
            <w:noWrap/>
            <w:vAlign w:val="bottom"/>
          </w:tcPr>
          <w:p w14:paraId="58C23CB7"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13,8 %</w:t>
            </w:r>
          </w:p>
        </w:tc>
        <w:tc>
          <w:tcPr>
            <w:tcW w:w="1039" w:type="dxa"/>
            <w:tcBorders>
              <w:top w:val="single" w:sz="4" w:space="0" w:color="auto"/>
              <w:left w:val="nil"/>
              <w:bottom w:val="single" w:sz="4" w:space="0" w:color="auto"/>
              <w:right w:val="nil"/>
            </w:tcBorders>
            <w:noWrap/>
            <w:vAlign w:val="bottom"/>
          </w:tcPr>
          <w:p w14:paraId="2EA01C36"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56,8 %</w:t>
            </w:r>
          </w:p>
        </w:tc>
        <w:tc>
          <w:tcPr>
            <w:tcW w:w="1039" w:type="dxa"/>
            <w:tcBorders>
              <w:top w:val="single" w:sz="4" w:space="0" w:color="auto"/>
              <w:left w:val="nil"/>
              <w:bottom w:val="single" w:sz="4" w:space="0" w:color="auto"/>
              <w:right w:val="nil"/>
            </w:tcBorders>
            <w:noWrap/>
            <w:vAlign w:val="bottom"/>
          </w:tcPr>
          <w:p w14:paraId="4F671464"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23,9 %</w:t>
            </w:r>
          </w:p>
        </w:tc>
        <w:tc>
          <w:tcPr>
            <w:tcW w:w="842" w:type="dxa"/>
            <w:tcBorders>
              <w:top w:val="single" w:sz="4" w:space="0" w:color="auto"/>
              <w:left w:val="nil"/>
              <w:bottom w:val="single" w:sz="4" w:space="0" w:color="auto"/>
              <w:right w:val="nil"/>
            </w:tcBorders>
            <w:noWrap/>
            <w:vAlign w:val="bottom"/>
          </w:tcPr>
          <w:p w14:paraId="408612D3" w14:textId="77777777" w:rsidR="00971E00" w:rsidRPr="000C5EC3" w:rsidRDefault="00971E00">
            <w:pPr>
              <w:widowControl w:val="0"/>
              <w:jc w:val="center"/>
              <w:rPr>
                <w:rFonts w:ascii="Aptos Narrow" w:hAnsi="Aptos Narrow"/>
                <w:noProof/>
                <w:color w:val="000000"/>
                <w:sz w:val="22"/>
                <w:szCs w:val="22"/>
              </w:rPr>
            </w:pPr>
            <w:r w:rsidRPr="000C5EC3">
              <w:rPr>
                <w:rFonts w:ascii="Aptos Narrow" w:hAnsi="Aptos Narrow"/>
                <w:noProof/>
                <w:color w:val="000000"/>
                <w:sz w:val="22"/>
              </w:rPr>
              <w:t>1,6 %</w:t>
            </w:r>
          </w:p>
        </w:tc>
        <w:tc>
          <w:tcPr>
            <w:tcW w:w="960" w:type="dxa"/>
            <w:tcBorders>
              <w:top w:val="single" w:sz="4" w:space="0" w:color="auto"/>
              <w:left w:val="single" w:sz="4" w:space="0" w:color="auto"/>
              <w:bottom w:val="single" w:sz="4" w:space="0" w:color="auto"/>
              <w:right w:val="single" w:sz="4" w:space="0" w:color="auto"/>
            </w:tcBorders>
            <w:noWrap/>
            <w:vAlign w:val="bottom"/>
          </w:tcPr>
          <w:p w14:paraId="728D01F7" w14:textId="48A8DA89" w:rsidR="00971E00" w:rsidRPr="000C5EC3" w:rsidRDefault="00971E00">
            <w:pPr>
              <w:widowControl w:val="0"/>
              <w:rPr>
                <w:rFonts w:ascii="Aptos Narrow" w:hAnsi="Aptos Narrow"/>
                <w:noProof/>
                <w:color w:val="000000"/>
                <w:sz w:val="22"/>
                <w:szCs w:val="22"/>
              </w:rPr>
            </w:pPr>
          </w:p>
        </w:tc>
        <w:tc>
          <w:tcPr>
            <w:tcW w:w="960" w:type="dxa"/>
            <w:tcBorders>
              <w:top w:val="single" w:sz="4" w:space="0" w:color="auto"/>
              <w:left w:val="single" w:sz="4" w:space="0" w:color="auto"/>
              <w:bottom w:val="single" w:sz="4" w:space="0" w:color="auto"/>
              <w:right w:val="single" w:sz="4" w:space="0" w:color="auto"/>
            </w:tcBorders>
          </w:tcPr>
          <w:p w14:paraId="26914E5A" w14:textId="77777777" w:rsidR="00971E00" w:rsidRPr="000C5EC3" w:rsidRDefault="00971E00">
            <w:pPr>
              <w:widowControl w:val="0"/>
              <w:rPr>
                <w:rFonts w:ascii="Aptos Narrow" w:hAnsi="Aptos Narrow"/>
                <w:noProof/>
                <w:color w:val="000000"/>
                <w:sz w:val="22"/>
                <w:szCs w:val="22"/>
              </w:rPr>
            </w:pPr>
          </w:p>
        </w:tc>
      </w:tr>
    </w:tbl>
    <w:p w14:paraId="1BA76684" w14:textId="1F451434" w:rsidR="00971E00" w:rsidRPr="000C5EC3" w:rsidRDefault="00971E00">
      <w:pPr>
        <w:pStyle w:val="Caption"/>
        <w:widowControl w:val="0"/>
        <w:rPr>
          <w:noProof/>
        </w:rPr>
      </w:pPr>
      <w:bookmarkStart w:id="12" w:name="_Ref212541777"/>
      <w:r w:rsidRPr="000C5EC3">
        <w:rPr>
          <w:noProof/>
        </w:rPr>
        <w:t>Figure </w:t>
      </w:r>
      <w:r w:rsidR="005A5537">
        <w:rPr>
          <w:noProof/>
        </w:rPr>
        <w:fldChar w:fldCharType="begin"/>
      </w:r>
      <w:r w:rsidR="005A5537">
        <w:rPr>
          <w:noProof/>
        </w:rPr>
        <w:instrText xml:space="preserve"> SEQ Figure \* ARABIC </w:instrText>
      </w:r>
      <w:r w:rsidR="005A5537">
        <w:rPr>
          <w:noProof/>
        </w:rPr>
        <w:fldChar w:fldCharType="separate"/>
      </w:r>
      <w:r w:rsidRPr="000C5EC3">
        <w:rPr>
          <w:noProof/>
        </w:rPr>
        <w:t>7</w:t>
      </w:r>
      <w:r w:rsidR="005A5537">
        <w:rPr>
          <w:noProof/>
        </w:rPr>
        <w:fldChar w:fldCharType="end"/>
      </w:r>
      <w:bookmarkEnd w:id="12"/>
      <w:r w:rsidRPr="000C5EC3">
        <w:rPr>
          <w:noProof/>
        </w:rPr>
        <w:t>.</w:t>
      </w:r>
      <w:r w:rsidRPr="000C5EC3">
        <w:rPr>
          <w:i w:val="0"/>
          <w:noProof/>
        </w:rPr>
        <w:t xml:space="preserve"> Évolution de la résistance au roulement et de l’adhérence sur sol mouillé des pneumatiques C1.</w:t>
      </w:r>
    </w:p>
    <w:p w14:paraId="00148FE0" w14:textId="0362869E" w:rsidR="00971E00" w:rsidRPr="000C5EC3" w:rsidRDefault="00971E00">
      <w:pPr>
        <w:widowControl w:val="0"/>
        <w:spacing w:after="120"/>
        <w:rPr>
          <w:noProof/>
        </w:rPr>
      </w:pPr>
      <w:r w:rsidRPr="000C5EC3">
        <w:rPr>
          <w:noProof/>
        </w:rPr>
        <w:t xml:space="preserve">La </w:t>
      </w:r>
      <w:r w:rsidRPr="000C5EC3">
        <w:rPr>
          <w:noProof/>
        </w:rPr>
        <w:fldChar w:fldCharType="begin"/>
      </w:r>
      <w:r w:rsidRPr="000C5EC3">
        <w:rPr>
          <w:noProof/>
        </w:rPr>
        <w:instrText xml:space="preserve"> REF _Ref212541777 \h  \* MERGEFORMAT </w:instrText>
      </w:r>
      <w:r w:rsidRPr="000C5EC3">
        <w:rPr>
          <w:noProof/>
        </w:rPr>
      </w:r>
      <w:r w:rsidRPr="000C5EC3">
        <w:rPr>
          <w:noProof/>
        </w:rPr>
        <w:fldChar w:fldCharType="separate"/>
      </w:r>
      <w:r w:rsidRPr="000C5EC3">
        <w:rPr>
          <w:noProof/>
        </w:rPr>
        <w:t>Figure 7</w:t>
      </w:r>
      <w:r w:rsidRPr="000C5EC3">
        <w:rPr>
          <w:noProof/>
        </w:rPr>
        <w:fldChar w:fldCharType="end"/>
      </w:r>
      <w:r w:rsidRPr="000C5EC3">
        <w:rPr>
          <w:noProof/>
        </w:rPr>
        <w:t xml:space="preserve"> illustre l’évolution de la résistance au roulement et de l’adhérence sur sol mouillé au cours de la dernière décennie. Les tableaux représentent la proportion relative de modèles de pneumatiques en 2015, 2020 et 2024 pour chaque combinaison de paramètres.</w:t>
      </w:r>
    </w:p>
    <w:p w14:paraId="2FE04783" w14:textId="1895D541" w:rsidR="00971E00" w:rsidRPr="000C5EC3" w:rsidRDefault="00971E00">
      <w:pPr>
        <w:widowControl w:val="0"/>
        <w:spacing w:after="120"/>
        <w:rPr>
          <w:noProof/>
        </w:rPr>
      </w:pPr>
      <w:r w:rsidRPr="000C5EC3">
        <w:rPr>
          <w:noProof/>
        </w:rPr>
        <w:t>Au cours de cette période, les modèles mis sur le marché se sont déplacés vers le coin supérieur gauche, améliorant à la fois la résistance au roulement et l’adhérence sur sol mouillé. Le segment le plus important passe d’une combinaison constituée d’une résistance au roulement notée D et d’une adhérence sur sol mouillé notée C pour 2015 et 2020 à des paramètres notés respectivement C et B en 2024.</w:t>
      </w:r>
    </w:p>
    <w:p w14:paraId="59BBCF83" w14:textId="60C4AB69" w:rsidR="00971E00" w:rsidRPr="000C5EC3" w:rsidRDefault="00971E00" w:rsidP="00AB212E">
      <w:pPr>
        <w:pStyle w:val="Heading1"/>
        <w:rPr>
          <w:noProof/>
        </w:rPr>
      </w:pPr>
      <w:bookmarkStart w:id="13" w:name="_Toc211189601"/>
      <w:bookmarkStart w:id="14" w:name="_Toc213083343"/>
      <w:r w:rsidRPr="000C5EC3">
        <w:rPr>
          <w:noProof/>
        </w:rPr>
        <w:t>Actes délégués</w:t>
      </w:r>
    </w:p>
    <w:p w14:paraId="1514B720" w14:textId="4CC21CDD" w:rsidR="00971E00" w:rsidRPr="000C5EC3" w:rsidRDefault="00971E00" w:rsidP="00CB681C">
      <w:pPr>
        <w:spacing w:after="120"/>
        <w:rPr>
          <w:noProof/>
        </w:rPr>
      </w:pPr>
      <w:r w:rsidRPr="000C5EC3">
        <w:rPr>
          <w:noProof/>
        </w:rPr>
        <w:t>L’article 13 du règlement sur l’étiquetage des pneumatiques habilite la Commission à adopter des actes délégués en vue:</w:t>
      </w:r>
    </w:p>
    <w:p w14:paraId="56C1F4A1" w14:textId="1050F533" w:rsidR="00971E00" w:rsidRPr="000C5EC3" w:rsidRDefault="00971E00" w:rsidP="00CB681C">
      <w:pPr>
        <w:pStyle w:val="ListParagraph"/>
        <w:numPr>
          <w:ilvl w:val="0"/>
          <w:numId w:val="25"/>
        </w:numPr>
        <w:contextualSpacing w:val="0"/>
        <w:rPr>
          <w:noProof/>
        </w:rPr>
      </w:pPr>
      <w:r w:rsidRPr="000C5EC3">
        <w:rPr>
          <w:noProof/>
        </w:rPr>
        <w:t>d’introduire de nouvelles exigences d’information pour les pneumatiques rechapés,</w:t>
      </w:r>
    </w:p>
    <w:p w14:paraId="69D2B28E" w14:textId="73F0C949" w:rsidR="00971E00" w:rsidRPr="000C5EC3" w:rsidRDefault="00971E00" w:rsidP="00CB681C">
      <w:pPr>
        <w:pStyle w:val="ListParagraph"/>
        <w:numPr>
          <w:ilvl w:val="0"/>
          <w:numId w:val="25"/>
        </w:numPr>
        <w:contextualSpacing w:val="0"/>
        <w:rPr>
          <w:noProof/>
        </w:rPr>
      </w:pPr>
      <w:r w:rsidRPr="000C5EC3">
        <w:rPr>
          <w:noProof/>
        </w:rPr>
        <w:t>d’inclure des paramètres ou des exigences d’information pour l’abrasion des pneumatiques et le kilométrage,</w:t>
      </w:r>
    </w:p>
    <w:p w14:paraId="5318EB45" w14:textId="77777777" w:rsidR="00971E00" w:rsidRPr="000C5EC3" w:rsidRDefault="00971E00" w:rsidP="00CB681C">
      <w:pPr>
        <w:pStyle w:val="ListParagraph"/>
        <w:numPr>
          <w:ilvl w:val="0"/>
          <w:numId w:val="25"/>
        </w:numPr>
        <w:spacing w:after="240"/>
        <w:contextualSpacing w:val="0"/>
        <w:rPr>
          <w:noProof/>
        </w:rPr>
      </w:pPr>
      <w:r w:rsidRPr="000C5EC3">
        <w:rPr>
          <w:noProof/>
        </w:rPr>
        <w:t>d’adapter d’autres aspects au progrès technologique.</w:t>
      </w:r>
    </w:p>
    <w:p w14:paraId="7E068F4D" w14:textId="753B68A4" w:rsidR="00971E00" w:rsidRPr="000C5EC3" w:rsidRDefault="00971E00" w:rsidP="00CB681C">
      <w:pPr>
        <w:pStyle w:val="Heading2"/>
        <w:rPr>
          <w:noProof/>
        </w:rPr>
      </w:pPr>
      <w:r w:rsidRPr="000C5EC3">
        <w:rPr>
          <w:noProof/>
        </w:rPr>
        <w:t>Pneumatiques rechapés</w:t>
      </w:r>
    </w:p>
    <w:p w14:paraId="151E830F" w14:textId="629085A8" w:rsidR="00971E00" w:rsidRPr="000C5EC3" w:rsidRDefault="00971E00" w:rsidP="00C50D24">
      <w:pPr>
        <w:rPr>
          <w:noProof/>
        </w:rPr>
      </w:pPr>
      <w:r w:rsidRPr="000C5EC3">
        <w:rPr>
          <w:noProof/>
        </w:rPr>
        <w:t>Les pneumatiques rechapés sont des pneumatiques usagés qui sont remanufacturés avec une nouvelle bande de roulement remplaçant celle usée afin de leur donner une deuxième, voire une troisième vie. Le rechapage entraîne une réduction de près des deux tiers des matériaux et de l’énergie utilisés, ainsi que des émissions de GES qui y sont liées. En 2022, trois organisations du secteur, l’ETRMA, l’ETRTO et BIPAVER, ont présenté à la Commission une proposition </w:t>
      </w:r>
      <w:r w:rsidRPr="000C5EC3">
        <w:rPr>
          <w:noProof/>
          <w:vertAlign w:val="superscript"/>
        </w:rPr>
        <w:t>(</w:t>
      </w:r>
      <w:r w:rsidRPr="000C5EC3">
        <w:rPr>
          <w:rStyle w:val="FootnoteReference"/>
          <w:noProof/>
        </w:rPr>
        <w:footnoteReference w:id="23"/>
      </w:r>
      <w:r w:rsidRPr="000C5EC3">
        <w:rPr>
          <w:noProof/>
          <w:vertAlign w:val="superscript"/>
        </w:rPr>
        <w:t>)</w:t>
      </w:r>
      <w:r w:rsidRPr="000C5EC3">
        <w:rPr>
          <w:noProof/>
        </w:rPr>
        <w:t xml:space="preserve"> pour l'étiquetage des pneumatiques C3 rechapés. La Commission a réalisé une étude technique préliminaire et a commencé à préparer la base analytique d’une proposition. Les parties prenantes ont été consultées et des travaux sont en cours.</w:t>
      </w:r>
    </w:p>
    <w:p w14:paraId="4E968940" w14:textId="77777777" w:rsidR="00971E00" w:rsidRPr="000C5EC3" w:rsidRDefault="00971E00" w:rsidP="00C50D24">
      <w:pPr>
        <w:pStyle w:val="Heading2"/>
        <w:rPr>
          <w:noProof/>
        </w:rPr>
      </w:pPr>
      <w:r w:rsidRPr="000C5EC3">
        <w:rPr>
          <w:noProof/>
        </w:rPr>
        <w:t>Abrasion et kilométrage</w:t>
      </w:r>
    </w:p>
    <w:p w14:paraId="07EC71D2" w14:textId="5EF82240" w:rsidR="008F27A8" w:rsidRPr="000C5EC3" w:rsidRDefault="003C6B0D" w:rsidP="00C50D24">
      <w:pPr>
        <w:rPr>
          <w:noProof/>
        </w:rPr>
      </w:pPr>
      <w:r w:rsidRPr="000C5EC3">
        <w:rPr>
          <w:noProof/>
        </w:rPr>
        <w:t xml:space="preserve">Comme indiqué au chapitre 3, et à la suite de deux enquêtes menées auprès des consommateurs dans plusieurs pays, un indicateur de la durée de vie utile potentielle (ou «kilométrage») des pneumatiques renforcerait l’intérêt des clients pour l’étiquette des pneumatiques: tout comme la résistance au roulement, il s’agit d’un indicateur d’économies, qui pourrait compenser un coût d’achat initial plus élevé des pneumatiques de remplacement. Aucune méthode d’essai appropriée pour mesurer l’abrasion des pneumatiques et le kilométrage n’était disponible jusqu’à récemment, de sorte que la Commission n’a pas pu prendre de mesures pour introduire des exigences en matière d’information (au titre de l’article 13, paragraphe 3). </w:t>
      </w:r>
    </w:p>
    <w:p w14:paraId="3393AE40" w14:textId="5288EE18" w:rsidR="003C2AEA" w:rsidRPr="000C5EC3" w:rsidRDefault="00971E00" w:rsidP="00C50D24">
      <w:pPr>
        <w:rPr>
          <w:noProof/>
        </w:rPr>
      </w:pPr>
      <w:r w:rsidRPr="000C5EC3">
        <w:rPr>
          <w:noProof/>
        </w:rPr>
        <w:t>Des travaux sont en cours au sein de l’équipe spéciale de la CEE-ONU sur l’abrasion des pneumatiques (TF-TA) </w:t>
      </w:r>
      <w:r w:rsidRPr="000C5EC3">
        <w:rPr>
          <w:noProof/>
          <w:vertAlign w:val="superscript"/>
        </w:rPr>
        <w:t>(</w:t>
      </w:r>
      <w:r w:rsidRPr="000C5EC3">
        <w:rPr>
          <w:rStyle w:val="FootnoteReference"/>
          <w:noProof/>
        </w:rPr>
        <w:footnoteReference w:id="24"/>
      </w:r>
      <w:r w:rsidRPr="000C5EC3">
        <w:rPr>
          <w:noProof/>
          <w:vertAlign w:val="superscript"/>
        </w:rPr>
        <w:t>)</w:t>
      </w:r>
      <w:r w:rsidRPr="000C5EC3">
        <w:rPr>
          <w:noProof/>
        </w:rPr>
        <w:t xml:space="preserve"> afin de définir des méthodes d’essai d’abrasion pour les pneumatiques C1, C2 et C3. L’essai d’abrasion C1 de la CEE-ONU </w:t>
      </w:r>
      <w:r w:rsidRPr="000C5EC3">
        <w:rPr>
          <w:noProof/>
          <w:vertAlign w:val="superscript"/>
        </w:rPr>
        <w:t>(</w:t>
      </w:r>
      <w:r w:rsidRPr="000C5EC3">
        <w:rPr>
          <w:rStyle w:val="FootnoteReference"/>
          <w:noProof/>
        </w:rPr>
        <w:footnoteReference w:id="25"/>
      </w:r>
      <w:r w:rsidRPr="000C5EC3">
        <w:rPr>
          <w:noProof/>
          <w:vertAlign w:val="superscript"/>
        </w:rPr>
        <w:t>)</w:t>
      </w:r>
      <w:r w:rsidRPr="000C5EC3">
        <w:rPr>
          <w:noProof/>
        </w:rPr>
        <w:t xml:space="preserve"> comprend deux méthodes: une méthode d’essai en convoi de véhicules sur route, appliquée dans des conditions météorologiques et climatiques limitées, et une méthode sur tambour en laboratoire </w:t>
      </w:r>
      <w:r w:rsidRPr="000C5EC3">
        <w:rPr>
          <w:noProof/>
          <w:vertAlign w:val="superscript"/>
        </w:rPr>
        <w:t>(</w:t>
      </w:r>
      <w:r w:rsidRPr="000C5EC3">
        <w:rPr>
          <w:rStyle w:val="FootnoteReference"/>
          <w:noProof/>
        </w:rPr>
        <w:footnoteReference w:id="26"/>
      </w:r>
      <w:r w:rsidRPr="000C5EC3">
        <w:rPr>
          <w:noProof/>
          <w:vertAlign w:val="superscript"/>
        </w:rPr>
        <w:t>)</w:t>
      </w:r>
      <w:r w:rsidRPr="000C5EC3">
        <w:rPr>
          <w:noProof/>
        </w:rPr>
        <w:t>. La première méthode couvre 8 000 km sur la voie publique ouverte </w:t>
      </w:r>
      <w:r w:rsidRPr="000C5EC3">
        <w:rPr>
          <w:noProof/>
          <w:vertAlign w:val="superscript"/>
        </w:rPr>
        <w:t>(</w:t>
      </w:r>
      <w:r w:rsidRPr="000C5EC3">
        <w:rPr>
          <w:rStyle w:val="FootnoteReference"/>
          <w:noProof/>
        </w:rPr>
        <w:footnoteReference w:id="27"/>
      </w:r>
      <w:r w:rsidRPr="000C5EC3">
        <w:rPr>
          <w:noProof/>
          <w:vertAlign w:val="superscript"/>
        </w:rPr>
        <w:t>)</w:t>
      </w:r>
      <w:r w:rsidRPr="000C5EC3">
        <w:rPr>
          <w:noProof/>
        </w:rPr>
        <w:t>.  Les travaux relatifs aux pneumatiques C2 et C3 sont en cours et des conclusions sont attendues en 2027 pour les pneumatiques C2, puis plus tard pour les pneumatiques C3.</w:t>
      </w:r>
    </w:p>
    <w:p w14:paraId="27874368" w14:textId="606A2896" w:rsidR="00971E00" w:rsidRPr="000C5EC3" w:rsidRDefault="00417449" w:rsidP="00C50D24">
      <w:pPr>
        <w:rPr>
          <w:noProof/>
        </w:rPr>
      </w:pPr>
      <w:r w:rsidRPr="000C5EC3">
        <w:rPr>
          <w:noProof/>
        </w:rPr>
        <w:t>La Commission a encouragé l’équipe TA-TF à mettre au point un indicateur lié à l’usure des pneumatiques afin d’évaluer le potentiel kilométrique </w:t>
      </w:r>
      <w:r w:rsidRPr="000C5EC3">
        <w:rPr>
          <w:noProof/>
          <w:vertAlign w:val="superscript"/>
        </w:rPr>
        <w:t>(</w:t>
      </w:r>
      <w:r w:rsidRPr="000C5EC3">
        <w:rPr>
          <w:rStyle w:val="FootnoteReference"/>
          <w:noProof/>
        </w:rPr>
        <w:footnoteReference w:id="28"/>
      </w:r>
      <w:r w:rsidRPr="000C5EC3">
        <w:rPr>
          <w:noProof/>
          <w:vertAlign w:val="superscript"/>
        </w:rPr>
        <w:t>)</w:t>
      </w:r>
      <w:r w:rsidRPr="000C5EC3">
        <w:rPr>
          <w:noProof/>
        </w:rPr>
        <w:t xml:space="preserve">, étant donné que l’activité s’est concentrée, jusqu’à présent, uniquement sur la fixation d’exigences minimales en matière d’abrasion. Entre-temps, un seuil limite pour les pneumatiques C1 a été fixé dans le règlement Euro 7. </w:t>
      </w:r>
    </w:p>
    <w:p w14:paraId="0EA93E6E" w14:textId="578B173A" w:rsidR="00971E00" w:rsidRPr="000C5EC3" w:rsidRDefault="00971E00">
      <w:pPr>
        <w:pStyle w:val="Caption"/>
        <w:rPr>
          <w:noProof/>
        </w:rPr>
      </w:pPr>
      <w:r w:rsidRPr="000C5EC3">
        <w:rPr>
          <w:noProof/>
        </w:rPr>
        <w:t>Tableau </w:t>
      </w:r>
      <w:r w:rsidR="005A5537">
        <w:rPr>
          <w:noProof/>
        </w:rPr>
        <w:fldChar w:fldCharType="begin"/>
      </w:r>
      <w:r w:rsidR="005A5537">
        <w:rPr>
          <w:noProof/>
        </w:rPr>
        <w:instrText xml:space="preserve"> SEQ Table </w:instrText>
      </w:r>
      <w:r w:rsidR="005A5537">
        <w:rPr>
          <w:noProof/>
        </w:rPr>
        <w:instrText xml:space="preserve">\* ARABIC </w:instrText>
      </w:r>
      <w:r w:rsidR="005A5537">
        <w:rPr>
          <w:noProof/>
        </w:rPr>
        <w:fldChar w:fldCharType="separate"/>
      </w:r>
      <w:r w:rsidRPr="000C5EC3">
        <w:rPr>
          <w:noProof/>
        </w:rPr>
        <w:t>1</w:t>
      </w:r>
      <w:r w:rsidR="005A5537">
        <w:rPr>
          <w:noProof/>
        </w:rPr>
        <w:fldChar w:fldCharType="end"/>
      </w:r>
      <w:r w:rsidRPr="000C5EC3">
        <w:rPr>
          <w:noProof/>
        </w:rPr>
        <w:t>. Calendrier d’application des seuils d’abrasion obligatoires conformément au règlement Euro 7 [règlement (UE) 2024/1257].</w:t>
      </w:r>
    </w:p>
    <w:tbl>
      <w:tblPr>
        <w:tblStyle w:val="TableGrid"/>
        <w:tblW w:w="86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2851"/>
        <w:gridCol w:w="1945"/>
        <w:gridCol w:w="1945"/>
        <w:gridCol w:w="1945"/>
      </w:tblGrid>
      <w:tr w:rsidR="00971E00" w:rsidRPr="000C5EC3" w14:paraId="3BC7E7A6" w14:textId="77777777" w:rsidTr="00E821B0">
        <w:trPr>
          <w:trHeight w:val="20"/>
          <w:jc w:val="center"/>
        </w:trPr>
        <w:tc>
          <w:tcPr>
            <w:tcW w:w="3450" w:type="dxa"/>
            <w:shd w:val="clear" w:color="auto" w:fill="D9D9D9" w:themeFill="background1" w:themeFillShade="D9"/>
            <w:tcMar>
              <w:top w:w="85" w:type="dxa"/>
              <w:left w:w="144" w:type="dxa"/>
              <w:bottom w:w="85" w:type="dxa"/>
              <w:right w:w="144" w:type="dxa"/>
            </w:tcMar>
          </w:tcPr>
          <w:p w14:paraId="0DCCBA03" w14:textId="77777777" w:rsidR="00971E00" w:rsidRPr="000C5EC3" w:rsidRDefault="00971E00" w:rsidP="00C50D24">
            <w:pPr>
              <w:widowControl w:val="0"/>
              <w:spacing w:after="120"/>
              <w:jc w:val="center"/>
              <w:rPr>
                <w:b/>
                <w:bCs/>
                <w:noProof/>
                <w:sz w:val="22"/>
                <w:szCs w:val="22"/>
              </w:rPr>
            </w:pPr>
            <w:r w:rsidRPr="000C5EC3">
              <w:rPr>
                <w:b/>
                <w:noProof/>
                <w:sz w:val="22"/>
              </w:rPr>
              <w:t>Exigences applicables</w:t>
            </w:r>
          </w:p>
        </w:tc>
        <w:tc>
          <w:tcPr>
            <w:tcW w:w="1725" w:type="dxa"/>
            <w:shd w:val="clear" w:color="auto" w:fill="D9D9D9" w:themeFill="background1" w:themeFillShade="D9"/>
            <w:tcMar>
              <w:top w:w="85" w:type="dxa"/>
              <w:left w:w="144" w:type="dxa"/>
              <w:bottom w:w="85" w:type="dxa"/>
              <w:right w:w="144" w:type="dxa"/>
            </w:tcMar>
          </w:tcPr>
          <w:p w14:paraId="0208B379" w14:textId="77777777" w:rsidR="00971E00" w:rsidRPr="000C5EC3" w:rsidRDefault="00971E00" w:rsidP="00C50D24">
            <w:pPr>
              <w:widowControl w:val="0"/>
              <w:spacing w:after="120"/>
              <w:jc w:val="center"/>
              <w:rPr>
                <w:noProof/>
                <w:sz w:val="22"/>
                <w:szCs w:val="22"/>
                <w:highlight w:val="lightGray"/>
              </w:rPr>
            </w:pPr>
            <w:r w:rsidRPr="000C5EC3">
              <w:rPr>
                <w:b/>
                <w:noProof/>
                <w:sz w:val="22"/>
                <w:highlight w:val="lightGray"/>
              </w:rPr>
              <w:t>Pneumatiques C1</w:t>
            </w:r>
          </w:p>
        </w:tc>
        <w:tc>
          <w:tcPr>
            <w:tcW w:w="1755" w:type="dxa"/>
            <w:shd w:val="clear" w:color="auto" w:fill="D9D9D9" w:themeFill="background1" w:themeFillShade="D9"/>
            <w:tcMar>
              <w:top w:w="85" w:type="dxa"/>
              <w:left w:w="144" w:type="dxa"/>
              <w:bottom w:w="85" w:type="dxa"/>
              <w:right w:w="144" w:type="dxa"/>
            </w:tcMar>
          </w:tcPr>
          <w:p w14:paraId="22D9ED25" w14:textId="77777777" w:rsidR="00971E00" w:rsidRPr="000C5EC3" w:rsidRDefault="00971E00" w:rsidP="00C50D24">
            <w:pPr>
              <w:widowControl w:val="0"/>
              <w:spacing w:after="120"/>
              <w:jc w:val="center"/>
              <w:rPr>
                <w:noProof/>
                <w:sz w:val="22"/>
                <w:szCs w:val="22"/>
                <w:highlight w:val="lightGray"/>
              </w:rPr>
            </w:pPr>
            <w:r w:rsidRPr="000C5EC3">
              <w:rPr>
                <w:b/>
                <w:noProof/>
                <w:sz w:val="22"/>
                <w:highlight w:val="lightGray"/>
              </w:rPr>
              <w:t>Pneumatiques C2</w:t>
            </w:r>
          </w:p>
        </w:tc>
        <w:tc>
          <w:tcPr>
            <w:tcW w:w="1756" w:type="dxa"/>
            <w:shd w:val="clear" w:color="auto" w:fill="D9D9D9" w:themeFill="background1" w:themeFillShade="D9"/>
            <w:tcMar>
              <w:top w:w="85" w:type="dxa"/>
              <w:left w:w="144" w:type="dxa"/>
              <w:bottom w:w="85" w:type="dxa"/>
              <w:right w:w="144" w:type="dxa"/>
            </w:tcMar>
          </w:tcPr>
          <w:p w14:paraId="1D6B6329" w14:textId="77777777" w:rsidR="00971E00" w:rsidRPr="000C5EC3" w:rsidRDefault="00971E00" w:rsidP="00C50D24">
            <w:pPr>
              <w:widowControl w:val="0"/>
              <w:spacing w:after="120"/>
              <w:jc w:val="center"/>
              <w:rPr>
                <w:noProof/>
                <w:sz w:val="22"/>
                <w:szCs w:val="22"/>
                <w:highlight w:val="lightGray"/>
              </w:rPr>
            </w:pPr>
            <w:r w:rsidRPr="000C5EC3">
              <w:rPr>
                <w:b/>
                <w:noProof/>
                <w:sz w:val="22"/>
                <w:highlight w:val="lightGray"/>
              </w:rPr>
              <w:t>Pneumatiques C3</w:t>
            </w:r>
          </w:p>
        </w:tc>
      </w:tr>
      <w:tr w:rsidR="00971E00" w:rsidRPr="000C5EC3" w14:paraId="12E8AB68" w14:textId="77777777" w:rsidTr="00E821B0">
        <w:trPr>
          <w:trHeight w:val="20"/>
          <w:jc w:val="center"/>
        </w:trPr>
        <w:tc>
          <w:tcPr>
            <w:tcW w:w="3450" w:type="dxa"/>
            <w:shd w:val="clear" w:color="auto" w:fill="FFFFFF" w:themeFill="background1"/>
            <w:tcMar>
              <w:top w:w="85" w:type="dxa"/>
              <w:left w:w="144" w:type="dxa"/>
              <w:bottom w:w="85" w:type="dxa"/>
              <w:right w:w="144" w:type="dxa"/>
            </w:tcMar>
          </w:tcPr>
          <w:p w14:paraId="7F0E9747" w14:textId="77777777" w:rsidR="00971E00" w:rsidRPr="000C5EC3" w:rsidRDefault="00971E00" w:rsidP="00C50D24">
            <w:pPr>
              <w:widowControl w:val="0"/>
              <w:spacing w:after="120"/>
              <w:jc w:val="right"/>
              <w:rPr>
                <w:noProof/>
                <w:sz w:val="22"/>
                <w:szCs w:val="22"/>
              </w:rPr>
            </w:pPr>
            <w:r w:rsidRPr="000C5EC3">
              <w:rPr>
                <w:noProof/>
                <w:sz w:val="22"/>
              </w:rPr>
              <w:t>Nouveaux modèles de pneumatiques à partir du:</w:t>
            </w:r>
          </w:p>
        </w:tc>
        <w:tc>
          <w:tcPr>
            <w:tcW w:w="1725" w:type="dxa"/>
            <w:shd w:val="clear" w:color="auto" w:fill="FFFFFF" w:themeFill="background1"/>
            <w:tcMar>
              <w:top w:w="85" w:type="dxa"/>
              <w:left w:w="144" w:type="dxa"/>
              <w:bottom w:w="85" w:type="dxa"/>
              <w:right w:w="144" w:type="dxa"/>
            </w:tcMar>
          </w:tcPr>
          <w:p w14:paraId="6DCE8609" w14:textId="3AC73E9E" w:rsidR="00971E00" w:rsidRPr="000C5EC3" w:rsidRDefault="00971E00" w:rsidP="00C50D24">
            <w:pPr>
              <w:widowControl w:val="0"/>
              <w:spacing w:after="120"/>
              <w:rPr>
                <w:noProof/>
                <w:sz w:val="22"/>
                <w:szCs w:val="22"/>
              </w:rPr>
            </w:pPr>
            <w:r w:rsidRPr="000C5EC3">
              <w:rPr>
                <w:noProof/>
                <w:sz w:val="22"/>
              </w:rPr>
              <w:t>1</w:t>
            </w:r>
            <w:r w:rsidRPr="000C5EC3">
              <w:rPr>
                <w:noProof/>
                <w:sz w:val="22"/>
                <w:vertAlign w:val="superscript"/>
              </w:rPr>
              <w:t>er</w:t>
            </w:r>
            <w:r w:rsidRPr="000C5EC3">
              <w:rPr>
                <w:noProof/>
                <w:sz w:val="22"/>
              </w:rPr>
              <w:t> juillet 2028</w:t>
            </w:r>
          </w:p>
        </w:tc>
        <w:tc>
          <w:tcPr>
            <w:tcW w:w="1755" w:type="dxa"/>
            <w:shd w:val="clear" w:color="auto" w:fill="FFFFFF" w:themeFill="background1"/>
            <w:tcMar>
              <w:top w:w="85" w:type="dxa"/>
              <w:left w:w="144" w:type="dxa"/>
              <w:bottom w:w="85" w:type="dxa"/>
              <w:right w:w="144" w:type="dxa"/>
            </w:tcMar>
          </w:tcPr>
          <w:p w14:paraId="26F9023B" w14:textId="08BA0B38" w:rsidR="00971E00" w:rsidRPr="000C5EC3" w:rsidRDefault="00971E00" w:rsidP="00C50D24">
            <w:pPr>
              <w:widowControl w:val="0"/>
              <w:spacing w:after="120"/>
              <w:rPr>
                <w:noProof/>
                <w:sz w:val="22"/>
                <w:szCs w:val="22"/>
              </w:rPr>
            </w:pPr>
            <w:r w:rsidRPr="000C5EC3">
              <w:rPr>
                <w:noProof/>
                <w:sz w:val="22"/>
              </w:rPr>
              <w:t>1</w:t>
            </w:r>
            <w:r w:rsidRPr="000C5EC3">
              <w:rPr>
                <w:noProof/>
                <w:sz w:val="22"/>
                <w:vertAlign w:val="superscript"/>
              </w:rPr>
              <w:t>er</w:t>
            </w:r>
            <w:r w:rsidRPr="000C5EC3">
              <w:rPr>
                <w:noProof/>
                <w:sz w:val="22"/>
              </w:rPr>
              <w:t> avril 2030</w:t>
            </w:r>
          </w:p>
        </w:tc>
        <w:tc>
          <w:tcPr>
            <w:tcW w:w="1756" w:type="dxa"/>
            <w:shd w:val="clear" w:color="auto" w:fill="FFFFFF" w:themeFill="background1"/>
            <w:tcMar>
              <w:top w:w="85" w:type="dxa"/>
              <w:left w:w="144" w:type="dxa"/>
              <w:bottom w:w="85" w:type="dxa"/>
              <w:right w:w="144" w:type="dxa"/>
            </w:tcMar>
          </w:tcPr>
          <w:p w14:paraId="39D747C2" w14:textId="644D1252" w:rsidR="00971E00" w:rsidRPr="000C5EC3" w:rsidRDefault="00971E00" w:rsidP="00C50D24">
            <w:pPr>
              <w:widowControl w:val="0"/>
              <w:spacing w:after="120"/>
              <w:rPr>
                <w:noProof/>
                <w:sz w:val="22"/>
                <w:szCs w:val="22"/>
              </w:rPr>
            </w:pPr>
            <w:r w:rsidRPr="000C5EC3">
              <w:rPr>
                <w:noProof/>
                <w:sz w:val="22"/>
              </w:rPr>
              <w:t>1</w:t>
            </w:r>
            <w:r w:rsidRPr="000C5EC3">
              <w:rPr>
                <w:noProof/>
                <w:sz w:val="22"/>
                <w:vertAlign w:val="superscript"/>
              </w:rPr>
              <w:t>er</w:t>
            </w:r>
            <w:r w:rsidRPr="000C5EC3">
              <w:rPr>
                <w:noProof/>
                <w:sz w:val="22"/>
              </w:rPr>
              <w:t> avril 2032</w:t>
            </w:r>
          </w:p>
        </w:tc>
      </w:tr>
      <w:tr w:rsidR="00971E00" w:rsidRPr="000C5EC3" w14:paraId="7B6A112A" w14:textId="77777777" w:rsidTr="00E821B0">
        <w:trPr>
          <w:trHeight w:val="20"/>
          <w:jc w:val="center"/>
        </w:trPr>
        <w:tc>
          <w:tcPr>
            <w:tcW w:w="3450" w:type="dxa"/>
            <w:shd w:val="clear" w:color="auto" w:fill="FFFFFF" w:themeFill="background1"/>
            <w:tcMar>
              <w:top w:w="85" w:type="dxa"/>
              <w:left w:w="144" w:type="dxa"/>
              <w:bottom w:w="85" w:type="dxa"/>
              <w:right w:w="144" w:type="dxa"/>
            </w:tcMar>
          </w:tcPr>
          <w:p w14:paraId="030464AA" w14:textId="77777777" w:rsidR="00971E00" w:rsidRPr="000C5EC3" w:rsidRDefault="00971E00" w:rsidP="00C50D24">
            <w:pPr>
              <w:widowControl w:val="0"/>
              <w:spacing w:after="120"/>
              <w:jc w:val="right"/>
              <w:rPr>
                <w:noProof/>
                <w:sz w:val="22"/>
                <w:szCs w:val="22"/>
              </w:rPr>
            </w:pPr>
            <w:r w:rsidRPr="000C5EC3">
              <w:rPr>
                <w:noProof/>
                <w:sz w:val="22"/>
              </w:rPr>
              <w:t>Tous les modèles de pneumatiques à partir du:</w:t>
            </w:r>
          </w:p>
        </w:tc>
        <w:tc>
          <w:tcPr>
            <w:tcW w:w="1725" w:type="dxa"/>
            <w:shd w:val="clear" w:color="auto" w:fill="FFFFFF" w:themeFill="background1"/>
            <w:tcMar>
              <w:top w:w="85" w:type="dxa"/>
              <w:left w:w="144" w:type="dxa"/>
              <w:bottom w:w="85" w:type="dxa"/>
              <w:right w:w="144" w:type="dxa"/>
            </w:tcMar>
          </w:tcPr>
          <w:p w14:paraId="5A9683DB" w14:textId="7BC4CFB8" w:rsidR="00971E00" w:rsidRPr="000C5EC3" w:rsidRDefault="00971E00" w:rsidP="00C50D24">
            <w:pPr>
              <w:widowControl w:val="0"/>
              <w:spacing w:after="120"/>
              <w:rPr>
                <w:noProof/>
                <w:sz w:val="22"/>
                <w:szCs w:val="22"/>
              </w:rPr>
            </w:pPr>
            <w:r w:rsidRPr="000C5EC3">
              <w:rPr>
                <w:noProof/>
                <w:sz w:val="22"/>
              </w:rPr>
              <w:t>1</w:t>
            </w:r>
            <w:r w:rsidRPr="000C5EC3">
              <w:rPr>
                <w:noProof/>
                <w:sz w:val="22"/>
                <w:vertAlign w:val="superscript"/>
              </w:rPr>
              <w:t>er</w:t>
            </w:r>
            <w:r w:rsidRPr="000C5EC3">
              <w:rPr>
                <w:noProof/>
                <w:sz w:val="22"/>
              </w:rPr>
              <w:t> juillet 2030</w:t>
            </w:r>
          </w:p>
        </w:tc>
        <w:tc>
          <w:tcPr>
            <w:tcW w:w="1755" w:type="dxa"/>
            <w:shd w:val="clear" w:color="auto" w:fill="FFFFFF" w:themeFill="background1"/>
            <w:tcMar>
              <w:top w:w="85" w:type="dxa"/>
              <w:left w:w="144" w:type="dxa"/>
              <w:bottom w:w="85" w:type="dxa"/>
              <w:right w:w="144" w:type="dxa"/>
            </w:tcMar>
          </w:tcPr>
          <w:p w14:paraId="5B4D47F1" w14:textId="4861B051" w:rsidR="00971E00" w:rsidRPr="000C5EC3" w:rsidRDefault="00971E00" w:rsidP="00C50D24">
            <w:pPr>
              <w:widowControl w:val="0"/>
              <w:spacing w:after="120"/>
              <w:rPr>
                <w:noProof/>
                <w:sz w:val="22"/>
                <w:szCs w:val="22"/>
              </w:rPr>
            </w:pPr>
            <w:r w:rsidRPr="000C5EC3">
              <w:rPr>
                <w:noProof/>
                <w:sz w:val="22"/>
              </w:rPr>
              <w:t>1</w:t>
            </w:r>
            <w:r w:rsidRPr="000C5EC3">
              <w:rPr>
                <w:noProof/>
                <w:sz w:val="22"/>
                <w:vertAlign w:val="superscript"/>
              </w:rPr>
              <w:t>er</w:t>
            </w:r>
            <w:r w:rsidRPr="000C5EC3">
              <w:rPr>
                <w:noProof/>
                <w:sz w:val="22"/>
              </w:rPr>
              <w:t> avril 2032</w:t>
            </w:r>
          </w:p>
        </w:tc>
        <w:tc>
          <w:tcPr>
            <w:tcW w:w="1756" w:type="dxa"/>
            <w:shd w:val="clear" w:color="auto" w:fill="FFFFFF" w:themeFill="background1"/>
            <w:tcMar>
              <w:top w:w="85" w:type="dxa"/>
              <w:left w:w="144" w:type="dxa"/>
              <w:bottom w:w="85" w:type="dxa"/>
              <w:right w:w="144" w:type="dxa"/>
            </w:tcMar>
          </w:tcPr>
          <w:p w14:paraId="3ECDE229" w14:textId="66B5F19C" w:rsidR="00971E00" w:rsidRPr="000C5EC3" w:rsidRDefault="00971E00" w:rsidP="00C50D24">
            <w:pPr>
              <w:widowControl w:val="0"/>
              <w:spacing w:after="120"/>
              <w:rPr>
                <w:noProof/>
                <w:sz w:val="22"/>
                <w:szCs w:val="22"/>
              </w:rPr>
            </w:pPr>
            <w:r w:rsidRPr="000C5EC3">
              <w:rPr>
                <w:noProof/>
                <w:sz w:val="22"/>
              </w:rPr>
              <w:t>1</w:t>
            </w:r>
            <w:r w:rsidRPr="000C5EC3">
              <w:rPr>
                <w:noProof/>
                <w:sz w:val="22"/>
                <w:vertAlign w:val="superscript"/>
              </w:rPr>
              <w:t>er</w:t>
            </w:r>
            <w:r w:rsidRPr="000C5EC3">
              <w:rPr>
                <w:noProof/>
                <w:sz w:val="22"/>
              </w:rPr>
              <w:t> avril 2034</w:t>
            </w:r>
          </w:p>
        </w:tc>
      </w:tr>
      <w:tr w:rsidR="00971E00" w:rsidRPr="000C5EC3" w14:paraId="077AD5B5" w14:textId="77777777" w:rsidTr="00E821B0">
        <w:trPr>
          <w:trHeight w:val="20"/>
          <w:jc w:val="center"/>
        </w:trPr>
        <w:tc>
          <w:tcPr>
            <w:tcW w:w="3450" w:type="dxa"/>
            <w:shd w:val="clear" w:color="auto" w:fill="FFFFFF" w:themeFill="background1"/>
            <w:tcMar>
              <w:top w:w="85" w:type="dxa"/>
              <w:left w:w="144" w:type="dxa"/>
              <w:bottom w:w="85" w:type="dxa"/>
              <w:right w:w="144" w:type="dxa"/>
            </w:tcMar>
          </w:tcPr>
          <w:p w14:paraId="2F216308" w14:textId="77777777" w:rsidR="00971E00" w:rsidRPr="000C5EC3" w:rsidRDefault="00971E00" w:rsidP="00C50D24">
            <w:pPr>
              <w:widowControl w:val="0"/>
              <w:spacing w:after="120"/>
              <w:jc w:val="right"/>
              <w:rPr>
                <w:noProof/>
                <w:sz w:val="22"/>
                <w:szCs w:val="22"/>
              </w:rPr>
            </w:pPr>
            <w:r w:rsidRPr="000C5EC3">
              <w:rPr>
                <w:noProof/>
                <w:sz w:val="22"/>
              </w:rPr>
              <w:t>Modèles non conformes sur le marché jusqu’au:</w:t>
            </w:r>
          </w:p>
        </w:tc>
        <w:tc>
          <w:tcPr>
            <w:tcW w:w="1725" w:type="dxa"/>
            <w:shd w:val="clear" w:color="auto" w:fill="FFFFFF" w:themeFill="background1"/>
            <w:tcMar>
              <w:top w:w="85" w:type="dxa"/>
              <w:left w:w="144" w:type="dxa"/>
              <w:bottom w:w="85" w:type="dxa"/>
              <w:right w:w="144" w:type="dxa"/>
            </w:tcMar>
          </w:tcPr>
          <w:p w14:paraId="2EE0FD9A" w14:textId="6D02D3DF" w:rsidR="00971E00" w:rsidRPr="000C5EC3" w:rsidRDefault="00971E00" w:rsidP="00C50D24">
            <w:pPr>
              <w:widowControl w:val="0"/>
              <w:spacing w:after="120"/>
              <w:rPr>
                <w:noProof/>
                <w:sz w:val="22"/>
                <w:szCs w:val="22"/>
              </w:rPr>
            </w:pPr>
            <w:r w:rsidRPr="000C5EC3">
              <w:rPr>
                <w:noProof/>
                <w:sz w:val="22"/>
              </w:rPr>
              <w:t>30 juin 2032</w:t>
            </w:r>
          </w:p>
        </w:tc>
        <w:tc>
          <w:tcPr>
            <w:tcW w:w="1755" w:type="dxa"/>
            <w:shd w:val="clear" w:color="auto" w:fill="FFFFFF" w:themeFill="background1"/>
            <w:tcMar>
              <w:top w:w="85" w:type="dxa"/>
              <w:left w:w="144" w:type="dxa"/>
              <w:bottom w:w="85" w:type="dxa"/>
              <w:right w:w="144" w:type="dxa"/>
            </w:tcMar>
          </w:tcPr>
          <w:p w14:paraId="086DD2AB" w14:textId="208708ED" w:rsidR="00971E00" w:rsidRPr="000C5EC3" w:rsidRDefault="00971E00" w:rsidP="00C50D24">
            <w:pPr>
              <w:widowControl w:val="0"/>
              <w:spacing w:after="120"/>
              <w:rPr>
                <w:noProof/>
                <w:sz w:val="22"/>
                <w:szCs w:val="22"/>
              </w:rPr>
            </w:pPr>
            <w:r w:rsidRPr="000C5EC3">
              <w:rPr>
                <w:noProof/>
                <w:sz w:val="22"/>
              </w:rPr>
              <w:t>31 mars 2034</w:t>
            </w:r>
          </w:p>
        </w:tc>
        <w:tc>
          <w:tcPr>
            <w:tcW w:w="1756" w:type="dxa"/>
            <w:shd w:val="clear" w:color="auto" w:fill="FFFFFF" w:themeFill="background1"/>
            <w:tcMar>
              <w:top w:w="85" w:type="dxa"/>
              <w:left w:w="144" w:type="dxa"/>
              <w:bottom w:w="85" w:type="dxa"/>
              <w:right w:w="144" w:type="dxa"/>
            </w:tcMar>
          </w:tcPr>
          <w:p w14:paraId="783795CD" w14:textId="776E29C3" w:rsidR="00971E00" w:rsidRPr="000C5EC3" w:rsidRDefault="00971E00" w:rsidP="00C50D24">
            <w:pPr>
              <w:widowControl w:val="0"/>
              <w:spacing w:after="120"/>
              <w:rPr>
                <w:noProof/>
                <w:sz w:val="22"/>
                <w:szCs w:val="22"/>
              </w:rPr>
            </w:pPr>
            <w:r w:rsidRPr="000C5EC3">
              <w:rPr>
                <w:noProof/>
                <w:sz w:val="22"/>
              </w:rPr>
              <w:t>31 mars 2036</w:t>
            </w:r>
          </w:p>
        </w:tc>
      </w:tr>
    </w:tbl>
    <w:p w14:paraId="28F9DD04" w14:textId="2BC410D1" w:rsidR="00971E00" w:rsidRPr="000C5EC3" w:rsidDel="0034735B" w:rsidRDefault="00971E00" w:rsidP="00776E8E">
      <w:pPr>
        <w:rPr>
          <w:noProof/>
        </w:rPr>
      </w:pPr>
    </w:p>
    <w:p w14:paraId="14A0A9CA" w14:textId="2E6E8615" w:rsidR="00971E00" w:rsidRPr="000C5EC3" w:rsidDel="006B075F" w:rsidRDefault="00971E00" w:rsidP="00FD32ED">
      <w:pPr>
        <w:pStyle w:val="Heading2"/>
        <w:rPr>
          <w:noProof/>
        </w:rPr>
      </w:pPr>
      <w:r w:rsidRPr="000C5EC3">
        <w:rPr>
          <w:noProof/>
        </w:rPr>
        <w:t>Autres aspects</w:t>
      </w:r>
    </w:p>
    <w:p w14:paraId="729E5ADC" w14:textId="42F3881C" w:rsidR="00971E00" w:rsidRPr="000C5EC3" w:rsidRDefault="005E1B8F" w:rsidP="008E0ACF">
      <w:pPr>
        <w:rPr>
          <w:noProof/>
        </w:rPr>
      </w:pPr>
      <w:r w:rsidRPr="000C5EC3">
        <w:rPr>
          <w:noProof/>
        </w:rPr>
        <w:t>L’étiquetage des pneumatiques rechapés nécessiterait de modifier plusieurs annexes du règlement sur l’étiquetage des pneumatiques. En outre, le règlement sur l’étiquetage des pneumatiques manque également de clarté ou d’exigences détaillées à certains égards (étiquettes imbriquées, paramètres publics, documentation de conformité). Cette situation est source d’incertitude pour les fournisseurs et les revendeurs de pneumatiques et de véhicules et complique la mise en conformité </w:t>
      </w:r>
      <w:r w:rsidRPr="000C5EC3">
        <w:rPr>
          <w:noProof/>
          <w:vertAlign w:val="superscript"/>
        </w:rPr>
        <w:t>(</w:t>
      </w:r>
      <w:r w:rsidRPr="000C5EC3">
        <w:rPr>
          <w:rStyle w:val="FootnoteReference"/>
          <w:noProof/>
        </w:rPr>
        <w:footnoteReference w:id="29"/>
      </w:r>
      <w:r w:rsidRPr="000C5EC3">
        <w:rPr>
          <w:noProof/>
          <w:vertAlign w:val="superscript"/>
        </w:rPr>
        <w:t>)</w:t>
      </w:r>
      <w:r w:rsidRPr="000C5EC3">
        <w:rPr>
          <w:noProof/>
        </w:rPr>
        <w:t>. L’alignement sur la législation relative aux produits liés à l’énergie étiquetés résoudrait la plupart des problèmes.</w:t>
      </w:r>
    </w:p>
    <w:p w14:paraId="401097C4" w14:textId="77777777" w:rsidR="00971E00" w:rsidRPr="000C5EC3" w:rsidRDefault="00971E00">
      <w:pPr>
        <w:pStyle w:val="Heading1"/>
        <w:rPr>
          <w:noProof/>
        </w:rPr>
      </w:pPr>
      <w:r w:rsidRPr="000C5EC3">
        <w:rPr>
          <w:noProof/>
        </w:rPr>
        <w:t>Surveillance du marché et contrôle de l’application de la législation</w:t>
      </w:r>
      <w:bookmarkEnd w:id="13"/>
      <w:bookmarkEnd w:id="14"/>
    </w:p>
    <w:p w14:paraId="2AEC3443" w14:textId="00474073" w:rsidR="004C3588" w:rsidRPr="000C5EC3" w:rsidRDefault="008A0FF4" w:rsidP="004C3588">
      <w:pPr>
        <w:rPr>
          <w:rFonts w:eastAsia="Yu Mincho"/>
          <w:noProof/>
        </w:rPr>
      </w:pPr>
      <w:r w:rsidRPr="000C5EC3">
        <w:rPr>
          <w:noProof/>
        </w:rPr>
        <w:t>Le règlement (CE) nº 765/2008 </w:t>
      </w:r>
      <w:r w:rsidRPr="000C5EC3">
        <w:rPr>
          <w:noProof/>
          <w:vertAlign w:val="superscript"/>
        </w:rPr>
        <w:t>(</w:t>
      </w:r>
      <w:r w:rsidRPr="000C5EC3">
        <w:rPr>
          <w:rStyle w:val="FootnoteReference"/>
          <w:noProof/>
        </w:rPr>
        <w:footnoteReference w:id="30"/>
      </w:r>
      <w:r w:rsidRPr="000C5EC3">
        <w:rPr>
          <w:noProof/>
          <w:vertAlign w:val="superscript"/>
        </w:rPr>
        <w:t>)</w:t>
      </w:r>
      <w:r w:rsidRPr="000C5EC3">
        <w:rPr>
          <w:noProof/>
        </w:rPr>
        <w:t xml:space="preserve"> définit la procédure de vérification de la conformité par les autorités nationales de surveillance du marché pour l’étiquetage des pneumatiques et pour la surveillance transfrontière du marché. Le règlement (UE) 2019/1020 </w:t>
      </w:r>
      <w:r w:rsidRPr="000C5EC3">
        <w:rPr>
          <w:noProof/>
          <w:vertAlign w:val="superscript"/>
        </w:rPr>
        <w:t>(</w:t>
      </w:r>
      <w:r w:rsidRPr="000C5EC3">
        <w:rPr>
          <w:rStyle w:val="FootnoteReference"/>
          <w:noProof/>
        </w:rPr>
        <w:footnoteReference w:id="31"/>
      </w:r>
      <w:r w:rsidRPr="000C5EC3">
        <w:rPr>
          <w:noProof/>
          <w:vertAlign w:val="superscript"/>
        </w:rPr>
        <w:t>)</w:t>
      </w:r>
      <w:r w:rsidRPr="000C5EC3">
        <w:rPr>
          <w:noProof/>
        </w:rPr>
        <w:t xml:space="preserve"> sur la surveillance du marché et la conformité des produits a modifié le règlement (CE) nº 765/2008, en élargissant son champ d’application et en alignant les définitions et les règles d’accréditation pour les installations d’essai.</w:t>
      </w:r>
    </w:p>
    <w:p w14:paraId="67B18F99" w14:textId="488034CC" w:rsidR="003D1F0D" w:rsidRPr="000C5EC3" w:rsidRDefault="003D1F0D" w:rsidP="00C50D24">
      <w:pPr>
        <w:rPr>
          <w:noProof/>
        </w:rPr>
      </w:pPr>
      <w:r w:rsidRPr="000C5EC3">
        <w:rPr>
          <w:noProof/>
        </w:rPr>
        <w:t>En outre, le règlement sur l’étiquetage des pneumatiques impose certaines obligations aux fournisseurs (fabricants, importateurs et mandataires) et aux revendeurs ou distributeurs, y compris l’obligation de coopérer avec les autorités de surveillance du marché et de prendre des mesures immédiates en cas de non-conformité. Des exigences spécifiques sont fixées pour les fournisseurs de services d’hébergement sur l’internet.</w:t>
      </w:r>
    </w:p>
    <w:p w14:paraId="0786CF15" w14:textId="797658B7" w:rsidR="004C3588" w:rsidRPr="000C5EC3" w:rsidRDefault="004C3588" w:rsidP="004C3588">
      <w:pPr>
        <w:rPr>
          <w:noProof/>
        </w:rPr>
      </w:pPr>
      <w:r w:rsidRPr="000C5EC3">
        <w:rPr>
          <w:noProof/>
        </w:rPr>
        <w:t>Les pneumatiques sont des produits complexes, essentiels à la sécurité. L’évaluation de la qualité et de la conformité des pneumatiques nécessite des compétences et une expertise spécifiques. Pour vérifier les performances, les autorités de surveillance du marché ont besoin d’équipements spécialisés et coûteux ainsi que de terrains ou de pistes d’essai spécifiques.</w:t>
      </w:r>
    </w:p>
    <w:p w14:paraId="75062886" w14:textId="638B7F8D" w:rsidR="00971E00" w:rsidRPr="000C5EC3" w:rsidRDefault="00FF3D99" w:rsidP="00C50D24">
      <w:pPr>
        <w:rPr>
          <w:noProof/>
        </w:rPr>
      </w:pPr>
      <w:r w:rsidRPr="000C5EC3">
        <w:rPr>
          <w:noProof/>
        </w:rPr>
        <w:t>La plupart des tests de performance et de conformité effectués par les autorités de surveillance du marché portent actuellement sur des appareils (réfrigérateurs, lave-linge, ampoules électriques), et très peu de ces autorités disposent d’une expertise et d’une expérience spécifiques dans le domaine des pneumatiques. De nombreux pays ne consacrent que des ressources humaines et financières limitées au contrôle de la conformité, de sorte que la plupart n’effectuent que des contrôles sur des aspects formels. En outre, dans environ la moitié des États membres, les compétences en matière d’étiquetage et d’homologation sont réparties entre différentes autorités, qui ne coordonnent que très peu, voire pas du tout, leurs activités, bien que les équipements et les procédures d’essai utilisés soient les mêmes.</w:t>
      </w:r>
    </w:p>
    <w:p w14:paraId="084DA055" w14:textId="5745A60C" w:rsidR="00971E00" w:rsidRPr="000C5EC3" w:rsidRDefault="00415426" w:rsidP="00C50D24">
      <w:pPr>
        <w:rPr>
          <w:noProof/>
        </w:rPr>
      </w:pPr>
      <w:r w:rsidRPr="000C5EC3">
        <w:rPr>
          <w:noProof/>
        </w:rPr>
        <w:t>Plusieurs États membres qui, eux, procèdent à des contrôles, font état de taux de non-conformité élevés. L’Irlande a communiqué des résultats pour 36 modèles de pneumatiques dans l’ICSMS </w:t>
      </w:r>
      <w:r w:rsidRPr="000C5EC3">
        <w:rPr>
          <w:noProof/>
          <w:vertAlign w:val="superscript"/>
        </w:rPr>
        <w:t>(</w:t>
      </w:r>
      <w:r w:rsidRPr="000C5EC3">
        <w:rPr>
          <w:rStyle w:val="FootnoteReference"/>
          <w:noProof/>
        </w:rPr>
        <w:footnoteReference w:id="32"/>
      </w:r>
      <w:r w:rsidRPr="000C5EC3">
        <w:rPr>
          <w:noProof/>
          <w:vertAlign w:val="superscript"/>
        </w:rPr>
        <w:t>)</w:t>
      </w:r>
      <w:r w:rsidRPr="000C5EC3">
        <w:rPr>
          <w:noProof/>
        </w:rPr>
        <w:t>; elle a constaté que seuls 33 % étaient conformes en 2024 et 51 % en 2025. L’Allemagne a communiqué des résultats pour 60 modèles de pneumatiques testés; elle a constaté que 37 % étaient conformes en 2023 et 58 % en 2024. Les autorités nationales de surveillance du marché procèdent généralement selon une approche fondée sur les risques, ce qui signifie que les taux de non-conformité constatés ne sont pas nécessairement représentatifs des moyennes du marché. Toutefois, les données issues des essais effectués par le JRC font également apparaître des taux de non-conformité très élevés. En ce qui concerne les pneumatiques entrant sur le marché de l’UE, les contrôles douaniers aux frontières extérieures de l’UE restent limités et, par conséquent, le nombre de cas de non-conformité détectés est faible.</w:t>
      </w:r>
    </w:p>
    <w:p w14:paraId="250C95E7" w14:textId="03014A49" w:rsidR="00971E00" w:rsidRPr="000C5EC3" w:rsidRDefault="003C1AF4" w:rsidP="00C50D24">
      <w:pPr>
        <w:rPr>
          <w:noProof/>
        </w:rPr>
      </w:pPr>
      <w:r w:rsidRPr="000C5EC3">
        <w:rPr>
          <w:noProof/>
        </w:rPr>
        <w:t>En vertu du règlement sur l’étiquetage des pneumatiques, les États membres sont tenus d’établir des règles relatives à des sanctions effectives, proportionnées et dissuasives, ainsi que de mettre en place des mécanismes d’exécution applicables aux violations du règlement, et d’informer la Commission de ces règles au plus tard le 1</w:t>
      </w:r>
      <w:r w:rsidRPr="000C5EC3">
        <w:rPr>
          <w:noProof/>
          <w:vertAlign w:val="superscript"/>
        </w:rPr>
        <w:t>er</w:t>
      </w:r>
      <w:r w:rsidRPr="000C5EC3">
        <w:rPr>
          <w:noProof/>
        </w:rPr>
        <w:t> mai 2021. La liste des sanctions notifiées a été publiée sur le portail des produits économes en énergie </w:t>
      </w:r>
      <w:r w:rsidRPr="000C5EC3">
        <w:rPr>
          <w:noProof/>
          <w:vertAlign w:val="superscript"/>
        </w:rPr>
        <w:t>(</w:t>
      </w:r>
      <w:r w:rsidRPr="000C5EC3">
        <w:rPr>
          <w:rStyle w:val="FootnoteReference"/>
          <w:noProof/>
        </w:rPr>
        <w:footnoteReference w:id="33"/>
      </w:r>
      <w:r w:rsidRPr="000C5EC3">
        <w:rPr>
          <w:noProof/>
          <w:vertAlign w:val="superscript"/>
        </w:rPr>
        <w:t>)</w:t>
      </w:r>
      <w:r w:rsidRPr="000C5EC3">
        <w:rPr>
          <w:noProof/>
        </w:rPr>
        <w:t>.</w:t>
      </w:r>
    </w:p>
    <w:p w14:paraId="6EDF7B28" w14:textId="77777777" w:rsidR="00971E00" w:rsidRPr="000C5EC3" w:rsidRDefault="00971E00" w:rsidP="00AB212E">
      <w:pPr>
        <w:pStyle w:val="Heading2"/>
        <w:rPr>
          <w:noProof/>
        </w:rPr>
      </w:pPr>
      <w:r w:rsidRPr="000C5EC3">
        <w:rPr>
          <w:noProof/>
        </w:rPr>
        <w:t>Homologation et étiquetage des pneumatiques</w:t>
      </w:r>
    </w:p>
    <w:p w14:paraId="0E84AF3C" w14:textId="60F98FD1" w:rsidR="00971E00" w:rsidRPr="000C5EC3" w:rsidRDefault="00971E00" w:rsidP="00C50D24">
      <w:pPr>
        <w:rPr>
          <w:noProof/>
        </w:rPr>
      </w:pPr>
      <w:r w:rsidRPr="000C5EC3">
        <w:rPr>
          <w:noProof/>
        </w:rPr>
        <w:t>L’homologation n’est pas effectuée sur chaque modèle de pneumatique, mais uniquement au niveau de la «famille de pneumatiques» et sur la base du scénario le plus défavorable, pour chacun des paramètres réglementés. Par exemple, pour la résistance au roulement, parmi les pneumatiques ayant la même sculpture de bande de roulement, mais des rapports d’aspect différents, celui présentant l’indice de charge le plus faible et le rapport d’aspect le plus élevé est considéré comme le pneu représentatif du scénario le plus défavorable. En d’autres termes, sur 10 ou 20 pneumatiques de la même famille et présentant la même sculpture de bande de roulement, un seul est soumis à des essais de résistance au roulement, un autre pour l’adhérence sur sol mouillé et éventuellement un autre pour le bruit.</w:t>
      </w:r>
    </w:p>
    <w:p w14:paraId="13435476" w14:textId="007430E5" w:rsidR="00971E00" w:rsidRPr="000C5EC3" w:rsidRDefault="00FC49FA" w:rsidP="00C50D24">
      <w:pPr>
        <w:rPr>
          <w:noProof/>
        </w:rPr>
      </w:pPr>
      <w:r w:rsidRPr="000C5EC3">
        <w:rPr>
          <w:noProof/>
        </w:rPr>
        <w:t>En ce qui concerne l’étiquetage des pneumatiques, tous les modèles d’une famille de pneumatiques sont en principe testés selon la même méthode d’essai.</w:t>
      </w:r>
    </w:p>
    <w:p w14:paraId="190BE72B" w14:textId="6AC9DB48" w:rsidR="00971E00" w:rsidRPr="000C5EC3" w:rsidRDefault="00971E00" w:rsidP="00C50D24">
      <w:pPr>
        <w:rPr>
          <w:noProof/>
        </w:rPr>
      </w:pPr>
      <w:r w:rsidRPr="000C5EC3">
        <w:rPr>
          <w:noProof/>
        </w:rPr>
        <w:t>Cela signifie que le contrôle de la conformité et la vérification de la classe revendiquée sur l’étiquette, à moins que la classe indiquée sur l’étiquette ne corresponde au «cas le plus défavorable», nécessitent un essai spécifique sur chaque pneumatique et ne peuvent pas s’appuyer sur les résultats d’essais de l’homologation de l’ensemble de la famille.</w:t>
      </w:r>
    </w:p>
    <w:p w14:paraId="78B02E37" w14:textId="5CEE3D38" w:rsidR="00971E00" w:rsidRPr="000C5EC3" w:rsidRDefault="00971E00" w:rsidP="00AB212E">
      <w:pPr>
        <w:pStyle w:val="Heading2"/>
        <w:rPr>
          <w:noProof/>
        </w:rPr>
      </w:pPr>
      <w:bookmarkStart w:id="15" w:name="_Toc211189603"/>
      <w:bookmarkStart w:id="16" w:name="_Toc213083344"/>
      <w:r w:rsidRPr="000C5EC3">
        <w:rPr>
          <w:noProof/>
        </w:rPr>
        <w:t>Soutien de l’UE aux</w:t>
      </w:r>
      <w:bookmarkEnd w:id="15"/>
      <w:bookmarkEnd w:id="16"/>
      <w:r w:rsidRPr="000C5EC3">
        <w:rPr>
          <w:noProof/>
        </w:rPr>
        <w:t xml:space="preserve"> autorités de surveillance du marché</w:t>
      </w:r>
    </w:p>
    <w:p w14:paraId="19E9ECC4" w14:textId="79A9246E" w:rsidR="00971E00" w:rsidRPr="000C5EC3" w:rsidRDefault="005A5537" w:rsidP="00C50D24">
      <w:pPr>
        <w:rPr>
          <w:noProof/>
        </w:rPr>
      </w:pPr>
      <w:hyperlink r:id="rId29" w:history="1">
        <w:r w:rsidR="00971E00" w:rsidRPr="000C5EC3">
          <w:rPr>
            <w:rStyle w:val="Hyperlink"/>
            <w:noProof/>
          </w:rPr>
          <w:t>EEPLIANT4</w:t>
        </w:r>
      </w:hyperlink>
      <w:r w:rsidR="00971E00" w:rsidRPr="000C5EC3">
        <w:rPr>
          <w:noProof/>
        </w:rPr>
        <w:t xml:space="preserve"> (action pour les produits conformes en matière d’efficacité énergétique) est une action concertée cofinancée par l’UE dans le cadre du </w:t>
      </w:r>
      <w:hyperlink r:id="rId30" w:history="1">
        <w:r w:rsidR="00971E00" w:rsidRPr="000C5EC3">
          <w:rPr>
            <w:rStyle w:val="Hyperlink"/>
            <w:noProof/>
          </w:rPr>
          <w:t>programme LIFE, l’instrument de financement de l’UE pour l’environnement et l’action pour le climat</w:t>
        </w:r>
      </w:hyperlink>
      <w:r w:rsidR="00971E00" w:rsidRPr="000C5EC3">
        <w:rPr>
          <w:noProof/>
        </w:rPr>
        <w:t xml:space="preserve">. </w:t>
      </w:r>
      <w:hyperlink r:id="rId31" w:history="1">
        <w:r w:rsidR="00971E00" w:rsidRPr="000C5EC3">
          <w:rPr>
            <w:rStyle w:val="Hyperlink"/>
            <w:noProof/>
          </w:rPr>
          <w:t>EEPLIANT4</w:t>
        </w:r>
      </w:hyperlink>
      <w:r w:rsidR="00971E00" w:rsidRPr="000C5EC3">
        <w:rPr>
          <w:noProof/>
        </w:rPr>
        <w:t xml:space="preserve"> comprend un module de travail sur les pneumatiques dans le cadre duquel des contrôles de conformité des pneumatiques avec le règlement sur l’étiquetage des pneumatiques seront effectués. Seules quatre autorités de surveillance du marché y participent: Chypre, l’Estonie, les Pays-Bas et le Portugal, coordonnés par PROSAFE </w:t>
      </w:r>
      <w:r w:rsidR="00971E00" w:rsidRPr="000C5EC3">
        <w:rPr>
          <w:noProof/>
          <w:vertAlign w:val="superscript"/>
        </w:rPr>
        <w:t>(</w:t>
      </w:r>
      <w:r w:rsidR="00971E00" w:rsidRPr="000C5EC3">
        <w:rPr>
          <w:rStyle w:val="FootnoteReference"/>
          <w:noProof/>
        </w:rPr>
        <w:footnoteReference w:id="34"/>
      </w:r>
      <w:r w:rsidR="00971E00" w:rsidRPr="000C5EC3">
        <w:rPr>
          <w:noProof/>
          <w:vertAlign w:val="superscript"/>
        </w:rPr>
        <w:t>)</w:t>
      </w:r>
      <w:r w:rsidR="00971E00" w:rsidRPr="000C5EC3">
        <w:rPr>
          <w:noProof/>
        </w:rPr>
        <w:t>.</w:t>
      </w:r>
    </w:p>
    <w:tbl>
      <w:tblPr>
        <w:tblStyle w:val="TableGrid"/>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1555"/>
        <w:gridCol w:w="3720"/>
        <w:gridCol w:w="1800"/>
        <w:gridCol w:w="1851"/>
      </w:tblGrid>
      <w:tr w:rsidR="00971E00" w:rsidRPr="000C5EC3" w14:paraId="0176C18C" w14:textId="77777777" w:rsidTr="009A7315">
        <w:trPr>
          <w:trHeight w:val="20"/>
        </w:trPr>
        <w:tc>
          <w:tcPr>
            <w:tcW w:w="1555" w:type="dxa"/>
            <w:shd w:val="clear" w:color="auto" w:fill="D9D9D9"/>
            <w:tcMar>
              <w:top w:w="85" w:type="dxa"/>
              <w:left w:w="144" w:type="dxa"/>
              <w:bottom w:w="85" w:type="dxa"/>
              <w:right w:w="144" w:type="dxa"/>
            </w:tcMar>
          </w:tcPr>
          <w:p w14:paraId="5CA20599" w14:textId="3FFC97DC" w:rsidR="00971E00" w:rsidRPr="000C5EC3" w:rsidRDefault="00971E00" w:rsidP="00C50D24">
            <w:pPr>
              <w:keepNext/>
              <w:keepLines/>
              <w:widowControl w:val="0"/>
              <w:spacing w:after="120"/>
              <w:rPr>
                <w:b/>
                <w:bCs/>
                <w:noProof/>
                <w:sz w:val="22"/>
                <w:szCs w:val="22"/>
              </w:rPr>
            </w:pPr>
            <w:r w:rsidRPr="000C5EC3">
              <w:rPr>
                <w:b/>
                <w:noProof/>
                <w:sz w:val="22"/>
              </w:rPr>
              <w:t xml:space="preserve">Projet </w:t>
            </w:r>
          </w:p>
        </w:tc>
        <w:tc>
          <w:tcPr>
            <w:tcW w:w="3720" w:type="dxa"/>
            <w:shd w:val="clear" w:color="auto" w:fill="D9D9D9"/>
            <w:tcMar>
              <w:top w:w="85" w:type="dxa"/>
              <w:left w:w="144" w:type="dxa"/>
              <w:bottom w:w="85" w:type="dxa"/>
              <w:right w:w="144" w:type="dxa"/>
            </w:tcMar>
          </w:tcPr>
          <w:p w14:paraId="4EBDB472" w14:textId="77777777" w:rsidR="00971E00" w:rsidRPr="000C5EC3" w:rsidRDefault="00971E00" w:rsidP="00C50D24">
            <w:pPr>
              <w:keepNext/>
              <w:keepLines/>
              <w:widowControl w:val="0"/>
              <w:spacing w:after="120"/>
              <w:jc w:val="center"/>
              <w:rPr>
                <w:noProof/>
                <w:sz w:val="22"/>
                <w:szCs w:val="22"/>
                <w:highlight w:val="lightGray"/>
              </w:rPr>
            </w:pPr>
            <w:r w:rsidRPr="000C5EC3">
              <w:rPr>
                <w:b/>
                <w:noProof/>
                <w:sz w:val="22"/>
                <w:highlight w:val="lightGray"/>
              </w:rPr>
              <w:t>Programme</w:t>
            </w:r>
          </w:p>
        </w:tc>
        <w:tc>
          <w:tcPr>
            <w:tcW w:w="1800" w:type="dxa"/>
            <w:shd w:val="clear" w:color="auto" w:fill="D9D9D9"/>
            <w:tcMar>
              <w:top w:w="85" w:type="dxa"/>
              <w:left w:w="144" w:type="dxa"/>
              <w:bottom w:w="85" w:type="dxa"/>
              <w:right w:w="144" w:type="dxa"/>
            </w:tcMar>
          </w:tcPr>
          <w:p w14:paraId="5EC04889" w14:textId="77777777" w:rsidR="00971E00" w:rsidRPr="000C5EC3" w:rsidRDefault="00971E00" w:rsidP="00C50D24">
            <w:pPr>
              <w:keepNext/>
              <w:keepLines/>
              <w:widowControl w:val="0"/>
              <w:spacing w:after="120"/>
              <w:jc w:val="center"/>
              <w:rPr>
                <w:noProof/>
                <w:sz w:val="22"/>
                <w:szCs w:val="22"/>
                <w:highlight w:val="lightGray"/>
              </w:rPr>
            </w:pPr>
            <w:r w:rsidRPr="000C5EC3">
              <w:rPr>
                <w:b/>
                <w:noProof/>
                <w:sz w:val="22"/>
                <w:highlight w:val="lightGray"/>
              </w:rPr>
              <w:t>Période d’exécution</w:t>
            </w:r>
          </w:p>
        </w:tc>
        <w:tc>
          <w:tcPr>
            <w:tcW w:w="1851" w:type="dxa"/>
            <w:shd w:val="clear" w:color="auto" w:fill="D9D9D9"/>
            <w:tcMar>
              <w:top w:w="85" w:type="dxa"/>
              <w:left w:w="144" w:type="dxa"/>
              <w:bottom w:w="85" w:type="dxa"/>
              <w:right w:w="144" w:type="dxa"/>
            </w:tcMar>
          </w:tcPr>
          <w:p w14:paraId="11ABA8C8" w14:textId="77777777" w:rsidR="00971E00" w:rsidRPr="000C5EC3" w:rsidRDefault="00971E00" w:rsidP="00C50D24">
            <w:pPr>
              <w:keepNext/>
              <w:keepLines/>
              <w:widowControl w:val="0"/>
              <w:spacing w:after="120"/>
              <w:jc w:val="center"/>
              <w:rPr>
                <w:noProof/>
                <w:sz w:val="22"/>
                <w:szCs w:val="22"/>
                <w:highlight w:val="lightGray"/>
              </w:rPr>
            </w:pPr>
            <w:r w:rsidRPr="000C5EC3">
              <w:rPr>
                <w:b/>
                <w:noProof/>
                <w:sz w:val="22"/>
                <w:highlight w:val="lightGray"/>
              </w:rPr>
              <w:t>Contribution de l’Union</w:t>
            </w:r>
          </w:p>
        </w:tc>
      </w:tr>
      <w:tr w:rsidR="00971E00" w:rsidRPr="000C5EC3" w14:paraId="7D3BC214" w14:textId="77777777" w:rsidTr="009A7315">
        <w:trPr>
          <w:trHeight w:val="20"/>
        </w:trPr>
        <w:tc>
          <w:tcPr>
            <w:tcW w:w="1555" w:type="dxa"/>
            <w:shd w:val="clear" w:color="auto" w:fill="FFFFFF"/>
            <w:tcMar>
              <w:top w:w="85" w:type="dxa"/>
              <w:left w:w="144" w:type="dxa"/>
              <w:bottom w:w="85" w:type="dxa"/>
              <w:right w:w="144" w:type="dxa"/>
            </w:tcMar>
          </w:tcPr>
          <w:p w14:paraId="43EBD6E0" w14:textId="77777777" w:rsidR="00971E00" w:rsidRPr="000C5EC3" w:rsidRDefault="00971E00" w:rsidP="00C50D24">
            <w:pPr>
              <w:keepNext/>
              <w:keepLines/>
              <w:widowControl w:val="0"/>
              <w:spacing w:after="120"/>
              <w:rPr>
                <w:noProof/>
                <w:sz w:val="22"/>
                <w:szCs w:val="22"/>
              </w:rPr>
            </w:pPr>
            <w:r w:rsidRPr="000C5EC3">
              <w:rPr>
                <w:noProof/>
                <w:sz w:val="22"/>
              </w:rPr>
              <w:t>MSTyr15</w:t>
            </w:r>
          </w:p>
        </w:tc>
        <w:tc>
          <w:tcPr>
            <w:tcW w:w="3720" w:type="dxa"/>
            <w:shd w:val="clear" w:color="auto" w:fill="FFFFFF"/>
            <w:tcMar>
              <w:top w:w="85" w:type="dxa"/>
              <w:left w:w="144" w:type="dxa"/>
              <w:bottom w:w="85" w:type="dxa"/>
              <w:right w:w="144" w:type="dxa"/>
            </w:tcMar>
          </w:tcPr>
          <w:p w14:paraId="499F2000" w14:textId="77777777" w:rsidR="00971E00" w:rsidRPr="000C5EC3" w:rsidRDefault="00971E00" w:rsidP="00C50D24">
            <w:pPr>
              <w:keepNext/>
              <w:keepLines/>
              <w:widowControl w:val="0"/>
              <w:spacing w:after="120"/>
              <w:rPr>
                <w:noProof/>
                <w:sz w:val="22"/>
                <w:szCs w:val="22"/>
              </w:rPr>
            </w:pPr>
            <w:r w:rsidRPr="000C5EC3">
              <w:rPr>
                <w:noProof/>
                <w:sz w:val="22"/>
              </w:rPr>
              <w:t>Horizon 2020 de la Commission européenne</w:t>
            </w:r>
          </w:p>
        </w:tc>
        <w:tc>
          <w:tcPr>
            <w:tcW w:w="1800" w:type="dxa"/>
            <w:shd w:val="clear" w:color="auto" w:fill="FFFFFF"/>
            <w:tcMar>
              <w:top w:w="85" w:type="dxa"/>
              <w:left w:w="144" w:type="dxa"/>
              <w:bottom w:w="85" w:type="dxa"/>
              <w:right w:w="144" w:type="dxa"/>
            </w:tcMar>
          </w:tcPr>
          <w:p w14:paraId="789B7005" w14:textId="77777777" w:rsidR="00971E00" w:rsidRPr="000C5EC3" w:rsidRDefault="00971E00" w:rsidP="00C50D24">
            <w:pPr>
              <w:keepNext/>
              <w:keepLines/>
              <w:widowControl w:val="0"/>
              <w:spacing w:after="120"/>
              <w:jc w:val="center"/>
              <w:rPr>
                <w:noProof/>
                <w:sz w:val="22"/>
                <w:szCs w:val="22"/>
              </w:rPr>
            </w:pPr>
            <w:r w:rsidRPr="000C5EC3">
              <w:rPr>
                <w:noProof/>
                <w:sz w:val="22"/>
              </w:rPr>
              <w:t>2016-2019</w:t>
            </w:r>
          </w:p>
        </w:tc>
        <w:tc>
          <w:tcPr>
            <w:tcW w:w="1851" w:type="dxa"/>
            <w:shd w:val="clear" w:color="auto" w:fill="FFFFFF"/>
            <w:tcMar>
              <w:top w:w="85" w:type="dxa"/>
              <w:left w:w="144" w:type="dxa"/>
              <w:bottom w:w="85" w:type="dxa"/>
              <w:right w:w="144" w:type="dxa"/>
            </w:tcMar>
          </w:tcPr>
          <w:p w14:paraId="7E256FB7" w14:textId="7095497B" w:rsidR="00971E00" w:rsidRPr="000C5EC3" w:rsidRDefault="00971E00" w:rsidP="00C50D24">
            <w:pPr>
              <w:keepNext/>
              <w:keepLines/>
              <w:widowControl w:val="0"/>
              <w:spacing w:after="120"/>
              <w:jc w:val="center"/>
              <w:rPr>
                <w:noProof/>
                <w:sz w:val="22"/>
                <w:szCs w:val="22"/>
              </w:rPr>
            </w:pPr>
            <w:r w:rsidRPr="000C5EC3">
              <w:rPr>
                <w:noProof/>
                <w:sz w:val="22"/>
              </w:rPr>
              <w:t>1 854 673 EUR</w:t>
            </w:r>
          </w:p>
        </w:tc>
      </w:tr>
      <w:tr w:rsidR="00971E00" w:rsidRPr="000C5EC3" w14:paraId="6B61BC6E" w14:textId="77777777" w:rsidTr="009A7315">
        <w:trPr>
          <w:trHeight w:val="20"/>
        </w:trPr>
        <w:tc>
          <w:tcPr>
            <w:tcW w:w="1555" w:type="dxa"/>
            <w:shd w:val="clear" w:color="auto" w:fill="FFFFFF"/>
            <w:tcMar>
              <w:top w:w="85" w:type="dxa"/>
              <w:left w:w="144" w:type="dxa"/>
              <w:bottom w:w="85" w:type="dxa"/>
              <w:right w:w="144" w:type="dxa"/>
            </w:tcMar>
          </w:tcPr>
          <w:p w14:paraId="78916A2E" w14:textId="77777777" w:rsidR="00971E00" w:rsidRPr="000C5EC3" w:rsidRDefault="00971E00" w:rsidP="00C50D24">
            <w:pPr>
              <w:keepNext/>
              <w:keepLines/>
              <w:widowControl w:val="0"/>
              <w:spacing w:after="120"/>
              <w:rPr>
                <w:noProof/>
                <w:sz w:val="22"/>
                <w:szCs w:val="22"/>
              </w:rPr>
            </w:pPr>
            <w:r w:rsidRPr="000C5EC3">
              <w:rPr>
                <w:noProof/>
                <w:sz w:val="22"/>
              </w:rPr>
              <w:t>EEPLIANT4</w:t>
            </w:r>
          </w:p>
        </w:tc>
        <w:tc>
          <w:tcPr>
            <w:tcW w:w="3720" w:type="dxa"/>
            <w:shd w:val="clear" w:color="auto" w:fill="FFFFFF"/>
            <w:tcMar>
              <w:top w:w="85" w:type="dxa"/>
              <w:left w:w="144" w:type="dxa"/>
              <w:bottom w:w="85" w:type="dxa"/>
              <w:right w:w="144" w:type="dxa"/>
            </w:tcMar>
          </w:tcPr>
          <w:p w14:paraId="7DA35CB8" w14:textId="77777777" w:rsidR="00971E00" w:rsidRPr="000C5EC3" w:rsidRDefault="00971E00" w:rsidP="00C50D24">
            <w:pPr>
              <w:keepNext/>
              <w:keepLines/>
              <w:widowControl w:val="0"/>
              <w:spacing w:after="120"/>
              <w:rPr>
                <w:noProof/>
                <w:sz w:val="22"/>
                <w:szCs w:val="22"/>
              </w:rPr>
            </w:pPr>
            <w:r w:rsidRPr="000C5EC3">
              <w:rPr>
                <w:noProof/>
                <w:sz w:val="22"/>
              </w:rPr>
              <w:t>LIFE</w:t>
            </w:r>
          </w:p>
        </w:tc>
        <w:tc>
          <w:tcPr>
            <w:tcW w:w="1800" w:type="dxa"/>
            <w:shd w:val="clear" w:color="auto" w:fill="FFFFFF"/>
            <w:tcMar>
              <w:top w:w="85" w:type="dxa"/>
              <w:left w:w="144" w:type="dxa"/>
              <w:bottom w:w="85" w:type="dxa"/>
              <w:right w:w="144" w:type="dxa"/>
            </w:tcMar>
          </w:tcPr>
          <w:p w14:paraId="7F290257" w14:textId="77777777" w:rsidR="00971E00" w:rsidRPr="000C5EC3" w:rsidRDefault="00971E00" w:rsidP="00C50D24">
            <w:pPr>
              <w:keepNext/>
              <w:keepLines/>
              <w:widowControl w:val="0"/>
              <w:spacing w:after="120"/>
              <w:jc w:val="center"/>
              <w:rPr>
                <w:noProof/>
                <w:sz w:val="22"/>
                <w:szCs w:val="22"/>
              </w:rPr>
            </w:pPr>
            <w:r w:rsidRPr="000C5EC3">
              <w:rPr>
                <w:noProof/>
                <w:sz w:val="22"/>
              </w:rPr>
              <w:t>2024-2029</w:t>
            </w:r>
          </w:p>
        </w:tc>
        <w:tc>
          <w:tcPr>
            <w:tcW w:w="1851" w:type="dxa"/>
            <w:shd w:val="clear" w:color="auto" w:fill="FFFFFF"/>
            <w:tcMar>
              <w:top w:w="85" w:type="dxa"/>
              <w:left w:w="144" w:type="dxa"/>
              <w:bottom w:w="85" w:type="dxa"/>
              <w:right w:w="144" w:type="dxa"/>
            </w:tcMar>
          </w:tcPr>
          <w:p w14:paraId="634BBB6A" w14:textId="64B790A1" w:rsidR="00971E00" w:rsidRPr="000C5EC3" w:rsidRDefault="00971E00" w:rsidP="00C50D24">
            <w:pPr>
              <w:keepNext/>
              <w:keepLines/>
              <w:widowControl w:val="0"/>
              <w:spacing w:after="120"/>
              <w:jc w:val="center"/>
              <w:rPr>
                <w:noProof/>
                <w:sz w:val="22"/>
                <w:szCs w:val="22"/>
              </w:rPr>
            </w:pPr>
            <w:r w:rsidRPr="000C5EC3">
              <w:rPr>
                <w:noProof/>
                <w:sz w:val="22"/>
              </w:rPr>
              <w:t>7 999 999 EUR</w:t>
            </w:r>
          </w:p>
        </w:tc>
      </w:tr>
    </w:tbl>
    <w:p w14:paraId="1F86A985" w14:textId="13F50EA4" w:rsidR="00971E00" w:rsidRPr="000C5EC3" w:rsidRDefault="00971E00" w:rsidP="00C50D24">
      <w:pPr>
        <w:pStyle w:val="Caption"/>
        <w:keepLines/>
        <w:spacing w:before="120"/>
        <w:rPr>
          <w:noProof/>
        </w:rPr>
      </w:pPr>
      <w:r w:rsidRPr="000C5EC3">
        <w:rPr>
          <w:noProof/>
        </w:rPr>
        <w:t>Tableau 3.</w:t>
      </w:r>
      <w:r w:rsidRPr="000C5EC3">
        <w:rPr>
          <w:i w:val="0"/>
          <w:noProof/>
        </w:rPr>
        <w:t xml:space="preserve"> Soutien de l’UE à la mise en œuvre du règlement sur l’étiquetage des pneumatiques et à la surveillance du marché y afférente</w:t>
      </w:r>
    </w:p>
    <w:p w14:paraId="0C2219FA" w14:textId="3B3F5496" w:rsidR="00971E00" w:rsidRPr="000C5EC3" w:rsidRDefault="00971E00" w:rsidP="00C50D24">
      <w:pPr>
        <w:spacing w:after="120"/>
        <w:rPr>
          <w:noProof/>
        </w:rPr>
      </w:pPr>
      <w:bookmarkStart w:id="17" w:name="_Hlk196476302"/>
      <w:bookmarkStart w:id="18" w:name="_Hlk207178141"/>
      <w:r w:rsidRPr="000C5EC3">
        <w:rPr>
          <w:noProof/>
        </w:rPr>
        <w:t>La Commission soutient également les activités des autorités de surveillance du marché par les moyens suivants:</w:t>
      </w:r>
    </w:p>
    <w:p w14:paraId="134B4A50" w14:textId="28A53539" w:rsidR="00971E00" w:rsidRPr="000C5EC3" w:rsidRDefault="00617FE0" w:rsidP="00C50D24">
      <w:pPr>
        <w:pStyle w:val="ListParagraph"/>
        <w:numPr>
          <w:ilvl w:val="0"/>
          <w:numId w:val="26"/>
        </w:numPr>
        <w:rPr>
          <w:noProof/>
        </w:rPr>
      </w:pPr>
      <w:r w:rsidRPr="000C5EC3">
        <w:rPr>
          <w:noProof/>
        </w:rPr>
        <w:t>des réunions semestrielles et un soutien fourni aux autorités de surveillance du marché par le groupe d’experts de la coopération administrative (AdCo) sur l’étiquetage des pneumatiques – coopération administrative en matière de surveillance du marché;</w:t>
      </w:r>
    </w:p>
    <w:p w14:paraId="4A6EA545" w14:textId="0940D86F" w:rsidR="00971E00" w:rsidRPr="000C5EC3" w:rsidRDefault="00617FE0" w:rsidP="00C50D24">
      <w:pPr>
        <w:pStyle w:val="ListParagraph"/>
        <w:numPr>
          <w:ilvl w:val="0"/>
          <w:numId w:val="26"/>
        </w:numPr>
        <w:rPr>
          <w:noProof/>
        </w:rPr>
      </w:pPr>
      <w:r w:rsidRPr="000C5EC3">
        <w:rPr>
          <w:noProof/>
        </w:rPr>
        <w:t>le réseau européen pour la conformité des produits au titre du règlement sur la surveillance du marché;</w:t>
      </w:r>
    </w:p>
    <w:p w14:paraId="11C7297A" w14:textId="1CBBAD29" w:rsidR="00971E00" w:rsidRPr="000C5EC3" w:rsidRDefault="00617FE0" w:rsidP="00C50D24">
      <w:pPr>
        <w:pStyle w:val="ListParagraph"/>
        <w:numPr>
          <w:ilvl w:val="0"/>
          <w:numId w:val="26"/>
        </w:numPr>
        <w:rPr>
          <w:noProof/>
        </w:rPr>
      </w:pPr>
      <w:r w:rsidRPr="000C5EC3">
        <w:rPr>
          <w:noProof/>
        </w:rPr>
        <w:t>une intégration entre EPREL et l’ICSMS;</w:t>
      </w:r>
    </w:p>
    <w:p w14:paraId="208EE5E5" w14:textId="4F63D2CA" w:rsidR="00971E00" w:rsidRPr="000C5EC3" w:rsidRDefault="00617FE0" w:rsidP="00C50D24">
      <w:pPr>
        <w:pStyle w:val="ListParagraph"/>
        <w:numPr>
          <w:ilvl w:val="0"/>
          <w:numId w:val="26"/>
        </w:numPr>
        <w:spacing w:after="240"/>
        <w:contextualSpacing w:val="0"/>
        <w:rPr>
          <w:noProof/>
        </w:rPr>
      </w:pPr>
      <w:r w:rsidRPr="000C5EC3">
        <w:rPr>
          <w:noProof/>
        </w:rPr>
        <w:t>une «clause de sauvegarde» dans l’ICSMS, qui permet aux autorités de surveillance du marché de partager des informations sur les produits présentant un risque.</w:t>
      </w:r>
    </w:p>
    <w:p w14:paraId="25163AFD" w14:textId="0E9B3FD6" w:rsidR="00971E00" w:rsidRPr="000C5EC3" w:rsidRDefault="00971E00" w:rsidP="00C50D24">
      <w:pPr>
        <w:rPr>
          <w:noProof/>
        </w:rPr>
      </w:pPr>
      <w:r w:rsidRPr="000C5EC3">
        <w:rPr>
          <w:noProof/>
        </w:rPr>
        <w:t xml:space="preserve">L’article 34, paragraphe 4, du règlement sur la surveillance du marché oblige les États membres à faire rapport sur des contrôles approfondis de conformité. À l’automne 2025, la base de données de l’ICSMS recensait 230 contrôles approfondis du règlement sur l’étiquetage des pneumatiques. La </w:t>
      </w:r>
      <w:r w:rsidRPr="000C5EC3">
        <w:rPr>
          <w:noProof/>
        </w:rPr>
        <w:fldChar w:fldCharType="begin"/>
      </w:r>
      <w:r w:rsidRPr="000C5EC3">
        <w:rPr>
          <w:noProof/>
        </w:rPr>
        <w:instrText xml:space="preserve"> REF _Ref213666103 \h  \* MERGEFORMAT </w:instrText>
      </w:r>
      <w:r w:rsidRPr="000C5EC3">
        <w:rPr>
          <w:noProof/>
        </w:rPr>
      </w:r>
      <w:r w:rsidRPr="000C5EC3">
        <w:rPr>
          <w:noProof/>
        </w:rPr>
        <w:fldChar w:fldCharType="separate"/>
      </w:r>
      <w:r w:rsidRPr="000C5EC3">
        <w:rPr>
          <w:noProof/>
        </w:rPr>
        <w:t>Figure 8</w:t>
      </w:r>
      <w:r w:rsidRPr="000C5EC3">
        <w:rPr>
          <w:noProof/>
        </w:rPr>
        <w:fldChar w:fldCharType="end"/>
      </w:r>
      <w:r w:rsidRPr="000C5EC3">
        <w:rPr>
          <w:noProof/>
        </w:rPr>
        <w:t xml:space="preserve"> affiche les résultats par État membre. Les États membres qui ne figurent pas dans le tableau n’ont signalé aucun contrôle dans l’ICSMS.</w:t>
      </w:r>
    </w:p>
    <w:p w14:paraId="60E1C99C" w14:textId="0DCA3913" w:rsidR="00971E00" w:rsidRPr="000C5EC3" w:rsidRDefault="00971E00" w:rsidP="00C50D24">
      <w:pPr>
        <w:rPr>
          <w:noProof/>
        </w:rPr>
      </w:pPr>
      <w:r w:rsidRPr="000C5EC3">
        <w:rPr>
          <w:noProof/>
        </w:rPr>
        <w:t>Parmi les contrôles signalés du règlement sur l’étiquetage des pneumatiques, 5 ont révélé que les pneumatiques présentaient un risque grave et 16 un risque élevé. Les mesures correctives comprennent des avertissements (14), des injonctions de retirer le modèle du marché (2) et des interdictions du modèle (2). Parmi les autres mesures figurent des changements dans EPREL (1) et une modification de l’étiquette (1). Souvent, la mesure corrective n’est pas déclarée.</w:t>
      </w:r>
    </w:p>
    <w:tbl>
      <w:tblPr>
        <w:tblStyle w:val="TableGrid"/>
        <w:tblW w:w="7420" w:type="dxa"/>
        <w:tblCellMar>
          <w:top w:w="15" w:type="dxa"/>
          <w:bottom w:w="15" w:type="dxa"/>
        </w:tblCellMar>
        <w:tblLook w:val="04A0" w:firstRow="1" w:lastRow="0" w:firstColumn="1" w:lastColumn="0" w:noHBand="0" w:noVBand="1"/>
      </w:tblPr>
      <w:tblGrid>
        <w:gridCol w:w="1660"/>
        <w:gridCol w:w="960"/>
        <w:gridCol w:w="960"/>
        <w:gridCol w:w="960"/>
        <w:gridCol w:w="960"/>
        <w:gridCol w:w="960"/>
        <w:gridCol w:w="960"/>
      </w:tblGrid>
      <w:tr w:rsidR="00971E00" w:rsidRPr="000C5EC3" w14:paraId="21764E69" w14:textId="77777777">
        <w:trPr>
          <w:trHeight w:val="340"/>
        </w:trPr>
        <w:tc>
          <w:tcPr>
            <w:tcW w:w="1660" w:type="dxa"/>
            <w:tcBorders>
              <w:top w:val="single" w:sz="4" w:space="0" w:color="auto"/>
              <w:left w:val="single" w:sz="4" w:space="0" w:color="auto"/>
              <w:bottom w:val="single" w:sz="4" w:space="0" w:color="auto"/>
              <w:right w:val="single" w:sz="4" w:space="0" w:color="auto"/>
            </w:tcBorders>
            <w:noWrap/>
            <w:vAlign w:val="bottom"/>
          </w:tcPr>
          <w:p w14:paraId="13A51E57" w14:textId="77777777" w:rsidR="00971E00" w:rsidRPr="000C5EC3" w:rsidRDefault="00971E00" w:rsidP="00C50D24">
            <w:pPr>
              <w:keepNext/>
              <w:keepLines/>
              <w:spacing w:after="120"/>
              <w:rPr>
                <w:noProof/>
                <w:sz w:val="20"/>
              </w:rPr>
            </w:pPr>
          </w:p>
        </w:tc>
        <w:tc>
          <w:tcPr>
            <w:tcW w:w="960" w:type="dxa"/>
            <w:tcBorders>
              <w:top w:val="single" w:sz="4" w:space="0" w:color="auto"/>
              <w:left w:val="nil"/>
              <w:bottom w:val="single" w:sz="4" w:space="0" w:color="auto"/>
              <w:right w:val="nil"/>
            </w:tcBorders>
            <w:noWrap/>
            <w:vAlign w:val="center"/>
          </w:tcPr>
          <w:p w14:paraId="4089A781"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2020</w:t>
            </w:r>
          </w:p>
        </w:tc>
        <w:tc>
          <w:tcPr>
            <w:tcW w:w="960" w:type="dxa"/>
            <w:tcBorders>
              <w:top w:val="single" w:sz="4" w:space="0" w:color="auto"/>
              <w:left w:val="nil"/>
              <w:bottom w:val="single" w:sz="4" w:space="0" w:color="auto"/>
              <w:right w:val="nil"/>
            </w:tcBorders>
            <w:noWrap/>
            <w:vAlign w:val="center"/>
          </w:tcPr>
          <w:p w14:paraId="7BEBC6AB"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2021</w:t>
            </w:r>
          </w:p>
        </w:tc>
        <w:tc>
          <w:tcPr>
            <w:tcW w:w="960" w:type="dxa"/>
            <w:tcBorders>
              <w:top w:val="single" w:sz="4" w:space="0" w:color="auto"/>
              <w:left w:val="nil"/>
              <w:bottom w:val="single" w:sz="4" w:space="0" w:color="auto"/>
              <w:right w:val="nil"/>
            </w:tcBorders>
            <w:noWrap/>
            <w:vAlign w:val="center"/>
          </w:tcPr>
          <w:p w14:paraId="1F3180EA"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2022</w:t>
            </w:r>
          </w:p>
        </w:tc>
        <w:tc>
          <w:tcPr>
            <w:tcW w:w="960" w:type="dxa"/>
            <w:tcBorders>
              <w:top w:val="single" w:sz="4" w:space="0" w:color="auto"/>
              <w:left w:val="nil"/>
              <w:bottom w:val="single" w:sz="4" w:space="0" w:color="auto"/>
              <w:right w:val="nil"/>
            </w:tcBorders>
            <w:noWrap/>
            <w:vAlign w:val="center"/>
          </w:tcPr>
          <w:p w14:paraId="492B4EF9"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2023</w:t>
            </w:r>
          </w:p>
        </w:tc>
        <w:tc>
          <w:tcPr>
            <w:tcW w:w="960" w:type="dxa"/>
            <w:tcBorders>
              <w:top w:val="single" w:sz="4" w:space="0" w:color="auto"/>
              <w:left w:val="nil"/>
              <w:bottom w:val="single" w:sz="4" w:space="0" w:color="auto"/>
              <w:right w:val="nil"/>
            </w:tcBorders>
            <w:noWrap/>
            <w:vAlign w:val="center"/>
          </w:tcPr>
          <w:p w14:paraId="1D81889E"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2024</w:t>
            </w:r>
          </w:p>
        </w:tc>
        <w:tc>
          <w:tcPr>
            <w:tcW w:w="960" w:type="dxa"/>
            <w:tcBorders>
              <w:top w:val="single" w:sz="4" w:space="0" w:color="auto"/>
              <w:left w:val="nil"/>
              <w:bottom w:val="single" w:sz="4" w:space="0" w:color="auto"/>
              <w:right w:val="single" w:sz="4" w:space="0" w:color="auto"/>
            </w:tcBorders>
            <w:noWrap/>
            <w:vAlign w:val="center"/>
          </w:tcPr>
          <w:p w14:paraId="0D62C6EE"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2025</w:t>
            </w:r>
          </w:p>
        </w:tc>
      </w:tr>
      <w:tr w:rsidR="00971E00" w:rsidRPr="000C5EC3" w14:paraId="5551F1C2" w14:textId="77777777">
        <w:trPr>
          <w:trHeight w:val="340"/>
        </w:trPr>
        <w:tc>
          <w:tcPr>
            <w:tcW w:w="1660" w:type="dxa"/>
            <w:tcBorders>
              <w:top w:val="nil"/>
              <w:left w:val="single" w:sz="4" w:space="0" w:color="auto"/>
              <w:bottom w:val="nil"/>
              <w:right w:val="single" w:sz="4" w:space="0" w:color="auto"/>
            </w:tcBorders>
            <w:noWrap/>
            <w:vAlign w:val="center"/>
          </w:tcPr>
          <w:p w14:paraId="52AAE397" w14:textId="77777777" w:rsidR="00971E00" w:rsidRPr="000C5EC3" w:rsidRDefault="00971E00" w:rsidP="00C50D24">
            <w:pPr>
              <w:keepNext/>
              <w:keepLines/>
              <w:spacing w:after="120"/>
              <w:jc w:val="right"/>
              <w:rPr>
                <w:rFonts w:ascii="Aptos Narrow" w:hAnsi="Aptos Narrow"/>
                <w:b/>
                <w:bCs/>
                <w:noProof/>
                <w:color w:val="000000"/>
                <w:sz w:val="22"/>
                <w:szCs w:val="22"/>
              </w:rPr>
            </w:pPr>
            <w:r w:rsidRPr="000C5EC3">
              <w:rPr>
                <w:rFonts w:ascii="Aptos Narrow" w:hAnsi="Aptos Narrow"/>
                <w:b/>
                <w:noProof/>
                <w:color w:val="000000"/>
                <w:sz w:val="22"/>
              </w:rPr>
              <w:t>Espagne</w:t>
            </w:r>
          </w:p>
        </w:tc>
        <w:tc>
          <w:tcPr>
            <w:tcW w:w="960" w:type="dxa"/>
            <w:tcBorders>
              <w:top w:val="nil"/>
              <w:left w:val="nil"/>
              <w:bottom w:val="nil"/>
              <w:right w:val="nil"/>
            </w:tcBorders>
            <w:noWrap/>
            <w:vAlign w:val="center"/>
          </w:tcPr>
          <w:p w14:paraId="00EA02B5" w14:textId="77777777" w:rsidR="00971E00" w:rsidRPr="000C5EC3"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noWrap/>
            <w:vAlign w:val="center"/>
          </w:tcPr>
          <w:p w14:paraId="2C768DFB" w14:textId="77777777" w:rsidR="00971E00" w:rsidRPr="000C5EC3"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5B31A0D0" w14:textId="77777777" w:rsidR="00971E00" w:rsidRPr="000C5EC3" w:rsidRDefault="00971E00" w:rsidP="00C50D24">
            <w:pPr>
              <w:keepNext/>
              <w:keepLines/>
              <w:spacing w:after="120"/>
              <w:jc w:val="center"/>
              <w:rPr>
                <w:noProof/>
                <w:sz w:val="20"/>
              </w:rPr>
            </w:pPr>
          </w:p>
        </w:tc>
        <w:tc>
          <w:tcPr>
            <w:tcW w:w="960" w:type="dxa"/>
            <w:tcBorders>
              <w:top w:val="nil"/>
              <w:left w:val="nil"/>
              <w:bottom w:val="nil"/>
              <w:right w:val="nil"/>
            </w:tcBorders>
            <w:shd w:val="clear" w:color="000000" w:fill="FBB078"/>
            <w:noWrap/>
            <w:vAlign w:val="center"/>
          </w:tcPr>
          <w:p w14:paraId="19F32D9C"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30 %</w:t>
            </w:r>
          </w:p>
        </w:tc>
        <w:tc>
          <w:tcPr>
            <w:tcW w:w="960" w:type="dxa"/>
            <w:tcBorders>
              <w:top w:val="nil"/>
              <w:left w:val="nil"/>
              <w:bottom w:val="nil"/>
              <w:right w:val="nil"/>
            </w:tcBorders>
            <w:shd w:val="clear" w:color="000000" w:fill="9ACE7F"/>
            <w:noWrap/>
            <w:vAlign w:val="center"/>
          </w:tcPr>
          <w:p w14:paraId="212973F8"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84 %</w:t>
            </w:r>
          </w:p>
        </w:tc>
        <w:tc>
          <w:tcPr>
            <w:tcW w:w="960" w:type="dxa"/>
            <w:tcBorders>
              <w:top w:val="nil"/>
              <w:left w:val="nil"/>
              <w:bottom w:val="nil"/>
              <w:right w:val="single" w:sz="4" w:space="0" w:color="auto"/>
            </w:tcBorders>
            <w:shd w:val="clear" w:color="000000" w:fill="D1DE82"/>
            <w:noWrap/>
            <w:vAlign w:val="center"/>
          </w:tcPr>
          <w:p w14:paraId="4E52B0B5"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68 %</w:t>
            </w:r>
          </w:p>
        </w:tc>
      </w:tr>
      <w:tr w:rsidR="00971E00" w:rsidRPr="000C5EC3" w14:paraId="22721121" w14:textId="77777777">
        <w:trPr>
          <w:trHeight w:val="340"/>
        </w:trPr>
        <w:tc>
          <w:tcPr>
            <w:tcW w:w="1660" w:type="dxa"/>
            <w:tcBorders>
              <w:top w:val="nil"/>
              <w:left w:val="single" w:sz="4" w:space="0" w:color="auto"/>
              <w:bottom w:val="nil"/>
              <w:right w:val="single" w:sz="4" w:space="0" w:color="auto"/>
            </w:tcBorders>
            <w:noWrap/>
            <w:vAlign w:val="center"/>
          </w:tcPr>
          <w:p w14:paraId="43B48FCB" w14:textId="77777777" w:rsidR="00971E00" w:rsidRPr="000C5EC3" w:rsidRDefault="00971E00" w:rsidP="00C50D24">
            <w:pPr>
              <w:keepNext/>
              <w:keepLines/>
              <w:spacing w:after="120"/>
              <w:jc w:val="right"/>
              <w:rPr>
                <w:rFonts w:ascii="Aptos Narrow" w:hAnsi="Aptos Narrow"/>
                <w:b/>
                <w:bCs/>
                <w:noProof/>
                <w:color w:val="000000"/>
                <w:sz w:val="22"/>
                <w:szCs w:val="22"/>
              </w:rPr>
            </w:pPr>
            <w:r w:rsidRPr="000C5EC3">
              <w:rPr>
                <w:rFonts w:ascii="Aptos Narrow" w:hAnsi="Aptos Narrow"/>
                <w:b/>
                <w:noProof/>
                <w:color w:val="000000"/>
                <w:sz w:val="22"/>
              </w:rPr>
              <w:t>Allemagne</w:t>
            </w:r>
          </w:p>
        </w:tc>
        <w:tc>
          <w:tcPr>
            <w:tcW w:w="960" w:type="dxa"/>
            <w:tcBorders>
              <w:top w:val="nil"/>
              <w:left w:val="nil"/>
              <w:bottom w:val="nil"/>
              <w:right w:val="nil"/>
            </w:tcBorders>
            <w:noWrap/>
            <w:vAlign w:val="center"/>
          </w:tcPr>
          <w:p w14:paraId="00FD434E" w14:textId="77777777" w:rsidR="00971E00" w:rsidRPr="000C5EC3"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shd w:val="clear" w:color="000000" w:fill="86C87D"/>
            <w:noWrap/>
            <w:vAlign w:val="center"/>
          </w:tcPr>
          <w:p w14:paraId="0F0BB1AC"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90 %</w:t>
            </w:r>
          </w:p>
        </w:tc>
        <w:tc>
          <w:tcPr>
            <w:tcW w:w="960" w:type="dxa"/>
            <w:tcBorders>
              <w:top w:val="nil"/>
              <w:left w:val="nil"/>
              <w:bottom w:val="nil"/>
              <w:right w:val="nil"/>
            </w:tcBorders>
            <w:shd w:val="clear" w:color="000000" w:fill="7BC57D"/>
            <w:noWrap/>
            <w:vAlign w:val="center"/>
          </w:tcPr>
          <w:p w14:paraId="4EABDF03"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93 %</w:t>
            </w:r>
          </w:p>
        </w:tc>
        <w:tc>
          <w:tcPr>
            <w:tcW w:w="960" w:type="dxa"/>
            <w:tcBorders>
              <w:top w:val="nil"/>
              <w:left w:val="nil"/>
              <w:bottom w:val="nil"/>
              <w:right w:val="nil"/>
            </w:tcBorders>
            <w:shd w:val="clear" w:color="000000" w:fill="FCC17B"/>
            <w:noWrap/>
            <w:vAlign w:val="center"/>
          </w:tcPr>
          <w:p w14:paraId="32975F07"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37 %</w:t>
            </w:r>
          </w:p>
        </w:tc>
        <w:tc>
          <w:tcPr>
            <w:tcW w:w="960" w:type="dxa"/>
            <w:tcBorders>
              <w:top w:val="nil"/>
              <w:left w:val="nil"/>
              <w:bottom w:val="nil"/>
              <w:right w:val="nil"/>
            </w:tcBorders>
            <w:shd w:val="clear" w:color="000000" w:fill="F3E884"/>
            <w:noWrap/>
            <w:vAlign w:val="center"/>
          </w:tcPr>
          <w:p w14:paraId="7425651C"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58 %</w:t>
            </w:r>
          </w:p>
        </w:tc>
        <w:tc>
          <w:tcPr>
            <w:tcW w:w="960" w:type="dxa"/>
            <w:tcBorders>
              <w:top w:val="nil"/>
              <w:left w:val="nil"/>
              <w:bottom w:val="nil"/>
              <w:right w:val="single" w:sz="4" w:space="0" w:color="auto"/>
            </w:tcBorders>
            <w:noWrap/>
            <w:vAlign w:val="center"/>
          </w:tcPr>
          <w:p w14:paraId="59A4CDA5" w14:textId="77777777" w:rsidR="00971E00" w:rsidRPr="000C5EC3" w:rsidRDefault="00971E00" w:rsidP="00C50D24">
            <w:pPr>
              <w:keepNext/>
              <w:keepLines/>
              <w:spacing w:after="120"/>
              <w:jc w:val="center"/>
              <w:rPr>
                <w:rFonts w:ascii="Aptos Narrow" w:hAnsi="Aptos Narrow"/>
                <w:b/>
                <w:bCs/>
                <w:noProof/>
                <w:color w:val="000000"/>
                <w:sz w:val="22"/>
                <w:szCs w:val="22"/>
              </w:rPr>
            </w:pPr>
          </w:p>
        </w:tc>
      </w:tr>
      <w:tr w:rsidR="00971E00" w:rsidRPr="000C5EC3" w14:paraId="75A5CCBA" w14:textId="77777777">
        <w:trPr>
          <w:trHeight w:val="340"/>
        </w:trPr>
        <w:tc>
          <w:tcPr>
            <w:tcW w:w="1660" w:type="dxa"/>
            <w:tcBorders>
              <w:top w:val="nil"/>
              <w:left w:val="single" w:sz="4" w:space="0" w:color="auto"/>
              <w:bottom w:val="nil"/>
              <w:right w:val="single" w:sz="4" w:space="0" w:color="auto"/>
            </w:tcBorders>
            <w:noWrap/>
            <w:vAlign w:val="center"/>
          </w:tcPr>
          <w:p w14:paraId="0D07DED5" w14:textId="77777777" w:rsidR="00971E00" w:rsidRPr="000C5EC3" w:rsidRDefault="00971E00" w:rsidP="00C50D24">
            <w:pPr>
              <w:keepNext/>
              <w:keepLines/>
              <w:spacing w:after="120"/>
              <w:jc w:val="right"/>
              <w:rPr>
                <w:rFonts w:ascii="Aptos Narrow" w:hAnsi="Aptos Narrow"/>
                <w:b/>
                <w:bCs/>
                <w:noProof/>
                <w:color w:val="000000"/>
                <w:sz w:val="22"/>
                <w:szCs w:val="22"/>
              </w:rPr>
            </w:pPr>
            <w:r w:rsidRPr="000C5EC3">
              <w:rPr>
                <w:rFonts w:ascii="Aptos Narrow" w:hAnsi="Aptos Narrow"/>
                <w:b/>
                <w:noProof/>
                <w:color w:val="000000"/>
                <w:sz w:val="22"/>
              </w:rPr>
              <w:t>Irlande</w:t>
            </w:r>
          </w:p>
        </w:tc>
        <w:tc>
          <w:tcPr>
            <w:tcW w:w="960" w:type="dxa"/>
            <w:tcBorders>
              <w:top w:val="nil"/>
              <w:left w:val="nil"/>
              <w:bottom w:val="nil"/>
              <w:right w:val="nil"/>
            </w:tcBorders>
            <w:noWrap/>
            <w:vAlign w:val="center"/>
          </w:tcPr>
          <w:p w14:paraId="01FC3B91" w14:textId="77777777" w:rsidR="00971E00" w:rsidRPr="000C5EC3"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noWrap/>
            <w:vAlign w:val="center"/>
          </w:tcPr>
          <w:p w14:paraId="4485E744" w14:textId="77777777" w:rsidR="00971E00" w:rsidRPr="000C5EC3"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60060162" w14:textId="77777777" w:rsidR="00971E00" w:rsidRPr="000C5EC3"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616FE9BC" w14:textId="77777777" w:rsidR="00971E00" w:rsidRPr="000C5EC3" w:rsidRDefault="00971E00" w:rsidP="00C50D24">
            <w:pPr>
              <w:keepNext/>
              <w:keepLines/>
              <w:spacing w:after="120"/>
              <w:jc w:val="center"/>
              <w:rPr>
                <w:noProof/>
                <w:sz w:val="20"/>
              </w:rPr>
            </w:pPr>
          </w:p>
        </w:tc>
        <w:tc>
          <w:tcPr>
            <w:tcW w:w="960" w:type="dxa"/>
            <w:tcBorders>
              <w:top w:val="nil"/>
              <w:left w:val="nil"/>
              <w:bottom w:val="nil"/>
              <w:right w:val="nil"/>
            </w:tcBorders>
            <w:shd w:val="clear" w:color="000000" w:fill="FCB77A"/>
            <w:noWrap/>
            <w:vAlign w:val="center"/>
          </w:tcPr>
          <w:p w14:paraId="1D66C909"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33 %</w:t>
            </w:r>
          </w:p>
        </w:tc>
        <w:tc>
          <w:tcPr>
            <w:tcW w:w="960" w:type="dxa"/>
            <w:tcBorders>
              <w:top w:val="nil"/>
              <w:left w:val="nil"/>
              <w:bottom w:val="nil"/>
              <w:right w:val="single" w:sz="4" w:space="0" w:color="auto"/>
            </w:tcBorders>
            <w:shd w:val="clear" w:color="000000" w:fill="FEE282"/>
            <w:noWrap/>
            <w:vAlign w:val="center"/>
          </w:tcPr>
          <w:p w14:paraId="0B3B1BCA"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51 %</w:t>
            </w:r>
          </w:p>
        </w:tc>
      </w:tr>
      <w:tr w:rsidR="00971E00" w:rsidRPr="000C5EC3" w14:paraId="029771EA" w14:textId="77777777">
        <w:trPr>
          <w:trHeight w:val="340"/>
        </w:trPr>
        <w:tc>
          <w:tcPr>
            <w:tcW w:w="1660" w:type="dxa"/>
            <w:tcBorders>
              <w:top w:val="nil"/>
              <w:left w:val="single" w:sz="4" w:space="0" w:color="auto"/>
              <w:bottom w:val="nil"/>
              <w:right w:val="single" w:sz="4" w:space="0" w:color="auto"/>
            </w:tcBorders>
            <w:noWrap/>
            <w:vAlign w:val="center"/>
          </w:tcPr>
          <w:p w14:paraId="74ABEC2F" w14:textId="77777777" w:rsidR="00971E00" w:rsidRPr="000C5EC3" w:rsidRDefault="00971E00" w:rsidP="00C50D24">
            <w:pPr>
              <w:keepNext/>
              <w:keepLines/>
              <w:spacing w:after="120"/>
              <w:jc w:val="right"/>
              <w:rPr>
                <w:rFonts w:ascii="Aptos Narrow" w:hAnsi="Aptos Narrow"/>
                <w:b/>
                <w:bCs/>
                <w:noProof/>
                <w:color w:val="000000"/>
                <w:sz w:val="22"/>
                <w:szCs w:val="22"/>
              </w:rPr>
            </w:pPr>
            <w:r w:rsidRPr="000C5EC3">
              <w:rPr>
                <w:rFonts w:ascii="Aptos Narrow" w:hAnsi="Aptos Narrow"/>
                <w:b/>
                <w:noProof/>
                <w:color w:val="000000"/>
                <w:sz w:val="22"/>
              </w:rPr>
              <w:t>Luxembourg</w:t>
            </w:r>
          </w:p>
        </w:tc>
        <w:tc>
          <w:tcPr>
            <w:tcW w:w="960" w:type="dxa"/>
            <w:tcBorders>
              <w:top w:val="nil"/>
              <w:left w:val="nil"/>
              <w:bottom w:val="nil"/>
              <w:right w:val="nil"/>
            </w:tcBorders>
            <w:noWrap/>
            <w:vAlign w:val="center"/>
          </w:tcPr>
          <w:p w14:paraId="0290C795" w14:textId="77777777" w:rsidR="00971E00" w:rsidRPr="000C5EC3"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noWrap/>
            <w:vAlign w:val="center"/>
          </w:tcPr>
          <w:p w14:paraId="07454007" w14:textId="77777777" w:rsidR="00971E00" w:rsidRPr="000C5EC3"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06B5F60F" w14:textId="77777777" w:rsidR="00971E00" w:rsidRPr="000C5EC3"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0DAD59B0" w14:textId="77777777" w:rsidR="00971E00" w:rsidRPr="000C5EC3" w:rsidRDefault="00971E00" w:rsidP="00C50D24">
            <w:pPr>
              <w:keepNext/>
              <w:keepLines/>
              <w:spacing w:after="120"/>
              <w:jc w:val="center"/>
              <w:rPr>
                <w:noProof/>
                <w:sz w:val="20"/>
              </w:rPr>
            </w:pPr>
          </w:p>
        </w:tc>
        <w:tc>
          <w:tcPr>
            <w:tcW w:w="960" w:type="dxa"/>
            <w:tcBorders>
              <w:top w:val="nil"/>
              <w:left w:val="nil"/>
              <w:bottom w:val="nil"/>
              <w:right w:val="nil"/>
            </w:tcBorders>
            <w:shd w:val="clear" w:color="000000" w:fill="63BE7B"/>
            <w:noWrap/>
            <w:vAlign w:val="center"/>
          </w:tcPr>
          <w:p w14:paraId="4E565AA7"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100 %</w:t>
            </w:r>
          </w:p>
        </w:tc>
        <w:tc>
          <w:tcPr>
            <w:tcW w:w="960" w:type="dxa"/>
            <w:tcBorders>
              <w:top w:val="nil"/>
              <w:left w:val="nil"/>
              <w:bottom w:val="nil"/>
              <w:right w:val="single" w:sz="4" w:space="0" w:color="auto"/>
            </w:tcBorders>
            <w:noWrap/>
            <w:vAlign w:val="center"/>
          </w:tcPr>
          <w:p w14:paraId="61E0A7EF" w14:textId="77777777" w:rsidR="00971E00" w:rsidRPr="000C5EC3" w:rsidRDefault="00971E00" w:rsidP="00C50D24">
            <w:pPr>
              <w:keepNext/>
              <w:keepLines/>
              <w:spacing w:after="120"/>
              <w:jc w:val="center"/>
              <w:rPr>
                <w:rFonts w:ascii="Aptos Narrow" w:hAnsi="Aptos Narrow"/>
                <w:b/>
                <w:bCs/>
                <w:noProof/>
                <w:color w:val="000000"/>
                <w:sz w:val="22"/>
                <w:szCs w:val="22"/>
              </w:rPr>
            </w:pPr>
          </w:p>
        </w:tc>
      </w:tr>
      <w:tr w:rsidR="00971E00" w:rsidRPr="000C5EC3" w14:paraId="0580A146" w14:textId="77777777">
        <w:trPr>
          <w:trHeight w:val="340"/>
        </w:trPr>
        <w:tc>
          <w:tcPr>
            <w:tcW w:w="1660" w:type="dxa"/>
            <w:tcBorders>
              <w:top w:val="nil"/>
              <w:left w:val="single" w:sz="4" w:space="0" w:color="auto"/>
              <w:bottom w:val="nil"/>
              <w:right w:val="single" w:sz="4" w:space="0" w:color="auto"/>
            </w:tcBorders>
            <w:noWrap/>
            <w:vAlign w:val="center"/>
          </w:tcPr>
          <w:p w14:paraId="06F9DBAD" w14:textId="77777777" w:rsidR="00971E00" w:rsidRPr="000C5EC3" w:rsidRDefault="00971E00" w:rsidP="00C50D24">
            <w:pPr>
              <w:keepNext/>
              <w:keepLines/>
              <w:spacing w:after="120"/>
              <w:jc w:val="right"/>
              <w:rPr>
                <w:rFonts w:ascii="Aptos Narrow" w:hAnsi="Aptos Narrow"/>
                <w:b/>
                <w:bCs/>
                <w:noProof/>
                <w:color w:val="000000"/>
                <w:sz w:val="22"/>
                <w:szCs w:val="22"/>
              </w:rPr>
            </w:pPr>
            <w:r w:rsidRPr="000C5EC3">
              <w:rPr>
                <w:rFonts w:ascii="Aptos Narrow" w:hAnsi="Aptos Narrow"/>
                <w:b/>
                <w:noProof/>
                <w:color w:val="000000"/>
                <w:sz w:val="22"/>
              </w:rPr>
              <w:t>Croatie</w:t>
            </w:r>
          </w:p>
        </w:tc>
        <w:tc>
          <w:tcPr>
            <w:tcW w:w="960" w:type="dxa"/>
            <w:tcBorders>
              <w:top w:val="nil"/>
              <w:left w:val="nil"/>
              <w:bottom w:val="nil"/>
              <w:right w:val="nil"/>
            </w:tcBorders>
            <w:noWrap/>
            <w:vAlign w:val="center"/>
          </w:tcPr>
          <w:p w14:paraId="3A6D4222" w14:textId="77777777" w:rsidR="00971E00" w:rsidRPr="000C5EC3"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noWrap/>
            <w:vAlign w:val="center"/>
          </w:tcPr>
          <w:p w14:paraId="0C8EEB5C" w14:textId="77777777" w:rsidR="00971E00" w:rsidRPr="000C5EC3"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61E7EAE2" w14:textId="77777777" w:rsidR="00971E00" w:rsidRPr="000C5EC3"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192ABE5D" w14:textId="77777777" w:rsidR="00971E00" w:rsidRPr="000C5EC3" w:rsidRDefault="00971E00" w:rsidP="00C50D24">
            <w:pPr>
              <w:keepNext/>
              <w:keepLines/>
              <w:spacing w:after="120"/>
              <w:jc w:val="center"/>
              <w:rPr>
                <w:noProof/>
                <w:sz w:val="20"/>
              </w:rPr>
            </w:pPr>
          </w:p>
        </w:tc>
        <w:tc>
          <w:tcPr>
            <w:tcW w:w="960" w:type="dxa"/>
            <w:tcBorders>
              <w:top w:val="nil"/>
              <w:left w:val="nil"/>
              <w:bottom w:val="nil"/>
              <w:right w:val="nil"/>
            </w:tcBorders>
            <w:shd w:val="clear" w:color="000000" w:fill="63BE7B"/>
            <w:noWrap/>
            <w:vAlign w:val="center"/>
          </w:tcPr>
          <w:p w14:paraId="17D5BC98"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100 %</w:t>
            </w:r>
          </w:p>
        </w:tc>
        <w:tc>
          <w:tcPr>
            <w:tcW w:w="960" w:type="dxa"/>
            <w:tcBorders>
              <w:top w:val="nil"/>
              <w:left w:val="nil"/>
              <w:bottom w:val="nil"/>
              <w:right w:val="single" w:sz="4" w:space="0" w:color="auto"/>
            </w:tcBorders>
            <w:noWrap/>
            <w:vAlign w:val="center"/>
          </w:tcPr>
          <w:p w14:paraId="7DB0DFA4" w14:textId="77777777" w:rsidR="00971E00" w:rsidRPr="000C5EC3" w:rsidRDefault="00971E00" w:rsidP="00C50D24">
            <w:pPr>
              <w:keepNext/>
              <w:keepLines/>
              <w:spacing w:after="120"/>
              <w:jc w:val="center"/>
              <w:rPr>
                <w:rFonts w:ascii="Aptos Narrow" w:hAnsi="Aptos Narrow"/>
                <w:b/>
                <w:bCs/>
                <w:noProof/>
                <w:color w:val="000000"/>
                <w:sz w:val="22"/>
                <w:szCs w:val="22"/>
              </w:rPr>
            </w:pPr>
          </w:p>
        </w:tc>
      </w:tr>
      <w:tr w:rsidR="00971E00" w:rsidRPr="000C5EC3" w14:paraId="12CE1ADE" w14:textId="77777777">
        <w:trPr>
          <w:trHeight w:val="340"/>
        </w:trPr>
        <w:tc>
          <w:tcPr>
            <w:tcW w:w="1660" w:type="dxa"/>
            <w:tcBorders>
              <w:top w:val="nil"/>
              <w:left w:val="single" w:sz="4" w:space="0" w:color="auto"/>
              <w:bottom w:val="nil"/>
              <w:right w:val="single" w:sz="4" w:space="0" w:color="auto"/>
            </w:tcBorders>
            <w:noWrap/>
            <w:vAlign w:val="center"/>
          </w:tcPr>
          <w:p w14:paraId="32B7B64C" w14:textId="77777777" w:rsidR="00971E00" w:rsidRPr="000C5EC3" w:rsidRDefault="00971E00" w:rsidP="00C50D24">
            <w:pPr>
              <w:keepNext/>
              <w:keepLines/>
              <w:spacing w:after="120"/>
              <w:jc w:val="right"/>
              <w:rPr>
                <w:rFonts w:ascii="Aptos Narrow" w:hAnsi="Aptos Narrow"/>
                <w:b/>
                <w:bCs/>
                <w:noProof/>
                <w:color w:val="000000"/>
                <w:sz w:val="22"/>
                <w:szCs w:val="22"/>
              </w:rPr>
            </w:pPr>
            <w:r w:rsidRPr="000C5EC3">
              <w:rPr>
                <w:rFonts w:ascii="Aptos Narrow" w:hAnsi="Aptos Narrow"/>
                <w:b/>
                <w:noProof/>
                <w:color w:val="000000"/>
                <w:sz w:val="22"/>
              </w:rPr>
              <w:t>Union européenne</w:t>
            </w:r>
          </w:p>
        </w:tc>
        <w:tc>
          <w:tcPr>
            <w:tcW w:w="960" w:type="dxa"/>
            <w:tcBorders>
              <w:top w:val="nil"/>
              <w:left w:val="nil"/>
              <w:bottom w:val="nil"/>
              <w:right w:val="nil"/>
            </w:tcBorders>
            <w:noWrap/>
            <w:vAlign w:val="center"/>
          </w:tcPr>
          <w:p w14:paraId="4CD96078" w14:textId="77777777" w:rsidR="00971E00" w:rsidRPr="000C5EC3"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noWrap/>
            <w:vAlign w:val="center"/>
          </w:tcPr>
          <w:p w14:paraId="4A56B3C9" w14:textId="77777777" w:rsidR="00971E00" w:rsidRPr="000C5EC3"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7B3BF7D7" w14:textId="77777777" w:rsidR="00971E00" w:rsidRPr="000C5EC3"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469FDA6E" w14:textId="77777777" w:rsidR="00971E00" w:rsidRPr="000C5EC3" w:rsidRDefault="00971E00" w:rsidP="00C50D24">
            <w:pPr>
              <w:keepNext/>
              <w:keepLines/>
              <w:spacing w:after="120"/>
              <w:jc w:val="center"/>
              <w:rPr>
                <w:noProof/>
                <w:sz w:val="20"/>
              </w:rPr>
            </w:pPr>
          </w:p>
        </w:tc>
        <w:tc>
          <w:tcPr>
            <w:tcW w:w="960" w:type="dxa"/>
            <w:tcBorders>
              <w:top w:val="nil"/>
              <w:left w:val="nil"/>
              <w:bottom w:val="nil"/>
              <w:right w:val="nil"/>
            </w:tcBorders>
            <w:shd w:val="clear" w:color="000000" w:fill="FEE081"/>
            <w:noWrap/>
            <w:vAlign w:val="center"/>
          </w:tcPr>
          <w:p w14:paraId="7D8B9A61"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50 %</w:t>
            </w:r>
          </w:p>
        </w:tc>
        <w:tc>
          <w:tcPr>
            <w:tcW w:w="960" w:type="dxa"/>
            <w:tcBorders>
              <w:top w:val="nil"/>
              <w:left w:val="nil"/>
              <w:bottom w:val="nil"/>
              <w:right w:val="single" w:sz="4" w:space="0" w:color="auto"/>
            </w:tcBorders>
            <w:noWrap/>
            <w:vAlign w:val="center"/>
          </w:tcPr>
          <w:p w14:paraId="6FAE7512" w14:textId="77777777" w:rsidR="00971E00" w:rsidRPr="000C5EC3" w:rsidRDefault="00971E00" w:rsidP="00C50D24">
            <w:pPr>
              <w:keepNext/>
              <w:keepLines/>
              <w:spacing w:after="120"/>
              <w:jc w:val="center"/>
              <w:rPr>
                <w:rFonts w:ascii="Aptos Narrow" w:hAnsi="Aptos Narrow"/>
                <w:b/>
                <w:bCs/>
                <w:noProof/>
                <w:color w:val="000000"/>
                <w:sz w:val="22"/>
                <w:szCs w:val="22"/>
              </w:rPr>
            </w:pPr>
          </w:p>
        </w:tc>
      </w:tr>
      <w:tr w:rsidR="00971E00" w:rsidRPr="000C5EC3" w14:paraId="0ACCBCF8" w14:textId="77777777">
        <w:trPr>
          <w:trHeight w:val="340"/>
        </w:trPr>
        <w:tc>
          <w:tcPr>
            <w:tcW w:w="1660" w:type="dxa"/>
            <w:tcBorders>
              <w:top w:val="nil"/>
              <w:left w:val="single" w:sz="4" w:space="0" w:color="auto"/>
              <w:bottom w:val="nil"/>
              <w:right w:val="single" w:sz="4" w:space="0" w:color="auto"/>
            </w:tcBorders>
            <w:noWrap/>
            <w:vAlign w:val="center"/>
          </w:tcPr>
          <w:p w14:paraId="07E97CB6" w14:textId="77777777" w:rsidR="00971E00" w:rsidRPr="000C5EC3" w:rsidRDefault="00971E00" w:rsidP="00C50D24">
            <w:pPr>
              <w:keepNext/>
              <w:keepLines/>
              <w:spacing w:after="120"/>
              <w:jc w:val="right"/>
              <w:rPr>
                <w:rFonts w:ascii="Aptos Narrow" w:hAnsi="Aptos Narrow"/>
                <w:b/>
                <w:bCs/>
                <w:noProof/>
                <w:color w:val="000000"/>
                <w:sz w:val="22"/>
                <w:szCs w:val="22"/>
              </w:rPr>
            </w:pPr>
            <w:r w:rsidRPr="000C5EC3">
              <w:rPr>
                <w:rFonts w:ascii="Aptos Narrow" w:hAnsi="Aptos Narrow"/>
                <w:b/>
                <w:noProof/>
                <w:color w:val="000000"/>
                <w:sz w:val="22"/>
              </w:rPr>
              <w:t>Portugal</w:t>
            </w:r>
          </w:p>
        </w:tc>
        <w:tc>
          <w:tcPr>
            <w:tcW w:w="960" w:type="dxa"/>
            <w:tcBorders>
              <w:top w:val="nil"/>
              <w:left w:val="nil"/>
              <w:bottom w:val="nil"/>
              <w:right w:val="nil"/>
            </w:tcBorders>
            <w:noWrap/>
            <w:vAlign w:val="center"/>
          </w:tcPr>
          <w:p w14:paraId="2361FF3A" w14:textId="77777777" w:rsidR="00971E00" w:rsidRPr="000C5EC3"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noWrap/>
            <w:vAlign w:val="center"/>
          </w:tcPr>
          <w:p w14:paraId="018914E3" w14:textId="77777777" w:rsidR="00971E00" w:rsidRPr="000C5EC3" w:rsidRDefault="00971E00" w:rsidP="00C50D24">
            <w:pPr>
              <w:keepNext/>
              <w:keepLines/>
              <w:spacing w:after="120"/>
              <w:jc w:val="center"/>
              <w:rPr>
                <w:noProof/>
                <w:sz w:val="20"/>
              </w:rPr>
            </w:pPr>
          </w:p>
        </w:tc>
        <w:tc>
          <w:tcPr>
            <w:tcW w:w="960" w:type="dxa"/>
            <w:tcBorders>
              <w:top w:val="nil"/>
              <w:left w:val="nil"/>
              <w:bottom w:val="nil"/>
              <w:right w:val="nil"/>
            </w:tcBorders>
            <w:shd w:val="clear" w:color="000000" w:fill="F8696B"/>
            <w:noWrap/>
            <w:vAlign w:val="center"/>
          </w:tcPr>
          <w:p w14:paraId="02F30084"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0 %</w:t>
            </w:r>
          </w:p>
        </w:tc>
        <w:tc>
          <w:tcPr>
            <w:tcW w:w="960" w:type="dxa"/>
            <w:tcBorders>
              <w:top w:val="nil"/>
              <w:left w:val="nil"/>
              <w:bottom w:val="nil"/>
              <w:right w:val="nil"/>
            </w:tcBorders>
            <w:shd w:val="clear" w:color="000000" w:fill="63BE7B"/>
            <w:noWrap/>
            <w:vAlign w:val="center"/>
          </w:tcPr>
          <w:p w14:paraId="3F677656"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100 %</w:t>
            </w:r>
          </w:p>
        </w:tc>
        <w:tc>
          <w:tcPr>
            <w:tcW w:w="960" w:type="dxa"/>
            <w:tcBorders>
              <w:top w:val="nil"/>
              <w:left w:val="nil"/>
              <w:bottom w:val="nil"/>
              <w:right w:val="nil"/>
            </w:tcBorders>
            <w:shd w:val="clear" w:color="000000" w:fill="F8696B"/>
            <w:noWrap/>
            <w:vAlign w:val="center"/>
          </w:tcPr>
          <w:p w14:paraId="7F3390EC"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0 %</w:t>
            </w:r>
          </w:p>
        </w:tc>
        <w:tc>
          <w:tcPr>
            <w:tcW w:w="960" w:type="dxa"/>
            <w:tcBorders>
              <w:top w:val="nil"/>
              <w:left w:val="nil"/>
              <w:bottom w:val="nil"/>
              <w:right w:val="single" w:sz="4" w:space="0" w:color="auto"/>
            </w:tcBorders>
            <w:noWrap/>
            <w:vAlign w:val="center"/>
          </w:tcPr>
          <w:p w14:paraId="784BB0DB" w14:textId="77777777" w:rsidR="00971E00" w:rsidRPr="000C5EC3" w:rsidRDefault="00971E00" w:rsidP="00C50D24">
            <w:pPr>
              <w:keepNext/>
              <w:keepLines/>
              <w:spacing w:after="120"/>
              <w:jc w:val="center"/>
              <w:rPr>
                <w:rFonts w:ascii="Aptos Narrow" w:hAnsi="Aptos Narrow"/>
                <w:b/>
                <w:bCs/>
                <w:noProof/>
                <w:color w:val="000000"/>
                <w:sz w:val="22"/>
                <w:szCs w:val="22"/>
              </w:rPr>
            </w:pPr>
          </w:p>
        </w:tc>
      </w:tr>
      <w:tr w:rsidR="00971E00" w:rsidRPr="000C5EC3" w14:paraId="41538824" w14:textId="77777777">
        <w:trPr>
          <w:trHeight w:val="340"/>
        </w:trPr>
        <w:tc>
          <w:tcPr>
            <w:tcW w:w="1660" w:type="dxa"/>
            <w:tcBorders>
              <w:top w:val="nil"/>
              <w:left w:val="single" w:sz="4" w:space="0" w:color="auto"/>
              <w:bottom w:val="single" w:sz="4" w:space="0" w:color="auto"/>
              <w:right w:val="single" w:sz="4" w:space="0" w:color="auto"/>
            </w:tcBorders>
            <w:noWrap/>
            <w:vAlign w:val="center"/>
          </w:tcPr>
          <w:p w14:paraId="6B7A2FDC" w14:textId="77777777" w:rsidR="00971E00" w:rsidRPr="000C5EC3" w:rsidRDefault="00971E00" w:rsidP="00C50D24">
            <w:pPr>
              <w:keepNext/>
              <w:keepLines/>
              <w:spacing w:after="120"/>
              <w:jc w:val="right"/>
              <w:rPr>
                <w:rFonts w:ascii="Aptos Narrow" w:hAnsi="Aptos Narrow"/>
                <w:b/>
                <w:bCs/>
                <w:noProof/>
                <w:color w:val="000000"/>
                <w:sz w:val="22"/>
                <w:szCs w:val="22"/>
              </w:rPr>
            </w:pPr>
            <w:r w:rsidRPr="000C5EC3">
              <w:rPr>
                <w:rFonts w:ascii="Aptos Narrow" w:hAnsi="Aptos Narrow"/>
                <w:b/>
                <w:noProof/>
                <w:color w:val="000000"/>
                <w:sz w:val="22"/>
              </w:rPr>
              <w:t>Danemark</w:t>
            </w:r>
          </w:p>
        </w:tc>
        <w:tc>
          <w:tcPr>
            <w:tcW w:w="960" w:type="dxa"/>
            <w:tcBorders>
              <w:top w:val="nil"/>
              <w:left w:val="nil"/>
              <w:bottom w:val="single" w:sz="4" w:space="0" w:color="auto"/>
              <w:right w:val="nil"/>
            </w:tcBorders>
            <w:noWrap/>
            <w:vAlign w:val="center"/>
          </w:tcPr>
          <w:p w14:paraId="498B0CD9" w14:textId="77777777" w:rsidR="00971E00" w:rsidRPr="000C5EC3"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single" w:sz="4" w:space="0" w:color="auto"/>
              <w:right w:val="nil"/>
            </w:tcBorders>
            <w:noWrap/>
            <w:vAlign w:val="center"/>
          </w:tcPr>
          <w:p w14:paraId="7678B978" w14:textId="77777777" w:rsidR="00971E00" w:rsidRPr="000C5EC3" w:rsidRDefault="00971E00" w:rsidP="00C50D24">
            <w:pPr>
              <w:keepNext/>
              <w:keepLines/>
              <w:spacing w:after="120"/>
              <w:jc w:val="center"/>
              <w:rPr>
                <w:noProof/>
                <w:sz w:val="20"/>
              </w:rPr>
            </w:pPr>
          </w:p>
        </w:tc>
        <w:tc>
          <w:tcPr>
            <w:tcW w:w="960" w:type="dxa"/>
            <w:tcBorders>
              <w:top w:val="nil"/>
              <w:left w:val="nil"/>
              <w:bottom w:val="single" w:sz="4" w:space="0" w:color="auto"/>
              <w:right w:val="nil"/>
            </w:tcBorders>
            <w:noWrap/>
            <w:vAlign w:val="center"/>
          </w:tcPr>
          <w:p w14:paraId="10702C3B" w14:textId="77777777" w:rsidR="00971E00" w:rsidRPr="000C5EC3" w:rsidRDefault="00971E00" w:rsidP="00C50D24">
            <w:pPr>
              <w:keepNext/>
              <w:keepLines/>
              <w:spacing w:after="120"/>
              <w:jc w:val="center"/>
              <w:rPr>
                <w:noProof/>
                <w:sz w:val="20"/>
              </w:rPr>
            </w:pPr>
          </w:p>
        </w:tc>
        <w:tc>
          <w:tcPr>
            <w:tcW w:w="960" w:type="dxa"/>
            <w:tcBorders>
              <w:top w:val="nil"/>
              <w:left w:val="nil"/>
              <w:bottom w:val="single" w:sz="4" w:space="0" w:color="auto"/>
              <w:right w:val="nil"/>
            </w:tcBorders>
            <w:noWrap/>
            <w:vAlign w:val="center"/>
          </w:tcPr>
          <w:p w14:paraId="3A5D7BD2" w14:textId="77777777" w:rsidR="00971E00" w:rsidRPr="000C5EC3" w:rsidRDefault="00971E00" w:rsidP="00C50D24">
            <w:pPr>
              <w:keepNext/>
              <w:keepLines/>
              <w:spacing w:after="120"/>
              <w:jc w:val="center"/>
              <w:rPr>
                <w:noProof/>
                <w:sz w:val="20"/>
              </w:rPr>
            </w:pPr>
          </w:p>
        </w:tc>
        <w:tc>
          <w:tcPr>
            <w:tcW w:w="960" w:type="dxa"/>
            <w:tcBorders>
              <w:top w:val="nil"/>
              <w:left w:val="nil"/>
              <w:bottom w:val="single" w:sz="4" w:space="0" w:color="auto"/>
              <w:right w:val="nil"/>
            </w:tcBorders>
            <w:noWrap/>
            <w:vAlign w:val="center"/>
          </w:tcPr>
          <w:p w14:paraId="2F63FD75" w14:textId="77777777" w:rsidR="00971E00" w:rsidRPr="000C5EC3" w:rsidRDefault="00971E00" w:rsidP="00C50D24">
            <w:pPr>
              <w:keepNext/>
              <w:keepLines/>
              <w:spacing w:after="120"/>
              <w:jc w:val="center"/>
              <w:rPr>
                <w:noProof/>
                <w:sz w:val="20"/>
              </w:rPr>
            </w:pPr>
          </w:p>
        </w:tc>
        <w:tc>
          <w:tcPr>
            <w:tcW w:w="960" w:type="dxa"/>
            <w:tcBorders>
              <w:top w:val="nil"/>
              <w:left w:val="nil"/>
              <w:bottom w:val="single" w:sz="4" w:space="0" w:color="auto"/>
              <w:right w:val="single" w:sz="4" w:space="0" w:color="auto"/>
            </w:tcBorders>
            <w:shd w:val="clear" w:color="000000" w:fill="F8696B"/>
            <w:noWrap/>
            <w:vAlign w:val="center"/>
          </w:tcPr>
          <w:p w14:paraId="29FF4700" w14:textId="77777777" w:rsidR="00971E00" w:rsidRPr="000C5EC3" w:rsidRDefault="00971E00" w:rsidP="00C50D24">
            <w:pPr>
              <w:keepNext/>
              <w:keepLines/>
              <w:spacing w:after="120"/>
              <w:jc w:val="center"/>
              <w:rPr>
                <w:rFonts w:ascii="Aptos Narrow" w:hAnsi="Aptos Narrow"/>
                <w:b/>
                <w:bCs/>
                <w:noProof/>
                <w:color w:val="000000"/>
                <w:sz w:val="22"/>
                <w:szCs w:val="22"/>
              </w:rPr>
            </w:pPr>
            <w:r w:rsidRPr="000C5EC3">
              <w:rPr>
                <w:rFonts w:ascii="Aptos Narrow" w:hAnsi="Aptos Narrow"/>
                <w:b/>
                <w:noProof/>
                <w:color w:val="000000"/>
                <w:sz w:val="22"/>
              </w:rPr>
              <w:t>0 %</w:t>
            </w:r>
          </w:p>
        </w:tc>
      </w:tr>
    </w:tbl>
    <w:p w14:paraId="3C9AAF4F" w14:textId="762F5722" w:rsidR="00971E00" w:rsidRPr="000C5EC3" w:rsidRDefault="005A5537">
      <w:pPr>
        <w:pStyle w:val="Caption"/>
        <w:keepLines/>
        <w:rPr>
          <w:i w:val="0"/>
          <w:iCs/>
          <w:noProof/>
        </w:rPr>
      </w:pPr>
      <w:bookmarkStart w:id="19" w:name="_Ref213666103"/>
      <w:r>
        <w:rPr>
          <w:noProof/>
          <w:color w:val="595959"/>
        </w:rPr>
        <w:pict w14:anchorId="08FAAB4E">
          <v:shape id="Picture 11" o:spid="_x0000_s2052" type="#_x0000_t75" alt="Plusieurs chiffres et symboles &#10; &#10;Le contenu généré par IA peut être erroné." style="position:absolute;left:0;text-align:left;margin-left:383.95pt;margin-top:-139pt;width:53.2pt;height:124.6pt;z-index:251658240;visibility:visible;mso-position-horizontal-relative:text;mso-position-vertical-relative:text">
            <v:imagedata r:id="rId32" o:title="A number of numbers and symbols&#10;&#10;AI-generated content may be incorrect"/>
          </v:shape>
        </w:pict>
      </w:r>
      <w:r w:rsidR="008E2097" w:rsidRPr="000C5EC3">
        <w:rPr>
          <w:noProof/>
        </w:rPr>
        <w:t>Figure </w:t>
      </w:r>
      <w:r>
        <w:rPr>
          <w:noProof/>
        </w:rPr>
        <w:fldChar w:fldCharType="begin"/>
      </w:r>
      <w:r>
        <w:rPr>
          <w:noProof/>
        </w:rPr>
        <w:instrText xml:space="preserve"> SEQ Figure \* ARABIC </w:instrText>
      </w:r>
      <w:r>
        <w:rPr>
          <w:noProof/>
        </w:rPr>
        <w:fldChar w:fldCharType="separate"/>
      </w:r>
      <w:r w:rsidR="008E2097" w:rsidRPr="000C5EC3">
        <w:rPr>
          <w:noProof/>
        </w:rPr>
        <w:t>8</w:t>
      </w:r>
      <w:r>
        <w:rPr>
          <w:noProof/>
        </w:rPr>
        <w:fldChar w:fldCharType="end"/>
      </w:r>
      <w:bookmarkEnd w:id="19"/>
      <w:r w:rsidR="008E2097" w:rsidRPr="000C5EC3">
        <w:rPr>
          <w:rStyle w:val="CaptionChar2"/>
          <w:i/>
          <w:noProof/>
        </w:rPr>
        <w:t>.</w:t>
      </w:r>
      <w:r w:rsidR="008E2097" w:rsidRPr="000C5EC3">
        <w:rPr>
          <w:i w:val="0"/>
          <w:noProof/>
        </w:rPr>
        <w:t xml:space="preserve"> Vue d’ensemble des tests de conformité au règlement sur l’étiquetage des pneumatiques, ICSMS.</w:t>
      </w:r>
      <w:r w:rsidR="008E2097" w:rsidRPr="000C5EC3">
        <w:rPr>
          <w:rStyle w:val="CaptionChar2"/>
          <w:noProof/>
        </w:rPr>
        <w:t xml:space="preserve"> «Union européenne» renvoie aux rapports du JRC de la Commission. Un pourcentage élevé (sur fond vert) signifie que les modèles ont été estimés conformes.</w:t>
      </w:r>
    </w:p>
    <w:p w14:paraId="15444890" w14:textId="04959183" w:rsidR="00971E00" w:rsidRPr="000C5EC3" w:rsidRDefault="00971E00" w:rsidP="00E37A99">
      <w:pPr>
        <w:pStyle w:val="Heading2"/>
        <w:rPr>
          <w:noProof/>
        </w:rPr>
      </w:pPr>
      <w:bookmarkStart w:id="20" w:name="_Toc211189605"/>
      <w:bookmarkStart w:id="21" w:name="_Toc213083345"/>
      <w:r w:rsidRPr="000C5EC3">
        <w:rPr>
          <w:noProof/>
        </w:rPr>
        <w:t>Rôle de la Commission dans la surveillance du marché</w:t>
      </w:r>
      <w:bookmarkEnd w:id="20"/>
      <w:bookmarkEnd w:id="21"/>
    </w:p>
    <w:p w14:paraId="2954159E" w14:textId="3C17180A" w:rsidR="009A7315" w:rsidRPr="000C5EC3" w:rsidRDefault="00971E00">
      <w:pPr>
        <w:widowControl w:val="0"/>
        <w:spacing w:before="45"/>
        <w:rPr>
          <w:noProof/>
        </w:rPr>
      </w:pPr>
      <w:r w:rsidRPr="000C5EC3">
        <w:rPr>
          <w:noProof/>
        </w:rPr>
        <w:t xml:space="preserve">L’essai des pneumatiques est exigeant sur le plan technique et ne semble pas être une priorité pour les États membres. Le manque d’informations sur la conformité dans EPREL, le grand nombre de modèles, les coûts élevés des essais (de 1 000 à 10 000 EUR par unité), la difficulté de développer une expertise, les capacités insuffisantes des laboratoires, la diversité de répartition des responsabilités entre les organismes nationaux dans les États membres et le manque de coordination contribuent à un contrôle insuffisant, à des taux de non-conformité élevés et, conséquence possible, à la méfiance des clients et des distributeurs (voir les conclusions de l’enquête indiquant que les étiquettes des pneumatiques sont perçues comme non fiables car elles reposent sur une autodéclaration). La </w:t>
      </w:r>
      <w:r w:rsidRPr="000C5EC3">
        <w:rPr>
          <w:noProof/>
        </w:rPr>
        <w:fldChar w:fldCharType="begin"/>
      </w:r>
      <w:r w:rsidRPr="000C5EC3">
        <w:rPr>
          <w:noProof/>
        </w:rPr>
        <w:instrText xml:space="preserve"> REF _Ref211607424 \h </w:instrText>
      </w:r>
      <w:r w:rsidRPr="000C5EC3">
        <w:rPr>
          <w:noProof/>
        </w:rPr>
      </w:r>
      <w:r w:rsidRPr="000C5EC3">
        <w:rPr>
          <w:noProof/>
        </w:rPr>
        <w:fldChar w:fldCharType="separate"/>
      </w:r>
      <w:r w:rsidRPr="000C5EC3">
        <w:rPr>
          <w:noProof/>
        </w:rPr>
        <w:t>Figure 1</w:t>
      </w:r>
      <w:r w:rsidRPr="000C5EC3">
        <w:rPr>
          <w:noProof/>
        </w:rPr>
        <w:fldChar w:fldCharType="end"/>
      </w:r>
      <w:r w:rsidRPr="000C5EC3">
        <w:rPr>
          <w:noProof/>
        </w:rPr>
        <w:t xml:space="preserve"> montre des taux surprenants de non-conformité pour les pneumatiques testés par le JRC au cours des années 2021-2024.</w:t>
      </w:r>
    </w:p>
    <w:p w14:paraId="762DA17F" w14:textId="5C724324" w:rsidR="00BC182E" w:rsidRPr="000C5EC3" w:rsidRDefault="00234154" w:rsidP="00BC182E">
      <w:pPr>
        <w:keepNext/>
        <w:widowControl w:val="0"/>
        <w:spacing w:before="45"/>
        <w:jc w:val="center"/>
        <w:rPr>
          <w:noProof/>
        </w:rPr>
      </w:pPr>
      <w:r w:rsidRPr="00234154">
        <w:rPr>
          <w:noProof/>
          <w:lang w:val="en-GB" w:eastAsia="en-GB"/>
        </w:rPr>
        <w:drawing>
          <wp:inline distT="0" distB="0" distL="0" distR="0" wp14:anchorId="3307FE51" wp14:editId="5DA4C956">
            <wp:extent cx="5472430" cy="2277110"/>
            <wp:effectExtent l="0" t="0" r="0" b="8890"/>
            <wp:docPr id="148392214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72430" cy="2277110"/>
                    </a:xfrm>
                    <a:prstGeom prst="rect">
                      <a:avLst/>
                    </a:prstGeom>
                    <a:noFill/>
                    <a:ln>
                      <a:noFill/>
                    </a:ln>
                  </pic:spPr>
                </pic:pic>
              </a:graphicData>
            </a:graphic>
          </wp:inline>
        </w:drawing>
      </w:r>
    </w:p>
    <w:p w14:paraId="0C106AD2" w14:textId="6DE3DBCF" w:rsidR="0083519F" w:rsidRPr="000C5EC3" w:rsidRDefault="00BC182E" w:rsidP="00776E8E">
      <w:pPr>
        <w:pStyle w:val="Caption"/>
        <w:jc w:val="center"/>
        <w:rPr>
          <w:i w:val="0"/>
          <w:iCs/>
          <w:noProof/>
        </w:rPr>
      </w:pPr>
      <w:r w:rsidRPr="000C5EC3">
        <w:rPr>
          <w:noProof/>
        </w:rPr>
        <w:t>Figure </w:t>
      </w:r>
      <w:r w:rsidR="005A5537">
        <w:rPr>
          <w:noProof/>
        </w:rPr>
        <w:fldChar w:fldCharType="begin"/>
      </w:r>
      <w:r w:rsidR="005A5537">
        <w:rPr>
          <w:noProof/>
        </w:rPr>
        <w:instrText xml:space="preserve"> SEQ Figure \* ARABIC </w:instrText>
      </w:r>
      <w:r w:rsidR="005A5537">
        <w:rPr>
          <w:noProof/>
        </w:rPr>
        <w:fldChar w:fldCharType="separate"/>
      </w:r>
      <w:r w:rsidRPr="000C5EC3">
        <w:rPr>
          <w:noProof/>
        </w:rPr>
        <w:t>9</w:t>
      </w:r>
      <w:r w:rsidR="005A5537">
        <w:rPr>
          <w:noProof/>
        </w:rPr>
        <w:fldChar w:fldCharType="end"/>
      </w:r>
      <w:r w:rsidRPr="000C5EC3">
        <w:rPr>
          <w:noProof/>
        </w:rPr>
        <w:t xml:space="preserve">. </w:t>
      </w:r>
      <w:r w:rsidRPr="000C5EC3">
        <w:rPr>
          <w:i w:val="0"/>
          <w:noProof/>
        </w:rPr>
        <w:t>Constatations de non-conformité par le JRC entre 2021 et 2024 (présentation lors de la réunion de l’AdCo, 1</w:t>
      </w:r>
      <w:r w:rsidRPr="000C5EC3">
        <w:rPr>
          <w:i w:val="0"/>
          <w:noProof/>
          <w:vertAlign w:val="superscript"/>
        </w:rPr>
        <w:t>er</w:t>
      </w:r>
      <w:r w:rsidRPr="000C5EC3">
        <w:rPr>
          <w:i w:val="0"/>
          <w:noProof/>
        </w:rPr>
        <w:t> avril 2025, Ispra).</w:t>
      </w:r>
    </w:p>
    <w:p w14:paraId="60AE2CE6" w14:textId="58156D97" w:rsidR="00971E00" w:rsidRPr="000C5EC3" w:rsidRDefault="00971E00" w:rsidP="009A7315">
      <w:pPr>
        <w:widowControl w:val="0"/>
        <w:spacing w:before="45"/>
        <w:rPr>
          <w:noProof/>
        </w:rPr>
      </w:pPr>
      <w:r w:rsidRPr="000C5EC3">
        <w:rPr>
          <w:noProof/>
        </w:rPr>
        <w:t>Une participation renforcée de la Commission serait bénéfique. Une stratégie de ce type est mise en œuvre pour la sécurité des véhicules depuis 2020. Dans ce cas de figure, alors que les États membres jouent un rôle central et procèdent à des tests de surveillance, la Commission fournit un deuxième niveau de contrôle et effectue des tests indépendants. La Commission est habilitée </w:t>
      </w:r>
      <w:r w:rsidRPr="000C5EC3">
        <w:rPr>
          <w:noProof/>
          <w:vertAlign w:val="superscript"/>
        </w:rPr>
        <w:t>(</w:t>
      </w:r>
      <w:r w:rsidRPr="000C5EC3">
        <w:rPr>
          <w:rStyle w:val="FootnoteReference"/>
          <w:noProof/>
        </w:rPr>
        <w:footnoteReference w:id="35"/>
      </w:r>
      <w:r w:rsidRPr="000C5EC3">
        <w:rPr>
          <w:noProof/>
          <w:vertAlign w:val="superscript"/>
        </w:rPr>
        <w:t>)</w:t>
      </w:r>
      <w:r w:rsidRPr="000C5EC3">
        <w:rPr>
          <w:noProof/>
        </w:rPr>
        <w:t xml:space="preserve"> à tester les véhicules et leurs pièces, à infliger des amendes administratives directement aux fabricants et à ordonner des rappels à l’échelle de l’UE </w:t>
      </w:r>
      <w:r w:rsidRPr="000C5EC3">
        <w:rPr>
          <w:noProof/>
          <w:vertAlign w:val="superscript"/>
        </w:rPr>
        <w:t>(</w:t>
      </w:r>
      <w:r w:rsidRPr="000C5EC3">
        <w:rPr>
          <w:rStyle w:val="FootnoteReference"/>
          <w:noProof/>
        </w:rPr>
        <w:footnoteReference w:id="36"/>
      </w:r>
      <w:r w:rsidRPr="000C5EC3">
        <w:rPr>
          <w:noProof/>
          <w:vertAlign w:val="superscript"/>
        </w:rPr>
        <w:t>)</w:t>
      </w:r>
      <w:r w:rsidRPr="000C5EC3">
        <w:rPr>
          <w:noProof/>
        </w:rPr>
        <w:t>. L’homologation des pneumatiques relève de sa compétence, mais ce n’est pas le cas de l’étiquetage des pneumatiques.  Actuellement, des campagnes d’essai sont organisées au niveau de l’UE pour évaluer la conformité des pneumatiques vendus sur le marché de l’UE, en complément des contrôles nationaux et pour combler les lacunes lorsque les capacités nationales sont limitées </w:t>
      </w:r>
      <w:r w:rsidRPr="000C5EC3">
        <w:rPr>
          <w:noProof/>
          <w:vertAlign w:val="superscript"/>
        </w:rPr>
        <w:t>(</w:t>
      </w:r>
      <w:r w:rsidRPr="000C5EC3">
        <w:rPr>
          <w:rStyle w:val="FootnoteReference"/>
          <w:noProof/>
        </w:rPr>
        <w:footnoteReference w:id="37"/>
      </w:r>
      <w:r w:rsidRPr="000C5EC3">
        <w:rPr>
          <w:noProof/>
          <w:vertAlign w:val="superscript"/>
        </w:rPr>
        <w:t>)</w:t>
      </w:r>
      <w:r w:rsidRPr="000C5EC3">
        <w:rPr>
          <w:noProof/>
        </w:rPr>
        <w:t>. Une approche centralisée et coordonnée, couvrant également l’étiquetage, créerait des synergies et garantirait l’impartialité, sans conflit d’intérêts </w:t>
      </w:r>
      <w:r w:rsidRPr="000C5EC3">
        <w:rPr>
          <w:noProof/>
          <w:vertAlign w:val="superscript"/>
        </w:rPr>
        <w:t>(</w:t>
      </w:r>
      <w:r w:rsidRPr="000C5EC3">
        <w:rPr>
          <w:rStyle w:val="FootnoteReference"/>
          <w:noProof/>
        </w:rPr>
        <w:footnoteReference w:id="38"/>
      </w:r>
      <w:r w:rsidRPr="000C5EC3">
        <w:rPr>
          <w:noProof/>
          <w:vertAlign w:val="superscript"/>
        </w:rPr>
        <w:t>)</w:t>
      </w:r>
      <w:r w:rsidRPr="000C5EC3">
        <w:rPr>
          <w:noProof/>
        </w:rPr>
        <w:t>. En outre, le coût supplémentaire des contrôles de conformité de l’étiquetage serait minime, étant donné qu’ils sont fondés sur les mêmes essais que ceux requis par le règlement nº 117 de la CEE-ONU.</w:t>
      </w:r>
    </w:p>
    <w:p w14:paraId="14FD5AE2" w14:textId="77777777" w:rsidR="00971E00" w:rsidRPr="000C5EC3" w:rsidRDefault="00971E00">
      <w:pPr>
        <w:pStyle w:val="Heading1"/>
        <w:rPr>
          <w:noProof/>
        </w:rPr>
      </w:pPr>
      <w:bookmarkStart w:id="22" w:name="_Toc213083346"/>
      <w:bookmarkStart w:id="23" w:name="_Hlk224634629"/>
      <w:r w:rsidRPr="000C5EC3">
        <w:rPr>
          <w:noProof/>
        </w:rPr>
        <w:t>Vérification et essais éventuels par des tiers</w:t>
      </w:r>
      <w:bookmarkEnd w:id="22"/>
    </w:p>
    <w:bookmarkEnd w:id="23"/>
    <w:p w14:paraId="56945615" w14:textId="07BA6D9E" w:rsidR="00971E00" w:rsidRPr="000C5EC3" w:rsidRDefault="00971E00">
      <w:pPr>
        <w:spacing w:before="45" w:after="120"/>
        <w:rPr>
          <w:noProof/>
        </w:rPr>
      </w:pPr>
      <w:r w:rsidRPr="000C5EC3">
        <w:rPr>
          <w:noProof/>
        </w:rPr>
        <w:t>La Commission a cherché à évaluer les coûts et avantages de la vérification obligatoire par des tiers indépendants des informations fournies sur l’étiquette des pneumatiques, en tenant compte de l’expérience acquise dans le cadre plus large établi par le règlement (CE) nº 661/2009.</w:t>
      </w:r>
    </w:p>
    <w:p w14:paraId="72DD8784" w14:textId="2A31CAC4" w:rsidR="003C43CE" w:rsidRPr="000C5EC3" w:rsidRDefault="00971E00">
      <w:pPr>
        <w:spacing w:before="45" w:after="120"/>
        <w:rPr>
          <w:noProof/>
        </w:rPr>
      </w:pPr>
      <w:r w:rsidRPr="000C5EC3">
        <w:rPr>
          <w:noProof/>
        </w:rPr>
        <w:t xml:space="preserve">La vérification par des tiers peut contribuer à pallier les faiblesses des autorités de surveillance du marché en matière de budget, de laboratoires, de personnel, de coordination et de compétences nécessaires. Le recours à des tiers pourrait garantir l’accès à des équipements de laboratoire de pointe et à du personnel spécialisé. Plusieurs laboratoires ont déjà acquis de l’expérience dans le cadre plus large de la réception par type prévu par le </w:t>
      </w:r>
      <w:hyperlink r:id="rId34" w:history="1">
        <w:r w:rsidRPr="000C5EC3">
          <w:rPr>
            <w:rStyle w:val="Hyperlink"/>
            <w:noProof/>
          </w:rPr>
          <w:t>règlement (UE) 2019/2144</w:t>
        </w:r>
      </w:hyperlink>
      <w:r w:rsidRPr="000C5EC3">
        <w:rPr>
          <w:noProof/>
        </w:rPr>
        <w:t xml:space="preserve"> et sont également déjà accrédités pour mener toutes les activités d’essai prévues par le règlement sur l’étiquetage des pneumatiques. Toutefois, les frais liés aux essais et à la certification par des tiers peuvent être importants. Le tableau 4 présente les prix indicatifs pour les essais des paramètres des pneumatiques C1 en vertu du règlement sur l’étiquetage des pneumatiques dans les laboratoires accrédités pour la législation relative à l’homologation.</w:t>
      </w:r>
    </w:p>
    <w:p w14:paraId="7B7E0B11" w14:textId="37B7E44F" w:rsidR="00971E00" w:rsidRPr="000C5EC3" w:rsidRDefault="00971E00">
      <w:pPr>
        <w:pStyle w:val="Caption"/>
        <w:spacing w:before="300" w:after="150"/>
        <w:rPr>
          <w:noProof/>
        </w:rPr>
      </w:pPr>
      <w:bookmarkStart w:id="24" w:name="_Ref210754933"/>
      <w:r w:rsidRPr="000C5EC3">
        <w:rPr>
          <w:noProof/>
        </w:rPr>
        <w:t>Tableau </w:t>
      </w:r>
      <w:bookmarkEnd w:id="24"/>
      <w:r w:rsidRPr="000C5EC3">
        <w:rPr>
          <w:noProof/>
        </w:rPr>
        <w:t xml:space="preserve">4. </w:t>
      </w:r>
      <w:bookmarkStart w:id="25" w:name="_Ref210754901"/>
      <w:r w:rsidRPr="000C5EC3">
        <w:rPr>
          <w:i w:val="0"/>
          <w:noProof/>
        </w:rPr>
        <w:t>Coûts des essais de vérification des pneumatiques C1 par des tiers</w:t>
      </w:r>
      <w:r w:rsidRPr="000C5EC3">
        <w:rPr>
          <w:noProof/>
        </w:rPr>
        <w:t xml:space="preserve"> </w:t>
      </w:r>
      <w:bookmarkEnd w:id="25"/>
      <w:r w:rsidRPr="000C5EC3">
        <w:rPr>
          <w:i w:val="0"/>
          <w:noProof/>
        </w:rPr>
        <w:t>(par pneumatique)</w:t>
      </w:r>
    </w:p>
    <w:tbl>
      <w:tblPr>
        <w:tblStyle w:val="TableGrid"/>
        <w:tblW w:w="0" w:type="auto"/>
        <w:jc w:val="center"/>
        <w:tblBorders>
          <w:top w:val="single" w:sz="4" w:space="0" w:color="auto"/>
          <w:insideH w:val="single" w:sz="4" w:space="0" w:color="auto"/>
        </w:tblBorders>
        <w:tblLayout w:type="fixed"/>
        <w:tblCellMar>
          <w:left w:w="85" w:type="dxa"/>
          <w:right w:w="85" w:type="dxa"/>
        </w:tblCellMar>
        <w:tblLook w:val="04A0" w:firstRow="1" w:lastRow="0" w:firstColumn="1" w:lastColumn="0" w:noHBand="0" w:noVBand="1"/>
      </w:tblPr>
      <w:tblGrid>
        <w:gridCol w:w="5098"/>
        <w:gridCol w:w="1959"/>
        <w:gridCol w:w="1959"/>
      </w:tblGrid>
      <w:tr w:rsidR="00971E00" w:rsidRPr="000C5EC3" w14:paraId="5265B1E4" w14:textId="77777777">
        <w:trPr>
          <w:jc w:val="center"/>
        </w:trPr>
        <w:tc>
          <w:tcPr>
            <w:tcW w:w="5098" w:type="dxa"/>
            <w:shd w:val="clear" w:color="auto" w:fill="EAEDF1"/>
            <w:tcMar>
              <w:top w:w="85" w:type="dxa"/>
              <w:bottom w:w="85" w:type="dxa"/>
            </w:tcMar>
          </w:tcPr>
          <w:p w14:paraId="2D7B8F93" w14:textId="77777777" w:rsidR="00971E00" w:rsidRPr="000C5EC3" w:rsidRDefault="00971E00" w:rsidP="009A7315">
            <w:pPr>
              <w:pStyle w:val="NormalIndent"/>
              <w:keepNext/>
              <w:keepLines/>
              <w:spacing w:after="120" w:line="240" w:lineRule="auto"/>
              <w:ind w:left="0"/>
              <w:jc w:val="center"/>
              <w:rPr>
                <w:rFonts w:ascii="Times New Roman" w:hAnsi="Times New Roman"/>
                <w:b/>
                <w:bCs/>
                <w:noProof/>
                <w:sz w:val="22"/>
                <w:szCs w:val="22"/>
              </w:rPr>
            </w:pPr>
            <w:r w:rsidRPr="000C5EC3">
              <w:rPr>
                <w:rFonts w:ascii="Times New Roman" w:hAnsi="Times New Roman"/>
                <w:b/>
                <w:noProof/>
                <w:sz w:val="22"/>
              </w:rPr>
              <w:t>Procédure d’essai – Classe de pneumatiques C1</w:t>
            </w:r>
          </w:p>
        </w:tc>
        <w:tc>
          <w:tcPr>
            <w:tcW w:w="1959" w:type="dxa"/>
            <w:shd w:val="clear" w:color="auto" w:fill="EAEDF1"/>
            <w:tcMar>
              <w:top w:w="85" w:type="dxa"/>
              <w:bottom w:w="85" w:type="dxa"/>
            </w:tcMar>
          </w:tcPr>
          <w:p w14:paraId="783FD2BD" w14:textId="77777777" w:rsidR="00971E00" w:rsidRPr="000C5EC3" w:rsidRDefault="00971E00" w:rsidP="009A7315">
            <w:pPr>
              <w:pStyle w:val="NormalIndent"/>
              <w:keepNext/>
              <w:keepLines/>
              <w:spacing w:after="120" w:line="240" w:lineRule="auto"/>
              <w:ind w:left="0"/>
              <w:jc w:val="center"/>
              <w:rPr>
                <w:rFonts w:ascii="Times New Roman" w:hAnsi="Times New Roman"/>
                <w:b/>
                <w:bCs/>
                <w:noProof/>
                <w:sz w:val="22"/>
                <w:szCs w:val="22"/>
              </w:rPr>
            </w:pPr>
            <w:r w:rsidRPr="000C5EC3">
              <w:rPr>
                <w:rFonts w:ascii="Times New Roman" w:hAnsi="Times New Roman"/>
                <w:b/>
                <w:noProof/>
                <w:sz w:val="22"/>
              </w:rPr>
              <w:t>De</w:t>
            </w:r>
          </w:p>
        </w:tc>
        <w:tc>
          <w:tcPr>
            <w:tcW w:w="1959" w:type="dxa"/>
            <w:shd w:val="clear" w:color="auto" w:fill="EAEDF1"/>
            <w:tcMar>
              <w:top w:w="85" w:type="dxa"/>
              <w:bottom w:w="85" w:type="dxa"/>
            </w:tcMar>
          </w:tcPr>
          <w:p w14:paraId="4384A2C8" w14:textId="77777777" w:rsidR="00971E00" w:rsidRPr="000C5EC3" w:rsidRDefault="00971E00" w:rsidP="009A7315">
            <w:pPr>
              <w:pStyle w:val="NormalIndent"/>
              <w:keepNext/>
              <w:keepLines/>
              <w:spacing w:after="120" w:line="240" w:lineRule="auto"/>
              <w:ind w:left="0"/>
              <w:jc w:val="center"/>
              <w:rPr>
                <w:rFonts w:ascii="Times New Roman" w:hAnsi="Times New Roman"/>
                <w:b/>
                <w:bCs/>
                <w:noProof/>
                <w:sz w:val="22"/>
                <w:szCs w:val="22"/>
              </w:rPr>
            </w:pPr>
            <w:r w:rsidRPr="000C5EC3">
              <w:rPr>
                <w:rFonts w:ascii="Times New Roman" w:hAnsi="Times New Roman"/>
                <w:b/>
                <w:noProof/>
                <w:sz w:val="22"/>
              </w:rPr>
              <w:t>À</w:t>
            </w:r>
          </w:p>
        </w:tc>
      </w:tr>
      <w:tr w:rsidR="00971E00" w:rsidRPr="000C5EC3" w14:paraId="6259CDF3" w14:textId="77777777" w:rsidTr="00782375">
        <w:trPr>
          <w:jc w:val="center"/>
        </w:trPr>
        <w:tc>
          <w:tcPr>
            <w:tcW w:w="5098" w:type="dxa"/>
            <w:tcMar>
              <w:top w:w="85" w:type="dxa"/>
              <w:bottom w:w="85" w:type="dxa"/>
            </w:tcMar>
          </w:tcPr>
          <w:p w14:paraId="22664C80" w14:textId="77777777" w:rsidR="00971E00" w:rsidRPr="000C5EC3" w:rsidRDefault="00971E00" w:rsidP="009A7315">
            <w:pPr>
              <w:widowControl w:val="0"/>
              <w:spacing w:after="120"/>
              <w:rPr>
                <w:noProof/>
                <w:sz w:val="22"/>
                <w:szCs w:val="22"/>
              </w:rPr>
            </w:pPr>
            <w:r w:rsidRPr="000C5EC3">
              <w:rPr>
                <w:noProof/>
                <w:sz w:val="22"/>
              </w:rPr>
              <w:t xml:space="preserve">Règlement nº 117 de la CEE-ONU Annexe 3 – Bruit </w:t>
            </w:r>
          </w:p>
        </w:tc>
        <w:tc>
          <w:tcPr>
            <w:tcW w:w="1959" w:type="dxa"/>
            <w:tcMar>
              <w:top w:w="85" w:type="dxa"/>
              <w:bottom w:w="85" w:type="dxa"/>
            </w:tcMar>
          </w:tcPr>
          <w:p w14:paraId="499187B7" w14:textId="24BE843E" w:rsidR="00971E00" w:rsidRPr="000C5EC3" w:rsidRDefault="00971E00" w:rsidP="009A7315">
            <w:pPr>
              <w:widowControl w:val="0"/>
              <w:tabs>
                <w:tab w:val="right" w:pos="1377"/>
              </w:tabs>
              <w:spacing w:after="120"/>
              <w:ind w:right="460"/>
              <w:jc w:val="right"/>
              <w:rPr>
                <w:noProof/>
                <w:sz w:val="22"/>
                <w:szCs w:val="22"/>
              </w:rPr>
            </w:pPr>
            <w:r w:rsidRPr="000C5EC3">
              <w:rPr>
                <w:noProof/>
                <w:sz w:val="22"/>
              </w:rPr>
              <w:t>1 100 EUR</w:t>
            </w:r>
          </w:p>
        </w:tc>
        <w:tc>
          <w:tcPr>
            <w:tcW w:w="1959" w:type="dxa"/>
            <w:tcMar>
              <w:top w:w="85" w:type="dxa"/>
              <w:bottom w:w="85" w:type="dxa"/>
            </w:tcMar>
          </w:tcPr>
          <w:p w14:paraId="6F1060AD" w14:textId="3BE3F453" w:rsidR="00971E00" w:rsidRPr="000C5EC3" w:rsidRDefault="00971E00" w:rsidP="009A7315">
            <w:pPr>
              <w:widowControl w:val="0"/>
              <w:tabs>
                <w:tab w:val="right" w:pos="1377"/>
              </w:tabs>
              <w:spacing w:after="120"/>
              <w:ind w:right="434"/>
              <w:jc w:val="right"/>
              <w:rPr>
                <w:noProof/>
                <w:sz w:val="22"/>
                <w:szCs w:val="22"/>
              </w:rPr>
            </w:pPr>
            <w:r w:rsidRPr="000C5EC3">
              <w:rPr>
                <w:noProof/>
                <w:sz w:val="22"/>
              </w:rPr>
              <w:t>2 000 EUR</w:t>
            </w:r>
          </w:p>
        </w:tc>
      </w:tr>
      <w:tr w:rsidR="00971E00" w:rsidRPr="000C5EC3" w14:paraId="401B59F1" w14:textId="77777777" w:rsidTr="00782375">
        <w:trPr>
          <w:jc w:val="center"/>
        </w:trPr>
        <w:tc>
          <w:tcPr>
            <w:tcW w:w="5098" w:type="dxa"/>
            <w:tcMar>
              <w:top w:w="85" w:type="dxa"/>
              <w:bottom w:w="85" w:type="dxa"/>
            </w:tcMar>
          </w:tcPr>
          <w:p w14:paraId="2A3EBBEB" w14:textId="77777777" w:rsidR="00971E00" w:rsidRPr="000C5EC3" w:rsidRDefault="00971E00" w:rsidP="009A7315">
            <w:pPr>
              <w:widowControl w:val="0"/>
              <w:spacing w:after="120"/>
              <w:rPr>
                <w:noProof/>
                <w:sz w:val="22"/>
                <w:szCs w:val="22"/>
              </w:rPr>
            </w:pPr>
            <w:r w:rsidRPr="000C5EC3">
              <w:rPr>
                <w:noProof/>
                <w:sz w:val="22"/>
              </w:rPr>
              <w:t xml:space="preserve">Règlement nº 117 de la CEE-ONU Annexe 5 – Adhérence sur sol mouillé </w:t>
            </w:r>
          </w:p>
        </w:tc>
        <w:tc>
          <w:tcPr>
            <w:tcW w:w="1959" w:type="dxa"/>
            <w:tcMar>
              <w:top w:w="85" w:type="dxa"/>
              <w:bottom w:w="85" w:type="dxa"/>
            </w:tcMar>
          </w:tcPr>
          <w:p w14:paraId="43BBFBA4" w14:textId="3320D7AA" w:rsidR="00971E00" w:rsidRPr="000C5EC3" w:rsidRDefault="00971E00" w:rsidP="009A7315">
            <w:pPr>
              <w:widowControl w:val="0"/>
              <w:tabs>
                <w:tab w:val="right" w:pos="1377"/>
              </w:tabs>
              <w:spacing w:after="120"/>
              <w:ind w:right="460"/>
              <w:jc w:val="right"/>
              <w:rPr>
                <w:noProof/>
                <w:sz w:val="22"/>
                <w:szCs w:val="22"/>
              </w:rPr>
            </w:pPr>
            <w:r w:rsidRPr="000C5EC3">
              <w:rPr>
                <w:noProof/>
                <w:sz w:val="22"/>
              </w:rPr>
              <w:t>950 EUR</w:t>
            </w:r>
          </w:p>
        </w:tc>
        <w:tc>
          <w:tcPr>
            <w:tcW w:w="1959" w:type="dxa"/>
            <w:tcMar>
              <w:top w:w="85" w:type="dxa"/>
              <w:bottom w:w="85" w:type="dxa"/>
            </w:tcMar>
          </w:tcPr>
          <w:p w14:paraId="1DB1912E" w14:textId="0DFE617D" w:rsidR="00971E00" w:rsidRPr="000C5EC3" w:rsidRDefault="00971E00" w:rsidP="009A7315">
            <w:pPr>
              <w:widowControl w:val="0"/>
              <w:tabs>
                <w:tab w:val="right" w:pos="1377"/>
              </w:tabs>
              <w:spacing w:after="120"/>
              <w:ind w:right="434"/>
              <w:jc w:val="right"/>
              <w:rPr>
                <w:noProof/>
                <w:sz w:val="22"/>
                <w:szCs w:val="22"/>
              </w:rPr>
            </w:pPr>
            <w:r w:rsidRPr="000C5EC3">
              <w:rPr>
                <w:noProof/>
                <w:sz w:val="22"/>
              </w:rPr>
              <w:t>1 500 EUR</w:t>
            </w:r>
          </w:p>
        </w:tc>
      </w:tr>
      <w:tr w:rsidR="00971E00" w:rsidRPr="000C5EC3" w14:paraId="597CE3D6" w14:textId="77777777" w:rsidTr="00782375">
        <w:trPr>
          <w:jc w:val="center"/>
        </w:trPr>
        <w:tc>
          <w:tcPr>
            <w:tcW w:w="5098" w:type="dxa"/>
            <w:tcMar>
              <w:top w:w="85" w:type="dxa"/>
              <w:bottom w:w="85" w:type="dxa"/>
            </w:tcMar>
          </w:tcPr>
          <w:p w14:paraId="74565049" w14:textId="77777777" w:rsidR="00971E00" w:rsidRPr="000C5EC3" w:rsidRDefault="00971E00" w:rsidP="009A7315">
            <w:pPr>
              <w:widowControl w:val="0"/>
              <w:spacing w:after="120"/>
              <w:rPr>
                <w:noProof/>
                <w:sz w:val="22"/>
                <w:szCs w:val="22"/>
              </w:rPr>
            </w:pPr>
            <w:r w:rsidRPr="000C5EC3">
              <w:rPr>
                <w:noProof/>
                <w:sz w:val="22"/>
              </w:rPr>
              <w:t xml:space="preserve">Règlement nº 117 de la CEE-ONU Annexe 6 (CR) – Résistance au roulement </w:t>
            </w:r>
          </w:p>
        </w:tc>
        <w:tc>
          <w:tcPr>
            <w:tcW w:w="1959" w:type="dxa"/>
            <w:tcMar>
              <w:top w:w="85" w:type="dxa"/>
              <w:bottom w:w="85" w:type="dxa"/>
            </w:tcMar>
          </w:tcPr>
          <w:p w14:paraId="2E52E347" w14:textId="72EEABE2" w:rsidR="00971E00" w:rsidRPr="000C5EC3" w:rsidRDefault="00971E00" w:rsidP="009A7315">
            <w:pPr>
              <w:widowControl w:val="0"/>
              <w:tabs>
                <w:tab w:val="right" w:pos="1377"/>
              </w:tabs>
              <w:spacing w:after="120"/>
              <w:ind w:right="460"/>
              <w:jc w:val="right"/>
              <w:rPr>
                <w:noProof/>
                <w:sz w:val="22"/>
                <w:szCs w:val="22"/>
              </w:rPr>
            </w:pPr>
            <w:r w:rsidRPr="000C5EC3">
              <w:rPr>
                <w:noProof/>
                <w:sz w:val="22"/>
              </w:rPr>
              <w:t>650 EUR</w:t>
            </w:r>
          </w:p>
        </w:tc>
        <w:tc>
          <w:tcPr>
            <w:tcW w:w="1959" w:type="dxa"/>
            <w:tcMar>
              <w:top w:w="85" w:type="dxa"/>
              <w:bottom w:w="85" w:type="dxa"/>
            </w:tcMar>
          </w:tcPr>
          <w:p w14:paraId="3CE5DDDB" w14:textId="4944F523" w:rsidR="00971E00" w:rsidRPr="000C5EC3" w:rsidRDefault="00971E00" w:rsidP="009A7315">
            <w:pPr>
              <w:widowControl w:val="0"/>
              <w:tabs>
                <w:tab w:val="right" w:pos="1377"/>
              </w:tabs>
              <w:spacing w:after="120"/>
              <w:ind w:right="434"/>
              <w:jc w:val="right"/>
              <w:rPr>
                <w:noProof/>
                <w:sz w:val="22"/>
                <w:szCs w:val="22"/>
              </w:rPr>
            </w:pPr>
            <w:r w:rsidRPr="000C5EC3">
              <w:rPr>
                <w:noProof/>
                <w:sz w:val="22"/>
              </w:rPr>
              <w:t>1 250 EUR</w:t>
            </w:r>
          </w:p>
        </w:tc>
      </w:tr>
      <w:tr w:rsidR="00971E00" w:rsidRPr="000C5EC3" w14:paraId="0C92F380" w14:textId="77777777" w:rsidTr="00782375">
        <w:trPr>
          <w:trHeight w:val="128"/>
          <w:jc w:val="center"/>
        </w:trPr>
        <w:tc>
          <w:tcPr>
            <w:tcW w:w="5098" w:type="dxa"/>
            <w:tcMar>
              <w:top w:w="85" w:type="dxa"/>
              <w:bottom w:w="85" w:type="dxa"/>
            </w:tcMar>
          </w:tcPr>
          <w:p w14:paraId="273D7B4F" w14:textId="77777777" w:rsidR="00971E00" w:rsidRPr="000C5EC3" w:rsidRDefault="00971E00" w:rsidP="009A7315">
            <w:pPr>
              <w:widowControl w:val="0"/>
              <w:spacing w:after="120"/>
              <w:rPr>
                <w:noProof/>
                <w:sz w:val="22"/>
                <w:szCs w:val="22"/>
              </w:rPr>
            </w:pPr>
            <w:r w:rsidRPr="000C5EC3">
              <w:rPr>
                <w:noProof/>
                <w:sz w:val="22"/>
              </w:rPr>
              <w:t xml:space="preserve">Règlement nº 117 de la CEE-ONU Annexe 7 (3PMSF) – Performance sur la neige </w:t>
            </w:r>
          </w:p>
        </w:tc>
        <w:tc>
          <w:tcPr>
            <w:tcW w:w="1959" w:type="dxa"/>
            <w:tcMar>
              <w:top w:w="85" w:type="dxa"/>
              <w:bottom w:w="85" w:type="dxa"/>
            </w:tcMar>
          </w:tcPr>
          <w:p w14:paraId="7CB0551F" w14:textId="757D1940" w:rsidR="00971E00" w:rsidRPr="000C5EC3" w:rsidRDefault="00971E00" w:rsidP="009A7315">
            <w:pPr>
              <w:widowControl w:val="0"/>
              <w:tabs>
                <w:tab w:val="right" w:pos="1377"/>
              </w:tabs>
              <w:spacing w:after="120"/>
              <w:ind w:right="460"/>
              <w:jc w:val="right"/>
              <w:rPr>
                <w:noProof/>
                <w:sz w:val="22"/>
                <w:szCs w:val="22"/>
              </w:rPr>
            </w:pPr>
            <w:r w:rsidRPr="000C5EC3">
              <w:rPr>
                <w:noProof/>
                <w:sz w:val="22"/>
              </w:rPr>
              <w:t>3 200 EUR</w:t>
            </w:r>
          </w:p>
        </w:tc>
        <w:tc>
          <w:tcPr>
            <w:tcW w:w="1959" w:type="dxa"/>
            <w:tcMar>
              <w:top w:w="85" w:type="dxa"/>
              <w:bottom w:w="85" w:type="dxa"/>
            </w:tcMar>
          </w:tcPr>
          <w:p w14:paraId="13BE74C9" w14:textId="5B3EAEC6" w:rsidR="00971E00" w:rsidRPr="000C5EC3" w:rsidRDefault="00971E00" w:rsidP="009A7315">
            <w:pPr>
              <w:widowControl w:val="0"/>
              <w:tabs>
                <w:tab w:val="right" w:pos="1377"/>
              </w:tabs>
              <w:spacing w:after="120"/>
              <w:ind w:right="434"/>
              <w:jc w:val="right"/>
              <w:rPr>
                <w:noProof/>
                <w:sz w:val="22"/>
                <w:szCs w:val="22"/>
              </w:rPr>
            </w:pPr>
            <w:r w:rsidRPr="000C5EC3">
              <w:rPr>
                <w:noProof/>
                <w:sz w:val="22"/>
              </w:rPr>
              <w:t>5 500 EUR</w:t>
            </w:r>
          </w:p>
        </w:tc>
      </w:tr>
      <w:tr w:rsidR="00971E00" w:rsidRPr="000C5EC3" w14:paraId="73BDDE7D" w14:textId="77777777" w:rsidTr="00782375">
        <w:trPr>
          <w:jc w:val="center"/>
        </w:trPr>
        <w:tc>
          <w:tcPr>
            <w:tcW w:w="5098" w:type="dxa"/>
            <w:tcMar>
              <w:top w:w="85" w:type="dxa"/>
              <w:bottom w:w="85" w:type="dxa"/>
            </w:tcMar>
          </w:tcPr>
          <w:p w14:paraId="7C943CFA" w14:textId="77777777" w:rsidR="00971E00" w:rsidRPr="000C5EC3" w:rsidRDefault="00971E00" w:rsidP="009A7315">
            <w:pPr>
              <w:widowControl w:val="0"/>
              <w:spacing w:after="120"/>
              <w:jc w:val="right"/>
              <w:rPr>
                <w:b/>
                <w:noProof/>
                <w:sz w:val="22"/>
                <w:szCs w:val="22"/>
              </w:rPr>
            </w:pPr>
            <w:r w:rsidRPr="000C5EC3">
              <w:rPr>
                <w:b/>
                <w:noProof/>
                <w:sz w:val="22"/>
              </w:rPr>
              <w:t>Total pour la procédure d’essai:</w:t>
            </w:r>
          </w:p>
        </w:tc>
        <w:tc>
          <w:tcPr>
            <w:tcW w:w="1959" w:type="dxa"/>
            <w:tcMar>
              <w:top w:w="85" w:type="dxa"/>
              <w:bottom w:w="85" w:type="dxa"/>
            </w:tcMar>
          </w:tcPr>
          <w:p w14:paraId="5DF44DF6" w14:textId="0EC3CBF5" w:rsidR="00971E00" w:rsidRPr="000C5EC3" w:rsidRDefault="00971E00" w:rsidP="009A7315">
            <w:pPr>
              <w:widowControl w:val="0"/>
              <w:tabs>
                <w:tab w:val="right" w:pos="1377"/>
              </w:tabs>
              <w:spacing w:after="120"/>
              <w:ind w:right="460"/>
              <w:jc w:val="right"/>
              <w:rPr>
                <w:b/>
                <w:noProof/>
                <w:sz w:val="22"/>
                <w:szCs w:val="22"/>
              </w:rPr>
            </w:pPr>
            <w:r w:rsidRPr="000C5EC3">
              <w:rPr>
                <w:b/>
                <w:noProof/>
                <w:sz w:val="22"/>
              </w:rPr>
              <w:t>5 900 EUR</w:t>
            </w:r>
          </w:p>
        </w:tc>
        <w:tc>
          <w:tcPr>
            <w:tcW w:w="1959" w:type="dxa"/>
            <w:tcMar>
              <w:top w:w="85" w:type="dxa"/>
              <w:bottom w:w="85" w:type="dxa"/>
            </w:tcMar>
          </w:tcPr>
          <w:p w14:paraId="005FBC0D" w14:textId="08742A4F" w:rsidR="00971E00" w:rsidRPr="000C5EC3" w:rsidRDefault="00971E00" w:rsidP="009A7315">
            <w:pPr>
              <w:widowControl w:val="0"/>
              <w:tabs>
                <w:tab w:val="right" w:pos="1377"/>
              </w:tabs>
              <w:spacing w:after="120"/>
              <w:ind w:right="434"/>
              <w:jc w:val="right"/>
              <w:rPr>
                <w:b/>
                <w:noProof/>
                <w:sz w:val="22"/>
                <w:szCs w:val="22"/>
              </w:rPr>
            </w:pPr>
            <w:r w:rsidRPr="000C5EC3">
              <w:rPr>
                <w:b/>
                <w:noProof/>
                <w:sz w:val="22"/>
              </w:rPr>
              <w:t>10 250 EUR</w:t>
            </w:r>
          </w:p>
        </w:tc>
      </w:tr>
    </w:tbl>
    <w:p w14:paraId="560D6236" w14:textId="52747A3F" w:rsidR="00971E00" w:rsidRPr="000C5EC3" w:rsidRDefault="00CF63B9" w:rsidP="009A7315">
      <w:pPr>
        <w:spacing w:before="120" w:after="120"/>
        <w:rPr>
          <w:noProof/>
        </w:rPr>
      </w:pPr>
      <w:r w:rsidRPr="000C5EC3">
        <w:rPr>
          <w:noProof/>
        </w:rPr>
        <w:t>Deux options existent pour atténuer ces coûts élevés de vérification par des tiers:</w:t>
      </w:r>
    </w:p>
    <w:p w14:paraId="5A7DA322" w14:textId="01A3EA2E" w:rsidR="00971E00" w:rsidRPr="000C5EC3" w:rsidRDefault="00971E00" w:rsidP="00D46982">
      <w:pPr>
        <w:pStyle w:val="ListParagraph"/>
        <w:numPr>
          <w:ilvl w:val="0"/>
          <w:numId w:val="36"/>
        </w:numPr>
        <w:jc w:val="both"/>
        <w:rPr>
          <w:noProof/>
        </w:rPr>
      </w:pPr>
      <w:r w:rsidRPr="000C5EC3">
        <w:rPr>
          <w:noProof/>
        </w:rPr>
        <w:t>des vérifications ex post aléatoires, financées par le secteur public. Cette option ne semble possible que si elle est coordonnée au niveau de l’UE;</w:t>
      </w:r>
    </w:p>
    <w:p w14:paraId="20E83050" w14:textId="0C36F5C8" w:rsidR="00971E00" w:rsidRPr="000C5EC3" w:rsidRDefault="00971E00" w:rsidP="00D46982">
      <w:pPr>
        <w:pStyle w:val="ListParagraph"/>
        <w:numPr>
          <w:ilvl w:val="0"/>
          <w:numId w:val="36"/>
        </w:numPr>
        <w:jc w:val="both"/>
        <w:rPr>
          <w:noProof/>
        </w:rPr>
      </w:pPr>
      <w:r w:rsidRPr="000C5EC3">
        <w:rPr>
          <w:noProof/>
        </w:rPr>
        <w:t>une vérification ex ante obligatoire et systématique par les fournisseurs, pour toutes les valeurs de paramètres déclarées sur l’étiquette si elles dépassent la classe équivalente au «cas le plus défavorable», comme indiqué dans les certificats d’homologation </w:t>
      </w:r>
      <w:r w:rsidRPr="000C5EC3">
        <w:rPr>
          <w:noProof/>
          <w:vertAlign w:val="superscript"/>
        </w:rPr>
        <w:t>(</w:t>
      </w:r>
      <w:r w:rsidRPr="000C5EC3">
        <w:rPr>
          <w:noProof/>
          <w:vertAlign w:val="superscript"/>
        </w:rPr>
        <w:footnoteReference w:id="39"/>
      </w:r>
      <w:r w:rsidRPr="000C5EC3">
        <w:rPr>
          <w:noProof/>
          <w:vertAlign w:val="superscript"/>
        </w:rPr>
        <w:t>)</w:t>
      </w:r>
      <w:r w:rsidRPr="000C5EC3">
        <w:rPr>
          <w:noProof/>
        </w:rPr>
        <w:t>. Cette option supposerait simplement la divulgation des rapports d’essais que les fabricants sont censés réaliser afin de revendiquer une classe meilleure que le «cas le plus défavorable», comme indiqué dans les certificats d’homologation, et qui doivent être chargés dans EPREL.</w:t>
      </w:r>
    </w:p>
    <w:p w14:paraId="3F8B95BD" w14:textId="337FB5AD" w:rsidR="005519C3" w:rsidRPr="000C5EC3" w:rsidRDefault="005519C3" w:rsidP="005519C3">
      <w:pPr>
        <w:pStyle w:val="Heading1"/>
        <w:rPr>
          <w:noProof/>
        </w:rPr>
      </w:pPr>
      <w:bookmarkStart w:id="26" w:name="_Toc213083347"/>
      <w:bookmarkEnd w:id="17"/>
      <w:bookmarkEnd w:id="18"/>
      <w:r w:rsidRPr="000C5EC3">
        <w:rPr>
          <w:noProof/>
        </w:rPr>
        <w:t>Alignement des machines d’essai</w:t>
      </w:r>
    </w:p>
    <w:p w14:paraId="68FC3D2A" w14:textId="706A80D5" w:rsidR="005519C3" w:rsidRPr="000C5EC3" w:rsidRDefault="005519C3" w:rsidP="005519C3">
      <w:pPr>
        <w:widowControl w:val="0"/>
        <w:spacing w:before="45" w:after="120"/>
        <w:rPr>
          <w:noProof/>
        </w:rPr>
      </w:pPr>
      <w:r w:rsidRPr="000C5EC3">
        <w:rPr>
          <w:noProof/>
        </w:rPr>
        <w:t>Le coefficient de résistance au roulement (RRC) utilisé pour évaluer la classe d’efficacité énergétique d’un pneumatique est mesuré dans un laboratoire à l’aide d’une machine spécifique. Les principaux fabricants effectuent leurs propres essais de coefficient de résistance au roulement. Certains laboratoires d’essais indépendants disposent également de leurs propres machines. Un étalonnage ou un réalignement réguliers des machines est nécessaire pour garantir des mesures reproductibles et cohérentes. Certains pays tiers s’appuient sur un organisme central pour fournir ce service d’étalonnage </w:t>
      </w:r>
      <w:r w:rsidRPr="000C5EC3">
        <w:rPr>
          <w:noProof/>
          <w:vertAlign w:val="superscript"/>
        </w:rPr>
        <w:t>(</w:t>
      </w:r>
      <w:r w:rsidRPr="000C5EC3">
        <w:rPr>
          <w:rStyle w:val="FootnoteReference"/>
          <w:noProof/>
        </w:rPr>
        <w:footnoteReference w:id="40"/>
      </w:r>
      <w:r w:rsidRPr="000C5EC3">
        <w:rPr>
          <w:noProof/>
          <w:vertAlign w:val="superscript"/>
        </w:rPr>
        <w:t>)</w:t>
      </w:r>
      <w:r w:rsidRPr="000C5EC3">
        <w:rPr>
          <w:noProof/>
        </w:rPr>
        <w:t>. Il n’existe pas d’organisme central de ce type au niveau de l’UE. Au lieu de cela, une «machine de référence virtuelle» et une procédure décrites à l’annexe V du règlement sur l’étiquetage des pneumatiques ont été mises en place.  Tous les deux ans, un groupe auquel participent 11 laboratoires procède à des essais comparatifs interlaboratoires nécessitant des ressources importantes pour aligner leurs machines et fournir une référence </w:t>
      </w:r>
      <w:r w:rsidRPr="000C5EC3">
        <w:rPr>
          <w:noProof/>
          <w:vertAlign w:val="superscript"/>
        </w:rPr>
        <w:t>(</w:t>
      </w:r>
      <w:r w:rsidRPr="000C5EC3">
        <w:rPr>
          <w:rStyle w:val="FootnoteReference"/>
          <w:noProof/>
        </w:rPr>
        <w:footnoteReference w:id="41"/>
      </w:r>
      <w:r w:rsidRPr="000C5EC3">
        <w:rPr>
          <w:noProof/>
          <w:vertAlign w:val="superscript"/>
        </w:rPr>
        <w:t>)</w:t>
      </w:r>
      <w:r w:rsidRPr="000C5EC3">
        <w:rPr>
          <w:noProof/>
        </w:rPr>
        <w:t>.</w:t>
      </w:r>
    </w:p>
    <w:p w14:paraId="2FC3555E" w14:textId="03723C68" w:rsidR="005519C3" w:rsidRPr="000C5EC3" w:rsidRDefault="005519C3" w:rsidP="005519C3">
      <w:pPr>
        <w:widowControl w:val="0"/>
        <w:spacing w:before="45" w:after="120"/>
        <w:rPr>
          <w:noProof/>
        </w:rPr>
      </w:pPr>
      <w:r w:rsidRPr="000C5EC3">
        <w:rPr>
          <w:noProof/>
        </w:rPr>
        <w:t>La Commission pourrait mettre au point une solution alternative à cet exercice d’étalonnage périodique et fastidieux de ce groupe de différents laboratoires en établissant un laboratoire physique de référence unique, éventuellement accompagné d’un réseau de laboratoires indépendants chargés de fournir ce service aux fabricants dans le monde entier. Le coût d’un tel laboratoire pourrait être couvert par des redevances pour les services d’étalonnage. Il convient de noter que les machines utilisées pour les essais concernant le coefficient de résistance au roulement sont les mêmes que celles utilisées pour l’homologation. L’utilisation des mêmes machines garantit que les mesures effectuées à des fins d’étiquetage sont mieux alignées sur les mesures effectuées à des fins d’homologation et réduit les doubles essais.</w:t>
      </w:r>
    </w:p>
    <w:p w14:paraId="32C092C2" w14:textId="471909A3" w:rsidR="00971E00" w:rsidRPr="000C5EC3" w:rsidRDefault="00676664" w:rsidP="009A7315">
      <w:pPr>
        <w:pStyle w:val="Heading1"/>
        <w:rPr>
          <w:noProof/>
        </w:rPr>
      </w:pPr>
      <w:bookmarkStart w:id="27" w:name="_Hlk210769498"/>
      <w:bookmarkEnd w:id="26"/>
      <w:r w:rsidRPr="000C5EC3">
        <w:rPr>
          <w:noProof/>
        </w:rPr>
        <w:t>Problèmes recensés dans le cadre de la mise en œuvre</w:t>
      </w:r>
    </w:p>
    <w:p w14:paraId="20CAE77B" w14:textId="50841209" w:rsidR="00971E00" w:rsidRPr="000C5EC3" w:rsidRDefault="00971E00">
      <w:pPr>
        <w:rPr>
          <w:noProof/>
        </w:rPr>
      </w:pPr>
      <w:r w:rsidRPr="000C5EC3">
        <w:rPr>
          <w:noProof/>
        </w:rPr>
        <w:t>Des problèmes liés au règlement sur l’étiquetage des pneumatiques ont été recensés au cours de la mise en œuvre, la plupart d’entre eux pouvant être résolus par la modification des annexes dudit règlement. Les plus importants, ainsi que des solutions possibles, sont présentés ci-dessous.</w:t>
      </w:r>
    </w:p>
    <w:p w14:paraId="231F2CB5" w14:textId="75B4BC35" w:rsidR="00971E00" w:rsidRPr="000C5EC3" w:rsidRDefault="00971E00" w:rsidP="009A7315">
      <w:pPr>
        <w:pStyle w:val="Heading2"/>
        <w:rPr>
          <w:noProof/>
        </w:rPr>
      </w:pPr>
      <w:bookmarkStart w:id="28" w:name="_Toc213083349"/>
      <w:r w:rsidRPr="000C5EC3">
        <w:rPr>
          <w:noProof/>
        </w:rPr>
        <w:t>Matériel promotionnel, catalogues, offres de véhicules</w:t>
      </w:r>
      <w:bookmarkEnd w:id="28"/>
    </w:p>
    <w:p w14:paraId="7E02D91E" w14:textId="23582186" w:rsidR="00971E00" w:rsidRPr="000C5EC3" w:rsidRDefault="00971E00" w:rsidP="003C43CE">
      <w:pPr>
        <w:rPr>
          <w:noProof/>
        </w:rPr>
      </w:pPr>
      <w:r w:rsidRPr="000C5EC3">
        <w:rPr>
          <w:noProof/>
        </w:rPr>
        <w:t xml:space="preserve">Le règlement sur l’étiquetage des pneumatiques ne fournit aucun détail quant au format, à la taille et aux modalités d’affichage des étiquettes dans les catalogues, les boutiques en ligne, le matériel promotionnel ou les offres de véhicules. Il est uniquement disposé que la taille minimale de l’étiquette doit être de 75x100 mm. Ce manque de précision a entraîné une insécurité juridique, d’une part, et une non-conformité généralisée, de l’autre. Une solution pratique, que d’autres actes délégués relatifs à l’étiquetage énergétique ont prévue dans une annexe spécifique, est la possibilité d’utiliser une étiquette simplifiée de petit format, sous la forme d’une «flèche de classe avec fourchette», éventuellement combinée à un «mécanisme d’affichage imbriqué» pour les pages en ligne. La </w:t>
      </w:r>
      <w:r w:rsidRPr="000C5EC3">
        <w:rPr>
          <w:noProof/>
        </w:rPr>
        <w:fldChar w:fldCharType="begin"/>
      </w:r>
      <w:r w:rsidRPr="000C5EC3">
        <w:rPr>
          <w:noProof/>
        </w:rPr>
        <w:instrText xml:space="preserve"> REF _Ref210761433 \h  \* MERGEFORMAT </w:instrText>
      </w:r>
      <w:r w:rsidRPr="000C5EC3">
        <w:rPr>
          <w:noProof/>
        </w:rPr>
      </w:r>
      <w:r w:rsidRPr="000C5EC3">
        <w:rPr>
          <w:noProof/>
        </w:rPr>
        <w:fldChar w:fldCharType="separate"/>
      </w:r>
      <w:r w:rsidRPr="000C5EC3">
        <w:rPr>
          <w:noProof/>
        </w:rPr>
        <w:t>Figure 10</w:t>
      </w:r>
      <w:r w:rsidRPr="000C5EC3">
        <w:rPr>
          <w:noProof/>
        </w:rPr>
        <w:fldChar w:fldCharType="end"/>
      </w:r>
      <w:r w:rsidRPr="000C5EC3">
        <w:rPr>
          <w:noProof/>
        </w:rPr>
        <w:t xml:space="preserve"> donne un exemple de la manière dont une telle indication pourrait être utilisée pour les pneumatiques.</w:t>
      </w:r>
    </w:p>
    <w:p w14:paraId="6F393087" w14:textId="77777777" w:rsidR="009A7315" w:rsidRPr="000C5EC3" w:rsidRDefault="009A7315" w:rsidP="009A7315">
      <w:pPr>
        <w:pStyle w:val="ListParagraph"/>
        <w:ind w:left="0"/>
        <w:rPr>
          <w:noProof/>
        </w:rPr>
      </w:pPr>
    </w:p>
    <w:p w14:paraId="3E3F044B" w14:textId="638389A2" w:rsidR="009A7315" w:rsidRPr="000C5EC3" w:rsidRDefault="009A7315" w:rsidP="003C43CE">
      <w:pPr>
        <w:pStyle w:val="ListParagraph"/>
        <w:ind w:left="0"/>
        <w:jc w:val="center"/>
        <w:rPr>
          <w:noProof/>
        </w:rPr>
      </w:pPr>
      <w:r w:rsidRPr="000C5EC3">
        <w:rPr>
          <w:noProof/>
          <w:lang w:val="en-GB"/>
        </w:rPr>
        <w:drawing>
          <wp:inline distT="0" distB="0" distL="0" distR="0" wp14:anchorId="4843F966" wp14:editId="11C3E0DE">
            <wp:extent cx="3180080" cy="416499"/>
            <wp:effectExtent l="0" t="0" r="1270" b="3175"/>
            <wp:docPr id="138291344" name="Picture 27" descr="Un objet rectangulaire bleu et blanc avec la lettre b &#10; &#10;Le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91344" name="Picture 27" descr="A blue and white rectangular object with a letter b&#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80080" cy="416499"/>
                    </a:xfrm>
                    <a:prstGeom prst="rect">
                      <a:avLst/>
                    </a:prstGeom>
                    <a:noFill/>
                    <a:ln>
                      <a:noFill/>
                    </a:ln>
                  </pic:spPr>
                </pic:pic>
              </a:graphicData>
            </a:graphic>
          </wp:inline>
        </w:drawing>
      </w:r>
    </w:p>
    <w:p w14:paraId="2CA563C2" w14:textId="12687A65" w:rsidR="009A7315" w:rsidRPr="000C5EC3" w:rsidRDefault="009A7315" w:rsidP="009A7315">
      <w:pPr>
        <w:pStyle w:val="Caption"/>
        <w:rPr>
          <w:b/>
          <w:bCs/>
          <w:noProof/>
        </w:rPr>
      </w:pPr>
      <w:bookmarkStart w:id="29" w:name="_Ref210761433"/>
      <w:r w:rsidRPr="000C5EC3">
        <w:rPr>
          <w:noProof/>
        </w:rPr>
        <w:t>Figure </w:t>
      </w:r>
      <w:r w:rsidR="005A5537">
        <w:rPr>
          <w:noProof/>
        </w:rPr>
        <w:fldChar w:fldCharType="begin"/>
      </w:r>
      <w:r w:rsidR="005A5537">
        <w:rPr>
          <w:noProof/>
        </w:rPr>
        <w:instrText xml:space="preserve"> SEQ Figure \* ARABIC </w:instrText>
      </w:r>
      <w:r w:rsidR="005A5537">
        <w:rPr>
          <w:noProof/>
        </w:rPr>
        <w:fldChar w:fldCharType="separate"/>
      </w:r>
      <w:r w:rsidRPr="000C5EC3">
        <w:rPr>
          <w:noProof/>
        </w:rPr>
        <w:t>10</w:t>
      </w:r>
      <w:r w:rsidR="005A5537">
        <w:rPr>
          <w:noProof/>
        </w:rPr>
        <w:fldChar w:fldCharType="end"/>
      </w:r>
      <w:bookmarkEnd w:id="29"/>
      <w:r w:rsidRPr="000C5EC3">
        <w:rPr>
          <w:noProof/>
        </w:rPr>
        <w:t xml:space="preserve">. </w:t>
      </w:r>
      <w:r w:rsidRPr="000C5EC3">
        <w:rPr>
          <w:i w:val="0"/>
          <w:noProof/>
        </w:rPr>
        <w:t>Exemples de flèches de classe comme alternative à l’affichage de l’étiquette complète (dans les catalogues, les listes, les offres de véhicules sur papier ou associées au «mécanisme d’étiquette imbriquée dans les ventes en ligne»).</w:t>
      </w:r>
    </w:p>
    <w:p w14:paraId="4E504B09" w14:textId="77777777" w:rsidR="00971E00" w:rsidRPr="000C5EC3" w:rsidRDefault="00971E00" w:rsidP="009A7315">
      <w:pPr>
        <w:pStyle w:val="Heading2"/>
        <w:rPr>
          <w:noProof/>
        </w:rPr>
      </w:pPr>
      <w:bookmarkStart w:id="30" w:name="_Toc213083350"/>
      <w:r w:rsidRPr="000C5EC3">
        <w:rPr>
          <w:noProof/>
        </w:rPr>
        <w:t>Paramètres insuffisants dans EPREL pour choisir les pneumatiques</w:t>
      </w:r>
      <w:bookmarkEnd w:id="30"/>
    </w:p>
    <w:p w14:paraId="795B6AEA" w14:textId="46961E5D" w:rsidR="00971E00" w:rsidRPr="000C5EC3" w:rsidRDefault="00971E00">
      <w:pPr>
        <w:spacing w:before="45"/>
        <w:rPr>
          <w:noProof/>
        </w:rPr>
      </w:pPr>
      <w:r w:rsidRPr="000C5EC3">
        <w:rPr>
          <w:noProof/>
        </w:rPr>
        <w:t>L’annexe III du règlement sur l’étiquetage des pneumatiques énumère les données à charger dans EPREL: la description est très générique et certains paramètres essentiels ne sont pas mentionnés, ce qui rend les informations accessibles au public insuffisantes pour des scénarios d’utilisation réelle importants </w:t>
      </w:r>
      <w:r w:rsidRPr="000C5EC3">
        <w:rPr>
          <w:noProof/>
          <w:vertAlign w:val="superscript"/>
        </w:rPr>
        <w:t>(</w:t>
      </w:r>
      <w:r w:rsidRPr="000C5EC3">
        <w:rPr>
          <w:rStyle w:val="FootnoteReference"/>
          <w:noProof/>
        </w:rPr>
        <w:footnoteReference w:id="42"/>
      </w:r>
      <w:r w:rsidRPr="000C5EC3">
        <w:rPr>
          <w:noProof/>
          <w:vertAlign w:val="superscript"/>
        </w:rPr>
        <w:t>)</w:t>
      </w:r>
      <w:r w:rsidRPr="000C5EC3">
        <w:rPr>
          <w:noProof/>
        </w:rPr>
        <w:t>. La plupart des valeurs des paramètres manquants peuvent être fournies dans EPREL, mais sur une base volontaire. Cela limite les possibilités d’utilisation d’EPREL pour déterminer les choix, par exemple par les gestionnaires de flotte du secteur du transport de marchandises </w:t>
      </w:r>
      <w:r w:rsidRPr="000C5EC3">
        <w:rPr>
          <w:noProof/>
          <w:vertAlign w:val="superscript"/>
        </w:rPr>
        <w:t>(</w:t>
      </w:r>
      <w:r w:rsidRPr="000C5EC3">
        <w:rPr>
          <w:rStyle w:val="FootnoteReference"/>
          <w:noProof/>
        </w:rPr>
        <w:footnoteReference w:id="43"/>
      </w:r>
      <w:r w:rsidRPr="000C5EC3">
        <w:rPr>
          <w:noProof/>
          <w:vertAlign w:val="superscript"/>
        </w:rPr>
        <w:t>)</w:t>
      </w:r>
      <w:r w:rsidRPr="000C5EC3">
        <w:rPr>
          <w:noProof/>
        </w:rPr>
        <w:t xml:space="preserve"> ou, encore une fois, par les constructeurs automobiles en matière de première monte </w:t>
      </w:r>
      <w:r w:rsidRPr="000C5EC3">
        <w:rPr>
          <w:noProof/>
          <w:vertAlign w:val="superscript"/>
        </w:rPr>
        <w:t>(</w:t>
      </w:r>
      <w:r w:rsidRPr="000C5EC3">
        <w:rPr>
          <w:rStyle w:val="FootnoteReference"/>
          <w:noProof/>
        </w:rPr>
        <w:footnoteReference w:id="44"/>
      </w:r>
      <w:r w:rsidRPr="000C5EC3">
        <w:rPr>
          <w:noProof/>
          <w:vertAlign w:val="superscript"/>
        </w:rPr>
        <w:t>)</w:t>
      </w:r>
      <w:r w:rsidRPr="000C5EC3">
        <w:rPr>
          <w:noProof/>
        </w:rPr>
        <w:t>. L’enregistrement obligatoire de tous les paramètres pertinents pour le choix d’achat permettrait aux clients de choisir en conséquence et de mieux bénéficier du potentiel d’économies découlant des étiquettes, en tirant pleinement parti de la numérisation et d’EPREL. En outre, l’identification des pneumatiques répondant aux critères de la taxinomie de l’UE n’est pas intuitive. Une fonction de filtre spécifique pourrait remédier à cette situation.</w:t>
      </w:r>
    </w:p>
    <w:p w14:paraId="43217A42" w14:textId="77777777" w:rsidR="00971E00" w:rsidRPr="000C5EC3" w:rsidRDefault="00971E00" w:rsidP="00AB212E">
      <w:pPr>
        <w:pStyle w:val="Heading2"/>
        <w:rPr>
          <w:noProof/>
        </w:rPr>
      </w:pPr>
      <w:bookmarkStart w:id="31" w:name="_Toc213083351"/>
      <w:r w:rsidRPr="000C5EC3">
        <w:rPr>
          <w:noProof/>
        </w:rPr>
        <w:t>Informations insuffisantes pour effectuer les contrôles de conformité</w:t>
      </w:r>
      <w:bookmarkEnd w:id="31"/>
    </w:p>
    <w:p w14:paraId="4698026C" w14:textId="58AA7E08" w:rsidR="00971E00" w:rsidRPr="000C5EC3" w:rsidRDefault="00971E00" w:rsidP="003C43CE">
      <w:pPr>
        <w:rPr>
          <w:b/>
          <w:bCs/>
          <w:noProof/>
        </w:rPr>
      </w:pPr>
      <w:r w:rsidRPr="000C5EC3">
        <w:rPr>
          <w:noProof/>
        </w:rPr>
        <w:t>L’annexe VI du règlement sur l’étiquetage des pneumatiques énumère les informations du volet «conformité» d’EPREL. La liste est générique et, dans la pratique, constitue un obstacle à une vérification efficace de la conformité, en particulier dans les pays où les responsabilités de l’homologation et de l’étiquetage des pneumatiques sont séparées. L’alignement du format des paramètres à fournir dans EPREL pour l’étiquetage des pneumatiques sur celui utilisé pour l’étiquetage énergétique permettrait de résoudre ce problème. Le manque de clarté entraîne également des interprétations divergentes et une charge considérable pour les autorités de surveillance du marché, qui doivent demander des documents au fournisseur, au lieu de les trouver directement dans EPREL. Étant donné que chaque membre d’une famille de pneumatiques doit en principe être soumis à des essais, à moins que la classe indiquée sur l’étiquette ne corresponde au «cas le plus défavorable», la disponibilité de rapports d’essais permettrait de simplifier l’activité de contrôle de la conformité, en réduisant les coûts et la charge administrative pesant sur les États membres.</w:t>
      </w:r>
    </w:p>
    <w:p w14:paraId="50A1CC10" w14:textId="5C3D57FB" w:rsidR="00971E00" w:rsidRPr="000C5EC3" w:rsidRDefault="00D54E50" w:rsidP="003C43CE">
      <w:pPr>
        <w:pStyle w:val="Heading2"/>
        <w:rPr>
          <w:noProof/>
        </w:rPr>
      </w:pPr>
      <w:bookmarkStart w:id="32" w:name="_Toc213083352"/>
      <w:bookmarkStart w:id="33" w:name="_Toc211189619"/>
      <w:bookmarkEnd w:id="27"/>
      <w:r w:rsidRPr="000C5EC3">
        <w:rPr>
          <w:noProof/>
        </w:rPr>
        <w:t>Séparation limitée en classes de performance</w:t>
      </w:r>
      <w:bookmarkEnd w:id="32"/>
      <w:bookmarkEnd w:id="33"/>
    </w:p>
    <w:p w14:paraId="6A1E720E" w14:textId="6B402E5A" w:rsidR="00971E00" w:rsidRPr="000C5EC3" w:rsidRDefault="00971E00" w:rsidP="003C43CE">
      <w:pPr>
        <w:rPr>
          <w:noProof/>
        </w:rPr>
      </w:pPr>
      <w:r w:rsidRPr="000C5EC3">
        <w:rPr>
          <w:noProof/>
        </w:rPr>
        <w:t>Les seuils de performance des pneumatiques sont fixés dans les règlements de la CEE-ONU. Ces derniers sont périodiquement réexaminés et mis à jour. D’une manière générale, les exigences actualisées s’appliquent d’abord aux nouveaux types de pneumatiques, homologués après l’entrée en vigueur des limites, puis aux types existants.</w:t>
      </w:r>
    </w:p>
    <w:p w14:paraId="2D0A60AC" w14:textId="16379A0A" w:rsidR="00971E00" w:rsidRPr="000C5EC3" w:rsidRDefault="00971E00" w:rsidP="003C43CE">
      <w:pPr>
        <w:rPr>
          <w:noProof/>
        </w:rPr>
      </w:pPr>
      <w:r w:rsidRPr="000C5EC3">
        <w:rPr>
          <w:noProof/>
        </w:rPr>
        <w:t>Le progrès technologique a permis de fixer des exigences plus strictes dans la législation en matière d’homologation de type, qui a interdit les pneumatiques appartenant aux classes les plus défavorables. Toutefois, la révision du règlement sur l’étiquetage des pneumatiques n’a pas prévu de remaniement ou d’ajustement des classes. Par conséquent, l’ensemble des pneumatiques relèvent seulement de trois ou quatre classes de résistance au roulement et d’adhérence sur sol mouillé. Cette gamme réduite fait baisser l’intérêt des clients pour l’étiquette des pneumatiques et limite l’incitation du fournisseur à innover afin de différencier ses produits de ceux de ses concurrents. Dans l’attente d’un futur remaniement, ce problème pourrait être atténué en exigeant des fournisseurs qu’ils introduisent dans la partie publique d’EPREL le coefficient de résistance au roulement et l’indice d’adhérence sur sol mouillé mesurés ou estimés pour noter la classe, comme cela est déjà requis pour le bruit </w:t>
      </w:r>
      <w:r w:rsidRPr="000C5EC3">
        <w:rPr>
          <w:noProof/>
          <w:vertAlign w:val="superscript"/>
        </w:rPr>
        <w:t>(</w:t>
      </w:r>
      <w:r w:rsidRPr="000C5EC3">
        <w:rPr>
          <w:rStyle w:val="FootnoteReference"/>
          <w:noProof/>
        </w:rPr>
        <w:footnoteReference w:id="45"/>
      </w:r>
      <w:r w:rsidRPr="000C5EC3">
        <w:rPr>
          <w:noProof/>
          <w:vertAlign w:val="superscript"/>
        </w:rPr>
        <w:t>)</w:t>
      </w:r>
      <w:r w:rsidRPr="000C5EC3">
        <w:rPr>
          <w:noProof/>
        </w:rPr>
        <w:t>, ce qui permettrait aux acheteurs professionnels et aux autres utilisateurs intéressés de différencier les produits au sein d’une classe à l’aide d’EPREL.</w:t>
      </w:r>
    </w:p>
    <w:p w14:paraId="022B7B4F" w14:textId="6E1D3331" w:rsidR="00971E00" w:rsidRPr="000C5EC3" w:rsidRDefault="00971E00" w:rsidP="00AB212E">
      <w:pPr>
        <w:pStyle w:val="Heading1"/>
        <w:rPr>
          <w:noProof/>
        </w:rPr>
      </w:pPr>
      <w:r w:rsidRPr="000C5EC3">
        <w:rPr>
          <w:noProof/>
        </w:rPr>
        <w:t>Conclusion</w:t>
      </w:r>
    </w:p>
    <w:p w14:paraId="0764DB9D" w14:textId="7141DC87" w:rsidR="002A0EB2" w:rsidRPr="000C5EC3" w:rsidRDefault="00971E00" w:rsidP="002A0EB2">
      <w:pPr>
        <w:rPr>
          <w:noProof/>
        </w:rPr>
      </w:pPr>
      <w:r w:rsidRPr="000C5EC3">
        <w:rPr>
          <w:noProof/>
        </w:rPr>
        <w:t>La révision du règlement sur l’étiquetage des pneumatiques a entraîné des améliorations mesurables des performances des pneumatiques, notamment une réduction de 5,1 % de la résistance au roulement et une amélioration de 2,4 % de l’adhérence sur sol mouillé des pneumatiques C1 depuis 2021, par rapport au scénario de statu quo. Des tendances similaires ont été observées pour les pneumatiques C2 et C3. Pour ces derniers, l’amélioration de la résistance au roulement a même été de 7,3 %.  Le marché a ainsi évolué pour proposer des pneumatiques plus performants, un plus grand nombre de modèles disponibles affichant désormais la classe la plus élevée (A) pour tous les paramètres.</w:t>
      </w:r>
    </w:p>
    <w:p w14:paraId="20B813BE" w14:textId="1201D485" w:rsidR="002A0EB2" w:rsidRPr="000C5EC3" w:rsidRDefault="00971E00" w:rsidP="002A0EB2">
      <w:pPr>
        <w:rPr>
          <w:noProof/>
        </w:rPr>
      </w:pPr>
      <w:r w:rsidRPr="000C5EC3">
        <w:rPr>
          <w:noProof/>
        </w:rPr>
        <w:t>Toutefois, la sensibilisation des consommateurs et leur confiance dans l’étiquette restent limitées, en partie en raison d’un contrôle incohérent de l’application des règles et du recours à l’autodéclaration. La surveillance du marché ne semble pas être une priorité pour les États membres; elle nécessite une expertise et des outils spécialisés, est difficile à mettre en œuvre et, lorsqu’elle est effectuée, révèle des taux de non-conformité élevés. Cela met en évidence la nécessité de renforcer la coordination, les ressources et l’expertise tant au niveau national qu’au niveau de l’UE. Si la vérification et les essais par des tiers pourraient pallier certaines des lacunes actuelles en matière de surveillance du marché, cela représenterait un coût important. L’exercice actuel d’alignement des machines d’essai est fastidieux et l’exercice semestriel représente une charge importante: un laboratoire de référence unique, éventuellement géré par la Commission (JRC), pourrait simplifier le processus et garantir une plus grande stabilité, les coûts étant récupérés grâce à la fourniture directe des services d’alignement. Les machines pourraient être utilisées pour tester à la fois l’étiquetage et la conformité au règlement nº 117.</w:t>
      </w:r>
    </w:p>
    <w:p w14:paraId="2838DE5F" w14:textId="54EB0BDA" w:rsidR="00971E00" w:rsidRPr="000C5EC3" w:rsidRDefault="00971E00" w:rsidP="002A0EB2">
      <w:pPr>
        <w:rPr>
          <w:noProof/>
        </w:rPr>
      </w:pPr>
      <w:r w:rsidRPr="000C5EC3">
        <w:rPr>
          <w:noProof/>
        </w:rPr>
        <w:t>EPREL est un outil précieux, mais l’absence d’exigences obligatoires pour remplir les champs de données pertinents limite ses possibilités d’utilisation pour les consommateurs, les gestionnaires de flotte et les acheteurs. Dans le même temps, les progrès en matière d’étiquetage sur l’abrasion et le kilométrage sont retardés par l’absence de méthodes d’essai normalisées, bien que les travaux en cours au sein de la CEE-ONU puissent déboucher sur des solutions d’ici à 2027.</w:t>
      </w:r>
    </w:p>
    <w:p w14:paraId="5CE649CF" w14:textId="6E984420" w:rsidR="002A0EB2" w:rsidRPr="000C5EC3" w:rsidRDefault="002A0EB2" w:rsidP="002A0EB2">
      <w:pPr>
        <w:rPr>
          <w:noProof/>
        </w:rPr>
      </w:pPr>
      <w:r w:rsidRPr="000C5EC3">
        <w:rPr>
          <w:noProof/>
        </w:rPr>
        <w:t>Enfin, la mise en œuvre du règlement sur l’étiquetage des pneumatiques a révélé d’autres lacunes, notamment l’absence de définition du mécanisme d’étiquetage «imbriqué». La surreprésentation des modèles de pneus dans les trois meilleures classes, pour la résistance au roulement et en particulier pour l’adhérence sur sol mouillé, ainsi que dans deux classes de performance pour les émissions sonores, sape l’intérêt des clients pour l’étiquette des pneumatiques.</w:t>
      </w:r>
    </w:p>
    <w:p w14:paraId="41216E16" w14:textId="54CCF2BD" w:rsidR="000977F8" w:rsidRPr="00654E39" w:rsidRDefault="002A0EB2" w:rsidP="002A0EB2">
      <w:pPr>
        <w:rPr>
          <w:noProof/>
        </w:rPr>
      </w:pPr>
      <w:r w:rsidRPr="000C5EC3">
        <w:rPr>
          <w:noProof/>
        </w:rPr>
        <w:t>Les modifications apportées par la proposition omnibus présentée parallèlement au présent rapport visent à mieux remédier à certaines des diverses lacunes tout en simplifiant le respect des règles, dans la mesure du possible, pour les fournisseurs et les détaillants. Dans le même temps, certaines questions (telles que celles liées au kilométrage, à l’abrasion, au rechapage, à l’alignement des machines d’essai et aux essais de vérification de la conformité) ne pourront être traitées que lorsque des travaux préparatoires supplémentaires auront progressé.</w:t>
      </w:r>
    </w:p>
    <w:sectPr w:rsidR="000977F8" w:rsidRPr="00654E39" w:rsidSect="009A7315">
      <w:headerReference w:type="even" r:id="rId36"/>
      <w:headerReference w:type="default" r:id="rId37"/>
      <w:footerReference w:type="even" r:id="rId38"/>
      <w:footerReference w:type="default" r:id="rId39"/>
      <w:headerReference w:type="first" r:id="rId40"/>
      <w:footerReference w:type="first" r:id="rId41"/>
      <w:endnotePr>
        <w:numFmt w:val="lowerLetter"/>
      </w:endnotePr>
      <w:pgSz w:w="11906" w:h="16838"/>
      <w:pgMar w:top="1020" w:right="1701" w:bottom="1020" w:left="1587" w:header="600" w:footer="60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8FA80C" w14:textId="77777777" w:rsidR="007570B2" w:rsidRPr="000C5EC3" w:rsidRDefault="007570B2">
      <w:pPr>
        <w:spacing w:after="0"/>
      </w:pPr>
      <w:r w:rsidRPr="000C5EC3">
        <w:separator/>
      </w:r>
    </w:p>
  </w:endnote>
  <w:endnote w:type="continuationSeparator" w:id="0">
    <w:p w14:paraId="553CB371" w14:textId="77777777" w:rsidR="007570B2" w:rsidRPr="000C5EC3" w:rsidRDefault="007570B2">
      <w:pPr>
        <w:spacing w:after="0"/>
      </w:pPr>
      <w:r w:rsidRPr="000C5E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altName w:val="Times New Roman"/>
    <w:panose1 w:val="02020803070505020304"/>
    <w:charset w:val="00"/>
    <w:family w:val="roman"/>
    <w:notTrueType/>
    <w:pitch w:val="default"/>
  </w:font>
  <w:font w:name="Aptos">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ptos Narrow">
    <w:altName w:val="Arial"/>
    <w:charset w:val="00"/>
    <w:family w:val="swiss"/>
    <w:pitch w:val="variable"/>
    <w:sig w:usb0="00000001" w:usb1="00000003" w:usb2="00000000" w:usb3="00000000" w:csb0="000001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47BA4" w14:textId="78F0847B" w:rsidR="005A5537" w:rsidRPr="005A5537" w:rsidRDefault="005A5537" w:rsidP="005A5537">
    <w:pPr>
      <w:pStyle w:val="FooterCoverPage"/>
      <w:rPr>
        <w:rFonts w:ascii="Arial" w:hAnsi="Arial" w:cs="Arial"/>
        <w:b/>
        <w:sz w:val="48"/>
      </w:rPr>
    </w:pPr>
    <w:r w:rsidRPr="005A5537">
      <w:rPr>
        <w:rFonts w:ascii="Arial" w:hAnsi="Arial" w:cs="Arial"/>
        <w:b/>
        <w:sz w:val="48"/>
      </w:rPr>
      <w:t>FR</w:t>
    </w:r>
    <w:r w:rsidRPr="005A5537">
      <w:rPr>
        <w:rFonts w:ascii="Arial" w:hAnsi="Arial" w:cs="Arial"/>
        <w:b/>
        <w:sz w:val="48"/>
      </w:rPr>
      <w:tab/>
    </w:r>
    <w:r w:rsidRPr="005A5537">
      <w:rPr>
        <w:rFonts w:ascii="Arial" w:hAnsi="Arial" w:cs="Arial"/>
        <w:b/>
        <w:sz w:val="48"/>
      </w:rPr>
      <w:tab/>
    </w:r>
    <w:r w:rsidRPr="005A5537">
      <w:tab/>
    </w:r>
    <w:r w:rsidRPr="005A553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FD1AA" w14:textId="6D189D31" w:rsidR="005A5537" w:rsidRPr="005A5537" w:rsidRDefault="005A5537" w:rsidP="005A5537">
    <w:pPr>
      <w:pStyle w:val="FooterCoverPage"/>
      <w:rPr>
        <w:rFonts w:ascii="Arial" w:hAnsi="Arial" w:cs="Arial"/>
        <w:b/>
        <w:sz w:val="48"/>
      </w:rPr>
    </w:pPr>
    <w:r w:rsidRPr="005A5537">
      <w:rPr>
        <w:rFonts w:ascii="Arial" w:hAnsi="Arial" w:cs="Arial"/>
        <w:b/>
        <w:sz w:val="48"/>
      </w:rPr>
      <w:t>FR</w:t>
    </w:r>
    <w:r w:rsidRPr="005A5537">
      <w:rPr>
        <w:rFonts w:ascii="Arial" w:hAnsi="Arial" w:cs="Arial"/>
        <w:b/>
        <w:sz w:val="48"/>
      </w:rPr>
      <w:tab/>
    </w:r>
    <w:r w:rsidRPr="005A5537">
      <w:rPr>
        <w:rFonts w:ascii="Arial" w:hAnsi="Arial" w:cs="Arial"/>
        <w:b/>
        <w:sz w:val="48"/>
      </w:rPr>
      <w:tab/>
    </w:r>
    <w:r w:rsidRPr="005A5537">
      <w:tab/>
    </w:r>
    <w:r w:rsidRPr="005A553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C5E1D" w14:textId="77777777" w:rsidR="005A5537" w:rsidRPr="005A5537" w:rsidRDefault="005A5537" w:rsidP="005A553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57283" w14:textId="77777777" w:rsidR="008D6BC5" w:rsidRPr="000C5EC3" w:rsidRDefault="008D6B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4496493"/>
      <w:docPartObj>
        <w:docPartGallery w:val="Page Numbers (Bottom of Page)"/>
        <w:docPartUnique/>
      </w:docPartObj>
    </w:sdtPr>
    <w:sdtEndPr/>
    <w:sdtContent>
      <w:p w14:paraId="32555BB0" w14:textId="500DB72E" w:rsidR="00C50D24" w:rsidRPr="000C5EC3" w:rsidRDefault="00C50D24">
        <w:pPr>
          <w:pStyle w:val="Footer"/>
          <w:jc w:val="center"/>
        </w:pPr>
        <w:r w:rsidRPr="000C5EC3">
          <w:fldChar w:fldCharType="begin"/>
        </w:r>
        <w:r w:rsidRPr="000C5EC3">
          <w:instrText xml:space="preserve"> PAGE   \* MERGEFORMAT </w:instrText>
        </w:r>
        <w:r w:rsidRPr="000C5EC3">
          <w:fldChar w:fldCharType="separate"/>
        </w:r>
        <w:r w:rsidR="005A5537">
          <w:rPr>
            <w:noProof/>
          </w:rPr>
          <w:t>9</w:t>
        </w:r>
        <w:r w:rsidRPr="000C5EC3">
          <w:fldChar w:fldCharType="end"/>
        </w:r>
      </w:p>
    </w:sdtContent>
  </w:sdt>
  <w:p w14:paraId="02480EAC" w14:textId="77777777" w:rsidR="008D6BC5" w:rsidRPr="000C5EC3" w:rsidRDefault="008D6B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933BE" w14:textId="77777777" w:rsidR="008D6BC5" w:rsidRPr="000C5EC3" w:rsidRDefault="008D6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C95AD" w14:textId="77777777" w:rsidR="007570B2" w:rsidRPr="000C5EC3" w:rsidRDefault="007570B2">
      <w:pPr>
        <w:spacing w:after="0"/>
      </w:pPr>
      <w:r w:rsidRPr="000C5EC3">
        <w:separator/>
      </w:r>
    </w:p>
  </w:footnote>
  <w:footnote w:type="continuationSeparator" w:id="0">
    <w:p w14:paraId="25AD0199" w14:textId="77777777" w:rsidR="007570B2" w:rsidRPr="000C5EC3" w:rsidRDefault="007570B2">
      <w:pPr>
        <w:spacing w:after="0"/>
      </w:pPr>
      <w:r w:rsidRPr="000C5EC3">
        <w:continuationSeparator/>
      </w:r>
    </w:p>
  </w:footnote>
  <w:footnote w:id="1">
    <w:p w14:paraId="7E467A84" w14:textId="068A45AD" w:rsidR="008910CB" w:rsidRPr="000C5EC3" w:rsidRDefault="008910CB" w:rsidP="00653373">
      <w:pPr>
        <w:pStyle w:val="FootnoteText"/>
        <w:spacing w:after="80"/>
      </w:pPr>
      <w:r w:rsidRPr="000C5EC3">
        <w:t>(</w:t>
      </w:r>
      <w:r w:rsidRPr="000C5EC3">
        <w:rPr>
          <w:rStyle w:val="FootnoteReference"/>
        </w:rPr>
        <w:footnoteRef/>
      </w:r>
      <w:r w:rsidRPr="000C5EC3">
        <w:t>)</w:t>
      </w:r>
      <w:r w:rsidRPr="000C5EC3">
        <w:tab/>
        <w:t>76/494/CEE: Recommandation du Conseil, du 4 mai 1976, concernant l’utilisation rationnelle de l’énergie consommée par les véhicules routiers par une amélioration du comportement des conducteurs, JO L 140 du 28.5.1976, p. 14.</w:t>
      </w:r>
    </w:p>
  </w:footnote>
  <w:footnote w:id="2">
    <w:p w14:paraId="789420F7" w14:textId="019FB9B8" w:rsidR="009005AD" w:rsidRPr="000C5EC3" w:rsidRDefault="009005AD" w:rsidP="00653373">
      <w:pPr>
        <w:pStyle w:val="FootnoteText"/>
        <w:spacing w:after="80"/>
      </w:pPr>
      <w:r w:rsidRPr="000C5EC3">
        <w:t>(</w:t>
      </w:r>
      <w:r w:rsidRPr="000C5EC3">
        <w:rPr>
          <w:rStyle w:val="FootnoteReference"/>
        </w:rPr>
        <w:footnoteRef/>
      </w:r>
      <w:r w:rsidRPr="000C5EC3">
        <w:t>)</w:t>
      </w:r>
      <w:r w:rsidRPr="000C5EC3">
        <w:tab/>
        <w:t>Zacharof, N., Fontaras, G., Ciuffo, B., Tsiakmakis, S. et al., «Review of in use factors affecting the fuel consumption and CO</w:t>
      </w:r>
      <w:r w:rsidRPr="000C5EC3">
        <w:rPr>
          <w:vertAlign w:val="subscript"/>
        </w:rPr>
        <w:t>2</w:t>
      </w:r>
      <w:r w:rsidRPr="000C5EC3">
        <w:t xml:space="preserve"> emissions of passenger cars»; Centre commun de recherche (2016).</w:t>
      </w:r>
    </w:p>
  </w:footnote>
  <w:footnote w:id="3">
    <w:p w14:paraId="6939485A" w14:textId="77777777" w:rsidR="00AE7290" w:rsidRPr="000C5EC3" w:rsidRDefault="00AE7290" w:rsidP="00653373">
      <w:pPr>
        <w:pStyle w:val="FootnoteText"/>
        <w:spacing w:after="80"/>
      </w:pPr>
      <w:r w:rsidRPr="000C5EC3">
        <w:t>(</w:t>
      </w:r>
      <w:r w:rsidRPr="000C5EC3">
        <w:rPr>
          <w:rStyle w:val="FootnoteReference"/>
        </w:rPr>
        <w:footnoteRef/>
      </w:r>
      <w:r w:rsidRPr="000C5EC3">
        <w:t>)</w:t>
      </w:r>
      <w:r w:rsidRPr="000C5EC3">
        <w:tab/>
        <w:t xml:space="preserve">Hyttinen, Jukka et a. «Effect of Ambient and Tyre Temperature on Truck Tyre Rolling Resistance», International Journal of Automotive Technology, novembre 2022. </w:t>
      </w:r>
    </w:p>
  </w:footnote>
  <w:footnote w:id="4">
    <w:p w14:paraId="39A88B80" w14:textId="77777777" w:rsidR="00971E00" w:rsidRPr="000C5EC3" w:rsidRDefault="00971E00" w:rsidP="00653373">
      <w:pPr>
        <w:pStyle w:val="FootnoteText"/>
        <w:spacing w:after="80"/>
      </w:pPr>
      <w:r w:rsidRPr="000C5EC3">
        <w:t>(</w:t>
      </w:r>
      <w:r w:rsidRPr="000C5EC3">
        <w:rPr>
          <w:rStyle w:val="FootnoteReference"/>
        </w:rPr>
        <w:footnoteRef/>
      </w:r>
      <w:r w:rsidRPr="000C5EC3">
        <w:t xml:space="preserve">) </w:t>
      </w:r>
      <w:r w:rsidRPr="000C5EC3">
        <w:tab/>
        <w:t>Les pneumatiques destinés aux véhicules tout-terrain, de construction ou agricoles ou aux véhicules à deux ou trois roues ne relèvent pas du champ d’application, car les aspects liés à l’efficacité en carburant ou à la sécurité ne seraient pas pertinents.</w:t>
      </w:r>
    </w:p>
  </w:footnote>
  <w:footnote w:id="5">
    <w:p w14:paraId="574510AD" w14:textId="77777777" w:rsidR="00423C71" w:rsidRPr="000C5EC3" w:rsidRDefault="00423C71" w:rsidP="00653373">
      <w:pPr>
        <w:pStyle w:val="FootnoteText"/>
        <w:spacing w:after="80"/>
      </w:pPr>
      <w:r w:rsidRPr="000C5EC3">
        <w:t>(</w:t>
      </w:r>
      <w:r w:rsidRPr="000C5EC3">
        <w:rPr>
          <w:rStyle w:val="FootnoteReference"/>
        </w:rPr>
        <w:footnoteRef/>
      </w:r>
      <w:r w:rsidRPr="000C5EC3">
        <w:t xml:space="preserve">) </w:t>
      </w:r>
      <w:r w:rsidRPr="000C5EC3">
        <w:tab/>
        <w:t>COM(2025) 187 final.</w:t>
      </w:r>
    </w:p>
  </w:footnote>
  <w:footnote w:id="6">
    <w:p w14:paraId="2B46D1BC" w14:textId="77777777" w:rsidR="00A83CED" w:rsidRPr="000C5EC3" w:rsidRDefault="00A83CED" w:rsidP="00A83CED">
      <w:pPr>
        <w:pStyle w:val="FootnoteText"/>
      </w:pPr>
      <w:r w:rsidRPr="000C5EC3">
        <w:t>(</w:t>
      </w:r>
      <w:r w:rsidRPr="000C5EC3">
        <w:rPr>
          <w:rStyle w:val="FootnoteReference"/>
        </w:rPr>
        <w:footnoteRef/>
      </w:r>
      <w:r w:rsidRPr="000C5EC3">
        <w:t xml:space="preserve">) </w:t>
      </w:r>
      <w:r w:rsidRPr="000C5EC3">
        <w:tab/>
      </w:r>
      <w:hyperlink r:id="rId1" w:history="1">
        <w:r w:rsidRPr="000C5EC3">
          <w:rPr>
            <w:rStyle w:val="Hyperlink"/>
          </w:rPr>
          <w:t>https://eprel.ec.europa.eu/screen/home</w:t>
        </w:r>
      </w:hyperlink>
      <w:r w:rsidRPr="000C5EC3">
        <w:t>.</w:t>
      </w:r>
    </w:p>
  </w:footnote>
  <w:footnote w:id="7">
    <w:p w14:paraId="57CFE8F6" w14:textId="58A19766" w:rsidR="007544AA" w:rsidRPr="000C5EC3" w:rsidRDefault="007544AA" w:rsidP="00101DD3">
      <w:pPr>
        <w:pStyle w:val="FootnoteText"/>
        <w:keepLines/>
      </w:pPr>
      <w:r w:rsidRPr="000C5EC3">
        <w:t>(</w:t>
      </w:r>
      <w:r w:rsidRPr="000C5EC3">
        <w:rPr>
          <w:rStyle w:val="FootnoteReference"/>
        </w:rPr>
        <w:footnoteRef/>
      </w:r>
      <w:r w:rsidRPr="000C5EC3">
        <w:t xml:space="preserve">) </w:t>
      </w:r>
      <w:r w:rsidRPr="000C5EC3">
        <w:tab/>
        <w:t>«</w:t>
      </w:r>
      <w:hyperlink r:id="rId2" w:history="1">
        <w:r w:rsidRPr="000C5EC3">
          <w:rPr>
            <w:rStyle w:val="Hyperlink"/>
          </w:rPr>
          <w:t>Study on consumer understanding of the EU tyre label applied since 1 May 2021</w:t>
        </w:r>
      </w:hyperlink>
      <w:r w:rsidRPr="000C5EC3">
        <w:t>» (Étude sur la compréhension par les consommateurs de l’étiquette des pneumatiques en vigueur dans l’UE depuis le 1</w:t>
      </w:r>
      <w:r w:rsidRPr="000C5EC3">
        <w:rPr>
          <w:vertAlign w:val="superscript"/>
        </w:rPr>
        <w:t>er</w:t>
      </w:r>
      <w:r w:rsidRPr="000C5EC3">
        <w:t> mai 2021).</w:t>
      </w:r>
    </w:p>
  </w:footnote>
  <w:footnote w:id="8">
    <w:p w14:paraId="064EB27F" w14:textId="67A48056" w:rsidR="00204326" w:rsidRPr="000C5EC3" w:rsidRDefault="00204326" w:rsidP="00204326">
      <w:pPr>
        <w:pStyle w:val="FootnoteText"/>
      </w:pPr>
      <w:r w:rsidRPr="000C5EC3">
        <w:t>(</w:t>
      </w:r>
      <w:r w:rsidRPr="000C5EC3">
        <w:rPr>
          <w:rStyle w:val="FootnoteReference"/>
        </w:rPr>
        <w:footnoteRef/>
      </w:r>
      <w:r w:rsidRPr="000C5EC3">
        <w:t xml:space="preserve">) </w:t>
      </w:r>
      <w:r w:rsidRPr="000C5EC3">
        <w:tab/>
      </w:r>
      <w:hyperlink r:id="rId3" w:history="1">
        <w:r w:rsidRPr="000C5EC3">
          <w:rPr>
            <w:color w:val="0000FF"/>
            <w:u w:val="single"/>
          </w:rPr>
          <w:t>Liste des groupes de coopération administrative</w:t>
        </w:r>
      </w:hyperlink>
      <w:r w:rsidRPr="000C5EC3">
        <w:t>.</w:t>
      </w:r>
    </w:p>
  </w:footnote>
  <w:footnote w:id="9">
    <w:p w14:paraId="0F8A8421" w14:textId="6F7C9578" w:rsidR="003938FF" w:rsidRPr="000C5EC3" w:rsidRDefault="003938FF">
      <w:pPr>
        <w:pStyle w:val="FootnoteText"/>
      </w:pPr>
      <w:r w:rsidRPr="000C5EC3">
        <w:t>(</w:t>
      </w:r>
      <w:r w:rsidRPr="000C5EC3">
        <w:rPr>
          <w:rStyle w:val="FootnoteReference"/>
        </w:rPr>
        <w:footnoteRef/>
      </w:r>
      <w:r w:rsidRPr="000C5EC3">
        <w:t>)</w:t>
      </w:r>
      <w:r w:rsidRPr="000C5EC3">
        <w:tab/>
      </w:r>
      <w:hyperlink r:id="rId4" w:history="1">
        <w:r w:rsidRPr="000C5EC3">
          <w:rPr>
            <w:rStyle w:val="Hyperlink"/>
          </w:rPr>
          <w:t>https://ec.europa.eu/transparency/expert-groups-register/screen/expert-groups/consult?lang=fr&amp;groupID=2519</w:t>
        </w:r>
      </w:hyperlink>
      <w:r w:rsidRPr="000C5EC3">
        <w:t>.</w:t>
      </w:r>
    </w:p>
  </w:footnote>
  <w:footnote w:id="10">
    <w:p w14:paraId="0741A67C" w14:textId="2CDC61CC" w:rsidR="00204326" w:rsidRPr="000C5EC3" w:rsidRDefault="00204326" w:rsidP="00204326">
      <w:pPr>
        <w:pStyle w:val="FootnoteText"/>
      </w:pPr>
      <w:r w:rsidRPr="000C5EC3">
        <w:t>(</w:t>
      </w:r>
      <w:r w:rsidRPr="000C5EC3">
        <w:rPr>
          <w:rStyle w:val="FootnoteReference"/>
        </w:rPr>
        <w:footnoteRef/>
      </w:r>
      <w:r w:rsidRPr="000C5EC3">
        <w:t xml:space="preserve">) </w:t>
      </w:r>
      <w:hyperlink r:id="rId5">
        <w:r w:rsidRPr="000C5EC3">
          <w:rPr>
            <w:rStyle w:val="Hyperlink"/>
          </w:rPr>
          <w:t>ICSMS</w:t>
        </w:r>
      </w:hyperlink>
      <w:r w:rsidRPr="000C5EC3">
        <w:t>.</w:t>
      </w:r>
    </w:p>
  </w:footnote>
  <w:footnote w:id="11">
    <w:p w14:paraId="2F30159C" w14:textId="77777777" w:rsidR="00971E00" w:rsidRPr="000C5EC3" w:rsidRDefault="00971E00">
      <w:pPr>
        <w:pStyle w:val="FootnoteText"/>
      </w:pPr>
      <w:r w:rsidRPr="000C5EC3">
        <w:t>(</w:t>
      </w:r>
      <w:r w:rsidRPr="000C5EC3">
        <w:rPr>
          <w:rStyle w:val="FootnoteReference"/>
        </w:rPr>
        <w:footnoteRef/>
      </w:r>
      <w:r w:rsidRPr="000C5EC3">
        <w:t xml:space="preserve">) </w:t>
      </w:r>
      <w:r w:rsidRPr="000C5EC3">
        <w:tab/>
      </w:r>
      <w:hyperlink r:id="rId6" w:history="1">
        <w:r w:rsidRPr="000C5EC3">
          <w:rPr>
            <w:rStyle w:val="Hyperlink"/>
          </w:rPr>
          <w:t>https://ec.europa.eu/info/law/better-regulation/have-your-say/initiatives/1460-Evaluation-and-potential-revision-of-the-EU-tyre-labelling-scheme_fr</w:t>
        </w:r>
      </w:hyperlink>
      <w:r w:rsidRPr="000C5EC3">
        <w:t>.</w:t>
      </w:r>
    </w:p>
  </w:footnote>
  <w:footnote w:id="12">
    <w:p w14:paraId="62B9C6C1" w14:textId="77777777" w:rsidR="00971E00" w:rsidRPr="000C5EC3" w:rsidRDefault="00971E00">
      <w:pPr>
        <w:pStyle w:val="FootnoteText"/>
      </w:pPr>
      <w:r w:rsidRPr="000C5EC3">
        <w:t>(</w:t>
      </w:r>
      <w:r w:rsidRPr="000C5EC3">
        <w:rPr>
          <w:rStyle w:val="FootnoteReference"/>
        </w:rPr>
        <w:footnoteRef/>
      </w:r>
      <w:r w:rsidRPr="000C5EC3">
        <w:t xml:space="preserve">) </w:t>
      </w:r>
      <w:r w:rsidRPr="000C5EC3">
        <w:tab/>
        <w:t>Aucune classe vide n’a été fixée pour les pneumatiques C3 qui, de toute façon, n’étaient pas tenus de porter une étiquette.</w:t>
      </w:r>
    </w:p>
  </w:footnote>
  <w:footnote w:id="13">
    <w:p w14:paraId="0C0AC617" w14:textId="77777777" w:rsidR="00971E00" w:rsidRPr="000C5EC3" w:rsidRDefault="00971E00">
      <w:pPr>
        <w:pStyle w:val="FootnoteText"/>
      </w:pPr>
      <w:r w:rsidRPr="000C5EC3">
        <w:t>(</w:t>
      </w:r>
      <w:r w:rsidRPr="000C5EC3">
        <w:rPr>
          <w:rStyle w:val="FootnoteReference"/>
        </w:rPr>
        <w:footnoteRef/>
      </w:r>
      <w:r w:rsidRPr="000C5EC3">
        <w:t xml:space="preserve">) </w:t>
      </w:r>
      <w:r w:rsidRPr="000C5EC3">
        <w:tab/>
        <w:t>Aucune classe n’est indiquée pour l’adhérence sur la neige et le verglas, étant donné que la méthode d’essai (freinage sur une trajectoire enneigée ou verglacée) ne donne pas de résultats suffisamment précis et reproductibles.</w:t>
      </w:r>
    </w:p>
  </w:footnote>
  <w:footnote w:id="14">
    <w:p w14:paraId="17C18876" w14:textId="77777777" w:rsidR="00BD61DF" w:rsidRPr="000C5EC3" w:rsidRDefault="00BD61DF" w:rsidP="00BD61DF">
      <w:pPr>
        <w:pStyle w:val="FootnoteText"/>
      </w:pPr>
      <w:r w:rsidRPr="000C5EC3">
        <w:t>(</w:t>
      </w:r>
      <w:r w:rsidRPr="000C5EC3">
        <w:rPr>
          <w:rStyle w:val="FootnoteReference"/>
        </w:rPr>
        <w:footnoteRef/>
      </w:r>
      <w:r w:rsidRPr="000C5EC3">
        <w:t xml:space="preserve">) </w:t>
      </w:r>
      <w:r w:rsidRPr="000C5EC3">
        <w:tab/>
        <w:t>Cela n’est pas surprenant et confirme que le choix d’achat est influencé par des aspects qui peuvent se traduire par des économies ou une sécurité renforcée.</w:t>
      </w:r>
    </w:p>
  </w:footnote>
  <w:footnote w:id="15">
    <w:p w14:paraId="769CD74D" w14:textId="1DA0AC66" w:rsidR="00BD61DF" w:rsidRPr="000C5EC3" w:rsidRDefault="00BD61DF" w:rsidP="00BD61DF">
      <w:pPr>
        <w:pStyle w:val="FootnoteText"/>
        <w:rPr>
          <w:i/>
          <w:iCs/>
        </w:rPr>
      </w:pPr>
      <w:r w:rsidRPr="000C5EC3">
        <w:t>(</w:t>
      </w:r>
      <w:r w:rsidRPr="000C5EC3">
        <w:rPr>
          <w:rStyle w:val="FootnoteReference"/>
        </w:rPr>
        <w:footnoteRef/>
      </w:r>
      <w:r w:rsidRPr="000C5EC3">
        <w:t>)</w:t>
      </w:r>
      <w:r w:rsidRPr="000C5EC3">
        <w:tab/>
        <w:t xml:space="preserve">Étude évaluant la compréhension des étiquettes des pneumatiques par les consommateurs, </w:t>
      </w:r>
      <w:hyperlink r:id="rId7" w:history="1">
        <w:r w:rsidRPr="000C5EC3">
          <w:rPr>
            <w:rStyle w:val="Hyperlink"/>
          </w:rPr>
          <w:t>https://data.europa.eu/doi/10.2833/210444</w:t>
        </w:r>
      </w:hyperlink>
      <w:r w:rsidRPr="000C5EC3">
        <w:t>.</w:t>
      </w:r>
    </w:p>
  </w:footnote>
  <w:footnote w:id="16">
    <w:p w14:paraId="79FCAD44" w14:textId="38027E00" w:rsidR="00BD61DF" w:rsidRPr="000C5EC3" w:rsidRDefault="00BD61DF" w:rsidP="00BD61DF">
      <w:pPr>
        <w:pStyle w:val="FootnoteText"/>
      </w:pPr>
      <w:r w:rsidRPr="000C5EC3">
        <w:t>(</w:t>
      </w:r>
      <w:r w:rsidRPr="000C5EC3">
        <w:rPr>
          <w:rStyle w:val="FootnoteReference"/>
        </w:rPr>
        <w:footnoteRef/>
      </w:r>
      <w:r w:rsidRPr="000C5EC3">
        <w:t xml:space="preserve">) </w:t>
      </w:r>
      <w:r w:rsidRPr="000C5EC3">
        <w:tab/>
        <w:t>À l’exception des voitures de luxe ou des ventes diplomatiques, les pneumatiques montés sur la voiture dépendent du lot de pneumatiques disponible au moment de l’assemblage du véhicule en usine. Certains concessionnaires peuvent accepter d’échanger les roues, si cela est possible et dans des cas exceptionnels de geste commercial envers le client.</w:t>
      </w:r>
    </w:p>
  </w:footnote>
  <w:footnote w:id="17">
    <w:p w14:paraId="6D8FF320" w14:textId="77777777" w:rsidR="00BD61DF" w:rsidRPr="000C5EC3" w:rsidRDefault="00BD61DF" w:rsidP="00BD61DF">
      <w:pPr>
        <w:pStyle w:val="FootnoteText"/>
      </w:pPr>
      <w:r w:rsidRPr="000C5EC3">
        <w:t>(</w:t>
      </w:r>
      <w:r w:rsidRPr="000C5EC3">
        <w:rPr>
          <w:rStyle w:val="FootnoteReference"/>
        </w:rPr>
        <w:footnoteRef/>
      </w:r>
      <w:r w:rsidRPr="000C5EC3">
        <w:t xml:space="preserve">) </w:t>
      </w:r>
      <w:r w:rsidRPr="000C5EC3">
        <w:tab/>
        <w:t>Par exemple, une simple indication avec une flèche de classe.</w:t>
      </w:r>
    </w:p>
  </w:footnote>
  <w:footnote w:id="18">
    <w:p w14:paraId="466F0258" w14:textId="52A8A1A3" w:rsidR="00BD61DF" w:rsidRPr="000C5EC3" w:rsidRDefault="00BD61DF" w:rsidP="00BD61DF">
      <w:pPr>
        <w:pStyle w:val="FootnoteText"/>
      </w:pPr>
      <w:r w:rsidRPr="000C5EC3">
        <w:t>(</w:t>
      </w:r>
      <w:r w:rsidRPr="000C5EC3">
        <w:rPr>
          <w:rStyle w:val="FootnoteReference"/>
        </w:rPr>
        <w:footnoteRef/>
      </w:r>
      <w:r w:rsidRPr="000C5EC3">
        <w:t xml:space="preserve">) </w:t>
      </w:r>
      <w:r w:rsidRPr="000C5EC3">
        <w:tab/>
        <w:t>Par exemple, actuellement, pour les pneumatiques C1, il n’est pas obligatoire d’indiquer lesquels, parmi les pneumatiques enregistrés, sont fabriqués conformément aux spécifications de l’équipementier (OEM) du véhicule, ou, pour les pneumatiques C3, lesquels sont destinés à un essieu moteur, un essieu directeur ou un essieu à roulement libre, ou lesquels sont destinés à un usage urbain ou longue distance, etc.</w:t>
      </w:r>
    </w:p>
  </w:footnote>
  <w:footnote w:id="19">
    <w:p w14:paraId="145E0A05" w14:textId="06472A5A" w:rsidR="00971E00" w:rsidRPr="000C5EC3" w:rsidRDefault="00971E00">
      <w:pPr>
        <w:pStyle w:val="FootnoteText"/>
      </w:pPr>
      <w:r w:rsidRPr="000C5EC3">
        <w:t>(</w:t>
      </w:r>
      <w:r w:rsidRPr="000C5EC3">
        <w:rPr>
          <w:rStyle w:val="FootnoteReference"/>
        </w:rPr>
        <w:footnoteRef/>
      </w:r>
      <w:r w:rsidRPr="000C5EC3">
        <w:t xml:space="preserve">) </w:t>
      </w:r>
      <w:r w:rsidRPr="000C5EC3">
        <w:tab/>
        <w:t>Contrairement à tous les autres règlements relatifs à l’étiquetage des produits, le règlement sur l’étiquetage des pneumatiques n’exige pas la valeur réelle du paramètre déterminant la classe pour la résistance au roulement et l’adhérence sur sol mouillé, mais uniquement pour le bruit.</w:t>
      </w:r>
    </w:p>
  </w:footnote>
  <w:footnote w:id="20">
    <w:p w14:paraId="76B314FD" w14:textId="28CE57F3" w:rsidR="00971E00" w:rsidRPr="000C5EC3" w:rsidRDefault="00971E00">
      <w:pPr>
        <w:pStyle w:val="FootnoteText"/>
      </w:pPr>
      <w:r w:rsidRPr="000C5EC3">
        <w:t>(</w:t>
      </w:r>
      <w:r w:rsidRPr="000C5EC3">
        <w:rPr>
          <w:rStyle w:val="FootnoteReference"/>
        </w:rPr>
        <w:footnoteRef/>
      </w:r>
      <w:r w:rsidRPr="000C5EC3">
        <w:t xml:space="preserve">) </w:t>
      </w:r>
      <w:r w:rsidRPr="000C5EC3">
        <w:tab/>
        <w:t>Les valeurs pondérées en pourcentage correspondant à la classe intermédiaire de l’étiquette sont utilisées parce que le règlement n’exige pas des fournisseurs qu’ils saisissent le coefficient de résistance au roulement dans EPREL, mais uniquement la classe qui lui est associée.</w:t>
      </w:r>
    </w:p>
  </w:footnote>
  <w:footnote w:id="21">
    <w:p w14:paraId="4F39306F" w14:textId="20A9E62C" w:rsidR="00971E00" w:rsidRPr="000C5EC3" w:rsidRDefault="00971E00">
      <w:pPr>
        <w:pStyle w:val="FootnoteText"/>
      </w:pPr>
      <w:r w:rsidRPr="000C5EC3">
        <w:t>(</w:t>
      </w:r>
      <w:r w:rsidRPr="000C5EC3">
        <w:rPr>
          <w:rStyle w:val="FootnoteReference"/>
        </w:rPr>
        <w:footnoteRef/>
      </w:r>
      <w:r w:rsidRPr="000C5EC3">
        <w:t xml:space="preserve">) </w:t>
      </w:r>
      <w:r w:rsidRPr="000C5EC3">
        <w:tab/>
        <w:t>Sur la base des pourcentages pondérés de la classe intermédiaire de l’étiquette, car les fournisseurs ne sont pas tenus de saisir l’indice d’adhérence sur sol mouillé dans EPREL, mais uniquement la classe qui lui est associée.</w:t>
      </w:r>
    </w:p>
  </w:footnote>
  <w:footnote w:id="22">
    <w:p w14:paraId="6003FC59" w14:textId="40F1E627" w:rsidR="00971E00" w:rsidRPr="000C5EC3" w:rsidRDefault="00971E00">
      <w:pPr>
        <w:pStyle w:val="FootnoteText"/>
        <w:keepLines/>
      </w:pPr>
      <w:r w:rsidRPr="000C5EC3">
        <w:t>(</w:t>
      </w:r>
      <w:r w:rsidRPr="000C5EC3">
        <w:rPr>
          <w:rStyle w:val="FootnoteReference"/>
        </w:rPr>
        <w:footnoteRef/>
      </w:r>
      <w:r w:rsidRPr="000C5EC3">
        <w:t xml:space="preserve">) </w:t>
      </w:r>
      <w:r w:rsidRPr="000C5EC3">
        <w:tab/>
        <w:t>Pour les camions, la formule de calcul des émissions de CO</w:t>
      </w:r>
      <w:r w:rsidRPr="000C5EC3">
        <w:rPr>
          <w:vertAlign w:val="subscript"/>
        </w:rPr>
        <w:t>2</w:t>
      </w:r>
      <w:r w:rsidRPr="000C5EC3">
        <w:t xml:space="preserve"> de la flotte conformément à la législation EURO IV tient compte du coefficient de résistance au roulement des pneumatiques de première monte (sur les camions diesel, la résistance au roulement des pneumatiques représente 30 à 40 % de la consommation d’énergie). Dans le cas des camions électriques, la part est plus élevée en raison de l’efficacité élevée des moteurs électriques, sans que cela réduise l’importance accordée à l’efficacité énergétique.</w:t>
      </w:r>
    </w:p>
  </w:footnote>
  <w:footnote w:id="23">
    <w:p w14:paraId="145D6A3F" w14:textId="77777777" w:rsidR="00971E00" w:rsidRPr="000C5EC3" w:rsidRDefault="00971E00">
      <w:pPr>
        <w:pStyle w:val="FootnoteText"/>
      </w:pPr>
      <w:r w:rsidRPr="000C5EC3">
        <w:t>(</w:t>
      </w:r>
      <w:r w:rsidRPr="000C5EC3">
        <w:rPr>
          <w:rStyle w:val="FootnoteReference"/>
        </w:rPr>
        <w:footnoteRef/>
      </w:r>
      <w:r w:rsidRPr="000C5EC3">
        <w:t xml:space="preserve">) </w:t>
      </w:r>
      <w:r w:rsidRPr="000C5EC3">
        <w:tab/>
        <w:t>La même méthode que celle utilisée pour les pneumatiques neufs serait appliquée.</w:t>
      </w:r>
    </w:p>
  </w:footnote>
  <w:footnote w:id="24">
    <w:p w14:paraId="5EC19F2B" w14:textId="77777777" w:rsidR="00971E00" w:rsidRPr="000C5EC3" w:rsidRDefault="00971E00">
      <w:pPr>
        <w:pStyle w:val="FootnoteText"/>
      </w:pPr>
      <w:r w:rsidRPr="000C5EC3">
        <w:t>(</w:t>
      </w:r>
      <w:r w:rsidRPr="000C5EC3">
        <w:rPr>
          <w:rStyle w:val="FootnoteReference"/>
        </w:rPr>
        <w:footnoteRef/>
      </w:r>
      <w:r w:rsidRPr="000C5EC3">
        <w:t xml:space="preserve">) </w:t>
      </w:r>
      <w:r w:rsidRPr="000C5EC3">
        <w:tab/>
      </w:r>
      <w:hyperlink r:id="rId8" w:history="1">
        <w:r w:rsidRPr="000C5EC3">
          <w:rPr>
            <w:rStyle w:val="Hyperlink"/>
          </w:rPr>
          <w:t>https://wiki.unece.org/pages/viewpage.action?pageId=160694352</w:t>
        </w:r>
      </w:hyperlink>
      <w:r w:rsidRPr="000C5EC3">
        <w:t>.</w:t>
      </w:r>
    </w:p>
  </w:footnote>
  <w:footnote w:id="25">
    <w:p w14:paraId="72672AC7" w14:textId="223E109B" w:rsidR="0093172B" w:rsidRPr="000C5EC3" w:rsidRDefault="0093172B" w:rsidP="0093172B">
      <w:pPr>
        <w:pStyle w:val="FootnoteText"/>
      </w:pPr>
      <w:r w:rsidRPr="000C5EC3">
        <w:t>(</w:t>
      </w:r>
      <w:r w:rsidRPr="000C5EC3">
        <w:rPr>
          <w:rStyle w:val="FootnoteReference"/>
        </w:rPr>
        <w:footnoteRef/>
      </w:r>
      <w:r w:rsidRPr="000C5EC3">
        <w:t>)</w:t>
      </w:r>
      <w:r w:rsidRPr="000C5EC3">
        <w:tab/>
        <w:t>Le GRBP 83, (WP.29/GRBP) Groupe de travail sur le bruit et les pneumatiques (83</w:t>
      </w:r>
      <w:r w:rsidRPr="000C5EC3">
        <w:rPr>
          <w:vertAlign w:val="superscript"/>
        </w:rPr>
        <w:t>e</w:t>
      </w:r>
      <w:r w:rsidRPr="000C5EC3">
        <w:t> session) de la Commission économique pour l’Europe des Nations unies (CEE-ONU), est un organe subsidiaire du Forum mondial de l’harmonisation des règlements concernant les véhicules.</w:t>
      </w:r>
    </w:p>
  </w:footnote>
  <w:footnote w:id="26">
    <w:p w14:paraId="78E7F22A" w14:textId="13A825A3" w:rsidR="00F9775E" w:rsidRPr="000C5EC3" w:rsidRDefault="00F9775E">
      <w:pPr>
        <w:pStyle w:val="FootnoteText"/>
      </w:pPr>
      <w:r w:rsidRPr="000C5EC3">
        <w:t>(</w:t>
      </w:r>
      <w:r w:rsidRPr="000C5EC3">
        <w:rPr>
          <w:rStyle w:val="FootnoteReference"/>
        </w:rPr>
        <w:footnoteRef/>
      </w:r>
      <w:r w:rsidRPr="000C5EC3">
        <w:t>)</w:t>
      </w:r>
      <w:r w:rsidRPr="000C5EC3">
        <w:tab/>
        <w:t>La méthode en laboratoire, plus rapide, plus reproductible et moins polluante, semblable aux essais utilisés pour mesurer la résistance au roulement, permet aux fabricants de pneumatiques de gagner plusieurs mois dans le lancement de nouveaux types de pneumatiques.</w:t>
      </w:r>
    </w:p>
  </w:footnote>
  <w:footnote w:id="27">
    <w:p w14:paraId="0D691CA2" w14:textId="1B61910B" w:rsidR="00F127BC" w:rsidRPr="000C5EC3" w:rsidRDefault="00F127BC">
      <w:pPr>
        <w:pStyle w:val="FootnoteText"/>
      </w:pPr>
      <w:r w:rsidRPr="000C5EC3">
        <w:t>(</w:t>
      </w:r>
      <w:r w:rsidRPr="000C5EC3">
        <w:rPr>
          <w:rStyle w:val="FootnoteReference"/>
        </w:rPr>
        <w:footnoteRef/>
      </w:r>
      <w:r w:rsidRPr="000C5EC3">
        <w:t>)</w:t>
      </w:r>
      <w:r w:rsidRPr="000C5EC3">
        <w:tab/>
        <w:t xml:space="preserve">25 % de routes urbaines, 25 % de routes régionales et 35 % d’autoroutes, à trois niveaux de température différents, entre 5 °C et 25 °C. L’essai en convoi pose des problèmes de répétabilité et d’accessibilité financière pour les autorités de surveillance du marché. </w:t>
      </w:r>
    </w:p>
  </w:footnote>
  <w:footnote w:id="28">
    <w:p w14:paraId="175872FD" w14:textId="77777777" w:rsidR="00417449" w:rsidRPr="000C5EC3" w:rsidRDefault="00417449" w:rsidP="00417449">
      <w:pPr>
        <w:pStyle w:val="FootnoteText"/>
      </w:pPr>
      <w:r w:rsidRPr="000C5EC3">
        <w:t>(</w:t>
      </w:r>
      <w:r w:rsidRPr="000C5EC3">
        <w:rPr>
          <w:rStyle w:val="FootnoteReference"/>
        </w:rPr>
        <w:footnoteRef/>
      </w:r>
      <w:r w:rsidRPr="000C5EC3">
        <w:t xml:space="preserve">) </w:t>
      </w:r>
      <w:r w:rsidRPr="000C5EC3">
        <w:tab/>
        <w:t>Le règlement nº 117 de la CEE-ONU sera modifié afin d’y inclure les seuils d’abrasion. Les données relatives aux niveaux d’abrasion et à la perte de bande de roulement font donc partie de la documentation d’homologation. Si la déclaration des fabricants de pneumatiques, au moyen de la documentation d’homologation sur les résultats des essais d’abrasion, incluait également la perte de profondeur de la bande de roulement, le classement en fonction du kilométrage deviendrait réalisable.</w:t>
      </w:r>
    </w:p>
  </w:footnote>
  <w:footnote w:id="29">
    <w:p w14:paraId="4FC8AD6B" w14:textId="4BA2C089" w:rsidR="00971E00" w:rsidRPr="000C5EC3" w:rsidRDefault="00971E00">
      <w:pPr>
        <w:pStyle w:val="FootnoteText"/>
      </w:pPr>
      <w:r w:rsidRPr="000C5EC3">
        <w:t>(</w:t>
      </w:r>
      <w:r w:rsidRPr="000C5EC3">
        <w:rPr>
          <w:rStyle w:val="FootnoteReference"/>
        </w:rPr>
        <w:footnoteRef/>
      </w:r>
      <w:r w:rsidRPr="000C5EC3">
        <w:t xml:space="preserve">) </w:t>
      </w:r>
      <w:r w:rsidRPr="000C5EC3">
        <w:tab/>
        <w:t>Aucune étiquette de petit format n’est disponible pour un usage dans les catalogues de pneumatiques, où environ 20 lignes sur chaque page décrivent chaque pneumatique, ou pour les offres de véhicules, où les étiquettes des pneumatiques prennent 10 fois l’espace utilisé pour la description du véhicule et ses options. L’absence d’indication des paramètres nécessaires pour distinguer les pneumatiques de même taille qui doivent être saisis dans EPREL entrave l’application de la taxinomie ou d’éventuels critères consistant à «ne pas causer de préjudice important» (DNSH).</w:t>
      </w:r>
    </w:p>
  </w:footnote>
  <w:footnote w:id="30">
    <w:p w14:paraId="441AF306" w14:textId="3DC12894" w:rsidR="008A0FF4" w:rsidRPr="000C5EC3" w:rsidRDefault="008A0FF4" w:rsidP="008A0FF4">
      <w:pPr>
        <w:pStyle w:val="FootnoteText"/>
      </w:pPr>
      <w:r w:rsidRPr="000C5EC3">
        <w:t>(</w:t>
      </w:r>
      <w:r w:rsidRPr="000C5EC3">
        <w:rPr>
          <w:rStyle w:val="FootnoteReference"/>
        </w:rPr>
        <w:footnoteRef/>
      </w:r>
      <w:r w:rsidRPr="000C5EC3">
        <w:t xml:space="preserve">) </w:t>
      </w:r>
      <w:r w:rsidRPr="000C5EC3">
        <w:tab/>
        <w:t>Règlement (CE) nº 765/2008 fixant les prescriptions relatives à l’accréditation et à la surveillance du marché pour la commercialisation des produits.</w:t>
      </w:r>
    </w:p>
  </w:footnote>
  <w:footnote w:id="31">
    <w:p w14:paraId="58E9FA0E" w14:textId="77777777" w:rsidR="008A0FF4" w:rsidRPr="000C5EC3" w:rsidRDefault="008A0FF4" w:rsidP="008A0FF4">
      <w:pPr>
        <w:pStyle w:val="FootnoteText"/>
      </w:pPr>
      <w:r w:rsidRPr="000C5EC3">
        <w:t>(</w:t>
      </w:r>
      <w:r w:rsidRPr="000C5EC3">
        <w:rPr>
          <w:rStyle w:val="FootnoteReference"/>
        </w:rPr>
        <w:footnoteRef/>
      </w:r>
      <w:r w:rsidRPr="000C5EC3">
        <w:t xml:space="preserve">) </w:t>
      </w:r>
      <w:r w:rsidRPr="000C5EC3">
        <w:tab/>
        <w:t>Règlement (UE) 2019/1020 sur la surveillance du marché et la conformité des produits.</w:t>
      </w:r>
    </w:p>
  </w:footnote>
  <w:footnote w:id="32">
    <w:p w14:paraId="4A1AF125" w14:textId="4A3AEC6B" w:rsidR="004B62A2" w:rsidRPr="000C5EC3" w:rsidRDefault="004B62A2">
      <w:pPr>
        <w:pStyle w:val="FootnoteText"/>
      </w:pPr>
      <w:r w:rsidRPr="000C5EC3">
        <w:t>(</w:t>
      </w:r>
      <w:r w:rsidRPr="000C5EC3">
        <w:rPr>
          <w:rStyle w:val="FootnoteReference"/>
        </w:rPr>
        <w:footnoteRef/>
      </w:r>
      <w:r w:rsidRPr="000C5EC3">
        <w:t>)</w:t>
      </w:r>
      <w:r w:rsidRPr="000C5EC3">
        <w:tab/>
        <w:t>Système d’information et de communication pour la surveillance des marchés.</w:t>
      </w:r>
    </w:p>
  </w:footnote>
  <w:footnote w:id="33">
    <w:p w14:paraId="60B1B052" w14:textId="77777777" w:rsidR="00971E00" w:rsidRPr="000C5EC3" w:rsidRDefault="00971E00">
      <w:pPr>
        <w:pStyle w:val="FootnoteText"/>
      </w:pPr>
      <w:r w:rsidRPr="000C5EC3">
        <w:t>(</w:t>
      </w:r>
      <w:r w:rsidRPr="000C5EC3">
        <w:rPr>
          <w:rStyle w:val="FootnoteReference"/>
        </w:rPr>
        <w:footnoteRef/>
      </w:r>
      <w:r w:rsidRPr="000C5EC3">
        <w:t xml:space="preserve">) </w:t>
      </w:r>
      <w:r w:rsidRPr="000C5EC3">
        <w:tab/>
      </w:r>
      <w:hyperlink r:id="rId9" w:history="1">
        <w:r w:rsidRPr="000C5EC3">
          <w:rPr>
            <w:rStyle w:val="Hyperlink"/>
          </w:rPr>
          <w:t>https://energy-efficient-products.ec.europa.eu/national-measures-penalties-and-sanctions-tyres_en</w:t>
        </w:r>
      </w:hyperlink>
      <w:r w:rsidRPr="000C5EC3">
        <w:t>.</w:t>
      </w:r>
    </w:p>
  </w:footnote>
  <w:footnote w:id="34">
    <w:p w14:paraId="1BC61A73" w14:textId="363E8351" w:rsidR="00971E00" w:rsidRPr="000C5EC3" w:rsidRDefault="00971E00">
      <w:pPr>
        <w:pStyle w:val="FootnoteText"/>
      </w:pPr>
      <w:r w:rsidRPr="000C5EC3">
        <w:t>(</w:t>
      </w:r>
      <w:r w:rsidRPr="000C5EC3">
        <w:rPr>
          <w:rStyle w:val="FootnoteReference"/>
        </w:rPr>
        <w:footnoteRef/>
      </w:r>
      <w:r w:rsidRPr="000C5EC3">
        <w:t xml:space="preserve">) </w:t>
      </w:r>
      <w:r w:rsidRPr="000C5EC3">
        <w:tab/>
      </w:r>
      <w:hyperlink r:id="rId10" w:history="1">
        <w:r w:rsidRPr="000C5EC3">
          <w:rPr>
            <w:rStyle w:val="Hyperlink"/>
          </w:rPr>
          <w:t>https://prosafe.org/</w:t>
        </w:r>
      </w:hyperlink>
      <w:r w:rsidRPr="000C5EC3">
        <w:t>, un consortium de coordination des autorités de surveillance du marché.</w:t>
      </w:r>
    </w:p>
  </w:footnote>
  <w:footnote w:id="35">
    <w:p w14:paraId="5DFE7755" w14:textId="17409431" w:rsidR="00971E00" w:rsidRPr="000C5EC3" w:rsidRDefault="00971E00">
      <w:pPr>
        <w:pStyle w:val="FootnoteText"/>
      </w:pPr>
      <w:r w:rsidRPr="000C5EC3">
        <w:t>(</w:t>
      </w:r>
      <w:r w:rsidRPr="000C5EC3">
        <w:rPr>
          <w:rStyle w:val="FootnoteReference"/>
        </w:rPr>
        <w:footnoteRef/>
      </w:r>
      <w:r w:rsidRPr="000C5EC3">
        <w:t xml:space="preserve">) </w:t>
      </w:r>
      <w:r w:rsidRPr="000C5EC3">
        <w:tab/>
        <w:t>Article 9 du règlement (UE) 2018/858.</w:t>
      </w:r>
    </w:p>
  </w:footnote>
  <w:footnote w:id="36">
    <w:p w14:paraId="0634E833" w14:textId="2381E682" w:rsidR="00971E00" w:rsidRPr="000C5EC3" w:rsidRDefault="00971E00">
      <w:pPr>
        <w:pStyle w:val="FootnoteText"/>
      </w:pPr>
      <w:r w:rsidRPr="000C5EC3">
        <w:t>(</w:t>
      </w:r>
      <w:r w:rsidRPr="000C5EC3">
        <w:rPr>
          <w:rStyle w:val="FootnoteReference"/>
        </w:rPr>
        <w:footnoteRef/>
      </w:r>
      <w:r w:rsidRPr="000C5EC3">
        <w:t xml:space="preserve">) </w:t>
      </w:r>
      <w:r w:rsidRPr="000C5EC3">
        <w:tab/>
        <w:t xml:space="preserve">Un rapport d’activité est disponible à l’adresse suivante: </w:t>
      </w:r>
      <w:hyperlink r:id="rId11" w:history="1">
        <w:r w:rsidRPr="000C5EC3">
          <w:rPr>
            <w:rStyle w:val="Hyperlink"/>
          </w:rPr>
          <w:t>https://publications.jrc.ec.europa.eu/repository/handle/JRC130606</w:t>
        </w:r>
      </w:hyperlink>
      <w:r w:rsidRPr="000C5EC3">
        <w:t>.</w:t>
      </w:r>
    </w:p>
  </w:footnote>
  <w:footnote w:id="37">
    <w:p w14:paraId="66545E6D" w14:textId="77DA3396" w:rsidR="00435649" w:rsidRPr="000C5EC3" w:rsidRDefault="00435649" w:rsidP="00435649">
      <w:pPr>
        <w:pStyle w:val="FootnoteText"/>
      </w:pPr>
      <w:r w:rsidRPr="000C5EC3">
        <w:t>(</w:t>
      </w:r>
      <w:r w:rsidRPr="000C5EC3">
        <w:rPr>
          <w:rStyle w:val="FootnoteReference"/>
        </w:rPr>
        <w:footnoteRef/>
      </w:r>
      <w:r w:rsidRPr="000C5EC3">
        <w:t>)</w:t>
      </w:r>
      <w:r w:rsidRPr="000C5EC3">
        <w:tab/>
        <w:t>Un rapport décrivant les activités menées par le JRC sur les pneumatiques est disponible à l’adresse suivante: https://publications.jrc.ec.europa.eu/repository/handle/JRC135546.</w:t>
      </w:r>
    </w:p>
  </w:footnote>
  <w:footnote w:id="38">
    <w:p w14:paraId="36BCAAB8" w14:textId="1C22DCC2" w:rsidR="00971E00" w:rsidRPr="000C5EC3" w:rsidRDefault="00971E00">
      <w:pPr>
        <w:pStyle w:val="FootnoteText"/>
      </w:pPr>
      <w:r w:rsidRPr="000C5EC3">
        <w:t>(</w:t>
      </w:r>
      <w:r w:rsidRPr="000C5EC3">
        <w:rPr>
          <w:rStyle w:val="FootnoteReference"/>
        </w:rPr>
        <w:footnoteRef/>
      </w:r>
      <w:r w:rsidRPr="000C5EC3">
        <w:t xml:space="preserve">) </w:t>
      </w:r>
      <w:r w:rsidRPr="000C5EC3">
        <w:tab/>
        <w:t>Les autorités nationales peuvent être réticentes à imposer la conformité ou des sanctions aux constructeurs établis sur leur territoire.</w:t>
      </w:r>
    </w:p>
  </w:footnote>
  <w:footnote w:id="39">
    <w:p w14:paraId="7EEE258A" w14:textId="1B93DED9" w:rsidR="00971E00" w:rsidRPr="000C5EC3" w:rsidRDefault="00971E00">
      <w:pPr>
        <w:pStyle w:val="FootnoteText"/>
      </w:pPr>
      <w:r w:rsidRPr="000C5EC3">
        <w:t>(</w:t>
      </w:r>
      <w:r w:rsidRPr="000C5EC3">
        <w:rPr>
          <w:rStyle w:val="FootnoteReference"/>
        </w:rPr>
        <w:footnoteRef/>
      </w:r>
      <w:r w:rsidRPr="000C5EC3">
        <w:t xml:space="preserve">) </w:t>
      </w:r>
      <w:r w:rsidRPr="000C5EC3">
        <w:tab/>
        <w:t>L’homologation se fait au niveau de la «famille de produits», tandis que l’étiquetage des pneumatiques se fait au niveau du type de pneumatique (chaque modèle de la famille).</w:t>
      </w:r>
    </w:p>
  </w:footnote>
  <w:footnote w:id="40">
    <w:p w14:paraId="112A72E6" w14:textId="716508F5" w:rsidR="005519C3" w:rsidRPr="000C5EC3" w:rsidRDefault="005519C3" w:rsidP="005519C3">
      <w:pPr>
        <w:pStyle w:val="FootnoteText"/>
      </w:pPr>
      <w:r w:rsidRPr="000C5EC3">
        <w:t>(</w:t>
      </w:r>
      <w:r w:rsidRPr="000C5EC3">
        <w:rPr>
          <w:rStyle w:val="FootnoteReference"/>
        </w:rPr>
        <w:footnoteRef/>
      </w:r>
      <w:r w:rsidRPr="000C5EC3">
        <w:t xml:space="preserve">) </w:t>
      </w:r>
      <w:r w:rsidRPr="000C5EC3">
        <w:tab/>
        <w:t>Par exemple, les États-Unis, la Corée et le Japon.</w:t>
      </w:r>
    </w:p>
  </w:footnote>
  <w:footnote w:id="41">
    <w:p w14:paraId="2486ADE9" w14:textId="77777777" w:rsidR="005519C3" w:rsidRPr="000C5EC3" w:rsidRDefault="005519C3" w:rsidP="005519C3">
      <w:pPr>
        <w:pStyle w:val="FootnoteText"/>
      </w:pPr>
      <w:r w:rsidRPr="000C5EC3">
        <w:t>(</w:t>
      </w:r>
      <w:r w:rsidRPr="000C5EC3">
        <w:rPr>
          <w:rStyle w:val="FootnoteReference"/>
        </w:rPr>
        <w:footnoteRef/>
      </w:r>
      <w:r w:rsidRPr="000C5EC3">
        <w:t xml:space="preserve">) </w:t>
      </w:r>
      <w:r w:rsidRPr="000C5EC3">
        <w:tab/>
        <w:t xml:space="preserve">La liste des laboratoires est publiée dans la </w:t>
      </w:r>
      <w:hyperlink r:id="rId12" w:history="1">
        <w:r w:rsidRPr="000C5EC3">
          <w:rPr>
            <w:rStyle w:val="Hyperlink"/>
          </w:rPr>
          <w:t>communication 2012/C 86/03 de la Commission</w:t>
        </w:r>
      </w:hyperlink>
      <w:r w:rsidRPr="000C5EC3">
        <w:t>. Une mise à jour est prévue pour 2026.</w:t>
      </w:r>
    </w:p>
  </w:footnote>
  <w:footnote w:id="42">
    <w:p w14:paraId="012BA449" w14:textId="72BF4D8D" w:rsidR="00971E00" w:rsidRPr="000C5EC3" w:rsidRDefault="00971E00">
      <w:pPr>
        <w:pStyle w:val="FootnoteText"/>
      </w:pPr>
      <w:r w:rsidRPr="000C5EC3">
        <w:t>(</w:t>
      </w:r>
      <w:r w:rsidRPr="000C5EC3">
        <w:rPr>
          <w:rStyle w:val="FootnoteReference"/>
        </w:rPr>
        <w:footnoteRef/>
      </w:r>
      <w:r w:rsidRPr="000C5EC3">
        <w:t xml:space="preserve">) </w:t>
      </w:r>
      <w:r w:rsidRPr="000C5EC3">
        <w:tab/>
        <w:t>Par exemple, la sculpture de la bande de roulement des pneumatiques pour camions diffère selon la manière dont les pneumatiques doivent être montés, c’est-à-dire sur un essieu moteur, un essieu directeur ou un essieu à roulement libre (la carcasse est la même, mais les performances globales peuvent varier considérablement).</w:t>
      </w:r>
    </w:p>
  </w:footnote>
  <w:footnote w:id="43">
    <w:p w14:paraId="024A318E" w14:textId="300F0D77" w:rsidR="00971E00" w:rsidRPr="000C5EC3" w:rsidRDefault="00971E00">
      <w:pPr>
        <w:pStyle w:val="FootnoteText"/>
      </w:pPr>
      <w:r w:rsidRPr="000C5EC3">
        <w:t>(</w:t>
      </w:r>
      <w:r w:rsidRPr="000C5EC3">
        <w:rPr>
          <w:rStyle w:val="FootnoteReference"/>
        </w:rPr>
        <w:footnoteRef/>
      </w:r>
      <w:r w:rsidRPr="000C5EC3">
        <w:t xml:space="preserve">) </w:t>
      </w:r>
      <w:r w:rsidRPr="000C5EC3">
        <w:tab/>
        <w:t>Le choix des pneumatiques en tenant compte de la «position de l’essieu» ou du «profil de mission» est essentiel, en ce qui concerne la conception de la bande de roulement et de la carcasse et, par conséquent, la résistance au roulement, le bruit ou l’adhérence.</w:t>
      </w:r>
    </w:p>
  </w:footnote>
  <w:footnote w:id="44">
    <w:p w14:paraId="735BCE6E" w14:textId="0AF5F61E" w:rsidR="00971E00" w:rsidRPr="000C5EC3" w:rsidRDefault="00971E00">
      <w:pPr>
        <w:pStyle w:val="FootnoteText"/>
      </w:pPr>
      <w:r w:rsidRPr="000C5EC3">
        <w:t>(</w:t>
      </w:r>
      <w:r w:rsidRPr="000C5EC3">
        <w:rPr>
          <w:rStyle w:val="FootnoteReference"/>
        </w:rPr>
        <w:footnoteRef/>
      </w:r>
      <w:r w:rsidRPr="000C5EC3">
        <w:t xml:space="preserve">) </w:t>
      </w:r>
      <w:r w:rsidRPr="000C5EC3">
        <w:tab/>
        <w:t>Bien que chaque constructeur mette en place un mécanisme d’«appel d’offres», l’industrie automobile a clairement manifesté son intérêt pour une vue d’ensemble complète du marché, afin de mieux adapter les exigences.</w:t>
      </w:r>
    </w:p>
  </w:footnote>
  <w:footnote w:id="45">
    <w:p w14:paraId="240B3FFE" w14:textId="18EF886F" w:rsidR="00971E00" w:rsidRPr="00654E39" w:rsidRDefault="00971E00">
      <w:pPr>
        <w:pStyle w:val="FootnoteText"/>
      </w:pPr>
      <w:r w:rsidRPr="000C5EC3">
        <w:t>(</w:t>
      </w:r>
      <w:r w:rsidRPr="000C5EC3">
        <w:rPr>
          <w:rStyle w:val="FootnoteReference"/>
        </w:rPr>
        <w:footnoteRef/>
      </w:r>
      <w:r w:rsidRPr="000C5EC3">
        <w:t xml:space="preserve">) </w:t>
      </w:r>
      <w:r w:rsidRPr="000C5EC3">
        <w:tab/>
        <w:t>Ces valeurs de coefficient de résistance au roulement et d’indice d’adhérence sur sol mouillé sont en tout état de cause déjà saisies dans EPREL, mais uniquement pour la documentation technique et par certains fournisseurs.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57DAB" w14:textId="77777777" w:rsidR="005A5537" w:rsidRPr="005A5537" w:rsidRDefault="005A5537" w:rsidP="005A553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E1E0C" w14:textId="77777777" w:rsidR="005A5537" w:rsidRPr="005A5537" w:rsidRDefault="005A5537" w:rsidP="005A553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77041" w14:textId="77777777" w:rsidR="005A5537" w:rsidRPr="005A5537" w:rsidRDefault="005A5537" w:rsidP="005A553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A8CAC" w14:textId="77777777" w:rsidR="008D6BC5" w:rsidRPr="000C5EC3" w:rsidRDefault="008D6B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3D470" w14:textId="77777777" w:rsidR="008D6BC5" w:rsidRPr="000C5EC3" w:rsidRDefault="008D6BC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0CD9C" w14:textId="77777777" w:rsidR="008D6BC5" w:rsidRPr="000C5EC3" w:rsidRDefault="008D6B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23B66F5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8FC2AD58"/>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E08875D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B86217B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468254A4"/>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9AC05AD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BD724B24"/>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BF7C799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3C02D9D"/>
    <w:multiLevelType w:val="hybridMultilevel"/>
    <w:tmpl w:val="430693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4CC579E"/>
    <w:multiLevelType w:val="hybridMultilevel"/>
    <w:tmpl w:val="B3A2FE6E"/>
    <w:lvl w:ilvl="0" w:tplc="2AC2AE30">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C8DFDF8"/>
    <w:multiLevelType w:val="multilevel"/>
    <w:tmpl w:val="AE3492D2"/>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2E04AE6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A4D8784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4736327"/>
    <w:multiLevelType w:val="hybridMultilevel"/>
    <w:tmpl w:val="11BA58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55950C3"/>
    <w:multiLevelType w:val="hybridMultilevel"/>
    <w:tmpl w:val="3BF0ED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6324F1E"/>
    <w:multiLevelType w:val="multilevel"/>
    <w:tmpl w:val="51024806"/>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D39CAA2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A7730C4"/>
    <w:multiLevelType w:val="multilevel"/>
    <w:tmpl w:val="DEBECA3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29E662A"/>
    <w:multiLevelType w:val="multilevel"/>
    <w:tmpl w:val="A25C18B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5F74781"/>
    <w:multiLevelType w:val="hybridMultilevel"/>
    <w:tmpl w:val="B9E28B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E1A63DF"/>
    <w:multiLevelType w:val="multilevel"/>
    <w:tmpl w:val="67F80E52"/>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1A982C"/>
    <w:multiLevelType w:val="multilevel"/>
    <w:tmpl w:val="D3F0260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72619B"/>
    <w:multiLevelType w:val="multilevel"/>
    <w:tmpl w:val="DBE8112A"/>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9B52"/>
    <w:multiLevelType w:val="multilevel"/>
    <w:tmpl w:val="3F6C647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27B0C7E"/>
    <w:multiLevelType w:val="hybridMultilevel"/>
    <w:tmpl w:val="D944A6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977472E"/>
    <w:multiLevelType w:val="multilevel"/>
    <w:tmpl w:val="0E4E0738"/>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6D5D66B8"/>
    <w:multiLevelType w:val="hybridMultilevel"/>
    <w:tmpl w:val="F5AA009E"/>
    <w:lvl w:ilvl="0" w:tplc="2356EC62">
      <w:start w:val="1"/>
      <w:numFmt w:val="bullet"/>
      <w:lvlText w:val=""/>
      <w:lvlJc w:val="left"/>
      <w:pPr>
        <w:ind w:left="1440" w:hanging="360"/>
      </w:pPr>
      <w:rPr>
        <w:rFonts w:ascii="Symbol" w:hAnsi="Symbol"/>
      </w:rPr>
    </w:lvl>
    <w:lvl w:ilvl="1" w:tplc="317E0854">
      <w:start w:val="1"/>
      <w:numFmt w:val="bullet"/>
      <w:lvlText w:val=""/>
      <w:lvlJc w:val="left"/>
      <w:pPr>
        <w:ind w:left="1440" w:hanging="360"/>
      </w:pPr>
      <w:rPr>
        <w:rFonts w:ascii="Symbol" w:hAnsi="Symbol"/>
      </w:rPr>
    </w:lvl>
    <w:lvl w:ilvl="2" w:tplc="F9DE7518">
      <w:start w:val="1"/>
      <w:numFmt w:val="bullet"/>
      <w:lvlText w:val=""/>
      <w:lvlJc w:val="left"/>
      <w:pPr>
        <w:ind w:left="1440" w:hanging="360"/>
      </w:pPr>
      <w:rPr>
        <w:rFonts w:ascii="Symbol" w:hAnsi="Symbol"/>
      </w:rPr>
    </w:lvl>
    <w:lvl w:ilvl="3" w:tplc="B0EA8EA0">
      <w:start w:val="1"/>
      <w:numFmt w:val="bullet"/>
      <w:lvlText w:val=""/>
      <w:lvlJc w:val="left"/>
      <w:pPr>
        <w:ind w:left="1440" w:hanging="360"/>
      </w:pPr>
      <w:rPr>
        <w:rFonts w:ascii="Symbol" w:hAnsi="Symbol"/>
      </w:rPr>
    </w:lvl>
    <w:lvl w:ilvl="4" w:tplc="3754F52E">
      <w:start w:val="1"/>
      <w:numFmt w:val="bullet"/>
      <w:lvlText w:val=""/>
      <w:lvlJc w:val="left"/>
      <w:pPr>
        <w:ind w:left="1440" w:hanging="360"/>
      </w:pPr>
      <w:rPr>
        <w:rFonts w:ascii="Symbol" w:hAnsi="Symbol"/>
      </w:rPr>
    </w:lvl>
    <w:lvl w:ilvl="5" w:tplc="96D6FCBE">
      <w:start w:val="1"/>
      <w:numFmt w:val="bullet"/>
      <w:lvlText w:val=""/>
      <w:lvlJc w:val="left"/>
      <w:pPr>
        <w:ind w:left="1440" w:hanging="360"/>
      </w:pPr>
      <w:rPr>
        <w:rFonts w:ascii="Symbol" w:hAnsi="Symbol"/>
      </w:rPr>
    </w:lvl>
    <w:lvl w:ilvl="6" w:tplc="91CEEF7C">
      <w:start w:val="1"/>
      <w:numFmt w:val="bullet"/>
      <w:lvlText w:val=""/>
      <w:lvlJc w:val="left"/>
      <w:pPr>
        <w:ind w:left="1440" w:hanging="360"/>
      </w:pPr>
      <w:rPr>
        <w:rFonts w:ascii="Symbol" w:hAnsi="Symbol"/>
      </w:rPr>
    </w:lvl>
    <w:lvl w:ilvl="7" w:tplc="27E86F1E">
      <w:start w:val="1"/>
      <w:numFmt w:val="bullet"/>
      <w:lvlText w:val=""/>
      <w:lvlJc w:val="left"/>
      <w:pPr>
        <w:ind w:left="1440" w:hanging="360"/>
      </w:pPr>
      <w:rPr>
        <w:rFonts w:ascii="Symbol" w:hAnsi="Symbol"/>
      </w:rPr>
    </w:lvl>
    <w:lvl w:ilvl="8" w:tplc="5CB64924">
      <w:start w:val="1"/>
      <w:numFmt w:val="bullet"/>
      <w:lvlText w:val=""/>
      <w:lvlJc w:val="left"/>
      <w:pPr>
        <w:ind w:left="1440" w:hanging="360"/>
      </w:pPr>
      <w:rPr>
        <w:rFonts w:ascii="Symbol" w:hAnsi="Symbol"/>
      </w:rPr>
    </w:lvl>
  </w:abstractNum>
  <w:abstractNum w:abstractNumId="27" w15:restartNumberingAfterBreak="0">
    <w:nsid w:val="75B3256C"/>
    <w:multiLevelType w:val="hybridMultilevel"/>
    <w:tmpl w:val="9336F1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C65145E"/>
    <w:multiLevelType w:val="multilevel"/>
    <w:tmpl w:val="92F2CD28"/>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87"/>
        </w:tabs>
        <w:ind w:left="1287"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0" w15:restartNumberingAfterBreak="0">
    <w:nsid w:val="7EF95DAF"/>
    <w:multiLevelType w:val="hybridMultilevel"/>
    <w:tmpl w:val="AF82A1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7"/>
  </w:num>
  <w:num w:numId="4">
    <w:abstractNumId w:val="16"/>
  </w:num>
  <w:num w:numId="5">
    <w:abstractNumId w:val="22"/>
  </w:num>
  <w:num w:numId="6">
    <w:abstractNumId w:val="25"/>
  </w:num>
  <w:num w:numId="7">
    <w:abstractNumId w:val="1"/>
  </w:num>
  <w:num w:numId="8">
    <w:abstractNumId w:val="6"/>
  </w:num>
  <w:num w:numId="9">
    <w:abstractNumId w:val="18"/>
  </w:num>
  <w:num w:numId="10">
    <w:abstractNumId w:val="2"/>
  </w:num>
  <w:num w:numId="11">
    <w:abstractNumId w:val="4"/>
  </w:num>
  <w:num w:numId="12">
    <w:abstractNumId w:val="5"/>
  </w:num>
  <w:num w:numId="13">
    <w:abstractNumId w:val="10"/>
  </w:num>
  <w:num w:numId="14">
    <w:abstractNumId w:val="17"/>
  </w:num>
  <w:num w:numId="15">
    <w:abstractNumId w:val="21"/>
  </w:num>
  <w:num w:numId="16">
    <w:abstractNumId w:val="28"/>
  </w:num>
  <w:num w:numId="17">
    <w:abstractNumId w:val="11"/>
  </w:num>
  <w:num w:numId="18">
    <w:abstractNumId w:val="12"/>
  </w:num>
  <w:num w:numId="19">
    <w:abstractNumId w:val="29"/>
  </w:num>
  <w:num w:numId="20">
    <w:abstractNumId w:val="20"/>
  </w:num>
  <w:num w:numId="21">
    <w:abstractNumId w:val="23"/>
  </w:num>
  <w:num w:numId="22">
    <w:abstractNumId w:val="3"/>
  </w:num>
  <w:num w:numId="23">
    <w:abstractNumId w:val="13"/>
  </w:num>
  <w:num w:numId="24">
    <w:abstractNumId w:val="27"/>
  </w:num>
  <w:num w:numId="25">
    <w:abstractNumId w:val="14"/>
  </w:num>
  <w:num w:numId="26">
    <w:abstractNumId w:val="30"/>
  </w:num>
  <w:num w:numId="27">
    <w:abstractNumId w:val="8"/>
  </w:num>
  <w:num w:numId="28">
    <w:abstractNumId w:val="28"/>
  </w:num>
  <w:num w:numId="29">
    <w:abstractNumId w:val="28"/>
  </w:num>
  <w:num w:numId="30">
    <w:abstractNumId w:val="28"/>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24"/>
  </w:num>
  <w:num w:numId="34">
    <w:abstractNumId w:val="19"/>
  </w:num>
  <w:num w:numId="35">
    <w:abstractNumId w:val="26"/>
  </w:num>
  <w:num w:numId="36">
    <w:abstractNumId w:val="9"/>
  </w:num>
  <w:num w:numId="37">
    <w:abstractNumId w:val="28"/>
  </w:num>
  <w:num w:numId="38">
    <w:abstractNumId w:val="28"/>
  </w:num>
  <w:num w:numId="39">
    <w:abstractNumId w:val="28"/>
  </w:num>
  <w:num w:numId="40">
    <w:abstractNumId w:val="28"/>
  </w:num>
  <w:num w:numId="41">
    <w:abstractNumId w:val="28"/>
  </w:num>
  <w:num w:numId="42">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6" fill="f" fillcolor="white" stroke="f">
      <v:fill color="white" on="f"/>
      <v:stroke on="f"/>
    </o:shapedefaults>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C761071-2EA4-48EC-A344-4123813382DA"/>
    <w:docVar w:name="LW_COVERPAGE_TYPE" w:val="1"/>
    <w:docVar w:name="LW_CROSSREFERENCE" w:val="&lt;UNUSED&gt;"/>
    <w:docVar w:name="LW_DocType" w:val="36BD5C6851954D89BD39DD99BC360398"/>
    <w:docVar w:name="LW_EMISSION" w:val="24.6.2026"/>
    <w:docVar w:name="LW_EMISSION_ISODATE" w:val="2026-06-24"/>
    <w:docVar w:name="LW_EMISSION_LOCATION" w:val="BRX"/>
    <w:docVar w:name="LW_EMISSION_PREFIX" w:val="Bruxelles, le "/>
    <w:docVar w:name="LW_EMISSION_SUFFIX" w:val=" "/>
    <w:docVar w:name="LW_ID_DOCTYPE_NONLW" w:val="CP-007"/>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2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sur la mise en oeuvre du règlement (UE) 2020/740 sur l\u8217?étiquetage des pneumatiques en relation avec l\u8217?efficacité en carburant et d\u8217?autres paramètres"/>
    <w:docVar w:name="LW_TYPE.DOC.CP" w:val="RAPPORT DE LA COMMISSION AU PARLEMENT EUROPÉEN, AU CONSEIL ET AU COMITÉ ÉCONOMIQUE ET SOCIAL EUROPÉEN"/>
    <w:docVar w:name="LwApiVersions" w:val="LW4CoDe 1.24.5.0; LW 9.2, Build 20251112"/>
  </w:docVars>
  <w:rsids>
    <w:rsidRoot w:val="00971E00"/>
    <w:rsid w:val="000011B8"/>
    <w:rsid w:val="000018C7"/>
    <w:rsid w:val="00002981"/>
    <w:rsid w:val="000033B3"/>
    <w:rsid w:val="000037CE"/>
    <w:rsid w:val="00005FB1"/>
    <w:rsid w:val="00006D68"/>
    <w:rsid w:val="00011407"/>
    <w:rsid w:val="000116FE"/>
    <w:rsid w:val="00013165"/>
    <w:rsid w:val="00017BEF"/>
    <w:rsid w:val="00021158"/>
    <w:rsid w:val="0002336A"/>
    <w:rsid w:val="0002386E"/>
    <w:rsid w:val="00024A0B"/>
    <w:rsid w:val="00024E10"/>
    <w:rsid w:val="0002587E"/>
    <w:rsid w:val="000279FE"/>
    <w:rsid w:val="00031914"/>
    <w:rsid w:val="00031B1E"/>
    <w:rsid w:val="00031C10"/>
    <w:rsid w:val="000329A9"/>
    <w:rsid w:val="00035D32"/>
    <w:rsid w:val="00040429"/>
    <w:rsid w:val="0004070F"/>
    <w:rsid w:val="00041A83"/>
    <w:rsid w:val="0004289B"/>
    <w:rsid w:val="000447B3"/>
    <w:rsid w:val="0004499E"/>
    <w:rsid w:val="00044C4A"/>
    <w:rsid w:val="00050C07"/>
    <w:rsid w:val="00050D4A"/>
    <w:rsid w:val="000511CB"/>
    <w:rsid w:val="0005278C"/>
    <w:rsid w:val="00054BD5"/>
    <w:rsid w:val="000552D4"/>
    <w:rsid w:val="000554C6"/>
    <w:rsid w:val="00057498"/>
    <w:rsid w:val="00057883"/>
    <w:rsid w:val="00060D79"/>
    <w:rsid w:val="00060DDC"/>
    <w:rsid w:val="000616E6"/>
    <w:rsid w:val="000617BE"/>
    <w:rsid w:val="00063270"/>
    <w:rsid w:val="00064564"/>
    <w:rsid w:val="0006515B"/>
    <w:rsid w:val="00065F45"/>
    <w:rsid w:val="0006759A"/>
    <w:rsid w:val="0007090D"/>
    <w:rsid w:val="00071772"/>
    <w:rsid w:val="000723E0"/>
    <w:rsid w:val="0007475D"/>
    <w:rsid w:val="000755DF"/>
    <w:rsid w:val="00076840"/>
    <w:rsid w:val="00076EC1"/>
    <w:rsid w:val="0007765C"/>
    <w:rsid w:val="000777A9"/>
    <w:rsid w:val="000802B9"/>
    <w:rsid w:val="00081DF5"/>
    <w:rsid w:val="00082738"/>
    <w:rsid w:val="000845E6"/>
    <w:rsid w:val="00085353"/>
    <w:rsid w:val="000857E1"/>
    <w:rsid w:val="00085BB5"/>
    <w:rsid w:val="000875B8"/>
    <w:rsid w:val="000919F3"/>
    <w:rsid w:val="00091CBB"/>
    <w:rsid w:val="00092CD2"/>
    <w:rsid w:val="00093873"/>
    <w:rsid w:val="000950BD"/>
    <w:rsid w:val="000968B5"/>
    <w:rsid w:val="00096B15"/>
    <w:rsid w:val="000977F8"/>
    <w:rsid w:val="000A2852"/>
    <w:rsid w:val="000A2DCE"/>
    <w:rsid w:val="000A4128"/>
    <w:rsid w:val="000A74FC"/>
    <w:rsid w:val="000B1BFC"/>
    <w:rsid w:val="000B3208"/>
    <w:rsid w:val="000B5E79"/>
    <w:rsid w:val="000B66D0"/>
    <w:rsid w:val="000C1C3C"/>
    <w:rsid w:val="000C33BD"/>
    <w:rsid w:val="000C5078"/>
    <w:rsid w:val="000C5752"/>
    <w:rsid w:val="000C5C6F"/>
    <w:rsid w:val="000C5EC3"/>
    <w:rsid w:val="000C7B63"/>
    <w:rsid w:val="000D0AB9"/>
    <w:rsid w:val="000D1188"/>
    <w:rsid w:val="000D48AA"/>
    <w:rsid w:val="000D5BD9"/>
    <w:rsid w:val="000D66BC"/>
    <w:rsid w:val="000D7327"/>
    <w:rsid w:val="000D76E3"/>
    <w:rsid w:val="000D7D8B"/>
    <w:rsid w:val="000E0364"/>
    <w:rsid w:val="000E2A7A"/>
    <w:rsid w:val="000E5BC9"/>
    <w:rsid w:val="000E5D39"/>
    <w:rsid w:val="000F008B"/>
    <w:rsid w:val="000F02B5"/>
    <w:rsid w:val="000F0FE0"/>
    <w:rsid w:val="000F1012"/>
    <w:rsid w:val="000F2B7A"/>
    <w:rsid w:val="000F576E"/>
    <w:rsid w:val="000F6B8E"/>
    <w:rsid w:val="00100206"/>
    <w:rsid w:val="00101DD3"/>
    <w:rsid w:val="001049E1"/>
    <w:rsid w:val="00104CFB"/>
    <w:rsid w:val="00104F0C"/>
    <w:rsid w:val="00106C4B"/>
    <w:rsid w:val="00107194"/>
    <w:rsid w:val="0011038D"/>
    <w:rsid w:val="0011438B"/>
    <w:rsid w:val="00114868"/>
    <w:rsid w:val="00117EC2"/>
    <w:rsid w:val="001215D5"/>
    <w:rsid w:val="00122BA1"/>
    <w:rsid w:val="00124DD4"/>
    <w:rsid w:val="00124F16"/>
    <w:rsid w:val="00125515"/>
    <w:rsid w:val="00126749"/>
    <w:rsid w:val="00132C72"/>
    <w:rsid w:val="0013336C"/>
    <w:rsid w:val="00134068"/>
    <w:rsid w:val="0013555A"/>
    <w:rsid w:val="001437BC"/>
    <w:rsid w:val="00145350"/>
    <w:rsid w:val="00147048"/>
    <w:rsid w:val="00147E89"/>
    <w:rsid w:val="00147FEF"/>
    <w:rsid w:val="0015240E"/>
    <w:rsid w:val="00153701"/>
    <w:rsid w:val="00153754"/>
    <w:rsid w:val="001539BD"/>
    <w:rsid w:val="00155B56"/>
    <w:rsid w:val="0016176B"/>
    <w:rsid w:val="00161772"/>
    <w:rsid w:val="0016180B"/>
    <w:rsid w:val="00163B1E"/>
    <w:rsid w:val="00165883"/>
    <w:rsid w:val="001658F1"/>
    <w:rsid w:val="00166A71"/>
    <w:rsid w:val="00166AFB"/>
    <w:rsid w:val="00167591"/>
    <w:rsid w:val="0017022B"/>
    <w:rsid w:val="0017108D"/>
    <w:rsid w:val="00172BD1"/>
    <w:rsid w:val="00174D5C"/>
    <w:rsid w:val="00174EF2"/>
    <w:rsid w:val="0017772E"/>
    <w:rsid w:val="001815BC"/>
    <w:rsid w:val="00181B70"/>
    <w:rsid w:val="001834B9"/>
    <w:rsid w:val="00184368"/>
    <w:rsid w:val="0018444F"/>
    <w:rsid w:val="00184F46"/>
    <w:rsid w:val="001855DE"/>
    <w:rsid w:val="00186324"/>
    <w:rsid w:val="00187B84"/>
    <w:rsid w:val="00191B90"/>
    <w:rsid w:val="00192194"/>
    <w:rsid w:val="00193F60"/>
    <w:rsid w:val="00194025"/>
    <w:rsid w:val="00194A42"/>
    <w:rsid w:val="001956D7"/>
    <w:rsid w:val="001966B6"/>
    <w:rsid w:val="0019729B"/>
    <w:rsid w:val="001A2B2C"/>
    <w:rsid w:val="001A2E9A"/>
    <w:rsid w:val="001A49D2"/>
    <w:rsid w:val="001A5867"/>
    <w:rsid w:val="001A6D66"/>
    <w:rsid w:val="001B3624"/>
    <w:rsid w:val="001B5249"/>
    <w:rsid w:val="001B793F"/>
    <w:rsid w:val="001C4F44"/>
    <w:rsid w:val="001C50A9"/>
    <w:rsid w:val="001C6082"/>
    <w:rsid w:val="001C6B61"/>
    <w:rsid w:val="001D1EAE"/>
    <w:rsid w:val="001D20A7"/>
    <w:rsid w:val="001D432A"/>
    <w:rsid w:val="001D5F5E"/>
    <w:rsid w:val="001D6FD0"/>
    <w:rsid w:val="001D7715"/>
    <w:rsid w:val="001D7C1B"/>
    <w:rsid w:val="001E035B"/>
    <w:rsid w:val="001E0F17"/>
    <w:rsid w:val="001E1FBB"/>
    <w:rsid w:val="001E212E"/>
    <w:rsid w:val="001E4066"/>
    <w:rsid w:val="001E7B5F"/>
    <w:rsid w:val="001F09D9"/>
    <w:rsid w:val="001F2C25"/>
    <w:rsid w:val="001F3754"/>
    <w:rsid w:val="001F5BC1"/>
    <w:rsid w:val="001F6DA5"/>
    <w:rsid w:val="002000B1"/>
    <w:rsid w:val="0020221D"/>
    <w:rsid w:val="002037F0"/>
    <w:rsid w:val="00204326"/>
    <w:rsid w:val="00204B6F"/>
    <w:rsid w:val="00205BA2"/>
    <w:rsid w:val="00206E79"/>
    <w:rsid w:val="00216CDD"/>
    <w:rsid w:val="00217AA9"/>
    <w:rsid w:val="00220E84"/>
    <w:rsid w:val="00223712"/>
    <w:rsid w:val="00223936"/>
    <w:rsid w:val="0022428D"/>
    <w:rsid w:val="00224A29"/>
    <w:rsid w:val="00227A71"/>
    <w:rsid w:val="0023060A"/>
    <w:rsid w:val="002307DF"/>
    <w:rsid w:val="00230A6B"/>
    <w:rsid w:val="0023270B"/>
    <w:rsid w:val="00233BD3"/>
    <w:rsid w:val="00234154"/>
    <w:rsid w:val="00234A31"/>
    <w:rsid w:val="00235FBF"/>
    <w:rsid w:val="00237C7A"/>
    <w:rsid w:val="00245394"/>
    <w:rsid w:val="00247311"/>
    <w:rsid w:val="00250FF7"/>
    <w:rsid w:val="00252AEA"/>
    <w:rsid w:val="00253BD8"/>
    <w:rsid w:val="0025642F"/>
    <w:rsid w:val="002576B9"/>
    <w:rsid w:val="00257A7E"/>
    <w:rsid w:val="00257B27"/>
    <w:rsid w:val="002600A9"/>
    <w:rsid w:val="002615CA"/>
    <w:rsid w:val="002626D7"/>
    <w:rsid w:val="00262E79"/>
    <w:rsid w:val="00264843"/>
    <w:rsid w:val="002669D1"/>
    <w:rsid w:val="00266BE1"/>
    <w:rsid w:val="00270D8D"/>
    <w:rsid w:val="00272475"/>
    <w:rsid w:val="00272C4A"/>
    <w:rsid w:val="0027309A"/>
    <w:rsid w:val="002736B1"/>
    <w:rsid w:val="0027484C"/>
    <w:rsid w:val="00274F7C"/>
    <w:rsid w:val="00276E24"/>
    <w:rsid w:val="00277003"/>
    <w:rsid w:val="00281FEA"/>
    <w:rsid w:val="00282DE2"/>
    <w:rsid w:val="002833F0"/>
    <w:rsid w:val="002854BE"/>
    <w:rsid w:val="00285E0C"/>
    <w:rsid w:val="00285F41"/>
    <w:rsid w:val="00287F0B"/>
    <w:rsid w:val="0029040F"/>
    <w:rsid w:val="002918D4"/>
    <w:rsid w:val="00292607"/>
    <w:rsid w:val="002A0EB2"/>
    <w:rsid w:val="002A2807"/>
    <w:rsid w:val="002A54CE"/>
    <w:rsid w:val="002A60E3"/>
    <w:rsid w:val="002A70D8"/>
    <w:rsid w:val="002A7C6C"/>
    <w:rsid w:val="002A7FC4"/>
    <w:rsid w:val="002B01EA"/>
    <w:rsid w:val="002B05E7"/>
    <w:rsid w:val="002B2E98"/>
    <w:rsid w:val="002B32F0"/>
    <w:rsid w:val="002B352E"/>
    <w:rsid w:val="002B6E23"/>
    <w:rsid w:val="002B7BEC"/>
    <w:rsid w:val="002C030F"/>
    <w:rsid w:val="002C3741"/>
    <w:rsid w:val="002C62F4"/>
    <w:rsid w:val="002C79A8"/>
    <w:rsid w:val="002D09AA"/>
    <w:rsid w:val="002D14D6"/>
    <w:rsid w:val="002D20DC"/>
    <w:rsid w:val="002D2901"/>
    <w:rsid w:val="002D394C"/>
    <w:rsid w:val="002D43B6"/>
    <w:rsid w:val="002D5DD7"/>
    <w:rsid w:val="002E2D00"/>
    <w:rsid w:val="002E4192"/>
    <w:rsid w:val="002E7709"/>
    <w:rsid w:val="002F09BF"/>
    <w:rsid w:val="002F3F14"/>
    <w:rsid w:val="002F4390"/>
    <w:rsid w:val="002F4DEE"/>
    <w:rsid w:val="002F5872"/>
    <w:rsid w:val="002F759E"/>
    <w:rsid w:val="002F7746"/>
    <w:rsid w:val="00302131"/>
    <w:rsid w:val="00302A70"/>
    <w:rsid w:val="00304076"/>
    <w:rsid w:val="00304683"/>
    <w:rsid w:val="0030481A"/>
    <w:rsid w:val="00304A24"/>
    <w:rsid w:val="00305BF8"/>
    <w:rsid w:val="003104C5"/>
    <w:rsid w:val="00310743"/>
    <w:rsid w:val="00311D1C"/>
    <w:rsid w:val="00311E2A"/>
    <w:rsid w:val="00312EB8"/>
    <w:rsid w:val="0031510F"/>
    <w:rsid w:val="00316D2A"/>
    <w:rsid w:val="00321F7F"/>
    <w:rsid w:val="00322A5A"/>
    <w:rsid w:val="0032313E"/>
    <w:rsid w:val="00323198"/>
    <w:rsid w:val="00324BAC"/>
    <w:rsid w:val="003274E8"/>
    <w:rsid w:val="00331FA7"/>
    <w:rsid w:val="00333E20"/>
    <w:rsid w:val="00334946"/>
    <w:rsid w:val="003356C5"/>
    <w:rsid w:val="00335E07"/>
    <w:rsid w:val="00335EED"/>
    <w:rsid w:val="003362DA"/>
    <w:rsid w:val="00337FBF"/>
    <w:rsid w:val="003424A3"/>
    <w:rsid w:val="003429B6"/>
    <w:rsid w:val="0034382C"/>
    <w:rsid w:val="00343FD3"/>
    <w:rsid w:val="00344E26"/>
    <w:rsid w:val="003454BA"/>
    <w:rsid w:val="00345ACB"/>
    <w:rsid w:val="0034722C"/>
    <w:rsid w:val="0034735B"/>
    <w:rsid w:val="00350091"/>
    <w:rsid w:val="00350A63"/>
    <w:rsid w:val="00351EB7"/>
    <w:rsid w:val="00352AF1"/>
    <w:rsid w:val="00352B96"/>
    <w:rsid w:val="00353669"/>
    <w:rsid w:val="003547F4"/>
    <w:rsid w:val="00354AFA"/>
    <w:rsid w:val="0035763D"/>
    <w:rsid w:val="00357FB4"/>
    <w:rsid w:val="003601CB"/>
    <w:rsid w:val="0036044A"/>
    <w:rsid w:val="00360EA1"/>
    <w:rsid w:val="00361818"/>
    <w:rsid w:val="0036366F"/>
    <w:rsid w:val="0036392D"/>
    <w:rsid w:val="00363AA0"/>
    <w:rsid w:val="00364A83"/>
    <w:rsid w:val="00366438"/>
    <w:rsid w:val="0036677D"/>
    <w:rsid w:val="00367F94"/>
    <w:rsid w:val="00370350"/>
    <w:rsid w:val="00370B11"/>
    <w:rsid w:val="003715B9"/>
    <w:rsid w:val="00373902"/>
    <w:rsid w:val="00375609"/>
    <w:rsid w:val="003801A4"/>
    <w:rsid w:val="003813CA"/>
    <w:rsid w:val="00383444"/>
    <w:rsid w:val="00383E8B"/>
    <w:rsid w:val="0038431C"/>
    <w:rsid w:val="00384B5A"/>
    <w:rsid w:val="0038776B"/>
    <w:rsid w:val="00390B0D"/>
    <w:rsid w:val="0039137E"/>
    <w:rsid w:val="003938FF"/>
    <w:rsid w:val="00393981"/>
    <w:rsid w:val="00394C6F"/>
    <w:rsid w:val="0039761E"/>
    <w:rsid w:val="003977B5"/>
    <w:rsid w:val="003A03C3"/>
    <w:rsid w:val="003A0895"/>
    <w:rsid w:val="003A0D56"/>
    <w:rsid w:val="003A2E98"/>
    <w:rsid w:val="003A359C"/>
    <w:rsid w:val="003A5BC2"/>
    <w:rsid w:val="003A656A"/>
    <w:rsid w:val="003A6A0E"/>
    <w:rsid w:val="003A73BF"/>
    <w:rsid w:val="003B5610"/>
    <w:rsid w:val="003B5C2F"/>
    <w:rsid w:val="003B5D4B"/>
    <w:rsid w:val="003B67B4"/>
    <w:rsid w:val="003B6E5F"/>
    <w:rsid w:val="003C1983"/>
    <w:rsid w:val="003C1AF4"/>
    <w:rsid w:val="003C2AEA"/>
    <w:rsid w:val="003C3254"/>
    <w:rsid w:val="003C407D"/>
    <w:rsid w:val="003C43CE"/>
    <w:rsid w:val="003C465D"/>
    <w:rsid w:val="003C5F1A"/>
    <w:rsid w:val="003C652D"/>
    <w:rsid w:val="003C6B0D"/>
    <w:rsid w:val="003D0C4C"/>
    <w:rsid w:val="003D1F0D"/>
    <w:rsid w:val="003D7985"/>
    <w:rsid w:val="003E17D7"/>
    <w:rsid w:val="003E2361"/>
    <w:rsid w:val="003E246D"/>
    <w:rsid w:val="003E33C8"/>
    <w:rsid w:val="003E3471"/>
    <w:rsid w:val="003E37F1"/>
    <w:rsid w:val="003E3FEF"/>
    <w:rsid w:val="003E5658"/>
    <w:rsid w:val="003E6F02"/>
    <w:rsid w:val="003E7FC3"/>
    <w:rsid w:val="003F3B3E"/>
    <w:rsid w:val="003F4F42"/>
    <w:rsid w:val="003F5250"/>
    <w:rsid w:val="003F62C7"/>
    <w:rsid w:val="003F69F6"/>
    <w:rsid w:val="003F6A82"/>
    <w:rsid w:val="003F733B"/>
    <w:rsid w:val="00401CF1"/>
    <w:rsid w:val="004025E4"/>
    <w:rsid w:val="00404A09"/>
    <w:rsid w:val="00410868"/>
    <w:rsid w:val="00414320"/>
    <w:rsid w:val="004146A5"/>
    <w:rsid w:val="00414C64"/>
    <w:rsid w:val="00415426"/>
    <w:rsid w:val="0041578D"/>
    <w:rsid w:val="00417449"/>
    <w:rsid w:val="00417A63"/>
    <w:rsid w:val="00422114"/>
    <w:rsid w:val="0042240B"/>
    <w:rsid w:val="00423C71"/>
    <w:rsid w:val="00424634"/>
    <w:rsid w:val="00426B61"/>
    <w:rsid w:val="00432C2D"/>
    <w:rsid w:val="00433491"/>
    <w:rsid w:val="0043558F"/>
    <w:rsid w:val="00435649"/>
    <w:rsid w:val="00435693"/>
    <w:rsid w:val="0044033E"/>
    <w:rsid w:val="00441F0E"/>
    <w:rsid w:val="0044230E"/>
    <w:rsid w:val="00442B8E"/>
    <w:rsid w:val="004431F0"/>
    <w:rsid w:val="0044425A"/>
    <w:rsid w:val="0045174B"/>
    <w:rsid w:val="00452EC6"/>
    <w:rsid w:val="00455F4C"/>
    <w:rsid w:val="00460C42"/>
    <w:rsid w:val="00461416"/>
    <w:rsid w:val="00462966"/>
    <w:rsid w:val="004642EF"/>
    <w:rsid w:val="0046707E"/>
    <w:rsid w:val="00470A51"/>
    <w:rsid w:val="0047209E"/>
    <w:rsid w:val="004739D9"/>
    <w:rsid w:val="00473D3F"/>
    <w:rsid w:val="004764DC"/>
    <w:rsid w:val="004811E1"/>
    <w:rsid w:val="004842E2"/>
    <w:rsid w:val="00485101"/>
    <w:rsid w:val="00486583"/>
    <w:rsid w:val="004873B4"/>
    <w:rsid w:val="004879EA"/>
    <w:rsid w:val="00490804"/>
    <w:rsid w:val="00490F5A"/>
    <w:rsid w:val="004922AD"/>
    <w:rsid w:val="0049414A"/>
    <w:rsid w:val="00494C50"/>
    <w:rsid w:val="004953B4"/>
    <w:rsid w:val="00496A69"/>
    <w:rsid w:val="004A193E"/>
    <w:rsid w:val="004A1B8F"/>
    <w:rsid w:val="004A1D07"/>
    <w:rsid w:val="004A2D56"/>
    <w:rsid w:val="004A3423"/>
    <w:rsid w:val="004A36C0"/>
    <w:rsid w:val="004A38FF"/>
    <w:rsid w:val="004A718F"/>
    <w:rsid w:val="004B056B"/>
    <w:rsid w:val="004B0D1E"/>
    <w:rsid w:val="004B159B"/>
    <w:rsid w:val="004B4F4D"/>
    <w:rsid w:val="004B599B"/>
    <w:rsid w:val="004B5C5D"/>
    <w:rsid w:val="004B62A2"/>
    <w:rsid w:val="004C0539"/>
    <w:rsid w:val="004C0890"/>
    <w:rsid w:val="004C1C13"/>
    <w:rsid w:val="004C2B7A"/>
    <w:rsid w:val="004C340A"/>
    <w:rsid w:val="004C3588"/>
    <w:rsid w:val="004C5167"/>
    <w:rsid w:val="004D147A"/>
    <w:rsid w:val="004D299E"/>
    <w:rsid w:val="004E19FE"/>
    <w:rsid w:val="004E20E5"/>
    <w:rsid w:val="004E3D80"/>
    <w:rsid w:val="004E4420"/>
    <w:rsid w:val="004E48AC"/>
    <w:rsid w:val="004E6351"/>
    <w:rsid w:val="004E6C20"/>
    <w:rsid w:val="004E713D"/>
    <w:rsid w:val="004F100D"/>
    <w:rsid w:val="004F22C7"/>
    <w:rsid w:val="004F3D82"/>
    <w:rsid w:val="004F69F8"/>
    <w:rsid w:val="004F763E"/>
    <w:rsid w:val="004F7830"/>
    <w:rsid w:val="005019B5"/>
    <w:rsid w:val="00505350"/>
    <w:rsid w:val="005053CB"/>
    <w:rsid w:val="005056E2"/>
    <w:rsid w:val="00506852"/>
    <w:rsid w:val="00507966"/>
    <w:rsid w:val="00510BFA"/>
    <w:rsid w:val="00512EFB"/>
    <w:rsid w:val="005214F0"/>
    <w:rsid w:val="005221B4"/>
    <w:rsid w:val="005221E9"/>
    <w:rsid w:val="00525017"/>
    <w:rsid w:val="0053298A"/>
    <w:rsid w:val="005340D3"/>
    <w:rsid w:val="005348F2"/>
    <w:rsid w:val="00535A55"/>
    <w:rsid w:val="00537D4D"/>
    <w:rsid w:val="00537F97"/>
    <w:rsid w:val="005401E8"/>
    <w:rsid w:val="005409AD"/>
    <w:rsid w:val="00540A81"/>
    <w:rsid w:val="00541FA7"/>
    <w:rsid w:val="005444B1"/>
    <w:rsid w:val="00544FBB"/>
    <w:rsid w:val="00545182"/>
    <w:rsid w:val="005467C0"/>
    <w:rsid w:val="00546869"/>
    <w:rsid w:val="00550132"/>
    <w:rsid w:val="00550E7C"/>
    <w:rsid w:val="00551475"/>
    <w:rsid w:val="005519C3"/>
    <w:rsid w:val="00552F2E"/>
    <w:rsid w:val="005531BB"/>
    <w:rsid w:val="00553F69"/>
    <w:rsid w:val="00555237"/>
    <w:rsid w:val="00555AA3"/>
    <w:rsid w:val="0055602B"/>
    <w:rsid w:val="00556CCA"/>
    <w:rsid w:val="00561F07"/>
    <w:rsid w:val="0056208E"/>
    <w:rsid w:val="005623C8"/>
    <w:rsid w:val="00564C97"/>
    <w:rsid w:val="00565623"/>
    <w:rsid w:val="005708ED"/>
    <w:rsid w:val="00570D91"/>
    <w:rsid w:val="005730DA"/>
    <w:rsid w:val="00576A01"/>
    <w:rsid w:val="0058055B"/>
    <w:rsid w:val="00581955"/>
    <w:rsid w:val="0058272B"/>
    <w:rsid w:val="0058476E"/>
    <w:rsid w:val="00585F4F"/>
    <w:rsid w:val="005864F2"/>
    <w:rsid w:val="00586975"/>
    <w:rsid w:val="00586F2A"/>
    <w:rsid w:val="005870BD"/>
    <w:rsid w:val="0059003C"/>
    <w:rsid w:val="00593EE7"/>
    <w:rsid w:val="005951FC"/>
    <w:rsid w:val="00595D6B"/>
    <w:rsid w:val="005974B3"/>
    <w:rsid w:val="005A3A7A"/>
    <w:rsid w:val="005A5537"/>
    <w:rsid w:val="005A5B34"/>
    <w:rsid w:val="005A5B6E"/>
    <w:rsid w:val="005A733A"/>
    <w:rsid w:val="005A776A"/>
    <w:rsid w:val="005B40C4"/>
    <w:rsid w:val="005B45EA"/>
    <w:rsid w:val="005B4A6C"/>
    <w:rsid w:val="005B5C78"/>
    <w:rsid w:val="005B5CAD"/>
    <w:rsid w:val="005B6116"/>
    <w:rsid w:val="005C0407"/>
    <w:rsid w:val="005C0705"/>
    <w:rsid w:val="005C099D"/>
    <w:rsid w:val="005C0A4C"/>
    <w:rsid w:val="005C3262"/>
    <w:rsid w:val="005C4291"/>
    <w:rsid w:val="005C4E87"/>
    <w:rsid w:val="005C5A3A"/>
    <w:rsid w:val="005D1FF1"/>
    <w:rsid w:val="005D2C00"/>
    <w:rsid w:val="005D33BC"/>
    <w:rsid w:val="005D3C6A"/>
    <w:rsid w:val="005D4965"/>
    <w:rsid w:val="005D49DB"/>
    <w:rsid w:val="005D4A12"/>
    <w:rsid w:val="005D53B0"/>
    <w:rsid w:val="005D6246"/>
    <w:rsid w:val="005E1B8F"/>
    <w:rsid w:val="005E1D1E"/>
    <w:rsid w:val="005E20B4"/>
    <w:rsid w:val="005E2D13"/>
    <w:rsid w:val="005E3F28"/>
    <w:rsid w:val="005E43A8"/>
    <w:rsid w:val="005E6483"/>
    <w:rsid w:val="005E6544"/>
    <w:rsid w:val="005E7965"/>
    <w:rsid w:val="005F20F2"/>
    <w:rsid w:val="005F51F5"/>
    <w:rsid w:val="005F5704"/>
    <w:rsid w:val="005F6392"/>
    <w:rsid w:val="005F6A22"/>
    <w:rsid w:val="005F7E09"/>
    <w:rsid w:val="00601017"/>
    <w:rsid w:val="00601F63"/>
    <w:rsid w:val="00606DF2"/>
    <w:rsid w:val="00607F15"/>
    <w:rsid w:val="006108B4"/>
    <w:rsid w:val="006112A9"/>
    <w:rsid w:val="00611503"/>
    <w:rsid w:val="00611824"/>
    <w:rsid w:val="00612D7E"/>
    <w:rsid w:val="006142C4"/>
    <w:rsid w:val="00617FE0"/>
    <w:rsid w:val="006201D5"/>
    <w:rsid w:val="00621D89"/>
    <w:rsid w:val="00622CEE"/>
    <w:rsid w:val="00623319"/>
    <w:rsid w:val="00624482"/>
    <w:rsid w:val="00625D1D"/>
    <w:rsid w:val="00627652"/>
    <w:rsid w:val="0063037D"/>
    <w:rsid w:val="00632347"/>
    <w:rsid w:val="0063314D"/>
    <w:rsid w:val="00634F14"/>
    <w:rsid w:val="00635430"/>
    <w:rsid w:val="006357A7"/>
    <w:rsid w:val="00635B08"/>
    <w:rsid w:val="0063634B"/>
    <w:rsid w:val="00637883"/>
    <w:rsid w:val="00637D4C"/>
    <w:rsid w:val="00640548"/>
    <w:rsid w:val="006421BE"/>
    <w:rsid w:val="00643B98"/>
    <w:rsid w:val="006450AF"/>
    <w:rsid w:val="006504BB"/>
    <w:rsid w:val="006507E9"/>
    <w:rsid w:val="006523C4"/>
    <w:rsid w:val="00653373"/>
    <w:rsid w:val="00654E39"/>
    <w:rsid w:val="0065506E"/>
    <w:rsid w:val="006575E6"/>
    <w:rsid w:val="0066161C"/>
    <w:rsid w:val="00661D44"/>
    <w:rsid w:val="00663197"/>
    <w:rsid w:val="00663848"/>
    <w:rsid w:val="006661B4"/>
    <w:rsid w:val="006669AC"/>
    <w:rsid w:val="00671079"/>
    <w:rsid w:val="00673408"/>
    <w:rsid w:val="00673456"/>
    <w:rsid w:val="00676664"/>
    <w:rsid w:val="00676C1F"/>
    <w:rsid w:val="00677763"/>
    <w:rsid w:val="00677C3E"/>
    <w:rsid w:val="00681477"/>
    <w:rsid w:val="006822DB"/>
    <w:rsid w:val="006856A4"/>
    <w:rsid w:val="00685DF9"/>
    <w:rsid w:val="00693DCD"/>
    <w:rsid w:val="00695436"/>
    <w:rsid w:val="0069637F"/>
    <w:rsid w:val="006A0A80"/>
    <w:rsid w:val="006A0E92"/>
    <w:rsid w:val="006A3A8C"/>
    <w:rsid w:val="006A3D17"/>
    <w:rsid w:val="006A4DC8"/>
    <w:rsid w:val="006A579A"/>
    <w:rsid w:val="006A5C53"/>
    <w:rsid w:val="006A6307"/>
    <w:rsid w:val="006A6E06"/>
    <w:rsid w:val="006A6E10"/>
    <w:rsid w:val="006B051F"/>
    <w:rsid w:val="006B075F"/>
    <w:rsid w:val="006B1E82"/>
    <w:rsid w:val="006B3211"/>
    <w:rsid w:val="006B5411"/>
    <w:rsid w:val="006B6BF7"/>
    <w:rsid w:val="006C0500"/>
    <w:rsid w:val="006C09B6"/>
    <w:rsid w:val="006C12FE"/>
    <w:rsid w:val="006C2AE8"/>
    <w:rsid w:val="006C3057"/>
    <w:rsid w:val="006C3067"/>
    <w:rsid w:val="006C3C79"/>
    <w:rsid w:val="006C5FAB"/>
    <w:rsid w:val="006C7768"/>
    <w:rsid w:val="006D0C77"/>
    <w:rsid w:val="006D0D6C"/>
    <w:rsid w:val="006D0E2C"/>
    <w:rsid w:val="006D1B76"/>
    <w:rsid w:val="006D2019"/>
    <w:rsid w:val="006D257F"/>
    <w:rsid w:val="006D3643"/>
    <w:rsid w:val="006E03D8"/>
    <w:rsid w:val="006E203A"/>
    <w:rsid w:val="006E36BF"/>
    <w:rsid w:val="006E443F"/>
    <w:rsid w:val="006F1926"/>
    <w:rsid w:val="006F222C"/>
    <w:rsid w:val="006F2E61"/>
    <w:rsid w:val="006F2EE7"/>
    <w:rsid w:val="006F4A00"/>
    <w:rsid w:val="006F59F8"/>
    <w:rsid w:val="006F5B22"/>
    <w:rsid w:val="00700790"/>
    <w:rsid w:val="00702895"/>
    <w:rsid w:val="007039A8"/>
    <w:rsid w:val="00704E88"/>
    <w:rsid w:val="0070517F"/>
    <w:rsid w:val="00705798"/>
    <w:rsid w:val="0071566A"/>
    <w:rsid w:val="00721B13"/>
    <w:rsid w:val="0072434B"/>
    <w:rsid w:val="00727AD8"/>
    <w:rsid w:val="007307C1"/>
    <w:rsid w:val="007317B9"/>
    <w:rsid w:val="007350F2"/>
    <w:rsid w:val="00736F69"/>
    <w:rsid w:val="00740681"/>
    <w:rsid w:val="00744EC7"/>
    <w:rsid w:val="00747C45"/>
    <w:rsid w:val="00747E3C"/>
    <w:rsid w:val="007506F8"/>
    <w:rsid w:val="007512B5"/>
    <w:rsid w:val="007515A8"/>
    <w:rsid w:val="0075314E"/>
    <w:rsid w:val="00753A9B"/>
    <w:rsid w:val="00753E30"/>
    <w:rsid w:val="007544AA"/>
    <w:rsid w:val="007547E8"/>
    <w:rsid w:val="00754B71"/>
    <w:rsid w:val="00755382"/>
    <w:rsid w:val="007561DF"/>
    <w:rsid w:val="00756D0E"/>
    <w:rsid w:val="00756EAF"/>
    <w:rsid w:val="007570B2"/>
    <w:rsid w:val="00757CBD"/>
    <w:rsid w:val="007607D8"/>
    <w:rsid w:val="00760EED"/>
    <w:rsid w:val="007623BA"/>
    <w:rsid w:val="00762834"/>
    <w:rsid w:val="00763863"/>
    <w:rsid w:val="00763CB1"/>
    <w:rsid w:val="00764604"/>
    <w:rsid w:val="00765706"/>
    <w:rsid w:val="0076657E"/>
    <w:rsid w:val="007665FE"/>
    <w:rsid w:val="007671C5"/>
    <w:rsid w:val="00767838"/>
    <w:rsid w:val="0077225B"/>
    <w:rsid w:val="00773390"/>
    <w:rsid w:val="00773DE8"/>
    <w:rsid w:val="00776E26"/>
    <w:rsid w:val="00776E8E"/>
    <w:rsid w:val="007807F0"/>
    <w:rsid w:val="00782375"/>
    <w:rsid w:val="007845F5"/>
    <w:rsid w:val="007847D3"/>
    <w:rsid w:val="007850C8"/>
    <w:rsid w:val="007850F5"/>
    <w:rsid w:val="00785AA4"/>
    <w:rsid w:val="00785BBB"/>
    <w:rsid w:val="007871D5"/>
    <w:rsid w:val="007913B7"/>
    <w:rsid w:val="0079185B"/>
    <w:rsid w:val="00792CDB"/>
    <w:rsid w:val="00793E1B"/>
    <w:rsid w:val="00797496"/>
    <w:rsid w:val="007A033C"/>
    <w:rsid w:val="007A0F75"/>
    <w:rsid w:val="007A31AA"/>
    <w:rsid w:val="007A41EB"/>
    <w:rsid w:val="007A58CB"/>
    <w:rsid w:val="007A6ACC"/>
    <w:rsid w:val="007A76B0"/>
    <w:rsid w:val="007B0667"/>
    <w:rsid w:val="007B08D7"/>
    <w:rsid w:val="007B1370"/>
    <w:rsid w:val="007B1505"/>
    <w:rsid w:val="007B2455"/>
    <w:rsid w:val="007B5B1B"/>
    <w:rsid w:val="007C2C1B"/>
    <w:rsid w:val="007C31A5"/>
    <w:rsid w:val="007C46FE"/>
    <w:rsid w:val="007C5098"/>
    <w:rsid w:val="007C7678"/>
    <w:rsid w:val="007D099B"/>
    <w:rsid w:val="007D236B"/>
    <w:rsid w:val="007D66B5"/>
    <w:rsid w:val="007E158F"/>
    <w:rsid w:val="007E1BDD"/>
    <w:rsid w:val="007E1F3F"/>
    <w:rsid w:val="007E5F8C"/>
    <w:rsid w:val="007E676D"/>
    <w:rsid w:val="007F15E3"/>
    <w:rsid w:val="007F26F6"/>
    <w:rsid w:val="007F3355"/>
    <w:rsid w:val="007F5D5E"/>
    <w:rsid w:val="007F613D"/>
    <w:rsid w:val="007F6E45"/>
    <w:rsid w:val="007F7EC4"/>
    <w:rsid w:val="00801363"/>
    <w:rsid w:val="00801C4F"/>
    <w:rsid w:val="00805ED4"/>
    <w:rsid w:val="00807531"/>
    <w:rsid w:val="00807B1B"/>
    <w:rsid w:val="0081453D"/>
    <w:rsid w:val="008159F0"/>
    <w:rsid w:val="00815C5F"/>
    <w:rsid w:val="0082004C"/>
    <w:rsid w:val="008248A9"/>
    <w:rsid w:val="00824E19"/>
    <w:rsid w:val="008257C9"/>
    <w:rsid w:val="00827F8A"/>
    <w:rsid w:val="00832DD3"/>
    <w:rsid w:val="00834B26"/>
    <w:rsid w:val="00834F41"/>
    <w:rsid w:val="00835027"/>
    <w:rsid w:val="00835105"/>
    <w:rsid w:val="0083519F"/>
    <w:rsid w:val="0083535D"/>
    <w:rsid w:val="0083651F"/>
    <w:rsid w:val="00836E2E"/>
    <w:rsid w:val="00837351"/>
    <w:rsid w:val="00840868"/>
    <w:rsid w:val="008449F6"/>
    <w:rsid w:val="00844A9A"/>
    <w:rsid w:val="00844BBE"/>
    <w:rsid w:val="008450E9"/>
    <w:rsid w:val="00846749"/>
    <w:rsid w:val="00850384"/>
    <w:rsid w:val="0085144F"/>
    <w:rsid w:val="0085234C"/>
    <w:rsid w:val="00852F47"/>
    <w:rsid w:val="00853129"/>
    <w:rsid w:val="00854EB1"/>
    <w:rsid w:val="008554D1"/>
    <w:rsid w:val="00855DE9"/>
    <w:rsid w:val="00862A29"/>
    <w:rsid w:val="00862E37"/>
    <w:rsid w:val="008635A6"/>
    <w:rsid w:val="00863643"/>
    <w:rsid w:val="0086549A"/>
    <w:rsid w:val="00865C5A"/>
    <w:rsid w:val="008662F3"/>
    <w:rsid w:val="008678B2"/>
    <w:rsid w:val="008708FF"/>
    <w:rsid w:val="0087133F"/>
    <w:rsid w:val="008730ED"/>
    <w:rsid w:val="00874AB5"/>
    <w:rsid w:val="00874BCB"/>
    <w:rsid w:val="0088106B"/>
    <w:rsid w:val="00883117"/>
    <w:rsid w:val="008848A3"/>
    <w:rsid w:val="00886087"/>
    <w:rsid w:val="0088633F"/>
    <w:rsid w:val="008910CB"/>
    <w:rsid w:val="00891E0A"/>
    <w:rsid w:val="00892057"/>
    <w:rsid w:val="00892682"/>
    <w:rsid w:val="00894E32"/>
    <w:rsid w:val="00895DA7"/>
    <w:rsid w:val="008A0FF4"/>
    <w:rsid w:val="008A5276"/>
    <w:rsid w:val="008A5481"/>
    <w:rsid w:val="008A54D9"/>
    <w:rsid w:val="008A5A12"/>
    <w:rsid w:val="008A5A66"/>
    <w:rsid w:val="008B0661"/>
    <w:rsid w:val="008B1A46"/>
    <w:rsid w:val="008B41B3"/>
    <w:rsid w:val="008B458D"/>
    <w:rsid w:val="008C13DE"/>
    <w:rsid w:val="008C4B36"/>
    <w:rsid w:val="008C57D4"/>
    <w:rsid w:val="008C6F52"/>
    <w:rsid w:val="008C7886"/>
    <w:rsid w:val="008D1462"/>
    <w:rsid w:val="008D190C"/>
    <w:rsid w:val="008D1CC8"/>
    <w:rsid w:val="008D1F8F"/>
    <w:rsid w:val="008D2246"/>
    <w:rsid w:val="008D2EE7"/>
    <w:rsid w:val="008D3754"/>
    <w:rsid w:val="008D5D8E"/>
    <w:rsid w:val="008D65F6"/>
    <w:rsid w:val="008D6A39"/>
    <w:rsid w:val="008D6BC5"/>
    <w:rsid w:val="008D7CCD"/>
    <w:rsid w:val="008E0ACF"/>
    <w:rsid w:val="008E2097"/>
    <w:rsid w:val="008E383D"/>
    <w:rsid w:val="008E6685"/>
    <w:rsid w:val="008E6FBA"/>
    <w:rsid w:val="008E7823"/>
    <w:rsid w:val="008F1692"/>
    <w:rsid w:val="008F25E8"/>
    <w:rsid w:val="008F27A8"/>
    <w:rsid w:val="008F2E5E"/>
    <w:rsid w:val="008F394C"/>
    <w:rsid w:val="008F3F12"/>
    <w:rsid w:val="008F45A0"/>
    <w:rsid w:val="008F5570"/>
    <w:rsid w:val="008F7632"/>
    <w:rsid w:val="008F778D"/>
    <w:rsid w:val="008F7873"/>
    <w:rsid w:val="00900098"/>
    <w:rsid w:val="009005AD"/>
    <w:rsid w:val="00900758"/>
    <w:rsid w:val="00901343"/>
    <w:rsid w:val="00902264"/>
    <w:rsid w:val="00905547"/>
    <w:rsid w:val="00905825"/>
    <w:rsid w:val="009062C6"/>
    <w:rsid w:val="0090716F"/>
    <w:rsid w:val="00907EA3"/>
    <w:rsid w:val="0091089C"/>
    <w:rsid w:val="00912732"/>
    <w:rsid w:val="00912C00"/>
    <w:rsid w:val="0091322F"/>
    <w:rsid w:val="009135D8"/>
    <w:rsid w:val="00915B2D"/>
    <w:rsid w:val="00915D3F"/>
    <w:rsid w:val="00920EF5"/>
    <w:rsid w:val="00923B80"/>
    <w:rsid w:val="00925C21"/>
    <w:rsid w:val="00925EA5"/>
    <w:rsid w:val="00925EC9"/>
    <w:rsid w:val="0092611E"/>
    <w:rsid w:val="00926679"/>
    <w:rsid w:val="0093172B"/>
    <w:rsid w:val="00932595"/>
    <w:rsid w:val="009355E3"/>
    <w:rsid w:val="009376E6"/>
    <w:rsid w:val="00943446"/>
    <w:rsid w:val="00943A02"/>
    <w:rsid w:val="00943FEA"/>
    <w:rsid w:val="009451B9"/>
    <w:rsid w:val="00946119"/>
    <w:rsid w:val="00946336"/>
    <w:rsid w:val="009464F4"/>
    <w:rsid w:val="00946AC9"/>
    <w:rsid w:val="00946E1A"/>
    <w:rsid w:val="0095642B"/>
    <w:rsid w:val="00957CF8"/>
    <w:rsid w:val="009603D9"/>
    <w:rsid w:val="009606C7"/>
    <w:rsid w:val="00960F5A"/>
    <w:rsid w:val="0096186D"/>
    <w:rsid w:val="009618C0"/>
    <w:rsid w:val="00961E1A"/>
    <w:rsid w:val="00962221"/>
    <w:rsid w:val="0096416E"/>
    <w:rsid w:val="009657D8"/>
    <w:rsid w:val="0096596C"/>
    <w:rsid w:val="00967500"/>
    <w:rsid w:val="0097197D"/>
    <w:rsid w:val="00971E00"/>
    <w:rsid w:val="00972E5E"/>
    <w:rsid w:val="00980665"/>
    <w:rsid w:val="00983F12"/>
    <w:rsid w:val="00985003"/>
    <w:rsid w:val="00987496"/>
    <w:rsid w:val="00990390"/>
    <w:rsid w:val="009919C7"/>
    <w:rsid w:val="009929C8"/>
    <w:rsid w:val="00993636"/>
    <w:rsid w:val="00993659"/>
    <w:rsid w:val="00993B91"/>
    <w:rsid w:val="00994136"/>
    <w:rsid w:val="00994AE2"/>
    <w:rsid w:val="00995E23"/>
    <w:rsid w:val="009964E7"/>
    <w:rsid w:val="00996ED8"/>
    <w:rsid w:val="009A0D3E"/>
    <w:rsid w:val="009A5428"/>
    <w:rsid w:val="009A7315"/>
    <w:rsid w:val="009A7E78"/>
    <w:rsid w:val="009B0519"/>
    <w:rsid w:val="009B3853"/>
    <w:rsid w:val="009B38BD"/>
    <w:rsid w:val="009B5507"/>
    <w:rsid w:val="009B6ECD"/>
    <w:rsid w:val="009C0F10"/>
    <w:rsid w:val="009C156E"/>
    <w:rsid w:val="009C172D"/>
    <w:rsid w:val="009C27EC"/>
    <w:rsid w:val="009C3A0C"/>
    <w:rsid w:val="009C3A80"/>
    <w:rsid w:val="009D082A"/>
    <w:rsid w:val="009D1582"/>
    <w:rsid w:val="009D2657"/>
    <w:rsid w:val="009D69D7"/>
    <w:rsid w:val="009D780F"/>
    <w:rsid w:val="009D7E85"/>
    <w:rsid w:val="009E16A5"/>
    <w:rsid w:val="009E5793"/>
    <w:rsid w:val="009E648A"/>
    <w:rsid w:val="009F00B2"/>
    <w:rsid w:val="009F0BE9"/>
    <w:rsid w:val="009F4D59"/>
    <w:rsid w:val="009F67C8"/>
    <w:rsid w:val="009F7A26"/>
    <w:rsid w:val="009F7EEB"/>
    <w:rsid w:val="00A00AFF"/>
    <w:rsid w:val="00A0114F"/>
    <w:rsid w:val="00A0539D"/>
    <w:rsid w:val="00A108BC"/>
    <w:rsid w:val="00A1157E"/>
    <w:rsid w:val="00A11961"/>
    <w:rsid w:val="00A11B66"/>
    <w:rsid w:val="00A11C26"/>
    <w:rsid w:val="00A11D2A"/>
    <w:rsid w:val="00A15F2F"/>
    <w:rsid w:val="00A2009B"/>
    <w:rsid w:val="00A23EC8"/>
    <w:rsid w:val="00A24C26"/>
    <w:rsid w:val="00A258B6"/>
    <w:rsid w:val="00A25A7C"/>
    <w:rsid w:val="00A25F67"/>
    <w:rsid w:val="00A26294"/>
    <w:rsid w:val="00A33C3B"/>
    <w:rsid w:val="00A34668"/>
    <w:rsid w:val="00A357E2"/>
    <w:rsid w:val="00A40E7D"/>
    <w:rsid w:val="00A430B2"/>
    <w:rsid w:val="00A43FFC"/>
    <w:rsid w:val="00A44798"/>
    <w:rsid w:val="00A4522D"/>
    <w:rsid w:val="00A45B71"/>
    <w:rsid w:val="00A45C54"/>
    <w:rsid w:val="00A474E4"/>
    <w:rsid w:val="00A47816"/>
    <w:rsid w:val="00A504F3"/>
    <w:rsid w:val="00A512C2"/>
    <w:rsid w:val="00A52AA2"/>
    <w:rsid w:val="00A53602"/>
    <w:rsid w:val="00A55D8B"/>
    <w:rsid w:val="00A55EB3"/>
    <w:rsid w:val="00A57512"/>
    <w:rsid w:val="00A575A0"/>
    <w:rsid w:val="00A61092"/>
    <w:rsid w:val="00A65146"/>
    <w:rsid w:val="00A6542C"/>
    <w:rsid w:val="00A66F26"/>
    <w:rsid w:val="00A70285"/>
    <w:rsid w:val="00A706F5"/>
    <w:rsid w:val="00A7158F"/>
    <w:rsid w:val="00A71C35"/>
    <w:rsid w:val="00A72FC5"/>
    <w:rsid w:val="00A76AE1"/>
    <w:rsid w:val="00A7793B"/>
    <w:rsid w:val="00A83CED"/>
    <w:rsid w:val="00A84A20"/>
    <w:rsid w:val="00A876BC"/>
    <w:rsid w:val="00A902CD"/>
    <w:rsid w:val="00A90C87"/>
    <w:rsid w:val="00A92DB3"/>
    <w:rsid w:val="00A9497D"/>
    <w:rsid w:val="00A950BF"/>
    <w:rsid w:val="00A97A03"/>
    <w:rsid w:val="00AA3290"/>
    <w:rsid w:val="00AA49E4"/>
    <w:rsid w:val="00AB1AE1"/>
    <w:rsid w:val="00AB1C19"/>
    <w:rsid w:val="00AB212E"/>
    <w:rsid w:val="00AB2321"/>
    <w:rsid w:val="00AB24F1"/>
    <w:rsid w:val="00AB567B"/>
    <w:rsid w:val="00AB7165"/>
    <w:rsid w:val="00AB74DC"/>
    <w:rsid w:val="00AC01C5"/>
    <w:rsid w:val="00AC2717"/>
    <w:rsid w:val="00AC531E"/>
    <w:rsid w:val="00AC536F"/>
    <w:rsid w:val="00AC6A18"/>
    <w:rsid w:val="00AC7212"/>
    <w:rsid w:val="00AC72E0"/>
    <w:rsid w:val="00AD1592"/>
    <w:rsid w:val="00AD1876"/>
    <w:rsid w:val="00AD3BB9"/>
    <w:rsid w:val="00AD4723"/>
    <w:rsid w:val="00AD665F"/>
    <w:rsid w:val="00AE3FBB"/>
    <w:rsid w:val="00AE5B34"/>
    <w:rsid w:val="00AE5CBC"/>
    <w:rsid w:val="00AE5F49"/>
    <w:rsid w:val="00AE7290"/>
    <w:rsid w:val="00AE7756"/>
    <w:rsid w:val="00AF08F7"/>
    <w:rsid w:val="00AF3F95"/>
    <w:rsid w:val="00AF4726"/>
    <w:rsid w:val="00AF6632"/>
    <w:rsid w:val="00AF6772"/>
    <w:rsid w:val="00B0085C"/>
    <w:rsid w:val="00B008D4"/>
    <w:rsid w:val="00B03742"/>
    <w:rsid w:val="00B03A14"/>
    <w:rsid w:val="00B05330"/>
    <w:rsid w:val="00B053A9"/>
    <w:rsid w:val="00B060D9"/>
    <w:rsid w:val="00B10DCD"/>
    <w:rsid w:val="00B1104D"/>
    <w:rsid w:val="00B138D3"/>
    <w:rsid w:val="00B20EFD"/>
    <w:rsid w:val="00B2327B"/>
    <w:rsid w:val="00B26EEA"/>
    <w:rsid w:val="00B30556"/>
    <w:rsid w:val="00B30C64"/>
    <w:rsid w:val="00B33CC6"/>
    <w:rsid w:val="00B3666D"/>
    <w:rsid w:val="00B36A10"/>
    <w:rsid w:val="00B37B53"/>
    <w:rsid w:val="00B37CAF"/>
    <w:rsid w:val="00B407CA"/>
    <w:rsid w:val="00B40A80"/>
    <w:rsid w:val="00B40D10"/>
    <w:rsid w:val="00B414C5"/>
    <w:rsid w:val="00B42172"/>
    <w:rsid w:val="00B4236C"/>
    <w:rsid w:val="00B44C2D"/>
    <w:rsid w:val="00B473EB"/>
    <w:rsid w:val="00B474B8"/>
    <w:rsid w:val="00B47EEA"/>
    <w:rsid w:val="00B502DB"/>
    <w:rsid w:val="00B50550"/>
    <w:rsid w:val="00B509AA"/>
    <w:rsid w:val="00B50E63"/>
    <w:rsid w:val="00B51A00"/>
    <w:rsid w:val="00B52DB4"/>
    <w:rsid w:val="00B53003"/>
    <w:rsid w:val="00B536A5"/>
    <w:rsid w:val="00B53E2C"/>
    <w:rsid w:val="00B541C4"/>
    <w:rsid w:val="00B56F35"/>
    <w:rsid w:val="00B610AE"/>
    <w:rsid w:val="00B617FE"/>
    <w:rsid w:val="00B61FD0"/>
    <w:rsid w:val="00B64314"/>
    <w:rsid w:val="00B654A5"/>
    <w:rsid w:val="00B732C7"/>
    <w:rsid w:val="00B73F18"/>
    <w:rsid w:val="00B76FD8"/>
    <w:rsid w:val="00B810AA"/>
    <w:rsid w:val="00B811AE"/>
    <w:rsid w:val="00B84910"/>
    <w:rsid w:val="00B85459"/>
    <w:rsid w:val="00B8624B"/>
    <w:rsid w:val="00B86A2C"/>
    <w:rsid w:val="00B87E12"/>
    <w:rsid w:val="00B909D0"/>
    <w:rsid w:val="00B91609"/>
    <w:rsid w:val="00B92402"/>
    <w:rsid w:val="00B95A8B"/>
    <w:rsid w:val="00BA1261"/>
    <w:rsid w:val="00BA329B"/>
    <w:rsid w:val="00BA5AA3"/>
    <w:rsid w:val="00BA64F1"/>
    <w:rsid w:val="00BA7D70"/>
    <w:rsid w:val="00BB127C"/>
    <w:rsid w:val="00BB3B69"/>
    <w:rsid w:val="00BB3E42"/>
    <w:rsid w:val="00BC09F0"/>
    <w:rsid w:val="00BC182E"/>
    <w:rsid w:val="00BC1AAA"/>
    <w:rsid w:val="00BC3B87"/>
    <w:rsid w:val="00BC4CD9"/>
    <w:rsid w:val="00BC5B39"/>
    <w:rsid w:val="00BC6965"/>
    <w:rsid w:val="00BC6C86"/>
    <w:rsid w:val="00BC724E"/>
    <w:rsid w:val="00BC7AFF"/>
    <w:rsid w:val="00BD0170"/>
    <w:rsid w:val="00BD2FE6"/>
    <w:rsid w:val="00BD5845"/>
    <w:rsid w:val="00BD5BD2"/>
    <w:rsid w:val="00BD61DF"/>
    <w:rsid w:val="00BD69A0"/>
    <w:rsid w:val="00BD7507"/>
    <w:rsid w:val="00BE3AFB"/>
    <w:rsid w:val="00BE4575"/>
    <w:rsid w:val="00BE519A"/>
    <w:rsid w:val="00BE53E9"/>
    <w:rsid w:val="00BE5415"/>
    <w:rsid w:val="00BE7D84"/>
    <w:rsid w:val="00BE7FEF"/>
    <w:rsid w:val="00BF4F71"/>
    <w:rsid w:val="00BF562F"/>
    <w:rsid w:val="00BF78BF"/>
    <w:rsid w:val="00C00623"/>
    <w:rsid w:val="00C00684"/>
    <w:rsid w:val="00C01079"/>
    <w:rsid w:val="00C010CF"/>
    <w:rsid w:val="00C024B9"/>
    <w:rsid w:val="00C04EE9"/>
    <w:rsid w:val="00C070CB"/>
    <w:rsid w:val="00C0782F"/>
    <w:rsid w:val="00C10095"/>
    <w:rsid w:val="00C10A8D"/>
    <w:rsid w:val="00C122C4"/>
    <w:rsid w:val="00C13575"/>
    <w:rsid w:val="00C13C6F"/>
    <w:rsid w:val="00C1774F"/>
    <w:rsid w:val="00C20D65"/>
    <w:rsid w:val="00C21576"/>
    <w:rsid w:val="00C22E6C"/>
    <w:rsid w:val="00C238B0"/>
    <w:rsid w:val="00C23A26"/>
    <w:rsid w:val="00C272B8"/>
    <w:rsid w:val="00C30108"/>
    <w:rsid w:val="00C30370"/>
    <w:rsid w:val="00C334F4"/>
    <w:rsid w:val="00C33F14"/>
    <w:rsid w:val="00C34006"/>
    <w:rsid w:val="00C341A6"/>
    <w:rsid w:val="00C35EB8"/>
    <w:rsid w:val="00C36B11"/>
    <w:rsid w:val="00C3795F"/>
    <w:rsid w:val="00C37ED2"/>
    <w:rsid w:val="00C41828"/>
    <w:rsid w:val="00C44835"/>
    <w:rsid w:val="00C467BA"/>
    <w:rsid w:val="00C468E1"/>
    <w:rsid w:val="00C5004A"/>
    <w:rsid w:val="00C50812"/>
    <w:rsid w:val="00C508FF"/>
    <w:rsid w:val="00C50C1F"/>
    <w:rsid w:val="00C50D24"/>
    <w:rsid w:val="00C51CBC"/>
    <w:rsid w:val="00C5302D"/>
    <w:rsid w:val="00C534CE"/>
    <w:rsid w:val="00C53977"/>
    <w:rsid w:val="00C54411"/>
    <w:rsid w:val="00C552E7"/>
    <w:rsid w:val="00C55326"/>
    <w:rsid w:val="00C56857"/>
    <w:rsid w:val="00C5771B"/>
    <w:rsid w:val="00C57B04"/>
    <w:rsid w:val="00C57B4C"/>
    <w:rsid w:val="00C60455"/>
    <w:rsid w:val="00C60CCE"/>
    <w:rsid w:val="00C614C7"/>
    <w:rsid w:val="00C62427"/>
    <w:rsid w:val="00C63240"/>
    <w:rsid w:val="00C63786"/>
    <w:rsid w:val="00C63D55"/>
    <w:rsid w:val="00C65913"/>
    <w:rsid w:val="00C674BB"/>
    <w:rsid w:val="00C67ECC"/>
    <w:rsid w:val="00C70EC7"/>
    <w:rsid w:val="00C72477"/>
    <w:rsid w:val="00C72768"/>
    <w:rsid w:val="00C73B0B"/>
    <w:rsid w:val="00C74B52"/>
    <w:rsid w:val="00C753B8"/>
    <w:rsid w:val="00C76132"/>
    <w:rsid w:val="00C76818"/>
    <w:rsid w:val="00C827EE"/>
    <w:rsid w:val="00C849ED"/>
    <w:rsid w:val="00C87541"/>
    <w:rsid w:val="00C92500"/>
    <w:rsid w:val="00C9590C"/>
    <w:rsid w:val="00C95BCC"/>
    <w:rsid w:val="00C974C5"/>
    <w:rsid w:val="00CA0EC6"/>
    <w:rsid w:val="00CA12E5"/>
    <w:rsid w:val="00CA1B12"/>
    <w:rsid w:val="00CA2669"/>
    <w:rsid w:val="00CA2693"/>
    <w:rsid w:val="00CA372D"/>
    <w:rsid w:val="00CA6305"/>
    <w:rsid w:val="00CB0118"/>
    <w:rsid w:val="00CB3D25"/>
    <w:rsid w:val="00CB504C"/>
    <w:rsid w:val="00CB5A76"/>
    <w:rsid w:val="00CB681C"/>
    <w:rsid w:val="00CC11BD"/>
    <w:rsid w:val="00CC20A1"/>
    <w:rsid w:val="00CC2A84"/>
    <w:rsid w:val="00CC2F87"/>
    <w:rsid w:val="00CC2FE1"/>
    <w:rsid w:val="00CC3FB7"/>
    <w:rsid w:val="00CC44EA"/>
    <w:rsid w:val="00CC709F"/>
    <w:rsid w:val="00CC7906"/>
    <w:rsid w:val="00CD00AB"/>
    <w:rsid w:val="00CD0235"/>
    <w:rsid w:val="00CD3388"/>
    <w:rsid w:val="00CD3896"/>
    <w:rsid w:val="00CD645A"/>
    <w:rsid w:val="00CE174E"/>
    <w:rsid w:val="00CE1E35"/>
    <w:rsid w:val="00CE62B9"/>
    <w:rsid w:val="00CE7E85"/>
    <w:rsid w:val="00CF41FC"/>
    <w:rsid w:val="00CF4703"/>
    <w:rsid w:val="00CF63B9"/>
    <w:rsid w:val="00CF770C"/>
    <w:rsid w:val="00D04832"/>
    <w:rsid w:val="00D04ED6"/>
    <w:rsid w:val="00D058A0"/>
    <w:rsid w:val="00D07500"/>
    <w:rsid w:val="00D153F2"/>
    <w:rsid w:val="00D15E89"/>
    <w:rsid w:val="00D174E1"/>
    <w:rsid w:val="00D179E1"/>
    <w:rsid w:val="00D23838"/>
    <w:rsid w:val="00D24AD0"/>
    <w:rsid w:val="00D25660"/>
    <w:rsid w:val="00D2789D"/>
    <w:rsid w:val="00D30010"/>
    <w:rsid w:val="00D323EC"/>
    <w:rsid w:val="00D32A61"/>
    <w:rsid w:val="00D334AF"/>
    <w:rsid w:val="00D33B06"/>
    <w:rsid w:val="00D35D4B"/>
    <w:rsid w:val="00D43F0D"/>
    <w:rsid w:val="00D440F8"/>
    <w:rsid w:val="00D452ED"/>
    <w:rsid w:val="00D45B86"/>
    <w:rsid w:val="00D46777"/>
    <w:rsid w:val="00D46982"/>
    <w:rsid w:val="00D505BA"/>
    <w:rsid w:val="00D51146"/>
    <w:rsid w:val="00D51DB0"/>
    <w:rsid w:val="00D52F8D"/>
    <w:rsid w:val="00D53CA8"/>
    <w:rsid w:val="00D54E47"/>
    <w:rsid w:val="00D54E50"/>
    <w:rsid w:val="00D551CF"/>
    <w:rsid w:val="00D57E1D"/>
    <w:rsid w:val="00D6158B"/>
    <w:rsid w:val="00D62E9D"/>
    <w:rsid w:val="00D65533"/>
    <w:rsid w:val="00D65E26"/>
    <w:rsid w:val="00D6738E"/>
    <w:rsid w:val="00D6753A"/>
    <w:rsid w:val="00D71587"/>
    <w:rsid w:val="00D72AE8"/>
    <w:rsid w:val="00D72C33"/>
    <w:rsid w:val="00D73413"/>
    <w:rsid w:val="00D75017"/>
    <w:rsid w:val="00D7648C"/>
    <w:rsid w:val="00D769B7"/>
    <w:rsid w:val="00D76A9E"/>
    <w:rsid w:val="00D77774"/>
    <w:rsid w:val="00D811AF"/>
    <w:rsid w:val="00D83491"/>
    <w:rsid w:val="00D83C67"/>
    <w:rsid w:val="00D85568"/>
    <w:rsid w:val="00D86341"/>
    <w:rsid w:val="00D91129"/>
    <w:rsid w:val="00D9132C"/>
    <w:rsid w:val="00D91425"/>
    <w:rsid w:val="00D9380D"/>
    <w:rsid w:val="00D950C3"/>
    <w:rsid w:val="00D95AD6"/>
    <w:rsid w:val="00D970AA"/>
    <w:rsid w:val="00DA0E9A"/>
    <w:rsid w:val="00DA4F69"/>
    <w:rsid w:val="00DA559E"/>
    <w:rsid w:val="00DA6F22"/>
    <w:rsid w:val="00DB1174"/>
    <w:rsid w:val="00DB3FF7"/>
    <w:rsid w:val="00DB4153"/>
    <w:rsid w:val="00DB4FEE"/>
    <w:rsid w:val="00DB5F7D"/>
    <w:rsid w:val="00DC0C4C"/>
    <w:rsid w:val="00DC226B"/>
    <w:rsid w:val="00DC22B8"/>
    <w:rsid w:val="00DC2EBB"/>
    <w:rsid w:val="00DC4CFF"/>
    <w:rsid w:val="00DC4DF9"/>
    <w:rsid w:val="00DC6245"/>
    <w:rsid w:val="00DC782E"/>
    <w:rsid w:val="00DD0395"/>
    <w:rsid w:val="00DD0811"/>
    <w:rsid w:val="00DD11B4"/>
    <w:rsid w:val="00DD1A2A"/>
    <w:rsid w:val="00DD1DD4"/>
    <w:rsid w:val="00DD3388"/>
    <w:rsid w:val="00DD460A"/>
    <w:rsid w:val="00DD4EC6"/>
    <w:rsid w:val="00DD64CA"/>
    <w:rsid w:val="00DE0CB7"/>
    <w:rsid w:val="00DE1823"/>
    <w:rsid w:val="00DE26BD"/>
    <w:rsid w:val="00DE2A8E"/>
    <w:rsid w:val="00DE3B55"/>
    <w:rsid w:val="00DE3FB4"/>
    <w:rsid w:val="00DE75E0"/>
    <w:rsid w:val="00DF6E20"/>
    <w:rsid w:val="00DF7065"/>
    <w:rsid w:val="00E0120B"/>
    <w:rsid w:val="00E01D2D"/>
    <w:rsid w:val="00E03C75"/>
    <w:rsid w:val="00E06293"/>
    <w:rsid w:val="00E0778B"/>
    <w:rsid w:val="00E10293"/>
    <w:rsid w:val="00E12EDA"/>
    <w:rsid w:val="00E165FD"/>
    <w:rsid w:val="00E166A6"/>
    <w:rsid w:val="00E178A5"/>
    <w:rsid w:val="00E207FA"/>
    <w:rsid w:val="00E211FB"/>
    <w:rsid w:val="00E22898"/>
    <w:rsid w:val="00E2407D"/>
    <w:rsid w:val="00E250CC"/>
    <w:rsid w:val="00E26D7F"/>
    <w:rsid w:val="00E26EFA"/>
    <w:rsid w:val="00E307E2"/>
    <w:rsid w:val="00E3147E"/>
    <w:rsid w:val="00E31771"/>
    <w:rsid w:val="00E31F97"/>
    <w:rsid w:val="00E3214F"/>
    <w:rsid w:val="00E344D2"/>
    <w:rsid w:val="00E36E1F"/>
    <w:rsid w:val="00E3770E"/>
    <w:rsid w:val="00E37A99"/>
    <w:rsid w:val="00E41643"/>
    <w:rsid w:val="00E41C58"/>
    <w:rsid w:val="00E43D0B"/>
    <w:rsid w:val="00E46578"/>
    <w:rsid w:val="00E46E7D"/>
    <w:rsid w:val="00E505A9"/>
    <w:rsid w:val="00E51BB1"/>
    <w:rsid w:val="00E54D77"/>
    <w:rsid w:val="00E57334"/>
    <w:rsid w:val="00E608C2"/>
    <w:rsid w:val="00E6099E"/>
    <w:rsid w:val="00E60B00"/>
    <w:rsid w:val="00E60E58"/>
    <w:rsid w:val="00E62268"/>
    <w:rsid w:val="00E624F1"/>
    <w:rsid w:val="00E643DD"/>
    <w:rsid w:val="00E64ACA"/>
    <w:rsid w:val="00E651CA"/>
    <w:rsid w:val="00E66A0A"/>
    <w:rsid w:val="00E7013D"/>
    <w:rsid w:val="00E701AD"/>
    <w:rsid w:val="00E7036C"/>
    <w:rsid w:val="00E707BA"/>
    <w:rsid w:val="00E71264"/>
    <w:rsid w:val="00E7420E"/>
    <w:rsid w:val="00E7583B"/>
    <w:rsid w:val="00E766FE"/>
    <w:rsid w:val="00E774D7"/>
    <w:rsid w:val="00E77D56"/>
    <w:rsid w:val="00E80EAD"/>
    <w:rsid w:val="00E821B0"/>
    <w:rsid w:val="00E82317"/>
    <w:rsid w:val="00E82F57"/>
    <w:rsid w:val="00E831D0"/>
    <w:rsid w:val="00E8326A"/>
    <w:rsid w:val="00E85937"/>
    <w:rsid w:val="00E86A54"/>
    <w:rsid w:val="00E9117D"/>
    <w:rsid w:val="00E91B87"/>
    <w:rsid w:val="00E9285D"/>
    <w:rsid w:val="00E92FBC"/>
    <w:rsid w:val="00E93093"/>
    <w:rsid w:val="00E94333"/>
    <w:rsid w:val="00E94F12"/>
    <w:rsid w:val="00E95024"/>
    <w:rsid w:val="00E95354"/>
    <w:rsid w:val="00E96A11"/>
    <w:rsid w:val="00E96AC8"/>
    <w:rsid w:val="00E974D1"/>
    <w:rsid w:val="00EA0B84"/>
    <w:rsid w:val="00EA122B"/>
    <w:rsid w:val="00EA148C"/>
    <w:rsid w:val="00EA4092"/>
    <w:rsid w:val="00EA4BFA"/>
    <w:rsid w:val="00EA5C25"/>
    <w:rsid w:val="00EA6450"/>
    <w:rsid w:val="00EB02DE"/>
    <w:rsid w:val="00EB1B07"/>
    <w:rsid w:val="00EB5E60"/>
    <w:rsid w:val="00EB7C5E"/>
    <w:rsid w:val="00EC0C21"/>
    <w:rsid w:val="00EC1E2B"/>
    <w:rsid w:val="00EC2700"/>
    <w:rsid w:val="00EC6428"/>
    <w:rsid w:val="00EC6ABD"/>
    <w:rsid w:val="00EC7481"/>
    <w:rsid w:val="00EC7685"/>
    <w:rsid w:val="00ED05D0"/>
    <w:rsid w:val="00ED2E6D"/>
    <w:rsid w:val="00ED42D3"/>
    <w:rsid w:val="00ED5B27"/>
    <w:rsid w:val="00ED678F"/>
    <w:rsid w:val="00ED712D"/>
    <w:rsid w:val="00ED7B96"/>
    <w:rsid w:val="00EE07B9"/>
    <w:rsid w:val="00EE0B4A"/>
    <w:rsid w:val="00EE19C7"/>
    <w:rsid w:val="00EE1E6B"/>
    <w:rsid w:val="00EE2714"/>
    <w:rsid w:val="00EE3093"/>
    <w:rsid w:val="00EE5CDC"/>
    <w:rsid w:val="00EE74FD"/>
    <w:rsid w:val="00EE7814"/>
    <w:rsid w:val="00EF59CD"/>
    <w:rsid w:val="00EF7016"/>
    <w:rsid w:val="00EF7C4F"/>
    <w:rsid w:val="00F01160"/>
    <w:rsid w:val="00F028E1"/>
    <w:rsid w:val="00F03979"/>
    <w:rsid w:val="00F04175"/>
    <w:rsid w:val="00F048C5"/>
    <w:rsid w:val="00F051D3"/>
    <w:rsid w:val="00F06B08"/>
    <w:rsid w:val="00F07800"/>
    <w:rsid w:val="00F07B07"/>
    <w:rsid w:val="00F127BC"/>
    <w:rsid w:val="00F12A45"/>
    <w:rsid w:val="00F12A64"/>
    <w:rsid w:val="00F13F38"/>
    <w:rsid w:val="00F13FCA"/>
    <w:rsid w:val="00F143E2"/>
    <w:rsid w:val="00F15F47"/>
    <w:rsid w:val="00F1642E"/>
    <w:rsid w:val="00F17217"/>
    <w:rsid w:val="00F17ABC"/>
    <w:rsid w:val="00F20DAB"/>
    <w:rsid w:val="00F21037"/>
    <w:rsid w:val="00F22064"/>
    <w:rsid w:val="00F2227A"/>
    <w:rsid w:val="00F22F96"/>
    <w:rsid w:val="00F236EC"/>
    <w:rsid w:val="00F26106"/>
    <w:rsid w:val="00F2648E"/>
    <w:rsid w:val="00F26677"/>
    <w:rsid w:val="00F27061"/>
    <w:rsid w:val="00F276D8"/>
    <w:rsid w:val="00F27F85"/>
    <w:rsid w:val="00F331E9"/>
    <w:rsid w:val="00F35E0D"/>
    <w:rsid w:val="00F36230"/>
    <w:rsid w:val="00F37255"/>
    <w:rsid w:val="00F40225"/>
    <w:rsid w:val="00F411DA"/>
    <w:rsid w:val="00F41961"/>
    <w:rsid w:val="00F4498C"/>
    <w:rsid w:val="00F45989"/>
    <w:rsid w:val="00F46AF4"/>
    <w:rsid w:val="00F477B3"/>
    <w:rsid w:val="00F47A5D"/>
    <w:rsid w:val="00F52295"/>
    <w:rsid w:val="00F527ED"/>
    <w:rsid w:val="00F65CB6"/>
    <w:rsid w:val="00F70FBD"/>
    <w:rsid w:val="00F7104D"/>
    <w:rsid w:val="00F71858"/>
    <w:rsid w:val="00F7271C"/>
    <w:rsid w:val="00F74540"/>
    <w:rsid w:val="00F76295"/>
    <w:rsid w:val="00F76873"/>
    <w:rsid w:val="00F820BE"/>
    <w:rsid w:val="00F8400D"/>
    <w:rsid w:val="00F86127"/>
    <w:rsid w:val="00F86219"/>
    <w:rsid w:val="00F86F3F"/>
    <w:rsid w:val="00F9135B"/>
    <w:rsid w:val="00F95C8F"/>
    <w:rsid w:val="00F95F9F"/>
    <w:rsid w:val="00F97052"/>
    <w:rsid w:val="00F9754A"/>
    <w:rsid w:val="00F9775E"/>
    <w:rsid w:val="00F97A49"/>
    <w:rsid w:val="00FA000C"/>
    <w:rsid w:val="00FA01DA"/>
    <w:rsid w:val="00FA40DB"/>
    <w:rsid w:val="00FA427F"/>
    <w:rsid w:val="00FA4EAF"/>
    <w:rsid w:val="00FA5320"/>
    <w:rsid w:val="00FA72AF"/>
    <w:rsid w:val="00FB14D0"/>
    <w:rsid w:val="00FC0BB6"/>
    <w:rsid w:val="00FC13E6"/>
    <w:rsid w:val="00FC166C"/>
    <w:rsid w:val="00FC2857"/>
    <w:rsid w:val="00FC2DFF"/>
    <w:rsid w:val="00FC49FA"/>
    <w:rsid w:val="00FC5888"/>
    <w:rsid w:val="00FC5CEC"/>
    <w:rsid w:val="00FC73DD"/>
    <w:rsid w:val="00FC7626"/>
    <w:rsid w:val="00FC7915"/>
    <w:rsid w:val="00FC7C8A"/>
    <w:rsid w:val="00FD257F"/>
    <w:rsid w:val="00FD32C9"/>
    <w:rsid w:val="00FD32ED"/>
    <w:rsid w:val="00FD384A"/>
    <w:rsid w:val="00FD4C0E"/>
    <w:rsid w:val="00FD57FC"/>
    <w:rsid w:val="00FD6634"/>
    <w:rsid w:val="00FE12A2"/>
    <w:rsid w:val="00FE27B2"/>
    <w:rsid w:val="00FE2FD9"/>
    <w:rsid w:val="00FE3D56"/>
    <w:rsid w:val="00FE3EBC"/>
    <w:rsid w:val="00FE3F3F"/>
    <w:rsid w:val="00FE4DC3"/>
    <w:rsid w:val="00FE50C0"/>
    <w:rsid w:val="00FE6509"/>
    <w:rsid w:val="00FF2939"/>
    <w:rsid w:val="00FF35EE"/>
    <w:rsid w:val="00FF3D99"/>
    <w:rsid w:val="00FF3E63"/>
    <w:rsid w:val="00FF4A2D"/>
    <w:rsid w:val="00FF540B"/>
    <w:rsid w:val="00FF66F3"/>
    <w:rsid w:val="00FF7ACE"/>
    <w:rsid w:val="2C8D0634"/>
    <w:rsid w:val="4037B5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fill="f" fillcolor="white" stroke="f">
      <v:fill color="white" on="f"/>
      <v:stroke on="f"/>
    </o:shapedefaults>
    <o:shapelayout v:ext="edit">
      <o:idmap v:ext="edit" data="2"/>
    </o:shapelayout>
  </w:shapeDefaults>
  <w:decimalSymbol w:val=","/>
  <w:listSeparator w:val=";"/>
  <w14:docId w14:val="406AF002"/>
  <w15:docId w15:val="{1884680D-7D9A-42C3-AFAE-E7B80D67A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uiPriority="0"/>
    <w:lsdException w:name="footnote text" w:semiHidden="1" w:qFormat="1"/>
    <w:lsdException w:name="annotation text" w:semiHidden="1" w:uiPriority="0"/>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uiPriority="0"/>
    <w:lsdException w:name="line number" w:semiHidden="1"/>
    <w:lsdException w:name="page number" w:semiHidden="1"/>
    <w:lsdException w:name="endnote reference" w:semiHidden="1" w:uiPriority="0"/>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uiPriority="0"/>
    <w:lsdException w:name="Strong" w:semiHidden="1" w:uiPriority="0" w:qFormat="1"/>
    <w:lsdException w:name="Emphasis" w:semiHidden="1" w:uiPriority="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0"/>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0"/>
    <w:lsdException w:name="List Paragraph" w:semiHidden="1" w:uiPriority="0" w:qFormat="1"/>
    <w:lsdException w:name="Quote" w:semiHidden="1" w:uiPriority="0" w:qFormat="1"/>
    <w:lsdException w:name="Intense Quote" w:semiHidden="1"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0" w:qFormat="1"/>
    <w:lsdException w:name="Intense Emphasis" w:semiHidden="1" w:uiPriority="0" w:qFormat="1"/>
    <w:lsdException w:name="Subtle Reference" w:semiHidden="1" w:uiPriority="0" w:qFormat="1"/>
    <w:lsdException w:name="Intense Reference" w:semiHidden="1" w:uiPriority="0" w:qFormat="1"/>
    <w:lsdException w:name="Book Title" w:semiHidden="1" w:uiPriority="0" w:qFormat="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0"/>
    <w:lsdException w:name="Grid Table 1 Light" w:uiPriority="0"/>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rsid w:val="00971E00"/>
    <w:rPr>
      <w:color w:val="0000FF"/>
      <w:shd w:val="clear" w:color="auto" w:fill="auto"/>
    </w:rPr>
  </w:style>
  <w:style w:type="character" w:customStyle="1" w:styleId="FooterChar">
    <w:name w:val="Footer Char"/>
    <w:basedOn w:val="DefaultParagraphFont"/>
    <w:uiPriority w:val="99"/>
    <w:rsid w:val="00971E00"/>
    <w:rPr>
      <w:sz w:val="16"/>
    </w:rPr>
  </w:style>
  <w:style w:type="paragraph" w:customStyle="1" w:styleId="Pagedecouverture">
    <w:name w:val="Page de couverture"/>
    <w:basedOn w:val="Normal"/>
    <w:next w:val="Normal"/>
    <w:link w:val="PagedecouvertureChar"/>
    <w:rsid w:val="00971E00"/>
    <w:pPr>
      <w:spacing w:after="0"/>
      <w:jc w:val="left"/>
    </w:pPr>
    <w:rPr>
      <w:szCs w:val="22"/>
      <w:lang w:eastAsia="en-GB"/>
    </w:rPr>
  </w:style>
  <w:style w:type="paragraph" w:customStyle="1" w:styleId="Typedudocument">
    <w:name w:val="Type du document"/>
    <w:basedOn w:val="Normal"/>
    <w:next w:val="Normal"/>
    <w:rsid w:val="00971E00"/>
    <w:pPr>
      <w:spacing w:before="360" w:after="0"/>
      <w:jc w:val="center"/>
    </w:pPr>
    <w:rPr>
      <w:b/>
      <w:szCs w:val="22"/>
      <w:lang w:eastAsia="en-GB"/>
    </w:rPr>
  </w:style>
  <w:style w:type="paragraph" w:customStyle="1" w:styleId="Titreobjet">
    <w:name w:val="Titre objet"/>
    <w:basedOn w:val="Normal"/>
    <w:next w:val="Normal"/>
    <w:rsid w:val="00971E00"/>
    <w:pPr>
      <w:spacing w:before="360" w:after="360"/>
      <w:jc w:val="center"/>
    </w:pPr>
    <w:rPr>
      <w:b/>
      <w:szCs w:val="22"/>
      <w:lang w:eastAsia="en-GB"/>
    </w:rPr>
  </w:style>
  <w:style w:type="paragraph" w:customStyle="1" w:styleId="FooterCoverPage">
    <w:name w:val="Footer Cover Page"/>
    <w:basedOn w:val="Normal"/>
    <w:link w:val="FooterCoverPageChar"/>
    <w:rsid w:val="00971E00"/>
    <w:pPr>
      <w:tabs>
        <w:tab w:val="center" w:pos="4535"/>
        <w:tab w:val="right" w:pos="9071"/>
        <w:tab w:val="right" w:pos="9921"/>
      </w:tabs>
      <w:spacing w:before="360" w:after="0"/>
      <w:ind w:left="-850" w:right="-850"/>
      <w:jc w:val="left"/>
    </w:pPr>
  </w:style>
  <w:style w:type="character" w:customStyle="1" w:styleId="PagedecouvertureChar">
    <w:name w:val="Page de couverture Char"/>
    <w:link w:val="Pagedecouverture"/>
    <w:rsid w:val="00971E00"/>
    <w:rPr>
      <w:szCs w:val="22"/>
      <w:lang w:val="fr-FR" w:eastAsia="en-GB"/>
    </w:rPr>
  </w:style>
  <w:style w:type="character" w:customStyle="1" w:styleId="FooterCoverPageChar">
    <w:name w:val="Footer Cover Page Char"/>
    <w:link w:val="FooterCoverPage"/>
    <w:rsid w:val="00971E00"/>
  </w:style>
  <w:style w:type="paragraph" w:customStyle="1" w:styleId="FooterSensitivity">
    <w:name w:val="Footer Sensitivity"/>
    <w:basedOn w:val="Normal"/>
    <w:link w:val="FooterSensitivityChar"/>
    <w:rsid w:val="00971E0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link w:val="FooterSensitivity"/>
    <w:rsid w:val="00971E00"/>
    <w:rPr>
      <w:b/>
      <w:sz w:val="32"/>
    </w:rPr>
  </w:style>
  <w:style w:type="paragraph" w:customStyle="1" w:styleId="HeaderCoverPage">
    <w:name w:val="Header Cover Page"/>
    <w:basedOn w:val="Normal"/>
    <w:link w:val="HeaderCoverPageChar"/>
    <w:rsid w:val="00971E00"/>
    <w:pPr>
      <w:tabs>
        <w:tab w:val="center" w:pos="4535"/>
        <w:tab w:val="right" w:pos="9071"/>
      </w:tabs>
      <w:spacing w:after="120"/>
    </w:pPr>
  </w:style>
  <w:style w:type="character" w:customStyle="1" w:styleId="HeaderCoverPageChar">
    <w:name w:val="Header Cover Page Char"/>
    <w:link w:val="HeaderCoverPage"/>
    <w:rsid w:val="00971E00"/>
  </w:style>
  <w:style w:type="paragraph" w:customStyle="1" w:styleId="HeaderSensitivity">
    <w:name w:val="Header Sensitivity"/>
    <w:basedOn w:val="Normal"/>
    <w:link w:val="HeaderSensitivityChar"/>
    <w:rsid w:val="00971E0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link w:val="HeaderSensitivity"/>
    <w:rsid w:val="00971E00"/>
    <w:rPr>
      <w:b/>
      <w:sz w:val="32"/>
    </w:rPr>
  </w:style>
  <w:style w:type="paragraph" w:customStyle="1" w:styleId="HeaderSensitivityRight">
    <w:name w:val="Header Sensitivity Right"/>
    <w:basedOn w:val="Normal"/>
    <w:link w:val="HeaderSensitivityRightChar"/>
    <w:rsid w:val="00322A5A"/>
    <w:pPr>
      <w:spacing w:after="120"/>
      <w:jc w:val="right"/>
    </w:pPr>
    <w:rPr>
      <w:sz w:val="28"/>
    </w:rPr>
  </w:style>
  <w:style w:type="character" w:customStyle="1" w:styleId="HeaderSensitivityRightChar">
    <w:name w:val="Header Sensitivity Right Char"/>
    <w:link w:val="HeaderSensitivityRight"/>
    <w:rsid w:val="00971E00"/>
    <w:rPr>
      <w:sz w:val="28"/>
    </w:rPr>
  </w:style>
  <w:style w:type="paragraph" w:styleId="ListParagraph">
    <w:name w:val="List Paragraph"/>
    <w:aliases w:val="Heading 2_sj,List Paragraph1,Bullet List Paragraph,Resume Title,Citation List,Ha,List Paragraph_Table bullets,Listes,1st level - Bullet List Paragraph,Lettre d'introduction,Paragrafo elenco,Medium Grid 1 - Accent 21,Normal bullet 2,Dot pt"/>
    <w:basedOn w:val="Normal"/>
    <w:link w:val="ListParagraphChar"/>
    <w:qFormat/>
    <w:rsid w:val="00971E00"/>
    <w:pPr>
      <w:spacing w:after="0"/>
      <w:ind w:left="720"/>
      <w:contextualSpacing/>
      <w:jc w:val="left"/>
    </w:pPr>
    <w:rPr>
      <w:szCs w:val="24"/>
      <w:lang w:eastAsia="en-GB"/>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qFormat/>
    <w:rsid w:val="00971E00"/>
    <w:rPr>
      <w:sz w:val="20"/>
    </w:rPr>
  </w:style>
  <w:style w:type="character" w:styleId="Hyperlink">
    <w:name w:val="Hyperlink"/>
    <w:rsid w:val="00971E00"/>
    <w:rPr>
      <w:color w:val="0000FF"/>
      <w:u w:val="single"/>
    </w:rPr>
  </w:style>
  <w:style w:type="character" w:customStyle="1" w:styleId="ListParagraphChar">
    <w:name w:val="List Paragraph Char"/>
    <w:aliases w:val="Heading 2_sj Char,List Paragraph1 Char,Bullet List Paragraph Char,Resume Title Char,Citation List Char,Ha Char,List Paragraph_Table bullets Char,Listes Char,1st level - Bullet List Paragraph Char,Lettre d'introduction Char"/>
    <w:link w:val="ListParagraph"/>
    <w:locked/>
    <w:rsid w:val="00971E00"/>
    <w:rPr>
      <w:szCs w:val="24"/>
      <w:lang w:val="fr-FR" w:eastAsia="en-GB"/>
    </w:rPr>
  </w:style>
  <w:style w:type="character" w:styleId="Emphasis">
    <w:name w:val="Emphasis"/>
    <w:qFormat/>
    <w:rsid w:val="00971E00"/>
    <w:rPr>
      <w:i/>
      <w:iCs/>
    </w:rPr>
  </w:style>
  <w:style w:type="character" w:customStyle="1" w:styleId="UnresolvedMention">
    <w:name w:val="Unresolved Mention"/>
    <w:rsid w:val="00971E00"/>
    <w:rPr>
      <w:color w:val="605E5C"/>
      <w:shd w:val="clear" w:color="auto" w:fill="E1DFDD"/>
    </w:rPr>
  </w:style>
  <w:style w:type="character" w:styleId="FollowedHyperlink">
    <w:name w:val="FollowedHyperlink"/>
    <w:rsid w:val="00971E00"/>
    <w:rPr>
      <w:color w:val="954F72"/>
      <w:u w:val="single"/>
    </w:rPr>
  </w:style>
  <w:style w:type="paragraph" w:customStyle="1" w:styleId="oj-normal">
    <w:name w:val="oj-normal"/>
    <w:basedOn w:val="Normal"/>
    <w:rsid w:val="00971E00"/>
    <w:pPr>
      <w:spacing w:before="100" w:beforeAutospacing="1" w:after="100" w:afterAutospacing="1"/>
      <w:jc w:val="left"/>
    </w:pPr>
    <w:rPr>
      <w:szCs w:val="24"/>
      <w:lang w:eastAsia="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next w:val="Normal"/>
    <w:link w:val="FootnoteReference"/>
    <w:rsid w:val="00971E00"/>
    <w:pPr>
      <w:spacing w:before="120" w:after="0" w:line="240" w:lineRule="exact"/>
      <w:jc w:val="left"/>
    </w:pPr>
    <w:rPr>
      <w:vertAlign w:val="superscript"/>
    </w:rPr>
  </w:style>
  <w:style w:type="character" w:styleId="Strong">
    <w:name w:val="Strong"/>
    <w:qFormat/>
    <w:rsid w:val="00971E00"/>
    <w:rPr>
      <w:b/>
      <w:bCs/>
    </w:rPr>
  </w:style>
  <w:style w:type="paragraph" w:customStyle="1" w:styleId="BodyText1">
    <w:name w:val="Body Text1"/>
    <w:basedOn w:val="Normal"/>
    <w:link w:val="BodytextChar"/>
    <w:rsid w:val="00971E00"/>
    <w:pPr>
      <w:spacing w:before="120" w:after="0"/>
      <w:jc w:val="left"/>
    </w:pPr>
    <w:rPr>
      <w:rFonts w:ascii="Arial" w:hAnsi="Arial"/>
      <w:noProof/>
      <w:sz w:val="22"/>
      <w:szCs w:val="24"/>
      <w:lang w:eastAsia="en-GB"/>
    </w:rPr>
  </w:style>
  <w:style w:type="character" w:customStyle="1" w:styleId="BodytextChar">
    <w:name w:val="Body text Char"/>
    <w:link w:val="BodyText1"/>
    <w:rsid w:val="00971E00"/>
    <w:rPr>
      <w:rFonts w:ascii="Arial" w:hAnsi="Arial"/>
      <w:noProof/>
      <w:sz w:val="22"/>
      <w:szCs w:val="24"/>
      <w:lang w:val="fr-FR" w:eastAsia="en-GB"/>
    </w:rPr>
  </w:style>
  <w:style w:type="paragraph" w:customStyle="1" w:styleId="SbQuote">
    <w:name w:val="SbQuote"/>
    <w:basedOn w:val="Normal"/>
    <w:link w:val="SbQuoteChar"/>
    <w:rsid w:val="00971E00"/>
    <w:pPr>
      <w:spacing w:before="120" w:after="0" w:line="276" w:lineRule="auto"/>
      <w:ind w:left="567"/>
      <w:jc w:val="left"/>
    </w:pPr>
    <w:rPr>
      <w:rFonts w:ascii="Arial" w:hAnsi="Arial"/>
      <w:color w:val="000000"/>
      <w:sz w:val="22"/>
      <w:szCs w:val="22"/>
      <w:lang w:eastAsia="en-GB"/>
    </w:rPr>
  </w:style>
  <w:style w:type="character" w:customStyle="1" w:styleId="SbQuoteChar">
    <w:name w:val="SbQuote Char"/>
    <w:link w:val="SbQuote"/>
    <w:locked/>
    <w:rsid w:val="00971E00"/>
    <w:rPr>
      <w:rFonts w:ascii="Arial" w:hAnsi="Arial"/>
      <w:color w:val="000000"/>
      <w:sz w:val="22"/>
      <w:szCs w:val="22"/>
      <w:lang w:val="fr-FR" w:eastAsia="en-GB"/>
    </w:rPr>
  </w:style>
  <w:style w:type="paragraph" w:styleId="NormalWeb">
    <w:name w:val="Normal (Web)"/>
    <w:basedOn w:val="Normal"/>
    <w:rsid w:val="00971E00"/>
    <w:pPr>
      <w:spacing w:before="100" w:beforeAutospacing="1" w:after="100" w:afterAutospacing="1"/>
      <w:jc w:val="left"/>
    </w:pPr>
    <w:rPr>
      <w:szCs w:val="24"/>
      <w:lang w:eastAsia="en-GB"/>
    </w:rPr>
  </w:style>
  <w:style w:type="paragraph" w:customStyle="1" w:styleId="Default">
    <w:name w:val="Default"/>
    <w:rsid w:val="00971E00"/>
    <w:pPr>
      <w:autoSpaceDE w:val="0"/>
      <w:autoSpaceDN w:val="0"/>
      <w:adjustRightInd w:val="0"/>
    </w:pPr>
    <w:rPr>
      <w:rFonts w:ascii="Calibri" w:eastAsia="Yu Mincho" w:hAnsi="Calibri" w:cs="Arial"/>
      <w:color w:val="000000"/>
      <w:sz w:val="20"/>
      <w:lang w:eastAsia="en-GB"/>
    </w:rPr>
  </w:style>
  <w:style w:type="character" w:customStyle="1" w:styleId="Heading1Char">
    <w:name w:val="Heading 1 Char"/>
    <w:rsid w:val="00971E00"/>
    <w:rPr>
      <w:b/>
      <w:smallCaps/>
    </w:rPr>
  </w:style>
  <w:style w:type="character" w:customStyle="1" w:styleId="Heading2Char">
    <w:name w:val="Heading 2 Char"/>
    <w:rsid w:val="00971E00"/>
    <w:rPr>
      <w:b/>
    </w:rPr>
  </w:style>
  <w:style w:type="character" w:customStyle="1" w:styleId="Heading3Char">
    <w:name w:val="Heading 3 Char"/>
    <w:rsid w:val="00971E00"/>
    <w:rPr>
      <w:i/>
    </w:rPr>
  </w:style>
  <w:style w:type="character" w:customStyle="1" w:styleId="Heading4Char">
    <w:name w:val="Heading 4 Char"/>
    <w:rsid w:val="00971E00"/>
  </w:style>
  <w:style w:type="character" w:customStyle="1" w:styleId="Heading5Char">
    <w:name w:val="Heading 5 Char"/>
    <w:rsid w:val="00971E00"/>
  </w:style>
  <w:style w:type="character" w:customStyle="1" w:styleId="Heading6Char">
    <w:name w:val="Heading 6 Char"/>
    <w:rsid w:val="00971E00"/>
  </w:style>
  <w:style w:type="character" w:customStyle="1" w:styleId="Heading7Char">
    <w:name w:val="Heading 7 Char"/>
    <w:rsid w:val="00971E00"/>
  </w:style>
  <w:style w:type="character" w:customStyle="1" w:styleId="Heading8Char">
    <w:name w:val="Heading 8 Char"/>
    <w:rsid w:val="00971E00"/>
  </w:style>
  <w:style w:type="character" w:customStyle="1" w:styleId="Heading9Char">
    <w:name w:val="Heading 9 Char"/>
    <w:rsid w:val="00971E00"/>
  </w:style>
  <w:style w:type="character" w:customStyle="1" w:styleId="TitleChar">
    <w:name w:val="Title Char"/>
    <w:rsid w:val="00971E00"/>
    <w:rPr>
      <w:b/>
      <w:kern w:val="28"/>
      <w:sz w:val="48"/>
    </w:rPr>
  </w:style>
  <w:style w:type="paragraph" w:styleId="Subtitle">
    <w:name w:val="Subtitle"/>
    <w:basedOn w:val="Normal"/>
    <w:next w:val="Normal"/>
    <w:link w:val="SubtitleChar"/>
    <w:qFormat/>
    <w:rsid w:val="00971E00"/>
    <w:pPr>
      <w:numPr>
        <w:ilvl w:val="1"/>
      </w:numPr>
      <w:spacing w:after="0"/>
      <w:jc w:val="left"/>
    </w:pPr>
    <w:rPr>
      <w:rFonts w:ascii="Calibri Light" w:eastAsia="Yu Gothic Light" w:hAnsi="Calibri Light"/>
      <w:szCs w:val="24"/>
      <w:lang w:eastAsia="en-GB"/>
    </w:rPr>
  </w:style>
  <w:style w:type="character" w:customStyle="1" w:styleId="SubtitleChar">
    <w:name w:val="Subtitle Char"/>
    <w:basedOn w:val="DefaultParagraphFont"/>
    <w:link w:val="Subtitle"/>
    <w:rsid w:val="00971E00"/>
    <w:rPr>
      <w:rFonts w:ascii="Calibri Light" w:eastAsia="Yu Gothic Light" w:hAnsi="Calibri Light"/>
      <w:szCs w:val="24"/>
      <w:lang w:val="fr-FR" w:eastAsia="en-GB"/>
    </w:rPr>
  </w:style>
  <w:style w:type="paragraph" w:styleId="NoSpacing">
    <w:name w:val="No Spacing"/>
    <w:qFormat/>
    <w:rsid w:val="00971E00"/>
    <w:rPr>
      <w:rFonts w:ascii="Calibri" w:eastAsia="Yu Mincho" w:hAnsi="Calibri" w:cs="Arial"/>
      <w:sz w:val="20"/>
      <w:lang w:eastAsia="en-GB"/>
    </w:rPr>
  </w:style>
  <w:style w:type="paragraph" w:styleId="Quote">
    <w:name w:val="Quote"/>
    <w:basedOn w:val="Normal"/>
    <w:next w:val="Normal"/>
    <w:link w:val="QuoteChar"/>
    <w:qFormat/>
    <w:rsid w:val="00971E00"/>
    <w:pPr>
      <w:spacing w:before="160" w:after="0"/>
      <w:ind w:left="720" w:right="720"/>
      <w:jc w:val="left"/>
    </w:pPr>
    <w:rPr>
      <w:i/>
      <w:iCs/>
      <w:color w:val="404040"/>
      <w:szCs w:val="24"/>
      <w:lang w:eastAsia="en-GB"/>
    </w:rPr>
  </w:style>
  <w:style w:type="character" w:customStyle="1" w:styleId="QuoteChar">
    <w:name w:val="Quote Char"/>
    <w:basedOn w:val="DefaultParagraphFont"/>
    <w:link w:val="Quote"/>
    <w:rsid w:val="00971E00"/>
    <w:rPr>
      <w:i/>
      <w:iCs/>
      <w:color w:val="404040"/>
      <w:szCs w:val="24"/>
      <w:lang w:val="fr-FR" w:eastAsia="en-GB"/>
    </w:rPr>
  </w:style>
  <w:style w:type="paragraph" w:styleId="IntenseQuote">
    <w:name w:val="Intense Quote"/>
    <w:basedOn w:val="Normal"/>
    <w:next w:val="Normal"/>
    <w:link w:val="IntenseQuoteChar"/>
    <w:qFormat/>
    <w:rsid w:val="00971E00"/>
    <w:pPr>
      <w:pBdr>
        <w:left w:val="single" w:sz="18" w:space="12" w:color="4472C4"/>
      </w:pBdr>
      <w:spacing w:before="100" w:beforeAutospacing="1" w:after="0" w:line="300" w:lineRule="auto"/>
      <w:ind w:left="1224" w:right="1224"/>
      <w:jc w:val="left"/>
    </w:pPr>
    <w:rPr>
      <w:rFonts w:ascii="Calibri Light" w:eastAsia="Yu Gothic Light" w:hAnsi="Calibri Light"/>
      <w:color w:val="4472C4"/>
      <w:sz w:val="28"/>
      <w:szCs w:val="28"/>
      <w:lang w:eastAsia="en-GB"/>
    </w:rPr>
  </w:style>
  <w:style w:type="character" w:customStyle="1" w:styleId="IntenseQuoteChar">
    <w:name w:val="Intense Quote Char"/>
    <w:basedOn w:val="DefaultParagraphFont"/>
    <w:link w:val="IntenseQuote"/>
    <w:rsid w:val="00971E00"/>
    <w:rPr>
      <w:rFonts w:ascii="Calibri Light" w:eastAsia="Yu Gothic Light" w:hAnsi="Calibri Light"/>
      <w:color w:val="4472C4"/>
      <w:sz w:val="28"/>
      <w:szCs w:val="28"/>
      <w:lang w:val="fr-FR" w:eastAsia="en-GB"/>
    </w:rPr>
  </w:style>
  <w:style w:type="character" w:styleId="SubtleEmphasis">
    <w:name w:val="Subtle Emphasis"/>
    <w:qFormat/>
    <w:rsid w:val="00971E00"/>
    <w:rPr>
      <w:i/>
      <w:iCs/>
      <w:color w:val="404040"/>
    </w:rPr>
  </w:style>
  <w:style w:type="character" w:styleId="IntenseEmphasis">
    <w:name w:val="Intense Emphasis"/>
    <w:qFormat/>
    <w:rsid w:val="00971E00"/>
    <w:rPr>
      <w:b/>
      <w:bCs/>
      <w:i/>
      <w:iCs/>
    </w:rPr>
  </w:style>
  <w:style w:type="character" w:styleId="SubtleReference">
    <w:name w:val="Subtle Reference"/>
    <w:qFormat/>
    <w:rsid w:val="00971E00"/>
    <w:rPr>
      <w:smallCaps/>
      <w:color w:val="404040"/>
      <w:u w:val="single" w:color="7F7F7F"/>
    </w:rPr>
  </w:style>
  <w:style w:type="character" w:styleId="IntenseReference">
    <w:name w:val="Intense Reference"/>
    <w:qFormat/>
    <w:rsid w:val="00971E00"/>
    <w:rPr>
      <w:b/>
      <w:bCs/>
      <w:smallCaps/>
      <w:spacing w:val="5"/>
      <w:u w:val="single"/>
    </w:rPr>
  </w:style>
  <w:style w:type="character" w:styleId="BookTitle">
    <w:name w:val="Book Title"/>
    <w:qFormat/>
    <w:rsid w:val="00971E00"/>
    <w:rPr>
      <w:b/>
      <w:bCs/>
      <w:smallCaps/>
    </w:rPr>
  </w:style>
  <w:style w:type="table" w:styleId="TableGridLight">
    <w:name w:val="Grid Table Light"/>
    <w:basedOn w:val="TableNormal"/>
    <w:rsid w:val="00971E00"/>
    <w:rPr>
      <w:rFonts w:ascii="Calibri" w:eastAsia="Yu Mincho" w:hAnsi="Calibri" w:cs="Arial"/>
      <w:sz w:val="20"/>
      <w:lang w:eastAsia="en-GB"/>
    </w:rPr>
    <w:tblPr/>
  </w:style>
  <w:style w:type="character" w:styleId="CommentReference">
    <w:name w:val="annotation reference"/>
    <w:rsid w:val="00971E00"/>
    <w:rPr>
      <w:sz w:val="16"/>
      <w:szCs w:val="16"/>
    </w:rPr>
  </w:style>
  <w:style w:type="paragraph" w:styleId="CommentText">
    <w:name w:val="annotation text"/>
    <w:basedOn w:val="Normal"/>
    <w:link w:val="CommentTextChar"/>
    <w:rsid w:val="00971E00"/>
    <w:pPr>
      <w:spacing w:after="0"/>
      <w:jc w:val="left"/>
    </w:pPr>
    <w:rPr>
      <w:szCs w:val="24"/>
      <w:lang w:eastAsia="en-GB"/>
    </w:rPr>
  </w:style>
  <w:style w:type="character" w:customStyle="1" w:styleId="CommentTextChar">
    <w:name w:val="Comment Text Char"/>
    <w:basedOn w:val="DefaultParagraphFont"/>
    <w:link w:val="CommentText"/>
    <w:rsid w:val="00971E00"/>
    <w:rPr>
      <w:szCs w:val="24"/>
      <w:lang w:val="fr-FR" w:eastAsia="en-GB"/>
    </w:rPr>
  </w:style>
  <w:style w:type="paragraph" w:styleId="CommentSubject">
    <w:name w:val="annotation subject"/>
    <w:basedOn w:val="CommentText"/>
    <w:next w:val="CommentText"/>
    <w:link w:val="CommentSubjectChar"/>
    <w:rsid w:val="00971E00"/>
    <w:rPr>
      <w:b/>
      <w:bCs/>
    </w:rPr>
  </w:style>
  <w:style w:type="character" w:customStyle="1" w:styleId="CommentSubjectChar">
    <w:name w:val="Comment Subject Char"/>
    <w:basedOn w:val="CommentTextChar"/>
    <w:link w:val="CommentSubject"/>
    <w:rsid w:val="00971E00"/>
    <w:rPr>
      <w:b/>
      <w:bCs/>
      <w:szCs w:val="24"/>
      <w:lang w:val="fr-FR" w:eastAsia="en-GB"/>
    </w:rPr>
  </w:style>
  <w:style w:type="paragraph" w:styleId="Revision">
    <w:name w:val="Revision"/>
    <w:hidden/>
    <w:rsid w:val="00971E00"/>
    <w:rPr>
      <w:rFonts w:ascii="Calibri" w:eastAsia="Yu Mincho" w:hAnsi="Calibri" w:cs="Arial"/>
      <w:sz w:val="20"/>
      <w:lang w:eastAsia="en-GB"/>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rsid w:val="00971E00"/>
    <w:pPr>
      <w:keepLines/>
      <w:spacing w:after="160" w:line="240" w:lineRule="exact"/>
      <w:jc w:val="left"/>
    </w:pPr>
    <w:rPr>
      <w:rFonts w:eastAsia="Calibri"/>
      <w:kern w:val="2"/>
      <w:sz w:val="22"/>
      <w:szCs w:val="22"/>
      <w:vertAlign w:val="superscript"/>
      <w:lang w:eastAsia="en-GB"/>
    </w:rPr>
  </w:style>
  <w:style w:type="character" w:customStyle="1" w:styleId="EndnoteTextChar">
    <w:name w:val="Endnote Text Char"/>
    <w:basedOn w:val="DefaultParagraphFont"/>
    <w:rsid w:val="00971E00"/>
    <w:rPr>
      <w:sz w:val="20"/>
    </w:rPr>
  </w:style>
  <w:style w:type="character" w:styleId="EndnoteReference">
    <w:name w:val="endnote reference"/>
    <w:rsid w:val="00971E00"/>
    <w:rPr>
      <w:vertAlign w:val="superscript"/>
    </w:rPr>
  </w:style>
  <w:style w:type="character" w:customStyle="1" w:styleId="CaptionChar2">
    <w:name w:val="Caption Char2"/>
    <w:aliases w:val="Legend Char,Figure reference Char,Tab_Überschrift Char,Caption Char1 Char,Caption Char Char Char,Caption Char1 Char Char Char Char,Caption Char Char Char Char Char Char,Caption Char1 Char Char Char Char Char Char,Caption Char Char1"/>
    <w:locked/>
    <w:rsid w:val="00971E00"/>
    <w:rPr>
      <w:i/>
      <w:sz w:val="22"/>
    </w:rPr>
  </w:style>
  <w:style w:type="table" w:styleId="GridTable1Light">
    <w:name w:val="Grid Table 1 Light"/>
    <w:basedOn w:val="TableGrid2"/>
    <w:rsid w:val="00971E00"/>
    <w:pPr>
      <w:jc w:val="left"/>
    </w:pPr>
    <w:rPr>
      <w:sz w:val="21"/>
      <w:szCs w:val="21"/>
      <w:lang w:val="en-IE" w:eastAsia="en-US"/>
    </w:rPr>
    <w:tblPr>
      <w:tblStyleRowBandSize w:val="1"/>
      <w:tblStyleColBandSize w:val="1"/>
      <w:tblCellMar>
        <w:left w:w="0" w:type="dxa"/>
        <w:right w:w="0" w:type="dxa"/>
      </w:tblCellMar>
    </w:tblPr>
    <w:tcPr>
      <w:shd w:val="clear" w:color="auto" w:fill="auto"/>
    </w:tcPr>
    <w:tblStylePr w:type="firstRow">
      <w:rPr>
        <w:b/>
        <w:bCs/>
      </w:rPr>
      <w:tblPr/>
      <w:tcPr>
        <w:tcBorders>
          <w:bottom w:val="single" w:sz="12" w:space="0" w:color="666666"/>
          <w:tl2br w:val="none" w:sz="0" w:space="0" w:color="auto"/>
          <w:tr2bl w:val="none" w:sz="0" w:space="0" w:color="auto"/>
        </w:tcBorders>
      </w:tcPr>
    </w:tblStylePr>
    <w:tblStylePr w:type="lastRow">
      <w:rPr>
        <w:b/>
        <w:bCs/>
      </w:rPr>
      <w:tblPr/>
      <w:tcPr>
        <w:tcBorders>
          <w:top w:val="double" w:sz="2" w:space="0" w:color="666666"/>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2">
    <w:name w:val="Table Grid 2"/>
    <w:basedOn w:val="TableNormal"/>
    <w:rsid w:val="00971E00"/>
    <w:pPr>
      <w:jc w:val="both"/>
    </w:pPr>
    <w:rPr>
      <w:rFonts w:ascii="Calibri" w:eastAsia="Yu Mincho" w:hAnsi="Calibri" w:cs="Arial"/>
      <w:sz w:val="20"/>
      <w:lang w:eastAsia="en-GB"/>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paragraph" w:styleId="NormalIndent">
    <w:name w:val="Normal Indent"/>
    <w:basedOn w:val="Normal"/>
    <w:rsid w:val="00971E00"/>
    <w:pPr>
      <w:spacing w:after="0" w:line="260" w:lineRule="atLeast"/>
      <w:ind w:left="964"/>
      <w:jc w:val="left"/>
    </w:pPr>
    <w:rPr>
      <w:rFonts w:ascii="Arial" w:hAnsi="Arial"/>
      <w:sz w:val="18"/>
      <w:szCs w:val="18"/>
      <w:lang w:eastAsia="en-GB"/>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link w:val="SUPERSCharCharCharCharCharCharCharChar"/>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customStyle="1" w:styleId="Disclaimer">
    <w:name w:val="Disclaimer"/>
    <w:basedOn w:val="Normal"/>
    <w:rsid w:val="00322A5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322A5A"/>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322A5A"/>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322A5A"/>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43843">
      <w:bodyDiv w:val="1"/>
      <w:marLeft w:val="0"/>
      <w:marRight w:val="0"/>
      <w:marTop w:val="0"/>
      <w:marBottom w:val="0"/>
      <w:divBdr>
        <w:top w:val="none" w:sz="0" w:space="0" w:color="auto"/>
        <w:left w:val="none" w:sz="0" w:space="0" w:color="auto"/>
        <w:bottom w:val="none" w:sz="0" w:space="0" w:color="auto"/>
        <w:right w:val="none" w:sz="0" w:space="0" w:color="auto"/>
      </w:divBdr>
    </w:div>
    <w:div w:id="554700487">
      <w:bodyDiv w:val="1"/>
      <w:marLeft w:val="0"/>
      <w:marRight w:val="0"/>
      <w:marTop w:val="0"/>
      <w:marBottom w:val="0"/>
      <w:divBdr>
        <w:top w:val="none" w:sz="0" w:space="0" w:color="auto"/>
        <w:left w:val="none" w:sz="0" w:space="0" w:color="auto"/>
        <w:bottom w:val="none" w:sz="0" w:space="0" w:color="auto"/>
        <w:right w:val="none" w:sz="0" w:space="0" w:color="auto"/>
      </w:divBdr>
    </w:div>
    <w:div w:id="1423457217">
      <w:bodyDiv w:val="1"/>
      <w:marLeft w:val="0"/>
      <w:marRight w:val="0"/>
      <w:marTop w:val="0"/>
      <w:marBottom w:val="0"/>
      <w:divBdr>
        <w:top w:val="none" w:sz="0" w:space="0" w:color="auto"/>
        <w:left w:val="none" w:sz="0" w:space="0" w:color="auto"/>
        <w:bottom w:val="none" w:sz="0" w:space="0" w:color="auto"/>
        <w:right w:val="none" w:sz="0" w:space="0" w:color="auto"/>
      </w:divBdr>
    </w:div>
    <w:div w:id="17611000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image" Target="media/image7.emf"/><Relationship Id="rId39"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2.emf"/><Relationship Id="rId34" Type="http://schemas.openxmlformats.org/officeDocument/2006/relationships/hyperlink" Target="https://eur-lex.europa.eu/eli/reg/2019/2144/oj?eliuri=eli%3Areg%3A2019%3A2144%3Aoj&amp;locale=fr" TargetMode="External"/><Relationship Id="rId42"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image" Target="media/image6.emf"/><Relationship Id="rId33" Type="http://schemas.openxmlformats.org/officeDocument/2006/relationships/image" Target="media/image11.emf"/><Relationship Id="rId3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eepliant.eu/index.php/new-about-eepliant/about-eepliant4" TargetMode="External"/><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5.emf"/><Relationship Id="rId32" Type="http://schemas.openxmlformats.org/officeDocument/2006/relationships/image" Target="media/image10.png"/><Relationship Id="rId37" Type="http://schemas.openxmlformats.org/officeDocument/2006/relationships/header" Target="header5.xml"/><Relationship Id="rId40"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4.png"/><Relationship Id="rId28" Type="http://schemas.openxmlformats.org/officeDocument/2006/relationships/image" Target="media/image9.emf"/><Relationship Id="rId36"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hyperlink" Target="https://eepliant.eu/index.php/new-about-eepliant/about-eepliant4"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image" Target="media/image3.emf"/><Relationship Id="rId27" Type="http://schemas.openxmlformats.org/officeDocument/2006/relationships/image" Target="media/image8.emf"/><Relationship Id="rId30" Type="http://schemas.openxmlformats.org/officeDocument/2006/relationships/hyperlink" Target="https://cinea.ec.europa.eu/programmes/life_en" TargetMode="External"/><Relationship Id="rId35" Type="http://schemas.openxmlformats.org/officeDocument/2006/relationships/image" Target="media/image12.png"/><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iki.unece.org/pages/viewpage.action?pageId=160694352" TargetMode="External"/><Relationship Id="rId3" Type="http://schemas.openxmlformats.org/officeDocument/2006/relationships/hyperlink" Target="https://single-market-economy.ec.europa.eu/single-market/goods/building-blocks/market-surveillance/organisation/adcos_en" TargetMode="External"/><Relationship Id="rId7" Type="http://schemas.openxmlformats.org/officeDocument/2006/relationships/hyperlink" Target="https://data.europa.eu/doi/10.2833/210444" TargetMode="External"/><Relationship Id="rId12" Type="http://schemas.openxmlformats.org/officeDocument/2006/relationships/hyperlink" Target="https://eur-lex.europa.eu/legal-content/FR/TXT/?uri=uriserv%3AOJ.C_.2012.086.01.0003.01.FRA&amp;toc=OJ%3AC%3A2012%3A086%3ATOC" TargetMode="External"/><Relationship Id="rId2" Type="http://schemas.openxmlformats.org/officeDocument/2006/relationships/hyperlink" Target="https://data.europa.eu/doi/10.2833/6898249" TargetMode="External"/><Relationship Id="rId1" Type="http://schemas.openxmlformats.org/officeDocument/2006/relationships/hyperlink" Target="https://eprel.ec.europa.eu/screen/home" TargetMode="External"/><Relationship Id="rId6" Type="http://schemas.openxmlformats.org/officeDocument/2006/relationships/hyperlink" Target="https://ec.europa.eu/info/law/better-regulation/have-your-say/initiatives/1460-Evaluation-and-potential-revision-of-the-EU-tyre-labelling-scheme_fr" TargetMode="External"/><Relationship Id="rId11" Type="http://schemas.openxmlformats.org/officeDocument/2006/relationships/hyperlink" Target="https://publications.jrc.ec.europa.eu/repository/handle/JRC130606" TargetMode="External"/><Relationship Id="rId5" Type="http://schemas.openxmlformats.org/officeDocument/2006/relationships/hyperlink" Target="https://single-market-economy.ec.europa.eu/single-market/goods/building-blocks/information-and-communication-system-market-surveillance_en" TargetMode="External"/><Relationship Id="rId10" Type="http://schemas.openxmlformats.org/officeDocument/2006/relationships/hyperlink" Target="https://prosafe.org/" TargetMode="External"/><Relationship Id="rId4" Type="http://schemas.openxmlformats.org/officeDocument/2006/relationships/hyperlink" Target="https://ec.europa.eu/transparency/expert-groups-register/screen/expert-groups/consult?lang=fr&amp;groupID=2519" TargetMode="External"/><Relationship Id="rId9" Type="http://schemas.openxmlformats.org/officeDocument/2006/relationships/hyperlink" Target="https://energy-efficient-products.ec.europa.eu/national-measures-penalties-and-sanctions-tyr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p:properties xmlns:p="http://schemas.microsoft.com/office/2006/metadata/properties" xmlns:xsi="http://www.w3.org/2001/XMLSchema-instance" xmlns:pc="http://schemas.microsoft.com/office/infopath/2007/PartnerControls">
  <documentManagement>
    <date xmlns="5a453f2f-4aff-4114-81ba-e18ec71a3481" xsi:nil="true"/>
    <TaxCatchAll xmlns="f9315274-0e25-49c3-ba9a-18bfb53ea1de" xsi:nil="true"/>
    <Area xmlns="5a453f2f-4aff-4114-81ba-e18ec71a3481" xsi:nil="true"/>
    <lcf76f155ced4ddcb4097134ff3c332f xmlns="5a453f2f-4aff-4114-81ba-e18ec71a348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ate0 xmlns="5a453f2f-4aff-4114-81ba-e18ec71a3481" xsi:nil="true"/>
    <Dateandtime xmlns="5a453f2f-4aff-4114-81ba-e18ec71a3481" xsi:nil="true"/>
  </documentManagement>
</p:properties>
</file>

<file path=customXml/item3.xml><?xml version="1.0" encoding="utf-8"?>
<Author Role="Creator" AuthorRoleName="Writer" AuthorRoleDisplayName="Writer" AuthorRoleId="a4fbaff4-b07c-48b4-a21e-e7b9eedf3796">
  <Id>ec1e8bf2-273b-4838-9fbd-89f226d64a89</Id>
  <Names>
    <Latin>
      <FirstName>Robert</FirstName>
      <LastName>Nuij</LastName>
    </Latin>
    <Greek>
      <FirstName/>
      <LastName/>
    </Greek>
    <Cyrillic>
      <FirstName/>
      <LastName/>
    </Cyrillic>
    <DocumentScript>
      <FirstName>Robert</FirstName>
      <LastName>Nuij</LastName>
      <FullName>Robert Nuij</FullName>
    </DocumentScript>
  </Names>
  <Initials>RN</Initials>
  <Gender>m</Gender>
  <Email>Robert.NUIJ@ec.europa.eu</Email>
  <Service>ENER.B.3</Service>
  <Function ADCode="4" ShowInSignature="true" ShowInHeader="false" HeaderText="">Head of Unit</Function>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2>
  <OrgaEntity3>
    <Id>e36a18f1-f318-4189-8ef7-53cfd5449027</Id>
    <LogicalLevel>3</LogicalLevel>
    <Name>ENER.B.3</Name>
    <HeadLine1>B.3 – Buildings and Products</HeadLine1>
    <HeadLine2/>
    <PrimaryAddressId>f03b5801-04c9-4931-aa17-c6d6c70bc579</PrimaryAddressId>
    <SecondaryAddressId/>
    <WebAddress/>
    <InheritedWebAddress>WebAddress</InheritedWebAddress>
    <ShowInHeader>true</ShowInHeader>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OrgaEntity>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
    <OrgaEntity>
      <Id>e36a18f1-f318-4189-8ef7-53cfd5449027</Id>
      <LogicalLevel>3</LogicalLevel>
      <Name>ENER.B.3</Name>
      <HeadLine1>B.3 – Buildings and Products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+32 229-86183</Phone>
    <Office>DM24 04/082</Office>
  </MainWorkplace>
  <Workplaces>
    <Workplace IsMain="true">
      <AddressId>f03b5801-04c9-4931-aa17-c6d6c70bc579</AddressId>
      <Fax/>
      <Phone>+32 229-86183</Phone>
      <Office>DM24 04/082</Office>
    </Workplace>
  </Workplaces>
</Author>
</file>

<file path=customXml/item4.xml><?xml version="1.0" encoding="utf-8"?>
<EurolookProperties>
  <ProductCustomizationId>EC</ProductCustomizationId>
  <Created>
    <Version>10.0.47989.0</Version>
    <Date>2026-04-30T13:33:57</Date>
    <Language>EN</Language>
    <Note>Created using 'Convert To Eurolook'</Note>
  </Created>
  <DocumentModel>
    <Id>6cbda13a-4db2-46c6-876a-ef72275827ef</Id>
    <Name>Report</Name>
  </DocumentModel>
  <CustomTemplate>
    <Id/>
    <Name/>
  </CustomTemplate>
  <DocumentDate>2026-04-30T13:33:57</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kument" ma:contentTypeID="0x010100928CAC5D745C4E45847620156C62CF9E" ma:contentTypeVersion="19" ma:contentTypeDescription="Opret et nyt dokument." ma:contentTypeScope="" ma:versionID="bc611d3a4d8f93dfb2c12eb0ca5e7f1f">
  <xsd:schema xmlns:xsd="http://www.w3.org/2001/XMLSchema" xmlns:xs="http://www.w3.org/2001/XMLSchema" xmlns:p="http://schemas.microsoft.com/office/2006/metadata/properties" xmlns:ns2="5a453f2f-4aff-4114-81ba-e18ec71a3481" xmlns:ns3="f9315274-0e25-49c3-ba9a-18bfb53ea1de" xmlns:ns4="7058b7d0-6f54-43d0-ac9b-f95b90dfb0dc" targetNamespace="http://schemas.microsoft.com/office/2006/metadata/properties" ma:root="true" ma:fieldsID="3ebd9bb5edef4c72e2073b1f5d764dda" ns2:_="" ns3:_="" ns4:_="">
    <xsd:import namespace="5a453f2f-4aff-4114-81ba-e18ec71a3481"/>
    <xsd:import namespace="f9315274-0e25-49c3-ba9a-18bfb53ea1de"/>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4:SharedWithUsers" minOccurs="0"/>
                <xsd:element ref="ns4:SharedWithDetails" minOccurs="0"/>
                <xsd:element ref="ns2:date" minOccurs="0"/>
                <xsd:element ref="ns2:Date0" minOccurs="0"/>
                <xsd:element ref="ns2:Dateandti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53f2f-4aff-4114-81ba-e18ec71a3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date" ma:index="23" nillable="true" ma:displayName="date" ma:format="DateOnly" ma:internalName="date">
      <xsd:simpleType>
        <xsd:restriction base="dms:DateTime"/>
      </xsd:simpleType>
    </xsd:element>
    <xsd:element name="Date0" ma:index="24" nillable="true" ma:displayName="Date" ma:description="Test" ma:format="DateOnly" ma:internalName="Date0">
      <xsd:simpleType>
        <xsd:restriction base="dms:DateTime"/>
      </xsd:simpleType>
    </xsd:element>
    <xsd:element name="Dateandtime" ma:index="25" nillable="true" ma:displayName="Date and time" ma:format="DateOnly" ma:internalName="Dateandtime">
      <xsd:simpleType>
        <xsd:restriction base="dms:DateTime"/>
      </xsd:simpleType>
    </xsd:element>
    <xsd:element name="Area" ma:index="26" nillable="true" ma:displayName="Area" ma:description="Is file of relevance to products, buildings or both/none" ma:format="Dropdown" ma:internalName="Area">
      <xsd:simpleType>
        <xsd:restriction base="dms:Choice">
          <xsd:enumeration value="Products"/>
          <xsd:enumeration value="Buildings"/>
          <xsd:enumeration value="Horizontal"/>
        </xsd:restriction>
      </xsd:simpleType>
    </xsd:element>
  </xsd:schema>
  <xsd:schema xmlns:xsd="http://www.w3.org/2001/XMLSchema" xmlns:xs="http://www.w3.org/2001/XMLSchema" xmlns:dms="http://schemas.microsoft.com/office/2006/documentManagement/types" xmlns:pc="http://schemas.microsoft.com/office/infopath/2007/PartnerControls" targetNamespace="f9315274-0e25-49c3-ba9a-18bfb53ea1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c16d08-8f7a-41c6-97fc-b0a6082af7ae}" ma:internalName="TaxCatchAll" ma:showField="CatchAllData" ma:web="f9315274-0e25-49c3-ba9a-18bfb53ea1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B2CEDE62-780D-4884-AB8F-075F14DD8EA2}">
  <ds:schemaRefs>
    <ds:schemaRef ds:uri="http://schemas.microsoft.com/office/2006/metadata/properties"/>
    <ds:schemaRef ds:uri="http://schemas.microsoft.com/office/infopath/2007/PartnerControls"/>
    <ds:schemaRef ds:uri="5a453f2f-4aff-4114-81ba-e18ec71a3481"/>
    <ds:schemaRef ds:uri="f9315274-0e25-49c3-ba9a-18bfb53ea1de"/>
  </ds:schemaRefs>
</ds:datastoreItem>
</file>

<file path=customXml/itemProps3.xml><?xml version="1.0" encoding="utf-8"?>
<ds:datastoreItem xmlns:ds="http://schemas.openxmlformats.org/officeDocument/2006/customXml" ds:itemID="{545C97AF-3583-4A29-8D2A-D6F315F2919D}">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1D2F61EC-DE28-4B8F-A864-D7839EE2C92B}">
  <ds:schemaRefs>
    <ds:schemaRef ds:uri="http://schemas.microsoft.com/sharepoint/v3/contenttype/forms"/>
  </ds:schemaRefs>
</ds:datastoreItem>
</file>

<file path=customXml/itemProps6.xml><?xml version="1.0" encoding="utf-8"?>
<ds:datastoreItem xmlns:ds="http://schemas.openxmlformats.org/officeDocument/2006/customXml" ds:itemID="{10D6DB8B-0B66-41A7-86DB-563BE0BF8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53f2f-4aff-4114-81ba-e18ec71a3481"/>
    <ds:schemaRef ds:uri="f9315274-0e25-49c3-ba9a-18bfb53ea1de"/>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A5567E30-BDC3-4D7C-A675-BCA86C2B9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11</Pages>
  <Words>7106</Words>
  <Characters>40505</Characters>
  <Application>Microsoft Office Word</Application>
  <DocSecurity>0</DocSecurity>
  <PresentationFormat>Microsoft Word 14.0</PresentationFormat>
  <Lines>337</Lines>
  <Paragraphs>95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47516</CharactersWithSpaces>
  <SharedDoc>false</SharedDoc>
  <HLinks>
    <vt:vector size="96" baseType="variant">
      <vt:variant>
        <vt:i4>7340064</vt:i4>
      </vt:variant>
      <vt:variant>
        <vt:i4>66</vt:i4>
      </vt:variant>
      <vt:variant>
        <vt:i4>0</vt:i4>
      </vt:variant>
      <vt:variant>
        <vt:i4>5</vt:i4>
      </vt:variant>
      <vt:variant>
        <vt:lpwstr>https://eur-lex.europa.eu/eli/reg/2019/2144/oj</vt:lpwstr>
      </vt:variant>
      <vt:variant>
        <vt:lpwstr/>
      </vt:variant>
      <vt:variant>
        <vt:i4>1507332</vt:i4>
      </vt:variant>
      <vt:variant>
        <vt:i4>51</vt:i4>
      </vt:variant>
      <vt:variant>
        <vt:i4>0</vt:i4>
      </vt:variant>
      <vt:variant>
        <vt:i4>5</vt:i4>
      </vt:variant>
      <vt:variant>
        <vt:lpwstr>https://eepliant.eu/index.php/new-about-eepliant/about-eepliant4</vt:lpwstr>
      </vt:variant>
      <vt:variant>
        <vt:lpwstr/>
      </vt:variant>
      <vt:variant>
        <vt:i4>5177449</vt:i4>
      </vt:variant>
      <vt:variant>
        <vt:i4>48</vt:i4>
      </vt:variant>
      <vt:variant>
        <vt:i4>0</vt:i4>
      </vt:variant>
      <vt:variant>
        <vt:i4>5</vt:i4>
      </vt:variant>
      <vt:variant>
        <vt:lpwstr>https://cinea.ec.europa.eu/programmes/life_en</vt:lpwstr>
      </vt:variant>
      <vt:variant>
        <vt:lpwstr/>
      </vt:variant>
      <vt:variant>
        <vt:i4>1507332</vt:i4>
      </vt:variant>
      <vt:variant>
        <vt:i4>45</vt:i4>
      </vt:variant>
      <vt:variant>
        <vt:i4>0</vt:i4>
      </vt:variant>
      <vt:variant>
        <vt:i4>5</vt:i4>
      </vt:variant>
      <vt:variant>
        <vt:lpwstr>https://eepliant.eu/index.php/new-about-eepliant/about-eepliant4</vt:lpwstr>
      </vt:variant>
      <vt:variant>
        <vt:lpwstr/>
      </vt:variant>
      <vt:variant>
        <vt:i4>917564</vt:i4>
      </vt:variant>
      <vt:variant>
        <vt:i4>30</vt:i4>
      </vt:variant>
      <vt:variant>
        <vt:i4>0</vt:i4>
      </vt:variant>
      <vt:variant>
        <vt:i4>5</vt:i4>
      </vt:variant>
      <vt:variant>
        <vt:lpwstr>https://eur-lex.europa.eu/legal-content/EN/TXT/?toc=OJ%3AC%3A2012%3A086%3ATOC&amp;uri=uriserv%3AOJ.C_.2012.086.01.0003.01.ENG</vt:lpwstr>
      </vt:variant>
      <vt:variant>
        <vt:lpwstr/>
      </vt:variant>
      <vt:variant>
        <vt:i4>196676</vt:i4>
      </vt:variant>
      <vt:variant>
        <vt:i4>27</vt:i4>
      </vt:variant>
      <vt:variant>
        <vt:i4>0</vt:i4>
      </vt:variant>
      <vt:variant>
        <vt:i4>5</vt:i4>
      </vt:variant>
      <vt:variant>
        <vt:lpwstr>https://publications.jrc.ec.europa.eu/repository/handle/JRC130606</vt:lpwstr>
      </vt:variant>
      <vt:variant>
        <vt:lpwstr/>
      </vt:variant>
      <vt:variant>
        <vt:i4>327763</vt:i4>
      </vt:variant>
      <vt:variant>
        <vt:i4>24</vt:i4>
      </vt:variant>
      <vt:variant>
        <vt:i4>0</vt:i4>
      </vt:variant>
      <vt:variant>
        <vt:i4>5</vt:i4>
      </vt:variant>
      <vt:variant>
        <vt:lpwstr>https://prosafe.org/</vt:lpwstr>
      </vt:variant>
      <vt:variant>
        <vt:lpwstr/>
      </vt:variant>
      <vt:variant>
        <vt:i4>4980856</vt:i4>
      </vt:variant>
      <vt:variant>
        <vt:i4>21</vt:i4>
      </vt:variant>
      <vt:variant>
        <vt:i4>0</vt:i4>
      </vt:variant>
      <vt:variant>
        <vt:i4>5</vt:i4>
      </vt:variant>
      <vt:variant>
        <vt:lpwstr>https://energy-efficient-products.ec.europa.eu/national-measures-penalties-and-sanctions-tyres_en</vt:lpwstr>
      </vt:variant>
      <vt:variant>
        <vt:lpwstr/>
      </vt:variant>
      <vt:variant>
        <vt:i4>262163</vt:i4>
      </vt:variant>
      <vt:variant>
        <vt:i4>18</vt:i4>
      </vt:variant>
      <vt:variant>
        <vt:i4>0</vt:i4>
      </vt:variant>
      <vt:variant>
        <vt:i4>5</vt:i4>
      </vt:variant>
      <vt:variant>
        <vt:lpwstr>https://wiki.unece.org/pages/viewpage.action?pageId=160694352</vt:lpwstr>
      </vt:variant>
      <vt:variant>
        <vt:lpwstr/>
      </vt:variant>
      <vt:variant>
        <vt:i4>131092</vt:i4>
      </vt:variant>
      <vt:variant>
        <vt:i4>15</vt:i4>
      </vt:variant>
      <vt:variant>
        <vt:i4>0</vt:i4>
      </vt:variant>
      <vt:variant>
        <vt:i4>5</vt:i4>
      </vt:variant>
      <vt:variant>
        <vt:lpwstr>https://data.europa.eu/doi/10.2833/210444</vt:lpwstr>
      </vt:variant>
      <vt:variant>
        <vt:lpwstr/>
      </vt:variant>
      <vt:variant>
        <vt:i4>7340123</vt:i4>
      </vt:variant>
      <vt:variant>
        <vt:i4>12</vt:i4>
      </vt:variant>
      <vt:variant>
        <vt:i4>0</vt:i4>
      </vt:variant>
      <vt:variant>
        <vt:i4>5</vt:i4>
      </vt:variant>
      <vt:variant>
        <vt:lpwstr>https://ec.europa.eu/info/law/better-regulation/have-your-say/initiatives/1460-Evaluation-and-potential-revision-of-the-EU-tyre-labelling-scheme_en</vt:lpwstr>
      </vt:variant>
      <vt:variant>
        <vt:lpwstr/>
      </vt:variant>
      <vt:variant>
        <vt:i4>5374015</vt:i4>
      </vt:variant>
      <vt:variant>
        <vt:i4>9</vt:i4>
      </vt:variant>
      <vt:variant>
        <vt:i4>0</vt:i4>
      </vt:variant>
      <vt:variant>
        <vt:i4>5</vt:i4>
      </vt:variant>
      <vt:variant>
        <vt:lpwstr>https://single-market-economy.ec.europa.eu/single-market/goods/building-blocks/information-and-communication-system-market-surveillance_en</vt:lpwstr>
      </vt:variant>
      <vt:variant>
        <vt:lpwstr/>
      </vt:variant>
      <vt:variant>
        <vt:i4>7733301</vt:i4>
      </vt:variant>
      <vt:variant>
        <vt:i4>6</vt:i4>
      </vt:variant>
      <vt:variant>
        <vt:i4>0</vt:i4>
      </vt:variant>
      <vt:variant>
        <vt:i4>5</vt:i4>
      </vt:variant>
      <vt:variant>
        <vt:lpwstr>https://ec.europa.eu/transparency/expert-groups-register/screen/expert-groups/consult?lang=en&amp;groupID=2519</vt:lpwstr>
      </vt:variant>
      <vt:variant>
        <vt:lpwstr/>
      </vt:variant>
      <vt:variant>
        <vt:i4>7602195</vt:i4>
      </vt:variant>
      <vt:variant>
        <vt:i4>3</vt:i4>
      </vt:variant>
      <vt:variant>
        <vt:i4>0</vt:i4>
      </vt:variant>
      <vt:variant>
        <vt:i4>5</vt:i4>
      </vt:variant>
      <vt:variant>
        <vt:lpwstr>https://single-market-economy.ec.europa.eu/single-market/goods/building-blocks/market-surveillance/organisation/adcos_en</vt:lpwstr>
      </vt:variant>
      <vt:variant>
        <vt:lpwstr/>
      </vt:variant>
      <vt:variant>
        <vt:i4>7667822</vt:i4>
      </vt:variant>
      <vt:variant>
        <vt:i4>0</vt:i4>
      </vt:variant>
      <vt:variant>
        <vt:i4>0</vt:i4>
      </vt:variant>
      <vt:variant>
        <vt:i4>5</vt:i4>
      </vt:variant>
      <vt:variant>
        <vt:lpwstr>https://eprel.ec.europa.eu/</vt:lpwstr>
      </vt:variant>
      <vt:variant>
        <vt:lpwstr/>
      </vt:variant>
      <vt:variant>
        <vt:i4>3342398</vt:i4>
      </vt:variant>
      <vt:variant>
        <vt:i4>0</vt:i4>
      </vt:variant>
      <vt:variant>
        <vt:i4>0</vt:i4>
      </vt:variant>
      <vt:variant>
        <vt:i4>5</vt:i4>
      </vt:variant>
      <vt:variant>
        <vt:lpwstr>https://unece.org/info/events/event/408706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2026-06-19T13:28:00Z</dcterms:created>
  <dcterms:modified xsi:type="dcterms:W3CDTF">2026-08-03T14:53:00Z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2026-06-11T13:38:55Z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e583baa8-a25c-4ad3-a760-0d2a83ea7470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0x010100928CAC5D745C4E45847620156C62CF9E</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DocStatus">
    <vt:lpwstr>Green</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CP-007</vt:lpwstr>
  </property>
</Properties>
</file>