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283213" w14:textId="5E7474E2" w:rsidR="00971E00" w:rsidRPr="00266A9C" w:rsidRDefault="0038701C" w:rsidP="0038701C">
      <w:pPr>
        <w:pStyle w:val="Pagedecouverture"/>
        <w:rPr>
          <w:noProof/>
        </w:rPr>
      </w:pPr>
      <w:bookmarkStart w:id="0" w:name="LW_BM_COVERPAGE"/>
      <w:r>
        <w:rPr>
          <w:noProof/>
        </w:rPr>
        <w:pict w14:anchorId="0094A4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0859EACF-3756-4B63-A28C-C129983AD17E" style="width:455.25pt;height:300pt">
            <v:imagedata r:id="rId14" o:title=""/>
          </v:shape>
        </w:pict>
      </w:r>
    </w:p>
    <w:bookmarkEnd w:id="0"/>
    <w:p w14:paraId="5E15E462" w14:textId="77777777" w:rsidR="00971E00" w:rsidRPr="00266A9C" w:rsidRDefault="00971E00">
      <w:pPr>
        <w:rPr>
          <w:noProof/>
        </w:rPr>
        <w:sectPr w:rsidR="00971E00" w:rsidRPr="00266A9C" w:rsidSect="0038701C">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08E76982" w14:textId="7795C500" w:rsidR="00971E00" w:rsidRPr="00266A9C" w:rsidRDefault="00971E00" w:rsidP="00AB212E">
      <w:pPr>
        <w:pStyle w:val="Heading1"/>
        <w:rPr>
          <w:noProof/>
        </w:rPr>
      </w:pPr>
      <w:bookmarkStart w:id="1" w:name="_Toc213083330"/>
      <w:bookmarkStart w:id="2" w:name="_GoBack"/>
      <w:bookmarkEnd w:id="2"/>
      <w:r w:rsidRPr="00266A9C">
        <w:rPr>
          <w:noProof/>
        </w:rPr>
        <w:lastRenderedPageBreak/>
        <w:t>Introducere</w:t>
      </w:r>
      <w:bookmarkEnd w:id="1"/>
    </w:p>
    <w:p w14:paraId="41896243" w14:textId="77777777" w:rsidR="007317B9" w:rsidRPr="00266A9C" w:rsidRDefault="007317B9" w:rsidP="00E37A99">
      <w:pPr>
        <w:pStyle w:val="Heading2"/>
        <w:rPr>
          <w:noProof/>
        </w:rPr>
      </w:pPr>
      <w:r w:rsidRPr="00266A9C">
        <w:rPr>
          <w:noProof/>
        </w:rPr>
        <w:t>Contextul de politică și contextul juridic</w:t>
      </w:r>
    </w:p>
    <w:p w14:paraId="1A743FB7" w14:textId="2508C286" w:rsidR="003E3FEF" w:rsidRPr="00266A9C" w:rsidRDefault="008F2E5E" w:rsidP="004879EA">
      <w:pPr>
        <w:rPr>
          <w:rFonts w:eastAsia="Yu Mincho"/>
          <w:noProof/>
        </w:rPr>
      </w:pPr>
      <w:r w:rsidRPr="00266A9C">
        <w:rPr>
          <w:noProof/>
        </w:rPr>
        <w:t>Pneurile reprezintă o componentă esențială a fiecărui vehicul rutier. Rezistența la rulare a pneurilor afectează în mod direct consumul de energie al vehiculului. Prin urmare, încurajarea cererii de pneuri mai eficiente, precum și a dezvoltării și producției de astfel de pneuri poate reduce costurile pentru combustibili, emisiile și importurile de combustibili fosili – sau poate determina creșterea autonomiei vehiculelor electrice prin reducerea cantității de energie electrică necesare pe kilometru parcurs. Primul act oficial al UE privind pneurile eficiente a fost adoptat în urma crizei petrolului din 1973, recomandând ca statele membre „să încurajeze montarea de anvelope cu structură radială pe toate vehiculele, inclusiv pe vehiculele grele de marfă” </w:t>
      </w:r>
      <w:r w:rsidRPr="00266A9C">
        <w:rPr>
          <w:noProof/>
          <w:vertAlign w:val="superscript"/>
        </w:rPr>
        <w:t>(</w:t>
      </w:r>
      <w:r w:rsidRPr="00266A9C">
        <w:rPr>
          <w:rStyle w:val="FootnoteReference"/>
          <w:rFonts w:eastAsia="Yu Mincho"/>
          <w:noProof/>
          <w:lang w:eastAsia="en-US"/>
        </w:rPr>
        <w:footnoteReference w:id="1"/>
      </w:r>
      <w:r w:rsidRPr="00266A9C">
        <w:rPr>
          <w:noProof/>
          <w:vertAlign w:val="superscript"/>
        </w:rPr>
        <w:t>)</w:t>
      </w:r>
      <w:r w:rsidRPr="00266A9C">
        <w:rPr>
          <w:noProof/>
        </w:rPr>
        <w:t>.</w:t>
      </w:r>
    </w:p>
    <w:p w14:paraId="39BD0FE9" w14:textId="48FED43B" w:rsidR="00E31771" w:rsidRPr="00266A9C" w:rsidRDefault="00B610AE" w:rsidP="004879EA">
      <w:pPr>
        <w:rPr>
          <w:rFonts w:eastAsia="Yu Mincho"/>
          <w:noProof/>
        </w:rPr>
      </w:pPr>
      <w:r w:rsidRPr="00266A9C">
        <w:rPr>
          <w:noProof/>
        </w:rPr>
        <w:t>După cincizeci de ani, anvelopele cu structură radială au devenit tehnologia implicită, dar transportul rutier reprezintă în continuare o parte semnificativă din consumul final total de energie al UE (aproximativ un sfert), iar marea majoritate a acestei energii provine în continuare din petrol. Între timp, inovarea în ceea ce privește proiectarea pneurilor și materialele utilizate la fabricarea acestora a făcut posibilă sporirea în continuare a eficienței. Estimările sugerează că înlocuirea pneurilor cu rezistență ridicată la rulare cu pneuri cu rezistență scăzută ar putea reduce consumul mediu de energie al autoturismelor cu aproximativ 2 % </w:t>
      </w:r>
      <w:r w:rsidRPr="00266A9C">
        <w:rPr>
          <w:noProof/>
          <w:vertAlign w:val="superscript"/>
        </w:rPr>
        <w:t>(</w:t>
      </w:r>
      <w:r w:rsidRPr="00266A9C">
        <w:rPr>
          <w:rStyle w:val="FootnoteReference"/>
          <w:rFonts w:eastAsia="Yu Mincho"/>
          <w:noProof/>
          <w:lang w:eastAsia="en-US"/>
        </w:rPr>
        <w:footnoteReference w:id="2"/>
      </w:r>
      <w:r w:rsidRPr="00266A9C">
        <w:rPr>
          <w:noProof/>
          <w:vertAlign w:val="superscript"/>
        </w:rPr>
        <w:t>)</w:t>
      </w:r>
      <w:r w:rsidRPr="00266A9C">
        <w:rPr>
          <w:noProof/>
        </w:rPr>
        <w:t>. În cazul vehiculelor grele, rezistența la rulare a pneurilor este mult mai importantă, iar potențialul de sporire a eficienței este mai mare: rezistența la rulare influențează consumul de energie cu până la o treime în cazul camioanelor diesel și cu peste jumătate în cazul celor electrice, mai eficiente </w:t>
      </w:r>
      <w:r w:rsidRPr="00266A9C">
        <w:rPr>
          <w:noProof/>
          <w:vertAlign w:val="superscript"/>
        </w:rPr>
        <w:t>(</w:t>
      </w:r>
      <w:r w:rsidRPr="00266A9C">
        <w:rPr>
          <w:rStyle w:val="FootnoteReference"/>
          <w:rFonts w:eastAsia="Yu Mincho"/>
          <w:noProof/>
          <w:lang w:eastAsia="en-US"/>
        </w:rPr>
        <w:footnoteReference w:id="3"/>
      </w:r>
      <w:r w:rsidRPr="00266A9C">
        <w:rPr>
          <w:noProof/>
          <w:vertAlign w:val="superscript"/>
        </w:rPr>
        <w:t>)</w:t>
      </w:r>
      <w:r w:rsidRPr="00266A9C">
        <w:rPr>
          <w:noProof/>
        </w:rPr>
        <w:t>.</w:t>
      </w:r>
    </w:p>
    <w:p w14:paraId="064E3B56" w14:textId="26895635" w:rsidR="003D1F0D" w:rsidRPr="00266A9C" w:rsidRDefault="003E3FEF" w:rsidP="004879EA">
      <w:pPr>
        <w:rPr>
          <w:rFonts w:eastAsia="Yu Mincho"/>
          <w:noProof/>
        </w:rPr>
      </w:pPr>
      <w:r w:rsidRPr="00266A9C">
        <w:rPr>
          <w:noProof/>
        </w:rPr>
        <w:t xml:space="preserve">În același timp, un alt parametru al pneurilor, aderența pe teren umed, este esențial pentru siguranță, deoarece determină distanța de frânare a unui vehicul. Aderența pe teren umed și rezistența la rulare sunt indicatori care se contrazic, iar pentru clienții care trebuie să decidă ce tip de pneu să cumpere, pot exista unele compromisuri între siguranță și performanța energetică. Prin urmare, pentru a lua decizii de cumpărare în cunoștință de cauză, clienții ar trebui să dispună de informații cu privire la ambii parametri. În acest scop, primul regulament al UE privind etichetarea pneurilor (denumit în continuare „TLR”) a fost adoptat în 2009 și revizuit în 2020. Etichetele pneurilor oferă informații ușor de înțeles, menite să stimuleze cererea de pneuri de calitate superioară și concurența în ceea ce privește oferta de astfel de pneuri. </w:t>
      </w:r>
    </w:p>
    <w:p w14:paraId="48793CC3" w14:textId="660720B9" w:rsidR="00423C71" w:rsidRPr="00266A9C" w:rsidRDefault="00971E00" w:rsidP="00423C71">
      <w:pPr>
        <w:rPr>
          <w:noProof/>
        </w:rPr>
      </w:pPr>
      <w:r w:rsidRPr="00266A9C">
        <w:rPr>
          <w:noProof/>
        </w:rPr>
        <w:t>Temeiurile juridice ale TLR sunt articolul 114 și 194 din Tratatul privind funcționarea Uniunii Europene. Domeniul de aplicare al regulamentului cuprinde pneurile pentru vehiculele de pasageri (C1), camionetele și camioanele ușoare (C2) și camioanele grele și autobuzele (C3)</w:t>
      </w:r>
      <w:r w:rsidRPr="00266A9C">
        <w:rPr>
          <w:noProof/>
          <w:vertAlign w:val="superscript"/>
        </w:rPr>
        <w:t> (</w:t>
      </w:r>
      <w:r w:rsidRPr="00266A9C">
        <w:rPr>
          <w:rStyle w:val="FootnoteReference"/>
          <w:noProof/>
        </w:rPr>
        <w:footnoteReference w:id="4"/>
      </w:r>
      <w:r w:rsidRPr="00266A9C">
        <w:rPr>
          <w:noProof/>
          <w:vertAlign w:val="superscript"/>
        </w:rPr>
        <w:t>)</w:t>
      </w:r>
      <w:r w:rsidRPr="00266A9C">
        <w:rPr>
          <w:noProof/>
        </w:rPr>
        <w:t>. TLR funcționează în paralel cu cerințele minime de performanță stabilite în alte acte legislative. Legislația privind omologarea de tip, în special Regulamentul CEE-ONU nr. 117, stabilește cele mai importante standarde minime de performanță pentru pneurile introduse pe piața UE în ceea ce privește rezistența la rulare, aderența pe teren umed, zgomotul, aderența pe zăpadă și aderența pe gheață. Standardele minime de performanță relevante sunt stabilite și în Regulamentele CEE-ONU nr. 30 (pneuri C1), 54 (pneuri C2, C3) și 172 (pneuri reșapate). Deși nu a fost încă adoptată nicio legislație a UE privind proiectarea ecologică a pneurilor, acestea sunt incluse în planul de lucru pentru perioada 2025-2030 privind proiectarea ecologică și etichetarea energetică</w:t>
      </w:r>
      <w:r w:rsidRPr="00266A9C">
        <w:rPr>
          <w:noProof/>
          <w:vertAlign w:val="superscript"/>
        </w:rPr>
        <w:t> (</w:t>
      </w:r>
      <w:r w:rsidRPr="00266A9C">
        <w:rPr>
          <w:rStyle w:val="FootnoteReference"/>
          <w:noProof/>
        </w:rPr>
        <w:footnoteReference w:id="5"/>
      </w:r>
      <w:r w:rsidRPr="00266A9C">
        <w:rPr>
          <w:noProof/>
          <w:vertAlign w:val="superscript"/>
        </w:rPr>
        <w:t>)</w:t>
      </w:r>
      <w:r w:rsidRPr="00266A9C">
        <w:rPr>
          <w:noProof/>
        </w:rPr>
        <w:t>.</w:t>
      </w:r>
    </w:p>
    <w:p w14:paraId="676D6AD3" w14:textId="098B22B5" w:rsidR="00A83CED" w:rsidRPr="00266A9C" w:rsidRDefault="00A83CED" w:rsidP="00A83CED">
      <w:pPr>
        <w:pStyle w:val="Heading2"/>
        <w:rPr>
          <w:noProof/>
        </w:rPr>
      </w:pPr>
      <w:r w:rsidRPr="00266A9C">
        <w:rPr>
          <w:noProof/>
        </w:rPr>
        <w:t>Principalele modificări aduse în cadrul revizuirii din 2020 a Regulamentului privind etichetarea pneurilor</w:t>
      </w:r>
    </w:p>
    <w:p w14:paraId="6BA80DE5" w14:textId="77777777" w:rsidR="00A83CED" w:rsidRPr="00266A9C" w:rsidRDefault="00A83CED" w:rsidP="00A83CED">
      <w:pPr>
        <w:spacing w:after="120"/>
        <w:rPr>
          <w:noProof/>
        </w:rPr>
      </w:pPr>
      <w:r w:rsidRPr="00266A9C">
        <w:rPr>
          <w:noProof/>
        </w:rPr>
        <w:t>Principalele modificări introduse de revizuirea din 2020 au fost:</w:t>
      </w:r>
    </w:p>
    <w:p w14:paraId="292A03F4" w14:textId="77777777" w:rsidR="00A83CED" w:rsidRPr="00266A9C" w:rsidRDefault="00A83CED" w:rsidP="00A83CED">
      <w:pPr>
        <w:pStyle w:val="ListParagraph"/>
        <w:numPr>
          <w:ilvl w:val="0"/>
          <w:numId w:val="23"/>
        </w:numPr>
        <w:rPr>
          <w:noProof/>
        </w:rPr>
      </w:pPr>
      <w:r w:rsidRPr="00266A9C">
        <w:rPr>
          <w:noProof/>
        </w:rPr>
        <w:t>alinierea stilului și formatului etichetei la cel al etichetei energetice cu care publicul este mai familiarizat;</w:t>
      </w:r>
    </w:p>
    <w:p w14:paraId="4BE6618F" w14:textId="3A7F4FD2" w:rsidR="00A83CED" w:rsidRPr="00266A9C" w:rsidRDefault="00A83CED" w:rsidP="00A83CED">
      <w:pPr>
        <w:pStyle w:val="ListParagraph"/>
        <w:numPr>
          <w:ilvl w:val="0"/>
          <w:numId w:val="23"/>
        </w:numPr>
        <w:rPr>
          <w:noProof/>
        </w:rPr>
      </w:pPr>
      <w:r w:rsidRPr="00266A9C">
        <w:rPr>
          <w:noProof/>
        </w:rPr>
        <w:t>reducerea numărului de clase de performanță, de la șapte (A-G) la cinci (A-E), atât pentru rezistența la rulare (eficiența energetică), cât și pentru aderența pe teren umed (siguranță), deoarece cerințele mai stricte de omologare de tip ale CEE-ONU au interzis comercializarea pneurilor care se încadrează în clasele cu cele mai slabe performanțe de pe etichetă;</w:t>
      </w:r>
    </w:p>
    <w:p w14:paraId="60399472" w14:textId="0879DD31" w:rsidR="00A83CED" w:rsidRPr="00266A9C" w:rsidRDefault="00A83CED" w:rsidP="00A83CED">
      <w:pPr>
        <w:pStyle w:val="ListParagraph"/>
        <w:numPr>
          <w:ilvl w:val="0"/>
          <w:numId w:val="23"/>
        </w:numPr>
        <w:rPr>
          <w:noProof/>
        </w:rPr>
      </w:pPr>
      <w:r w:rsidRPr="00266A9C">
        <w:rPr>
          <w:noProof/>
        </w:rPr>
        <w:t>impunerea înregistrării fiecărui tip de pneu în Registrul european al produselor pentru etichetarea energetică („EPREL”)</w:t>
      </w:r>
      <w:r w:rsidRPr="00266A9C">
        <w:rPr>
          <w:noProof/>
          <w:vertAlign w:val="superscript"/>
        </w:rPr>
        <w:t> (</w:t>
      </w:r>
      <w:r w:rsidRPr="00266A9C">
        <w:rPr>
          <w:noProof/>
          <w:vertAlign w:val="superscript"/>
        </w:rPr>
        <w:footnoteReference w:id="6"/>
      </w:r>
      <w:r w:rsidRPr="00266A9C">
        <w:rPr>
          <w:noProof/>
          <w:vertAlign w:val="superscript"/>
        </w:rPr>
        <w:t>)</w:t>
      </w:r>
      <w:r w:rsidRPr="00266A9C">
        <w:rPr>
          <w:noProof/>
        </w:rPr>
        <w:t>;</w:t>
      </w:r>
    </w:p>
    <w:p w14:paraId="1C00D007" w14:textId="46276343" w:rsidR="00A83CED" w:rsidRPr="00266A9C" w:rsidRDefault="00A83CED" w:rsidP="00A83CED">
      <w:pPr>
        <w:pStyle w:val="ListParagraph"/>
        <w:numPr>
          <w:ilvl w:val="0"/>
          <w:numId w:val="23"/>
        </w:numPr>
        <w:rPr>
          <w:noProof/>
        </w:rPr>
      </w:pPr>
      <w:r w:rsidRPr="00266A9C">
        <w:rPr>
          <w:noProof/>
        </w:rPr>
        <w:t>îmbunătățirea gradului de sensibilizare a consumatorilor cu privire la eticheta pneurilor prin consolidarea cerințelor de prezentare a etichetei pneurilor către consumatori;</w:t>
      </w:r>
    </w:p>
    <w:p w14:paraId="1D841FDE" w14:textId="019F8C30" w:rsidR="00F27061" w:rsidRPr="00266A9C" w:rsidRDefault="00A83CED" w:rsidP="00F27061">
      <w:pPr>
        <w:pStyle w:val="ListParagraph"/>
        <w:numPr>
          <w:ilvl w:val="0"/>
          <w:numId w:val="23"/>
        </w:numPr>
        <w:rPr>
          <w:noProof/>
        </w:rPr>
      </w:pPr>
      <w:r w:rsidRPr="00266A9C">
        <w:rPr>
          <w:noProof/>
        </w:rPr>
        <w:t>împuternicirea Comisiei pentru a adopta anumite modificări prin acte delegate.</w:t>
      </w:r>
    </w:p>
    <w:p w14:paraId="3FAC21B2" w14:textId="77777777" w:rsidR="00F27061" w:rsidRPr="00266A9C" w:rsidRDefault="00F27061" w:rsidP="00E37A99">
      <w:pPr>
        <w:rPr>
          <w:noProof/>
        </w:rPr>
      </w:pPr>
    </w:p>
    <w:p w14:paraId="3973BF02" w14:textId="77777777" w:rsidR="006F222C" w:rsidRPr="00266A9C" w:rsidRDefault="006F222C" w:rsidP="008E2097">
      <w:pPr>
        <w:pStyle w:val="Heading2"/>
        <w:rPr>
          <w:noProof/>
        </w:rPr>
      </w:pPr>
      <w:r w:rsidRPr="00266A9C">
        <w:rPr>
          <w:noProof/>
        </w:rPr>
        <w:t>Domeniul de aplicare al prezentului raport</w:t>
      </w:r>
    </w:p>
    <w:p w14:paraId="2873738A" w14:textId="7F15CDE9" w:rsidR="006F222C" w:rsidRPr="00266A9C" w:rsidRDefault="006F222C" w:rsidP="006F222C">
      <w:pPr>
        <w:rPr>
          <w:noProof/>
        </w:rPr>
      </w:pPr>
      <w:r w:rsidRPr="00266A9C">
        <w:rPr>
          <w:noProof/>
        </w:rPr>
        <w:t>Articolul 15 din TLR prevede obligația Comisiei de a efectua o evaluare a regulamentului și de a prezenta un raport Parlamentului European, Consiliului și Comitetului Economic și Social European.</w:t>
      </w:r>
      <w:r w:rsidRPr="00266A9C">
        <w:rPr>
          <w:i/>
          <w:noProof/>
        </w:rPr>
        <w:t xml:space="preserve"> </w:t>
      </w:r>
      <w:r w:rsidRPr="00266A9C">
        <w:rPr>
          <w:noProof/>
        </w:rPr>
        <w:t>Raportul respectiv trebuie să evalueze „eficacitatea cu care prezentul regulament și actele delegate adoptate în temeiul acestuia i-au determinat pe utilizatorii finali să aleagă pneuri mai performante, ținând seama de efectele […] asupra întreprinderilor, consumului de combustibil, siguranței, emisiilor de gaze cu efect de seră, conștientizării în rândul consumatorilor și activităților de supraveghere a pieței. Raportul evaluează, de asemenea, costurile și beneficiile verificării independente obligatorii de către o parte terță a informațiilor furnizate pe eticheta pneurilor, luând în considerare experiența dobândită cu privire la cadrul mai larg prevăzut de Regulamentul (CE) nr. 661/2009.</w:t>
      </w:r>
    </w:p>
    <w:p w14:paraId="3B4C3056" w14:textId="4DF7F546" w:rsidR="00E307E2" w:rsidRPr="00266A9C" w:rsidDel="000610D0" w:rsidRDefault="00E307E2" w:rsidP="00653373">
      <w:pPr>
        <w:spacing w:after="120"/>
        <w:rPr>
          <w:noProof/>
        </w:rPr>
      </w:pPr>
      <w:r w:rsidRPr="00266A9C">
        <w:rPr>
          <w:noProof/>
        </w:rPr>
        <w:t>Prezentul raport se axează pe următoarele subiecte:</w:t>
      </w:r>
    </w:p>
    <w:p w14:paraId="74E72C54" w14:textId="3ED3336B" w:rsidR="00E307E2" w:rsidRPr="00266A9C" w:rsidRDefault="00617FE0" w:rsidP="00E307E2">
      <w:pPr>
        <w:pStyle w:val="ListParagraph"/>
        <w:numPr>
          <w:ilvl w:val="0"/>
          <w:numId w:val="33"/>
        </w:numPr>
        <w:spacing w:after="120" w:line="264" w:lineRule="auto"/>
        <w:rPr>
          <w:noProof/>
        </w:rPr>
      </w:pPr>
      <w:r w:rsidRPr="00266A9C">
        <w:rPr>
          <w:noProof/>
        </w:rPr>
        <w:t>sensibilizarea, înțelegerea și utilizarea de către consumatori;</w:t>
      </w:r>
    </w:p>
    <w:p w14:paraId="639C9198" w14:textId="47686BA8" w:rsidR="00E307E2" w:rsidRPr="00266A9C" w:rsidRDefault="00617FE0" w:rsidP="00E307E2">
      <w:pPr>
        <w:pStyle w:val="ListParagraph"/>
        <w:numPr>
          <w:ilvl w:val="0"/>
          <w:numId w:val="33"/>
        </w:numPr>
        <w:spacing w:after="120" w:line="264" w:lineRule="auto"/>
        <w:rPr>
          <w:noProof/>
        </w:rPr>
      </w:pPr>
      <w:r w:rsidRPr="00266A9C">
        <w:rPr>
          <w:noProof/>
        </w:rPr>
        <w:t>evoluția pieței;</w:t>
      </w:r>
    </w:p>
    <w:p w14:paraId="7D34336A" w14:textId="1CCBABEF" w:rsidR="00B610AE" w:rsidRPr="00266A9C" w:rsidRDefault="00617FE0" w:rsidP="00E307E2">
      <w:pPr>
        <w:pStyle w:val="ListParagraph"/>
        <w:numPr>
          <w:ilvl w:val="0"/>
          <w:numId w:val="33"/>
        </w:numPr>
        <w:spacing w:after="120" w:line="264" w:lineRule="auto"/>
        <w:rPr>
          <w:noProof/>
        </w:rPr>
      </w:pPr>
      <w:r w:rsidRPr="00266A9C">
        <w:rPr>
          <w:noProof/>
        </w:rPr>
        <w:t>acte delegate;</w:t>
      </w:r>
    </w:p>
    <w:p w14:paraId="088A5076" w14:textId="4C8FA16D" w:rsidR="00E307E2" w:rsidRPr="00266A9C" w:rsidRDefault="00617FE0" w:rsidP="00E307E2">
      <w:pPr>
        <w:pStyle w:val="ListParagraph"/>
        <w:numPr>
          <w:ilvl w:val="0"/>
          <w:numId w:val="33"/>
        </w:numPr>
        <w:spacing w:after="120" w:line="264" w:lineRule="auto"/>
        <w:rPr>
          <w:noProof/>
        </w:rPr>
      </w:pPr>
      <w:r w:rsidRPr="00266A9C">
        <w:rPr>
          <w:noProof/>
        </w:rPr>
        <w:t>supravegherea pieței și asigurarea respectării legislației;</w:t>
      </w:r>
    </w:p>
    <w:p w14:paraId="3D3D62FC" w14:textId="3D30B5E1" w:rsidR="00E307E2" w:rsidRPr="00266A9C" w:rsidRDefault="00617FE0" w:rsidP="00E307E2">
      <w:pPr>
        <w:pStyle w:val="ListParagraph"/>
        <w:numPr>
          <w:ilvl w:val="0"/>
          <w:numId w:val="33"/>
        </w:numPr>
        <w:spacing w:after="120" w:line="264" w:lineRule="auto"/>
        <w:rPr>
          <w:noProof/>
        </w:rPr>
      </w:pPr>
      <w:r w:rsidRPr="00266A9C">
        <w:rPr>
          <w:noProof/>
        </w:rPr>
        <w:t>verificarea și încercarea de către o parte terță;</w:t>
      </w:r>
    </w:p>
    <w:p w14:paraId="2FC4B1F8" w14:textId="10BE4611" w:rsidR="00B610AE" w:rsidRPr="00266A9C" w:rsidRDefault="00617FE0" w:rsidP="00E307E2">
      <w:pPr>
        <w:pStyle w:val="ListParagraph"/>
        <w:numPr>
          <w:ilvl w:val="0"/>
          <w:numId w:val="33"/>
        </w:numPr>
        <w:spacing w:after="120" w:line="264" w:lineRule="auto"/>
        <w:rPr>
          <w:noProof/>
        </w:rPr>
      </w:pPr>
      <w:r w:rsidRPr="00266A9C">
        <w:rPr>
          <w:noProof/>
        </w:rPr>
        <w:t>alinierea mașinii de încercare;</w:t>
      </w:r>
    </w:p>
    <w:p w14:paraId="1ADBAC73" w14:textId="6E92BF08" w:rsidR="00A15F2F" w:rsidRPr="00266A9C" w:rsidRDefault="00617FE0" w:rsidP="00E307E2">
      <w:pPr>
        <w:pStyle w:val="ListParagraph"/>
        <w:numPr>
          <w:ilvl w:val="0"/>
          <w:numId w:val="33"/>
        </w:numPr>
        <w:spacing w:after="120" w:line="264" w:lineRule="auto"/>
        <w:rPr>
          <w:noProof/>
        </w:rPr>
      </w:pPr>
      <w:r w:rsidRPr="00266A9C">
        <w:rPr>
          <w:noProof/>
        </w:rPr>
        <w:t>problemele identificate în cadrul punerii în aplicare.</w:t>
      </w:r>
    </w:p>
    <w:p w14:paraId="628DA939" w14:textId="48030D70" w:rsidR="00FF3E63" w:rsidRPr="00266A9C" w:rsidRDefault="00C827EE" w:rsidP="006F222C">
      <w:pPr>
        <w:rPr>
          <w:noProof/>
        </w:rPr>
      </w:pPr>
      <w:r w:rsidRPr="00266A9C">
        <w:rPr>
          <w:noProof/>
        </w:rPr>
        <w:t>Unele aspecte sunt analizate în cadrul evaluării impactului care însoțește propunerea omnibus de simplificare privind legislația referitoare la produsele eficiente din punct de vedere energetic, adoptată în paralel cu prezentul raport și cu analiza care stă la baza acestuia, și care se bazează pe acestea. Un raport separat privind punerea în aplicare a Regulamentului privind etichetarea energetică [Regulamentul (UE) 2017/1369] este adoptat în paralel cu prezentul raport.</w:t>
      </w:r>
    </w:p>
    <w:p w14:paraId="7024375E" w14:textId="77777777" w:rsidR="006F222C" w:rsidRPr="00266A9C" w:rsidRDefault="006F222C" w:rsidP="006F222C">
      <w:pPr>
        <w:pStyle w:val="Heading2"/>
        <w:rPr>
          <w:noProof/>
        </w:rPr>
      </w:pPr>
      <w:r w:rsidRPr="00266A9C">
        <w:rPr>
          <w:noProof/>
        </w:rPr>
        <w:t>Baza analitică</w:t>
      </w:r>
    </w:p>
    <w:p w14:paraId="04D731AF" w14:textId="3781216B" w:rsidR="00C508FF" w:rsidRPr="00266A9C" w:rsidRDefault="00204326" w:rsidP="00653373">
      <w:pPr>
        <w:spacing w:after="120"/>
        <w:rPr>
          <w:noProof/>
        </w:rPr>
      </w:pPr>
      <w:r w:rsidRPr="00266A9C">
        <w:rPr>
          <w:noProof/>
        </w:rPr>
        <w:t>Prezentul raport se bazează pe mai multe surse de date și informații de intrare, printre care:</w:t>
      </w:r>
    </w:p>
    <w:p w14:paraId="0CAA1ECB" w14:textId="01FDBB73" w:rsidR="00204326" w:rsidRPr="00266A9C" w:rsidRDefault="00204326" w:rsidP="00C508FF">
      <w:pPr>
        <w:pStyle w:val="ListParagraph"/>
        <w:numPr>
          <w:ilvl w:val="0"/>
          <w:numId w:val="34"/>
        </w:numPr>
        <w:rPr>
          <w:noProof/>
        </w:rPr>
      </w:pPr>
      <w:r w:rsidRPr="00266A9C">
        <w:rPr>
          <w:noProof/>
        </w:rPr>
        <w:t>un sondaj în rândul consumatorilor și al comercianților de pneuri și vehicule</w:t>
      </w:r>
      <w:r w:rsidRPr="00266A9C">
        <w:rPr>
          <w:noProof/>
          <w:vertAlign w:val="superscript"/>
        </w:rPr>
        <w:t> (</w:t>
      </w:r>
      <w:r w:rsidRPr="00266A9C">
        <w:rPr>
          <w:rStyle w:val="FootnoteReference"/>
          <w:noProof/>
        </w:rPr>
        <w:footnoteReference w:id="7"/>
      </w:r>
      <w:r w:rsidRPr="00266A9C">
        <w:rPr>
          <w:noProof/>
          <w:vertAlign w:val="superscript"/>
        </w:rPr>
        <w:t>)</w:t>
      </w:r>
      <w:r w:rsidRPr="00266A9C">
        <w:rPr>
          <w:noProof/>
        </w:rPr>
        <w:t>;</w:t>
      </w:r>
    </w:p>
    <w:p w14:paraId="768BF9EB" w14:textId="00B6C1E1" w:rsidR="00C508FF" w:rsidRPr="00266A9C" w:rsidRDefault="00C508FF" w:rsidP="00C508FF">
      <w:pPr>
        <w:pStyle w:val="ListParagraph"/>
        <w:numPr>
          <w:ilvl w:val="0"/>
          <w:numId w:val="34"/>
        </w:numPr>
        <w:rPr>
          <w:noProof/>
        </w:rPr>
      </w:pPr>
      <w:r w:rsidRPr="00266A9C">
        <w:rPr>
          <w:noProof/>
        </w:rPr>
        <w:t>date din EPREL pentru înregistrările pneurilor;</w:t>
      </w:r>
    </w:p>
    <w:p w14:paraId="192BB543" w14:textId="7E0CDEB3" w:rsidR="00272C4A" w:rsidRPr="00266A9C" w:rsidRDefault="00540A81" w:rsidP="007E676D">
      <w:pPr>
        <w:pStyle w:val="ListParagraph"/>
        <w:numPr>
          <w:ilvl w:val="0"/>
          <w:numId w:val="34"/>
        </w:numPr>
        <w:rPr>
          <w:noProof/>
        </w:rPr>
      </w:pPr>
      <w:r w:rsidRPr="00266A9C">
        <w:rPr>
          <w:noProof/>
        </w:rPr>
        <w:t>contribuții din partea părților interesate și a autorităților, inclusiv prin intermediul activității diferitelor grupuri de lucru, inclusiv a Grupului de cooperare administrativă (AdCo) pentru etichetarea pneurilor</w:t>
      </w:r>
      <w:r w:rsidRPr="00266A9C">
        <w:rPr>
          <w:noProof/>
          <w:vertAlign w:val="superscript"/>
        </w:rPr>
        <w:t> (</w:t>
      </w:r>
      <w:r w:rsidRPr="00266A9C">
        <w:rPr>
          <w:rStyle w:val="FootnoteReference"/>
          <w:noProof/>
        </w:rPr>
        <w:footnoteReference w:id="8"/>
      </w:r>
      <w:r w:rsidRPr="00266A9C">
        <w:rPr>
          <w:noProof/>
          <w:vertAlign w:val="superscript"/>
        </w:rPr>
        <w:t>)</w:t>
      </w:r>
      <w:r w:rsidRPr="00266A9C">
        <w:rPr>
          <w:noProof/>
        </w:rPr>
        <w:t xml:space="preserve"> și a Grupului de experți privind armonizarea metodelor de laborator pentru măsurarea rezistenței la rulare a pneurilor</w:t>
      </w:r>
      <w:r w:rsidRPr="00266A9C">
        <w:rPr>
          <w:noProof/>
          <w:vertAlign w:val="superscript"/>
        </w:rPr>
        <w:t> (</w:t>
      </w:r>
      <w:r w:rsidRPr="00266A9C">
        <w:rPr>
          <w:rStyle w:val="FootnoteReference"/>
          <w:noProof/>
        </w:rPr>
        <w:footnoteReference w:id="9"/>
      </w:r>
      <w:r w:rsidRPr="00266A9C">
        <w:rPr>
          <w:noProof/>
          <w:vertAlign w:val="superscript"/>
        </w:rPr>
        <w:t>)</w:t>
      </w:r>
      <w:r w:rsidRPr="00266A9C">
        <w:rPr>
          <w:noProof/>
        </w:rPr>
        <w:t>;</w:t>
      </w:r>
    </w:p>
    <w:p w14:paraId="7BEA04D9" w14:textId="4B275D32" w:rsidR="001E4066" w:rsidRPr="00266A9C" w:rsidRDefault="00311D1C" w:rsidP="00E37A99">
      <w:pPr>
        <w:pStyle w:val="ListParagraph"/>
        <w:numPr>
          <w:ilvl w:val="0"/>
          <w:numId w:val="34"/>
        </w:numPr>
        <w:rPr>
          <w:noProof/>
        </w:rPr>
      </w:pPr>
      <w:r w:rsidRPr="00266A9C">
        <w:rPr>
          <w:noProof/>
        </w:rPr>
        <w:t>sistemul de informare și de comunicare pentru supravegherea pieței (ICSMS)</w:t>
      </w:r>
      <w:r w:rsidRPr="00266A9C">
        <w:rPr>
          <w:noProof/>
          <w:vertAlign w:val="superscript"/>
        </w:rPr>
        <w:t> (</w:t>
      </w:r>
      <w:r w:rsidRPr="00266A9C">
        <w:rPr>
          <w:rStyle w:val="FootnoteReference"/>
          <w:noProof/>
        </w:rPr>
        <w:footnoteReference w:id="10"/>
      </w:r>
      <w:r w:rsidRPr="00266A9C">
        <w:rPr>
          <w:noProof/>
          <w:vertAlign w:val="superscript"/>
        </w:rPr>
        <w:t>)</w:t>
      </w:r>
      <w:r w:rsidRPr="00266A9C">
        <w:rPr>
          <w:noProof/>
        </w:rPr>
        <w:t xml:space="preserve">; </w:t>
      </w:r>
    </w:p>
    <w:p w14:paraId="041102A1" w14:textId="4EC87483" w:rsidR="002A60E3" w:rsidRPr="00266A9C" w:rsidRDefault="00204326" w:rsidP="00E37A99">
      <w:pPr>
        <w:pStyle w:val="ListParagraph"/>
        <w:numPr>
          <w:ilvl w:val="0"/>
          <w:numId w:val="34"/>
        </w:numPr>
        <w:rPr>
          <w:noProof/>
        </w:rPr>
      </w:pPr>
      <w:r w:rsidRPr="00266A9C">
        <w:rPr>
          <w:noProof/>
        </w:rPr>
        <w:t>alte analize și resurse disponibile publicului.</w:t>
      </w:r>
      <w:bookmarkStart w:id="3" w:name="_Toc213083336"/>
    </w:p>
    <w:p w14:paraId="24764579" w14:textId="77777777" w:rsidR="00971E00" w:rsidRPr="00266A9C" w:rsidRDefault="00971E00" w:rsidP="00AB212E">
      <w:pPr>
        <w:pStyle w:val="Heading1"/>
        <w:rPr>
          <w:noProof/>
        </w:rPr>
      </w:pPr>
      <w:r w:rsidRPr="00266A9C">
        <w:rPr>
          <w:noProof/>
        </w:rPr>
        <w:t>Eticheta reproiectată a pneurilor</w:t>
      </w:r>
      <w:bookmarkEnd w:id="3"/>
    </w:p>
    <w:p w14:paraId="6853F02C" w14:textId="24E27A84" w:rsidR="00971E00" w:rsidRPr="00266A9C" w:rsidRDefault="00971E00">
      <w:pPr>
        <w:widowControl w:val="0"/>
        <w:spacing w:after="120"/>
        <w:rPr>
          <w:noProof/>
        </w:rPr>
      </w:pPr>
      <w:r w:rsidRPr="00266A9C">
        <w:rPr>
          <w:noProof/>
        </w:rPr>
        <w:t>Într-un studiu privind revizuirea din 2018</w:t>
      </w:r>
      <w:r w:rsidRPr="00266A9C">
        <w:rPr>
          <w:noProof/>
          <w:vertAlign w:val="superscript"/>
        </w:rPr>
        <w:t> (</w:t>
      </w:r>
      <w:r w:rsidRPr="00266A9C">
        <w:rPr>
          <w:rStyle w:val="FootnoteReference"/>
          <w:noProof/>
        </w:rPr>
        <w:footnoteReference w:id="11"/>
      </w:r>
      <w:r w:rsidRPr="00266A9C">
        <w:rPr>
          <w:noProof/>
          <w:vertAlign w:val="superscript"/>
        </w:rPr>
        <w:t>)</w:t>
      </w:r>
      <w:r w:rsidRPr="00266A9C">
        <w:rPr>
          <w:noProof/>
        </w:rPr>
        <w:t xml:space="preserve"> s-a constatat că eticheta pneurilor nu își atinsese încă întregul potențial, deoarece utilizatorii finali nu erau pe deplin conștienți de existența acesteia și nu era pusă în aplicare în mod adecvat de către autoritățile de supraveghere a pieței. În cadrul studiului s-a constatat, de asemenea, că anumiți factori intrinseci împiedicau succesul etichetei, cum ar fi o subdiviziune înșelătoare a claselor de performanță, informații inexacte și incomplete, precum și lipsa de încredere în ceea ce unii respondenți considerau a fi o declarație pe propria răspundere.</w:t>
      </w:r>
    </w:p>
    <w:p w14:paraId="6986D2E8" w14:textId="1BAAF4FD" w:rsidR="005444B1" w:rsidRPr="00266A9C" w:rsidRDefault="00A450AE" w:rsidP="00A450AE">
      <w:pPr>
        <w:keepNext/>
        <w:jc w:val="center"/>
        <w:rPr>
          <w:noProof/>
        </w:rPr>
      </w:pPr>
      <w:r w:rsidRPr="00266A9C">
        <w:rPr>
          <w:noProof/>
          <w:lang w:val="en-GB" w:eastAsia="en-GB"/>
        </w:rPr>
        <w:drawing>
          <wp:inline distT="0" distB="0" distL="0" distR="0" wp14:anchorId="528083C1" wp14:editId="7231B6FE">
            <wp:extent cx="5472430" cy="2736215"/>
            <wp:effectExtent l="0" t="0" r="0" b="6985"/>
            <wp:docPr id="5663694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72430" cy="2736215"/>
                    </a:xfrm>
                    <a:prstGeom prst="rect">
                      <a:avLst/>
                    </a:prstGeom>
                    <a:noFill/>
                    <a:ln>
                      <a:noFill/>
                    </a:ln>
                  </pic:spPr>
                </pic:pic>
              </a:graphicData>
            </a:graphic>
          </wp:inline>
        </w:drawing>
      </w:r>
      <w:r w:rsidR="00CA2669" w:rsidRPr="00266A9C">
        <w:rPr>
          <w:noProof/>
          <w:lang w:val="en-GB" w:eastAsia="en-GB"/>
        </w:rPr>
        <mc:AlternateContent>
          <mc:Choice Requires="wps">
            <w:drawing>
              <wp:anchor distT="0" distB="0" distL="114300" distR="114300" simplePos="0" relativeHeight="251664386" behindDoc="0" locked="0" layoutInCell="1" allowOverlap="1" wp14:anchorId="5612CD96" wp14:editId="3BBEA283">
                <wp:simplePos x="0" y="0"/>
                <wp:positionH relativeFrom="margin">
                  <wp:posOffset>2921997</wp:posOffset>
                </wp:positionH>
                <wp:positionV relativeFrom="paragraph">
                  <wp:posOffset>2533378</wp:posOffset>
                </wp:positionV>
                <wp:extent cx="908957" cy="183999"/>
                <wp:effectExtent l="0" t="0" r="5715" b="6985"/>
                <wp:wrapNone/>
                <wp:docPr id="20280872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957" cy="183999"/>
                        </a:xfrm>
                        <a:prstGeom prst="rect">
                          <a:avLst/>
                        </a:prstGeom>
                        <a:solidFill>
                          <a:sysClr val="window" lastClr="FFFFFF"/>
                        </a:solidFill>
                        <a:ln w="6350">
                          <a:noFill/>
                        </a:ln>
                      </wps:spPr>
                      <wps:txbx>
                        <w:txbxContent>
                          <w:p w14:paraId="221F8943" w14:textId="77777777" w:rsidR="005444B1" w:rsidRPr="00266A9C" w:rsidRDefault="005444B1" w:rsidP="005444B1">
                            <w:pPr>
                              <w:widowControl w:val="0"/>
                              <w:spacing w:after="0"/>
                              <w:contextualSpacing/>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612CD96" id="_x0000_t202" coordsize="21600,21600" o:spt="202" path="m,l,21600r21600,l21600,xe">
                <v:stroke joinstyle="miter"/>
                <v:path gradientshapeok="t" o:connecttype="rect"/>
              </v:shapetype>
              <v:shape id="Text Box 1" o:spid="_x0000_s1026" type="#_x0000_t202" style="position:absolute;left:0;text-align:left;margin-left:230.1pt;margin-top:199.5pt;width:71.55pt;height:14.5pt;z-index:2516643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" fillcolor="window" stroked="f" strokeweight=".5pt">
                <v:path arrowok="t"/>
                <v:textbox>
                  <w:txbxContent>
                    <w:p w14:paraId="221F8943" w14:textId="77777777" w:rsidR="005444B1" w:rsidRPr="00266A9C" w:rsidRDefault="005444B1" w:rsidP="005444B1">
                      <w:pPr>
                        <w:widowControl w:val="0"/>
                        <w:spacing w:after="0"/>
                        <w:contextualSpacing/>
                        <w:rPr>
                          <w:rFonts w:ascii="Arial" w:hAnsi="Arial" w:cs="Arial"/>
                          <w:sz w:val="16"/>
                          <w:szCs w:val="16"/>
                        </w:rPr>
                      </w:pPr>
                    </w:p>
                  </w:txbxContent>
                </v:textbox>
                <w10:wrap anchorx="margin"/>
              </v:shape>
            </w:pict>
          </mc:Fallback>
        </mc:AlternateContent>
      </w:r>
    </w:p>
    <w:p w14:paraId="486732D0" w14:textId="5CAF5F46" w:rsidR="00971E00" w:rsidRPr="00266A9C" w:rsidRDefault="00971E00">
      <w:pPr>
        <w:pStyle w:val="Caption"/>
        <w:rPr>
          <w:noProof/>
        </w:rPr>
      </w:pPr>
      <w:bookmarkStart w:id="4" w:name="_Ref211607424"/>
      <w:r w:rsidRPr="00266A9C">
        <w:rPr>
          <w:noProof/>
        </w:rPr>
        <w:t xml:space="preserve">Figura </w:t>
      </w:r>
      <w:r w:rsidR="0038701C">
        <w:rPr>
          <w:noProof/>
        </w:rPr>
        <w:fldChar w:fldCharType="begin"/>
      </w:r>
      <w:r w:rsidR="0038701C">
        <w:rPr>
          <w:noProof/>
        </w:rPr>
        <w:instrText xml:space="preserve"> SEQ Figure \* ARABIC </w:instrText>
      </w:r>
      <w:r w:rsidR="0038701C">
        <w:rPr>
          <w:noProof/>
        </w:rPr>
        <w:fldChar w:fldCharType="separate"/>
      </w:r>
      <w:r w:rsidRPr="00266A9C">
        <w:rPr>
          <w:noProof/>
        </w:rPr>
        <w:t>1</w:t>
      </w:r>
      <w:r w:rsidR="0038701C">
        <w:rPr>
          <w:noProof/>
        </w:rPr>
        <w:fldChar w:fldCharType="end"/>
      </w:r>
      <w:bookmarkEnd w:id="4"/>
      <w:r w:rsidRPr="00266A9C">
        <w:rPr>
          <w:noProof/>
        </w:rPr>
        <w:t>.</w:t>
      </w:r>
      <w:r w:rsidR="00846830" w:rsidRPr="00266A9C">
        <w:rPr>
          <w:noProof/>
        </w:rPr>
        <w:t xml:space="preserve"> </w:t>
      </w:r>
      <w:r w:rsidRPr="00266A9C">
        <w:rPr>
          <w:i w:val="0"/>
          <w:noProof/>
        </w:rPr>
        <w:t>Ilustrarea etichetei inițiale a pneurilor (2012) și a etichetei (noi) revizuite (2021).</w:t>
      </w:r>
    </w:p>
    <w:p w14:paraId="599A5628" w14:textId="429DC38D" w:rsidR="00971E00" w:rsidRPr="00266A9C" w:rsidRDefault="00971E00">
      <w:pPr>
        <w:spacing w:after="120"/>
        <w:rPr>
          <w:noProof/>
        </w:rPr>
      </w:pPr>
      <w:r w:rsidRPr="00266A9C">
        <w:rPr>
          <w:noProof/>
        </w:rPr>
        <w:t xml:space="preserve">Legislația actualizată privind etichetarea pneurilor se aplică de la 1 mai 2021. </w:t>
      </w:r>
      <w:r w:rsidRPr="00266A9C">
        <w:rPr>
          <w:noProof/>
        </w:rPr>
        <w:fldChar w:fldCharType="begin"/>
      </w:r>
      <w:r w:rsidRPr="00266A9C">
        <w:rPr>
          <w:noProof/>
        </w:rPr>
        <w:instrText xml:space="preserve"> REF _Ref211607424 \h  \* MERGEFORMAT </w:instrText>
      </w:r>
      <w:r w:rsidRPr="00266A9C">
        <w:rPr>
          <w:noProof/>
        </w:rPr>
      </w:r>
      <w:r w:rsidRPr="00266A9C">
        <w:rPr>
          <w:noProof/>
        </w:rPr>
        <w:fldChar w:fldCharType="separate"/>
      </w:r>
      <w:r w:rsidRPr="00266A9C">
        <w:rPr>
          <w:noProof/>
        </w:rPr>
        <w:t>Figu</w:t>
      </w:r>
      <w:r w:rsidR="00266A9C" w:rsidRPr="00266A9C">
        <w:rPr>
          <w:noProof/>
        </w:rPr>
        <w:t>ra</w:t>
      </w:r>
      <w:r w:rsidRPr="00266A9C">
        <w:rPr>
          <w:noProof/>
        </w:rPr>
        <w:t xml:space="preserve"> 1</w:t>
      </w:r>
      <w:r w:rsidRPr="00266A9C">
        <w:rPr>
          <w:noProof/>
        </w:rPr>
        <w:fldChar w:fldCharType="end"/>
      </w:r>
      <w:r w:rsidRPr="00266A9C">
        <w:rPr>
          <w:noProof/>
        </w:rPr>
        <w:t xml:space="preserve"> compară eticheta inițială cu cea revizuită. Noua etichetă include mai multe caracteristici noi:</w:t>
      </w:r>
    </w:p>
    <w:p w14:paraId="10E8317F" w14:textId="2CCC51EC" w:rsidR="00971E00" w:rsidRPr="00266A9C" w:rsidRDefault="00617FE0" w:rsidP="00EC7481">
      <w:pPr>
        <w:pStyle w:val="ListParagraph"/>
        <w:numPr>
          <w:ilvl w:val="0"/>
          <w:numId w:val="24"/>
        </w:numPr>
        <w:rPr>
          <w:noProof/>
        </w:rPr>
      </w:pPr>
      <w:r w:rsidRPr="00266A9C">
        <w:rPr>
          <w:noProof/>
        </w:rPr>
        <w:t>Rezistența la rulare. Clasele cele mai joase au fost reclasificate pentru a deveni D și E. Acest lucru a eliminat clasa D goală pentru pneurile C1 și C2</w:t>
      </w:r>
      <w:r w:rsidRPr="00266A9C">
        <w:rPr>
          <w:noProof/>
          <w:vertAlign w:val="superscript"/>
        </w:rPr>
        <w:t> (</w:t>
      </w:r>
      <w:r w:rsidRPr="00266A9C">
        <w:rPr>
          <w:noProof/>
          <w:vertAlign w:val="superscript"/>
        </w:rPr>
        <w:footnoteReference w:id="12"/>
      </w:r>
      <w:r w:rsidRPr="00266A9C">
        <w:rPr>
          <w:noProof/>
          <w:vertAlign w:val="superscript"/>
        </w:rPr>
        <w:t>)</w:t>
      </w:r>
      <w:r w:rsidRPr="00266A9C">
        <w:rPr>
          <w:noProof/>
        </w:rPr>
        <w:t>. Același interval de valori a fost păstrat pentru fiecare tip de pneu</w:t>
      </w:r>
      <w:r w:rsidR="00A450AE" w:rsidRPr="00266A9C">
        <w:rPr>
          <w:noProof/>
        </w:rPr>
        <w:t>.</w:t>
      </w:r>
    </w:p>
    <w:p w14:paraId="36BF9D5E" w14:textId="1A257F7F" w:rsidR="00971E00" w:rsidRPr="00266A9C" w:rsidRDefault="00617FE0" w:rsidP="00EC7481">
      <w:pPr>
        <w:pStyle w:val="ListParagraph"/>
        <w:numPr>
          <w:ilvl w:val="0"/>
          <w:numId w:val="24"/>
        </w:numPr>
        <w:rPr>
          <w:noProof/>
        </w:rPr>
      </w:pPr>
      <w:r w:rsidRPr="00266A9C">
        <w:rPr>
          <w:noProof/>
        </w:rPr>
        <w:t>Aderența pe teren umed. Clasele de etichetare au fost reclasificate, iar clasa D goală a fost eliminată. La scara de aderență pe teren umed au fost adăugate săgeți colorate în albastru (care evocă apa), pentru a face distincția între aspectele legate de siguranță și cele legate de energie.</w:t>
      </w:r>
    </w:p>
    <w:p w14:paraId="7004FCE2" w14:textId="670C8CE0" w:rsidR="00971E00" w:rsidRPr="00266A9C" w:rsidRDefault="00617FE0" w:rsidP="00EC7481">
      <w:pPr>
        <w:pStyle w:val="ListParagraph"/>
        <w:numPr>
          <w:ilvl w:val="0"/>
          <w:numId w:val="24"/>
        </w:numPr>
        <w:rPr>
          <w:noProof/>
        </w:rPr>
      </w:pPr>
      <w:r w:rsidRPr="00266A9C">
        <w:rPr>
          <w:noProof/>
        </w:rPr>
        <w:t>Zgomot exterior de rulare. Indicarea clasei a fost aliniată la celelalte etichete energetice utilizând o scară cu litere. Nivelul de zgomot a fost exprimat în decibeli (la fel ca în cazul altor produse etichetate) și a fost păstrată o pictogramă cu unde sonore.</w:t>
      </w:r>
    </w:p>
    <w:p w14:paraId="119F56FC" w14:textId="3E1CD625" w:rsidR="00971E00" w:rsidRPr="00266A9C" w:rsidRDefault="00617FE0" w:rsidP="00E821B0">
      <w:pPr>
        <w:pStyle w:val="ListParagraph"/>
        <w:numPr>
          <w:ilvl w:val="0"/>
          <w:numId w:val="24"/>
        </w:numPr>
        <w:rPr>
          <w:noProof/>
        </w:rPr>
      </w:pPr>
      <w:r w:rsidRPr="00266A9C">
        <w:rPr>
          <w:noProof/>
        </w:rPr>
        <w:t>Au fost adăugate două pictograme noi, pentru pneurile omologate de tip pentru utilizare în condiții severe de zăpadă și în condiții severe de gheață</w:t>
      </w:r>
      <w:r w:rsidRPr="00266A9C">
        <w:rPr>
          <w:noProof/>
          <w:vertAlign w:val="superscript"/>
        </w:rPr>
        <w:t> (</w:t>
      </w:r>
      <w:r w:rsidRPr="00266A9C">
        <w:rPr>
          <w:noProof/>
          <w:vertAlign w:val="superscript"/>
        </w:rPr>
        <w:footnoteReference w:id="13"/>
      </w:r>
      <w:r w:rsidRPr="00266A9C">
        <w:rPr>
          <w:noProof/>
          <w:vertAlign w:val="superscript"/>
        </w:rPr>
        <w:t>)</w:t>
      </w:r>
      <w:r w:rsidRPr="00266A9C">
        <w:rPr>
          <w:noProof/>
        </w:rPr>
        <w:t>.</w:t>
      </w:r>
    </w:p>
    <w:p w14:paraId="219DC3B1" w14:textId="77777777" w:rsidR="00BD61DF" w:rsidRPr="00266A9C" w:rsidRDefault="00BD61DF" w:rsidP="00BD61DF">
      <w:pPr>
        <w:pStyle w:val="Heading1"/>
        <w:rPr>
          <w:noProof/>
        </w:rPr>
      </w:pPr>
      <w:bookmarkStart w:id="5" w:name="_Toc213083337"/>
      <w:r w:rsidRPr="00266A9C">
        <w:rPr>
          <w:noProof/>
        </w:rPr>
        <w:t>Sensibilizarea consumatorilor, utilizarea și înțelegerea de către aceștia a etichetei pneurilor</w:t>
      </w:r>
    </w:p>
    <w:p w14:paraId="3C691E90" w14:textId="0F4A254E" w:rsidR="00BD61DF" w:rsidRPr="00266A9C" w:rsidRDefault="00BD61DF" w:rsidP="00BD61DF">
      <w:pPr>
        <w:rPr>
          <w:noProof/>
        </w:rPr>
      </w:pPr>
      <w:r w:rsidRPr="00266A9C">
        <w:rPr>
          <w:noProof/>
        </w:rPr>
        <w:t>Înțelegerea de către consumatori a etichetei pneurilor a fost testată prin intermediul unui sondaj în rândul consumatorilor. Principalele constatări sunt sintetizate mai jos:</w:t>
      </w:r>
    </w:p>
    <w:p w14:paraId="27C65C2C" w14:textId="737DDEE7" w:rsidR="00BD61DF" w:rsidRPr="00266A9C" w:rsidRDefault="00BD61DF" w:rsidP="00BD61DF">
      <w:pPr>
        <w:jc w:val="right"/>
        <w:rPr>
          <w:noProof/>
        </w:rPr>
      </w:pPr>
    </w:p>
    <w:p w14:paraId="5CA6C369" w14:textId="5467DD40" w:rsidR="002C79A8" w:rsidRPr="00266A9C" w:rsidRDefault="00BB3A00" w:rsidP="002C79A8">
      <w:pPr>
        <w:keepNext/>
        <w:jc w:val="right"/>
        <w:rPr>
          <w:i/>
          <w:iCs/>
          <w:noProof/>
          <w:sz w:val="22"/>
          <w:szCs w:val="22"/>
        </w:rPr>
      </w:pPr>
      <w:r w:rsidRPr="00266A9C">
        <w:rPr>
          <w:noProof/>
          <w:lang w:val="en-GB" w:eastAsia="en-GB"/>
        </w:rPr>
        <mc:AlternateContent>
          <mc:Choice Requires="wps">
            <w:drawing>
              <wp:anchor distT="0" distB="0" distL="114300" distR="114300" simplePos="0" relativeHeight="251671554" behindDoc="0" locked="0" layoutInCell="1" allowOverlap="1" wp14:anchorId="05ABC875" wp14:editId="38D373FF">
                <wp:simplePos x="0" y="0"/>
                <wp:positionH relativeFrom="margin">
                  <wp:posOffset>1175897</wp:posOffset>
                </wp:positionH>
                <wp:positionV relativeFrom="paragraph">
                  <wp:posOffset>298544</wp:posOffset>
                </wp:positionV>
                <wp:extent cx="459105" cy="250825"/>
                <wp:effectExtent l="0" t="0" r="0" b="0"/>
                <wp:wrapNone/>
                <wp:docPr id="22295963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105" cy="250825"/>
                        </a:xfrm>
                        <a:prstGeom prst="rect">
                          <a:avLst/>
                        </a:prstGeom>
                        <a:solidFill>
                          <a:sysClr val="window" lastClr="FFFFFF"/>
                        </a:solidFill>
                        <a:ln w="6350">
                          <a:noFill/>
                        </a:ln>
                      </wps:spPr>
                      <wps:txbx>
                        <w:txbxContent>
                          <w:p w14:paraId="06994783" w14:textId="77777777" w:rsidR="005444B1" w:rsidRPr="00266A9C" w:rsidRDefault="005444B1" w:rsidP="005444B1">
                            <w:pPr>
                              <w:widowControl w:val="0"/>
                              <w:spacing w:after="0"/>
                              <w:contextualSpacing/>
                              <w:jc w:val="left"/>
                              <w:rPr>
                                <w:rFonts w:ascii="Arial Narrow" w:hAnsi="Arial Narrow" w:cs="Arial"/>
                                <w:sz w:val="10"/>
                                <w:szCs w:val="10"/>
                              </w:rPr>
                            </w:pPr>
                            <w:r w:rsidRPr="00266A9C">
                              <w:rPr>
                                <w:rFonts w:ascii="Arial Narrow" w:hAnsi="Arial Narrow"/>
                                <w:sz w:val="10"/>
                              </w:rPr>
                              <w:t>TIP</w:t>
                            </w:r>
                          </w:p>
                          <w:p w14:paraId="41590E4F" w14:textId="77777777" w:rsidR="005444B1" w:rsidRPr="00266A9C" w:rsidRDefault="005444B1" w:rsidP="005444B1">
                            <w:pPr>
                              <w:widowControl w:val="0"/>
                              <w:spacing w:after="0"/>
                              <w:contextualSpacing/>
                              <w:jc w:val="left"/>
                              <w:rPr>
                                <w:rFonts w:ascii="Arial Narrow" w:hAnsi="Arial Narrow" w:cs="Arial"/>
                                <w:sz w:val="10"/>
                                <w:szCs w:val="10"/>
                              </w:rPr>
                            </w:pPr>
                            <w:r w:rsidRPr="00266A9C">
                              <w:rPr>
                                <w:rFonts w:ascii="Arial Narrow" w:hAnsi="Arial Narrow"/>
                                <w:sz w:val="10"/>
                              </w:rPr>
                              <w:t>Clasă</w:t>
                            </w:r>
                          </w:p>
                          <w:p w14:paraId="1086BC80" w14:textId="77777777" w:rsidR="005444B1" w:rsidRPr="00266A9C" w:rsidRDefault="005444B1" w:rsidP="005444B1">
                            <w:pPr>
                              <w:widowControl w:val="0"/>
                              <w:spacing w:after="0"/>
                              <w:contextualSpacing/>
                              <w:jc w:val="left"/>
                              <w:rPr>
                                <w:rFonts w:ascii="Arial Narrow" w:hAnsi="Arial Narrow" w:cs="Arial"/>
                                <w:sz w:val="10"/>
                                <w:szCs w:val="10"/>
                              </w:rPr>
                            </w:pPr>
                            <w:r w:rsidRPr="00266A9C">
                              <w:rPr>
                                <w:rFonts w:ascii="Arial Narrow" w:hAnsi="Arial Narrow"/>
                                <w:sz w:val="10"/>
                              </w:rPr>
                              <w:t>Dimensiune</w:t>
                            </w:r>
                          </w:p>
                          <w:p w14:paraId="1BFA3F23" w14:textId="77777777" w:rsidR="005444B1" w:rsidRPr="00266A9C" w:rsidRDefault="005444B1" w:rsidP="005444B1">
                            <w:pPr>
                              <w:widowControl w:val="0"/>
                              <w:spacing w:after="0"/>
                              <w:contextualSpacing/>
                              <w:jc w:val="left"/>
                              <w:rPr>
                                <w:rFonts w:ascii="Arial" w:hAnsi="Arial" w:cs="Arial"/>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5ABC875" id="_x0000_s1027" type="#_x0000_t202" style="position:absolute;left:0;text-align:left;margin-left:92.6pt;margin-top:23.5pt;width:36.15pt;height:19.75pt;z-index:2516715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" fillcolor="window" stroked="f" strokeweight=".5pt">
                <v:path arrowok="t"/>
                <v:textbox>
                  <w:txbxContent>
                    <w:p w14:paraId="06994783" w14:textId="77777777" w:rsidR="005444B1" w:rsidRPr="00266A9C" w:rsidRDefault="005444B1" w:rsidP="005444B1">
                      <w:pPr>
                        <w:widowControl w:val="0"/>
                        <w:spacing w:after="0"/>
                        <w:contextualSpacing/>
                        <w:jc w:val="left"/>
                        <w:rPr>
                          <w:rFonts w:ascii="Arial Narrow" w:hAnsi="Arial Narrow" w:cs="Arial"/>
                          <w:sz w:val="10"/>
                          <w:szCs w:val="10"/>
                        </w:rPr>
                      </w:pPr>
                      <w:r w:rsidRPr="00266A9C">
                        <w:rPr>
                          <w:rFonts w:ascii="Arial Narrow" w:hAnsi="Arial Narrow"/>
                          <w:sz w:val="10"/>
                        </w:rPr>
                        <w:t>TIP</w:t>
                      </w:r>
                    </w:p>
                    <w:p w14:paraId="41590E4F" w14:textId="77777777" w:rsidR="005444B1" w:rsidRPr="00266A9C" w:rsidRDefault="005444B1" w:rsidP="005444B1">
                      <w:pPr>
                        <w:widowControl w:val="0"/>
                        <w:spacing w:after="0"/>
                        <w:contextualSpacing/>
                        <w:jc w:val="left"/>
                        <w:rPr>
                          <w:rFonts w:ascii="Arial Narrow" w:hAnsi="Arial Narrow" w:cs="Arial"/>
                          <w:sz w:val="10"/>
                          <w:szCs w:val="10"/>
                        </w:rPr>
                      </w:pPr>
                      <w:r w:rsidRPr="00266A9C">
                        <w:rPr>
                          <w:rFonts w:ascii="Arial Narrow" w:hAnsi="Arial Narrow"/>
                          <w:sz w:val="10"/>
                        </w:rPr>
                        <w:t>Clasă</w:t>
                      </w:r>
                    </w:p>
                    <w:p w14:paraId="1086BC80" w14:textId="77777777" w:rsidR="005444B1" w:rsidRPr="00266A9C" w:rsidRDefault="005444B1" w:rsidP="005444B1">
                      <w:pPr>
                        <w:widowControl w:val="0"/>
                        <w:spacing w:after="0"/>
                        <w:contextualSpacing/>
                        <w:jc w:val="left"/>
                        <w:rPr>
                          <w:rFonts w:ascii="Arial Narrow" w:hAnsi="Arial Narrow" w:cs="Arial"/>
                          <w:sz w:val="10"/>
                          <w:szCs w:val="10"/>
                        </w:rPr>
                      </w:pPr>
                      <w:r w:rsidRPr="00266A9C">
                        <w:rPr>
                          <w:rFonts w:ascii="Arial Narrow" w:hAnsi="Arial Narrow"/>
                          <w:sz w:val="10"/>
                        </w:rPr>
                        <w:t>Dimensiune</w:t>
                      </w:r>
                    </w:p>
                    <w:p w14:paraId="1BFA3F23" w14:textId="77777777" w:rsidR="005444B1" w:rsidRPr="00266A9C" w:rsidRDefault="005444B1" w:rsidP="005444B1">
                      <w:pPr>
                        <w:widowControl w:val="0"/>
                        <w:spacing w:after="0"/>
                        <w:contextualSpacing/>
                        <w:jc w:val="left"/>
                        <w:rPr>
                          <w:rFonts w:ascii="Arial" w:hAnsi="Arial" w:cs="Arial"/>
                          <w:sz w:val="10"/>
                          <w:szCs w:val="10"/>
                        </w:rPr>
                      </w:pPr>
                    </w:p>
                  </w:txbxContent>
                </v:textbox>
                <w10:wrap anchorx="margin"/>
              </v:shape>
            </w:pict>
          </mc:Fallback>
        </mc:AlternateContent>
      </w:r>
      <w:r w:rsidRPr="00266A9C">
        <w:rPr>
          <w:noProof/>
          <w:lang w:val="en-GB" w:eastAsia="en-GB"/>
        </w:rPr>
        <mc:AlternateContent>
          <mc:Choice Requires="wps">
            <w:drawing>
              <wp:anchor distT="0" distB="0" distL="114300" distR="114300" simplePos="0" relativeHeight="251670530" behindDoc="0" locked="0" layoutInCell="1" allowOverlap="1" wp14:anchorId="7B21F706" wp14:editId="55695FD2">
                <wp:simplePos x="0" y="0"/>
                <wp:positionH relativeFrom="margin">
                  <wp:posOffset>507156</wp:posOffset>
                </wp:positionH>
                <wp:positionV relativeFrom="paragraph">
                  <wp:posOffset>298546</wp:posOffset>
                </wp:positionV>
                <wp:extent cx="641985" cy="250920"/>
                <wp:effectExtent l="0" t="0" r="5715" b="0"/>
                <wp:wrapNone/>
                <wp:docPr id="2383184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985" cy="250920"/>
                        </a:xfrm>
                        <a:prstGeom prst="rect">
                          <a:avLst/>
                        </a:prstGeom>
                        <a:solidFill>
                          <a:sysClr val="window" lastClr="FFFFFF"/>
                        </a:solidFill>
                        <a:ln w="6350">
                          <a:noFill/>
                        </a:ln>
                      </wps:spPr>
                      <wps:txbx>
                        <w:txbxContent>
                          <w:p w14:paraId="153FC861" w14:textId="77777777" w:rsidR="005444B1" w:rsidRPr="00266A9C" w:rsidRDefault="005444B1" w:rsidP="005444B1">
                            <w:pPr>
                              <w:widowControl w:val="0"/>
                              <w:spacing w:after="0"/>
                              <w:contextualSpacing/>
                              <w:jc w:val="left"/>
                              <w:rPr>
                                <w:rFonts w:ascii="Arial Narrow" w:hAnsi="Arial Narrow" w:cs="Arial"/>
                                <w:b/>
                                <w:bCs/>
                                <w:sz w:val="10"/>
                                <w:szCs w:val="10"/>
                              </w:rPr>
                            </w:pPr>
                            <w:r w:rsidRPr="00266A9C">
                              <w:rPr>
                                <w:rFonts w:ascii="Arial Narrow" w:hAnsi="Arial Narrow"/>
                                <w:b/>
                                <w:sz w:val="10"/>
                              </w:rPr>
                              <w:t>MARCĂ</w:t>
                            </w:r>
                          </w:p>
                          <w:p w14:paraId="4AF6DD72" w14:textId="77777777" w:rsidR="005444B1" w:rsidRPr="00266A9C" w:rsidRDefault="005444B1" w:rsidP="005444B1">
                            <w:pPr>
                              <w:widowControl w:val="0"/>
                              <w:spacing w:after="0"/>
                              <w:contextualSpacing/>
                              <w:jc w:val="left"/>
                              <w:rPr>
                                <w:rFonts w:ascii="Arial Narrow" w:hAnsi="Arial Narrow" w:cs="Arial"/>
                                <w:sz w:val="10"/>
                                <w:szCs w:val="10"/>
                              </w:rPr>
                            </w:pPr>
                            <w:r w:rsidRPr="00266A9C">
                              <w:rPr>
                                <w:rFonts w:ascii="Arial Narrow" w:hAnsi="Arial Narrow"/>
                                <w:sz w:val="10"/>
                              </w:rPr>
                              <w:t>Dimensiune</w:t>
                            </w:r>
                          </w:p>
                          <w:p w14:paraId="7B9A3EB2" w14:textId="77777777" w:rsidR="005444B1" w:rsidRPr="00266A9C" w:rsidRDefault="005444B1" w:rsidP="005444B1">
                            <w:pPr>
                              <w:widowControl w:val="0"/>
                              <w:spacing w:after="0"/>
                              <w:contextualSpacing/>
                              <w:jc w:val="left"/>
                              <w:rPr>
                                <w:rFonts w:ascii="Arial" w:hAnsi="Arial" w:cs="Arial"/>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B21F706" id="_x0000_s1028" type="#_x0000_t202" style="position:absolute;left:0;text-align:left;margin-left:39.95pt;margin-top:23.5pt;width:50.55pt;height:19.75pt;z-index:2516705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" fillcolor="window" stroked="f" strokeweight=".5pt">
                <v:path arrowok="t"/>
                <v:textbox>
                  <w:txbxContent>
                    <w:p w14:paraId="153FC861" w14:textId="77777777" w:rsidR="005444B1" w:rsidRPr="00266A9C" w:rsidRDefault="005444B1" w:rsidP="005444B1">
                      <w:pPr>
                        <w:widowControl w:val="0"/>
                        <w:spacing w:after="0"/>
                        <w:contextualSpacing/>
                        <w:jc w:val="left"/>
                        <w:rPr>
                          <w:rFonts w:ascii="Arial Narrow" w:hAnsi="Arial Narrow" w:cs="Arial"/>
                          <w:b/>
                          <w:bCs/>
                          <w:sz w:val="10"/>
                          <w:szCs w:val="10"/>
                        </w:rPr>
                      </w:pPr>
                      <w:r w:rsidRPr="00266A9C">
                        <w:rPr>
                          <w:rFonts w:ascii="Arial Narrow" w:hAnsi="Arial Narrow"/>
                          <w:b/>
                          <w:sz w:val="10"/>
                        </w:rPr>
                        <w:t>MARCĂ</w:t>
                      </w:r>
                    </w:p>
                    <w:p w14:paraId="4AF6DD72" w14:textId="77777777" w:rsidR="005444B1" w:rsidRPr="00266A9C" w:rsidRDefault="005444B1" w:rsidP="005444B1">
                      <w:pPr>
                        <w:widowControl w:val="0"/>
                        <w:spacing w:after="0"/>
                        <w:contextualSpacing/>
                        <w:jc w:val="left"/>
                        <w:rPr>
                          <w:rFonts w:ascii="Arial Narrow" w:hAnsi="Arial Narrow" w:cs="Arial"/>
                          <w:sz w:val="10"/>
                          <w:szCs w:val="10"/>
                        </w:rPr>
                      </w:pPr>
                      <w:r w:rsidRPr="00266A9C">
                        <w:rPr>
                          <w:rFonts w:ascii="Arial Narrow" w:hAnsi="Arial Narrow"/>
                          <w:sz w:val="10"/>
                        </w:rPr>
                        <w:t>Dimensiune</w:t>
                      </w:r>
                    </w:p>
                    <w:p w14:paraId="7B9A3EB2" w14:textId="77777777" w:rsidR="005444B1" w:rsidRPr="00266A9C" w:rsidRDefault="005444B1" w:rsidP="005444B1">
                      <w:pPr>
                        <w:widowControl w:val="0"/>
                        <w:spacing w:after="0"/>
                        <w:contextualSpacing/>
                        <w:jc w:val="left"/>
                        <w:rPr>
                          <w:rFonts w:ascii="Arial" w:hAnsi="Arial" w:cs="Arial"/>
                          <w:sz w:val="10"/>
                          <w:szCs w:val="10"/>
                        </w:rPr>
                      </w:pPr>
                    </w:p>
                  </w:txbxContent>
                </v:textbox>
                <w10:wrap anchorx="margin"/>
              </v:shape>
            </w:pict>
          </mc:Fallback>
        </mc:AlternateContent>
      </w:r>
      <w:r w:rsidR="00870E9E" w:rsidRPr="00266A9C">
        <w:rPr>
          <w:noProof/>
          <w:lang w:val="en-GB" w:eastAsia="en-GB"/>
        </w:rPr>
        <w:drawing>
          <wp:anchor distT="0" distB="0" distL="114300" distR="114300" simplePos="0" relativeHeight="251669506" behindDoc="0" locked="0" layoutInCell="1" allowOverlap="1" wp14:anchorId="664D2FEA" wp14:editId="417C6CFD">
            <wp:simplePos x="0" y="0"/>
            <wp:positionH relativeFrom="margin">
              <wp:posOffset>259080</wp:posOffset>
            </wp:positionH>
            <wp:positionV relativeFrom="paragraph">
              <wp:posOffset>84041</wp:posOffset>
            </wp:positionV>
            <wp:extent cx="1636933" cy="1596642"/>
            <wp:effectExtent l="0" t="0" r="1905" b="3810"/>
            <wp:wrapNone/>
            <wp:docPr id="1580274576" name="Picture 6" descr="O etichetă cu simboluri și text&#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abel with symbols and text&#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36933" cy="1596642"/>
                    </a:xfrm>
                    <a:prstGeom prst="rect">
                      <a:avLst/>
                    </a:prstGeom>
                    <a:noFill/>
                  </pic:spPr>
                </pic:pic>
              </a:graphicData>
            </a:graphic>
            <wp14:sizeRelH relativeFrom="margin">
              <wp14:pctWidth>0</wp14:pctWidth>
            </wp14:sizeRelH>
            <wp14:sizeRelV relativeFrom="margin">
              <wp14:pctHeight>0</wp14:pctHeight>
            </wp14:sizeRelV>
          </wp:anchor>
        </w:drawing>
      </w:r>
      <w:r w:rsidR="00B425BF" w:rsidRPr="00266A9C">
        <w:rPr>
          <w:noProof/>
          <w:lang w:val="en-GB" w:eastAsia="en-GB"/>
        </w:rPr>
        <w:drawing>
          <wp:inline distT="0" distB="0" distL="0" distR="0" wp14:anchorId="65701F9F" wp14:editId="28B6EF6B">
            <wp:extent cx="2834257" cy="1744316"/>
            <wp:effectExtent l="0" t="0" r="0" b="0"/>
            <wp:docPr id="9765314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51766" cy="1755092"/>
                    </a:xfrm>
                    <a:prstGeom prst="rect">
                      <a:avLst/>
                    </a:prstGeom>
                    <a:noFill/>
                    <a:ln>
                      <a:noFill/>
                    </a:ln>
                  </pic:spPr>
                </pic:pic>
              </a:graphicData>
            </a:graphic>
          </wp:inline>
        </w:drawing>
      </w:r>
    </w:p>
    <w:p w14:paraId="7FCAC000" w14:textId="148C60C1" w:rsidR="00BD61DF" w:rsidRPr="00266A9C" w:rsidRDefault="00BD61DF" w:rsidP="00BD61DF">
      <w:pPr>
        <w:keepNext/>
        <w:rPr>
          <w:i/>
          <w:iCs/>
          <w:noProof/>
          <w:sz w:val="22"/>
          <w:szCs w:val="22"/>
        </w:rPr>
      </w:pPr>
      <w:r w:rsidRPr="00266A9C">
        <w:rPr>
          <w:i/>
          <w:noProof/>
          <w:sz w:val="22"/>
        </w:rPr>
        <w:t xml:space="preserve">Figura </w:t>
      </w:r>
      <w:r w:rsidRPr="00266A9C">
        <w:rPr>
          <w:i/>
          <w:noProof/>
          <w:sz w:val="22"/>
        </w:rPr>
        <w:fldChar w:fldCharType="begin"/>
      </w:r>
      <w:r w:rsidRPr="00266A9C">
        <w:rPr>
          <w:i/>
          <w:noProof/>
          <w:sz w:val="22"/>
        </w:rPr>
        <w:instrText xml:space="preserve"> SEQ Figure \* ARABIC </w:instrText>
      </w:r>
      <w:r w:rsidRPr="00266A9C">
        <w:rPr>
          <w:i/>
          <w:noProof/>
          <w:sz w:val="22"/>
        </w:rPr>
        <w:fldChar w:fldCharType="separate"/>
      </w:r>
      <w:r w:rsidRPr="00266A9C">
        <w:rPr>
          <w:i/>
          <w:noProof/>
          <w:sz w:val="22"/>
        </w:rPr>
        <w:t>2</w:t>
      </w:r>
      <w:r w:rsidRPr="00266A9C">
        <w:rPr>
          <w:i/>
          <w:noProof/>
          <w:sz w:val="22"/>
        </w:rPr>
        <w:fldChar w:fldCharType="end"/>
      </w:r>
      <w:r w:rsidRPr="00266A9C">
        <w:rPr>
          <w:i/>
          <w:noProof/>
          <w:sz w:val="22"/>
        </w:rPr>
        <w:t xml:space="preserve">. </w:t>
      </w:r>
      <w:r w:rsidRPr="00266A9C">
        <w:rPr>
          <w:noProof/>
          <w:sz w:val="22"/>
        </w:rPr>
        <w:t>Nivelul de înțelegere declarat de consumatori cu privire la elementele etichetei pneurilor [valoarea de referință = toți respondenții (n = 4 590)].</w:t>
      </w:r>
    </w:p>
    <w:p w14:paraId="2034ACCC" w14:textId="543137F1" w:rsidR="00BD61DF" w:rsidRPr="00266A9C" w:rsidRDefault="0047209E" w:rsidP="00BD61DF">
      <w:pPr>
        <w:spacing w:after="120"/>
        <w:rPr>
          <w:noProof/>
        </w:rPr>
      </w:pPr>
      <w:r w:rsidRPr="00266A9C">
        <w:rPr>
          <w:noProof/>
        </w:rPr>
        <w:t xml:space="preserve">După cum se arată în figura 2, majoritatea </w:t>
      </w:r>
      <w:r w:rsidRPr="00266A9C">
        <w:rPr>
          <w:b/>
          <w:noProof/>
        </w:rPr>
        <w:t>consumatorilor</w:t>
      </w:r>
      <w:r w:rsidRPr="00266A9C">
        <w:rPr>
          <w:noProof/>
        </w:rPr>
        <w:t xml:space="preserve"> consideră că eticheta pneurilor este ușor de înțeles. Numai 9-18 % dintre respondenți declară că întâmpină dificultăți cu un anumit element. Marea majoritate consideră că toate elementele actuale ale etichetei sunt relevante, în special aderența pe teren umed (94 %). Majoritatea (78 %) au considerat că volumul de informații prezente pe etichetă este adecvat. Alți parametri care nu figurează în prezent pe etichetă, cum ar fi kilometrajul, au fost evaluați ca fiind la fel de relevanți sau mai relevanți. Zgomotul și eliberarea de microplastice sunt considerate mai puțin importante sau nu influențează alegerile consumatorilor</w:t>
      </w:r>
      <w:r w:rsidRPr="00266A9C">
        <w:rPr>
          <w:noProof/>
          <w:vertAlign w:val="superscript"/>
        </w:rPr>
        <w:t> (</w:t>
      </w:r>
      <w:r w:rsidRPr="00266A9C">
        <w:rPr>
          <w:rStyle w:val="FootnoteReference"/>
          <w:noProof/>
        </w:rPr>
        <w:footnoteReference w:id="14"/>
      </w:r>
      <w:r w:rsidRPr="00266A9C">
        <w:rPr>
          <w:noProof/>
          <w:vertAlign w:val="superscript"/>
        </w:rPr>
        <w:t>)</w:t>
      </w:r>
      <w:r w:rsidRPr="00266A9C">
        <w:rPr>
          <w:noProof/>
        </w:rPr>
        <w:t>.</w:t>
      </w:r>
    </w:p>
    <w:p w14:paraId="301C138B" w14:textId="77777777" w:rsidR="00653373" w:rsidRPr="00266A9C" w:rsidRDefault="00BD61DF" w:rsidP="00653373">
      <w:pPr>
        <w:rPr>
          <w:noProof/>
        </w:rPr>
      </w:pPr>
      <w:r w:rsidRPr="00266A9C">
        <w:rPr>
          <w:noProof/>
        </w:rPr>
        <w:t>În urma sondajului, s-au confirmat rezultatele unui studiu din 2019</w:t>
      </w:r>
      <w:r w:rsidRPr="00266A9C">
        <w:rPr>
          <w:noProof/>
          <w:vertAlign w:val="superscript"/>
        </w:rPr>
        <w:t> (</w:t>
      </w:r>
      <w:r w:rsidRPr="00266A9C">
        <w:rPr>
          <w:rStyle w:val="FootnoteReference"/>
          <w:noProof/>
        </w:rPr>
        <w:footnoteReference w:id="15"/>
      </w:r>
      <w:r w:rsidRPr="00266A9C">
        <w:rPr>
          <w:noProof/>
          <w:vertAlign w:val="superscript"/>
        </w:rPr>
        <w:t>)</w:t>
      </w:r>
      <w:r w:rsidRPr="00266A9C">
        <w:rPr>
          <w:noProof/>
        </w:rPr>
        <w:t xml:space="preserve"> și s-a constatat că eticheta a jucat un rol semnificativ în orientarea consumatorilor și a cumpărătorilor profesioniști care au verificat-o. Aproximativ 80 % dintre membrii ambelor grupuri au declarat că eticheta i-a ajutat să aleagă pneuri mai eficiente sau mai sigure.</w:t>
      </w:r>
    </w:p>
    <w:p w14:paraId="32B9D532" w14:textId="1C2770B8" w:rsidR="00653373" w:rsidRPr="00266A9C" w:rsidRDefault="00653373" w:rsidP="00653373">
      <w:pPr>
        <w:rPr>
          <w:noProof/>
        </w:rPr>
      </w:pPr>
      <w:r w:rsidRPr="00266A9C">
        <w:rPr>
          <w:b/>
          <w:noProof/>
        </w:rPr>
        <w:t>Comercianții și distribuitorii de pneuri</w:t>
      </w:r>
      <w:r w:rsidRPr="00266A9C">
        <w:rPr>
          <w:noProof/>
        </w:rPr>
        <w:t xml:space="preserve"> sunt familiarizați cu eticheta și, în general, o percep în mod pozitiv. Acest lucru nu se traduce întotdeauna printr-o utilizare proactivă în cadrul procesului de vânzare. Jumătate dintre vânzătorii chestionați afirmă că abordează subiectul etichetei doar dacă consumatorul îi solicită acest lucru. Unul din șase îi descurajează pe clienți să se bazeze pe etichetă, subliniind că aceasta se bazează numai pe o declarație pe propria răspundere; în schimb, recomandările lor se bazează pe marje de profit, reduceri, stimulente, disponibilitatea stocurilor sau bugetul clienților.</w:t>
      </w:r>
    </w:p>
    <w:p w14:paraId="1FD5DE0F" w14:textId="1E34A992" w:rsidR="00BD61DF" w:rsidRPr="00266A9C" w:rsidRDefault="00BD61DF" w:rsidP="00BD61DF">
      <w:pPr>
        <w:spacing w:after="120"/>
        <w:rPr>
          <w:noProof/>
        </w:rPr>
      </w:pPr>
    </w:p>
    <w:p w14:paraId="6AB4B805" w14:textId="11FE66D3" w:rsidR="00BD61DF" w:rsidRPr="00266A9C" w:rsidRDefault="00B425BF" w:rsidP="00BD61DF">
      <w:pPr>
        <w:rPr>
          <w:noProof/>
        </w:rPr>
      </w:pPr>
      <w:r w:rsidRPr="00266A9C">
        <w:rPr>
          <w:noProof/>
          <w:lang w:val="en-GB" w:eastAsia="en-GB"/>
        </w:rPr>
        <w:drawing>
          <wp:inline distT="0" distB="0" distL="0" distR="0" wp14:anchorId="1BF9F87C" wp14:editId="59A2467F">
            <wp:extent cx="4997302" cy="2638979"/>
            <wp:effectExtent l="0" t="0" r="0" b="9525"/>
            <wp:docPr id="6098491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04289" cy="2642669"/>
                    </a:xfrm>
                    <a:prstGeom prst="rect">
                      <a:avLst/>
                    </a:prstGeom>
                    <a:noFill/>
                    <a:ln>
                      <a:noFill/>
                    </a:ln>
                  </pic:spPr>
                </pic:pic>
              </a:graphicData>
            </a:graphic>
          </wp:inline>
        </w:drawing>
      </w:r>
    </w:p>
    <w:p w14:paraId="3204781A" w14:textId="24623DCB" w:rsidR="00BD61DF" w:rsidRPr="00266A9C" w:rsidRDefault="00BD61DF" w:rsidP="00BD61DF">
      <w:pPr>
        <w:keepNext/>
        <w:rPr>
          <w:i/>
          <w:iCs/>
          <w:noProof/>
          <w:sz w:val="22"/>
          <w:szCs w:val="22"/>
        </w:rPr>
      </w:pPr>
      <w:r w:rsidRPr="00266A9C">
        <w:rPr>
          <w:i/>
          <w:noProof/>
          <w:sz w:val="22"/>
        </w:rPr>
        <w:t xml:space="preserve">Figura </w:t>
      </w:r>
      <w:r w:rsidRPr="00266A9C">
        <w:rPr>
          <w:i/>
          <w:noProof/>
          <w:sz w:val="22"/>
        </w:rPr>
        <w:fldChar w:fldCharType="begin"/>
      </w:r>
      <w:r w:rsidRPr="00266A9C">
        <w:rPr>
          <w:i/>
          <w:noProof/>
          <w:sz w:val="22"/>
        </w:rPr>
        <w:instrText xml:space="preserve"> SEQ Figure \* ARABIC </w:instrText>
      </w:r>
      <w:r w:rsidRPr="00266A9C">
        <w:rPr>
          <w:i/>
          <w:noProof/>
          <w:sz w:val="22"/>
        </w:rPr>
        <w:fldChar w:fldCharType="separate"/>
      </w:r>
      <w:r w:rsidRPr="00266A9C">
        <w:rPr>
          <w:i/>
          <w:noProof/>
          <w:sz w:val="22"/>
        </w:rPr>
        <w:t>3</w:t>
      </w:r>
      <w:r w:rsidRPr="00266A9C">
        <w:rPr>
          <w:i/>
          <w:noProof/>
          <w:sz w:val="22"/>
        </w:rPr>
        <w:fldChar w:fldCharType="end"/>
      </w:r>
      <w:r w:rsidRPr="00266A9C">
        <w:rPr>
          <w:i/>
          <w:noProof/>
          <w:sz w:val="22"/>
        </w:rPr>
        <w:t>.</w:t>
      </w:r>
      <w:r w:rsidRPr="00266A9C">
        <w:rPr>
          <w:noProof/>
          <w:sz w:val="22"/>
        </w:rPr>
        <w:t xml:space="preserve"> Percepția comercianților și a distribuitorilor de pneuri cu privire la eticheta pneurilor [valoarea de referință = toți respondenții (n = 201)].</w:t>
      </w:r>
    </w:p>
    <w:p w14:paraId="033A6462" w14:textId="176CA20E" w:rsidR="00BD61DF" w:rsidRPr="00266A9C" w:rsidRDefault="00BD61DF" w:rsidP="00BD61DF">
      <w:pPr>
        <w:rPr>
          <w:noProof/>
        </w:rPr>
      </w:pPr>
      <w:r w:rsidRPr="00266A9C">
        <w:rPr>
          <w:noProof/>
        </w:rPr>
        <w:t xml:space="preserve">Aproximativ jumătate dintre </w:t>
      </w:r>
      <w:r w:rsidRPr="00266A9C">
        <w:rPr>
          <w:b/>
          <w:noProof/>
        </w:rPr>
        <w:t>comercianții de vehicule</w:t>
      </w:r>
      <w:r w:rsidRPr="00266A9C">
        <w:rPr>
          <w:noProof/>
        </w:rPr>
        <w:t xml:space="preserve"> consideră că includerea etichetelor pneurilor pentru toate opțiunile disponibile în ofertele de cumpărare a vehiculelor este lipsită de utilitate, fie din cauza interesului scăzut al clienților la momentul vânzării, fie pentru că clientul nu are posibilitatea de a face o alegere</w:t>
      </w:r>
      <w:r w:rsidRPr="00266A9C">
        <w:rPr>
          <w:noProof/>
          <w:vertAlign w:val="superscript"/>
        </w:rPr>
        <w:t> (</w:t>
      </w:r>
      <w:r w:rsidRPr="00266A9C">
        <w:rPr>
          <w:rStyle w:val="FootnoteReference"/>
          <w:noProof/>
        </w:rPr>
        <w:footnoteReference w:id="16"/>
      </w:r>
      <w:r w:rsidRPr="00266A9C">
        <w:rPr>
          <w:noProof/>
          <w:vertAlign w:val="superscript"/>
        </w:rPr>
        <w:t>)</w:t>
      </w:r>
      <w:r w:rsidRPr="00266A9C">
        <w:rPr>
          <w:noProof/>
        </w:rPr>
        <w:t>. În consecință, acești comercianți consideră că cerințele actuale sunt disproporționat de împovărătoare și sugerează că ar trebui permisă utilizarea unei versiuni mai mici sau simplificate a etichetei în ofertele de cumpărare</w:t>
      </w:r>
      <w:r w:rsidRPr="00266A9C">
        <w:rPr>
          <w:noProof/>
          <w:vertAlign w:val="superscript"/>
        </w:rPr>
        <w:t> (</w:t>
      </w:r>
      <w:r w:rsidRPr="00266A9C">
        <w:rPr>
          <w:rStyle w:val="FootnoteReference"/>
          <w:noProof/>
        </w:rPr>
        <w:footnoteReference w:id="17"/>
      </w:r>
      <w:r w:rsidRPr="00266A9C">
        <w:rPr>
          <w:noProof/>
          <w:vertAlign w:val="superscript"/>
        </w:rPr>
        <w:t>)</w:t>
      </w:r>
      <w:r w:rsidRPr="00266A9C">
        <w:rPr>
          <w:noProof/>
        </w:rPr>
        <w:t>.</w:t>
      </w:r>
    </w:p>
    <w:p w14:paraId="7229A564" w14:textId="5386EADE" w:rsidR="00BD61DF" w:rsidRPr="00266A9C" w:rsidRDefault="003801A4" w:rsidP="00BD61DF">
      <w:pPr>
        <w:rPr>
          <w:noProof/>
        </w:rPr>
      </w:pPr>
      <w:r w:rsidRPr="00266A9C">
        <w:rPr>
          <w:b/>
          <w:noProof/>
        </w:rPr>
        <w:t>Site-ul EPREL</w:t>
      </w:r>
      <w:r w:rsidRPr="00266A9C">
        <w:rPr>
          <w:noProof/>
        </w:rPr>
        <w:t xml:space="preserve"> este recunoscut ca o sursă valoroasă de informații suplimentare de către consumatorii, cumpărătorii profesioniștii, comercianții și distribuitorii familiarizați cu acesta, deși utilizarea efectivă a acestuia pare limitată. Cu toate acestea, informațiile privind anumiți parametri importanți lipsesc în prezent din baza de date</w:t>
      </w:r>
      <w:r w:rsidRPr="00266A9C">
        <w:rPr>
          <w:noProof/>
          <w:vertAlign w:val="superscript"/>
        </w:rPr>
        <w:t> (</w:t>
      </w:r>
      <w:r w:rsidRPr="00266A9C">
        <w:rPr>
          <w:rStyle w:val="FootnoteReference"/>
          <w:noProof/>
        </w:rPr>
        <w:footnoteReference w:id="18"/>
      </w:r>
      <w:r w:rsidRPr="00266A9C">
        <w:rPr>
          <w:noProof/>
          <w:vertAlign w:val="superscript"/>
        </w:rPr>
        <w:t>)</w:t>
      </w:r>
      <w:r w:rsidRPr="00266A9C">
        <w:rPr>
          <w:noProof/>
        </w:rPr>
        <w:t>. Unii comercianți au remarcat că EPREL le simplifică activitatea, deoarece le reduce dependența de furnizori în ceea ce privește informațiile. Unii comercianți au integrat API-uri pentru a-și conecta site-urile direct la EPREL, permițând afișarea automată a etichetelor pneurilor și a fișelor cu informații despre produs în limba corectă.</w:t>
      </w:r>
    </w:p>
    <w:p w14:paraId="1FE9F338" w14:textId="5458F1DF" w:rsidR="00971E00" w:rsidRPr="00266A9C" w:rsidRDefault="00971E00" w:rsidP="00AB212E">
      <w:pPr>
        <w:pStyle w:val="Heading1"/>
        <w:rPr>
          <w:noProof/>
        </w:rPr>
      </w:pPr>
      <w:r w:rsidRPr="00266A9C">
        <w:rPr>
          <w:noProof/>
        </w:rPr>
        <w:t xml:space="preserve">Evoluția </w:t>
      </w:r>
      <w:bookmarkEnd w:id="5"/>
      <w:r w:rsidRPr="00266A9C">
        <w:rPr>
          <w:noProof/>
        </w:rPr>
        <w:t>pieței</w:t>
      </w:r>
    </w:p>
    <w:p w14:paraId="44866B68" w14:textId="7FAC0C08" w:rsidR="00807531" w:rsidRPr="00266A9C" w:rsidRDefault="00807531" w:rsidP="00807531">
      <w:pPr>
        <w:rPr>
          <w:noProof/>
        </w:rPr>
      </w:pPr>
      <w:r w:rsidRPr="00266A9C">
        <w:rPr>
          <w:noProof/>
        </w:rPr>
        <w:t>Progresul tehnologic a permis îmbunătățiri simultane în ceea ce privește rezistența la rulare și aderența pe teren umed, în timp ce legislația paralelă a CEE-ONU a interzis pneurile care s-ar fi încadrat în clasele F și G de rezistență la rulare. Această tendință continuă și, în special în cazul pneurilor C1, cerințele CEE-ONU nu vor permite introducerea pe piață a niciunui pneu nou din clasa E și a majorității celor din clasa D. Prin urmare, scara actuală oferă mai puțină diferențiere în ceea ce privește deciziile de cumpărare și un stimulent concurențial mai slab pentru producători în ceea ce privește inovarea. În mod similar, în ceea ce privește zgomotul, toate pneurile, încă dinainte de intrarea în vigoare a regulamentului, fac parte din clasele A și B.</w:t>
      </w:r>
    </w:p>
    <w:p w14:paraId="6D247AC4" w14:textId="05ADAA95" w:rsidR="00971E00" w:rsidRPr="00266A9C" w:rsidRDefault="00971E00">
      <w:pPr>
        <w:rPr>
          <w:noProof/>
        </w:rPr>
      </w:pPr>
      <w:r w:rsidRPr="00266A9C">
        <w:rPr>
          <w:noProof/>
        </w:rPr>
        <w:t>TLR impune furnizorilor să înregistreze pneurile în EPREL înainte de a le introduce pe piață. Până în 2025, EPREL înregistrase aproape 230 000 de tipuri de pneuri: 81 % C1, 10 % C2 și 9 % C3. Parametrii acestor înregistrări sunt prezentați mai jos.</w:t>
      </w:r>
    </w:p>
    <w:p w14:paraId="2B869FB9" w14:textId="77777777" w:rsidR="00971E00" w:rsidRPr="00266A9C" w:rsidRDefault="00971E00">
      <w:pPr>
        <w:pStyle w:val="Heading2"/>
        <w:rPr>
          <w:noProof/>
        </w:rPr>
      </w:pPr>
      <w:bookmarkStart w:id="6" w:name="_Toc213083338"/>
      <w:r w:rsidRPr="00266A9C">
        <w:rPr>
          <w:noProof/>
        </w:rPr>
        <w:t>Pneurile C1</w:t>
      </w:r>
      <w:bookmarkEnd w:id="6"/>
    </w:p>
    <w:p w14:paraId="66AA530C" w14:textId="77777777" w:rsidR="00971E00" w:rsidRPr="00266A9C" w:rsidRDefault="00971E00" w:rsidP="00AB212E">
      <w:pPr>
        <w:pStyle w:val="Heading3"/>
        <w:rPr>
          <w:noProof/>
        </w:rPr>
      </w:pPr>
      <w:bookmarkStart w:id="7" w:name="_Toc213083339"/>
      <w:r w:rsidRPr="00266A9C">
        <w:rPr>
          <w:noProof/>
        </w:rPr>
        <w:t>Rezistența la rulare</w:t>
      </w:r>
      <w:bookmarkEnd w:id="7"/>
    </w:p>
    <w:p w14:paraId="2F40E135" w14:textId="71CB5EB3" w:rsidR="00971E00" w:rsidRPr="00266A9C" w:rsidRDefault="00971E00">
      <w:pPr>
        <w:rPr>
          <w:noProof/>
        </w:rPr>
      </w:pPr>
      <w:r w:rsidRPr="00266A9C">
        <w:rPr>
          <w:noProof/>
        </w:rPr>
        <w:t xml:space="preserve">Figura </w:t>
      </w:r>
      <w:r w:rsidR="00266A9C" w:rsidRPr="00266A9C">
        <w:rPr>
          <w:noProof/>
        </w:rPr>
        <w:t>4</w:t>
      </w:r>
      <w:r w:rsidRPr="00266A9C">
        <w:rPr>
          <w:noProof/>
        </w:rPr>
        <w:t xml:space="preserve"> prezintă valoarea estimată a rezistenței medii la rulare a pneurilor C1, pe baza claselor de etichetare și a datei introducerii pe piață</w:t>
      </w:r>
      <w:r w:rsidRPr="00266A9C">
        <w:rPr>
          <w:noProof/>
          <w:vertAlign w:val="superscript"/>
        </w:rPr>
        <w:t> (</w:t>
      </w:r>
      <w:r w:rsidRPr="00266A9C">
        <w:rPr>
          <w:rStyle w:val="FootnoteReference"/>
          <w:noProof/>
        </w:rPr>
        <w:footnoteReference w:id="19"/>
      </w:r>
      <w:r w:rsidRPr="00266A9C">
        <w:rPr>
          <w:noProof/>
          <w:vertAlign w:val="superscript"/>
        </w:rPr>
        <w:t>)</w:t>
      </w:r>
      <w:r w:rsidRPr="00266A9C">
        <w:rPr>
          <w:noProof/>
        </w:rPr>
        <w:t>. Linia punctată prezintă scenariul de statu-quo extrapolat la 2024 pe baza modelelor înregistrate în EPREL în perioada 2015-2021,</w:t>
      </w:r>
      <w:r w:rsidRPr="00266A9C">
        <w:rPr>
          <w:noProof/>
          <w:color w:val="000000"/>
        </w:rPr>
        <w:t xml:space="preserve"> cu progrese modeste pentru noile tipuri de pneuri introduse pe piață</w:t>
      </w:r>
      <w:r w:rsidRPr="00266A9C">
        <w:rPr>
          <w:noProof/>
        </w:rPr>
        <w:t>.</w:t>
      </w:r>
    </w:p>
    <w:p w14:paraId="670C6CAB" w14:textId="35E9D920" w:rsidR="00971E00" w:rsidRPr="00266A9C" w:rsidRDefault="00601017">
      <w:pPr>
        <w:keepNext/>
        <w:jc w:val="center"/>
        <w:rPr>
          <w:noProof/>
        </w:rPr>
      </w:pPr>
      <w:r w:rsidRPr="00266A9C">
        <w:rPr>
          <w:noProof/>
          <w:lang w:val="en-GB" w:eastAsia="en-GB"/>
        </w:rPr>
        <w:drawing>
          <wp:inline distT="0" distB="0" distL="0" distR="0" wp14:anchorId="673B6016" wp14:editId="79D543A2">
            <wp:extent cx="5472430" cy="3122295"/>
            <wp:effectExtent l="0" t="0" r="0" b="0"/>
            <wp:docPr id="1934663859" name="Chart 1">
              <a:extLst xmlns:a="http://schemas.openxmlformats.org/drawingml/2006/main">
                <a:ext uri="{FF2B5EF4-FFF2-40B4-BE49-F238E27FC236}">
                  <a16:creationId xmlns:a16="http://schemas.microsoft.com/office/drawing/2014/main" id="{6DC490CC-41D9-4CAE-99C9-C8BD7CBD4E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2B1C1B9" w14:textId="43EBD615" w:rsidR="00971E00" w:rsidRPr="00266A9C" w:rsidRDefault="00971E00" w:rsidP="00CB681C">
      <w:pPr>
        <w:pStyle w:val="Caption"/>
        <w:spacing w:before="0"/>
        <w:rPr>
          <w:noProof/>
        </w:rPr>
      </w:pPr>
      <w:r w:rsidRPr="00266A9C">
        <w:rPr>
          <w:noProof/>
        </w:rPr>
        <w:t xml:space="preserve">Figura </w:t>
      </w:r>
      <w:r w:rsidR="0038701C">
        <w:rPr>
          <w:noProof/>
        </w:rPr>
        <w:fldChar w:fldCharType="begin"/>
      </w:r>
      <w:r w:rsidR="0038701C">
        <w:rPr>
          <w:noProof/>
        </w:rPr>
        <w:instrText xml:space="preserve"> SEQ Figure \* ARABIC </w:instrText>
      </w:r>
      <w:r w:rsidR="0038701C">
        <w:rPr>
          <w:noProof/>
        </w:rPr>
        <w:fldChar w:fldCharType="separate"/>
      </w:r>
      <w:r w:rsidRPr="00266A9C">
        <w:rPr>
          <w:noProof/>
        </w:rPr>
        <w:t>4</w:t>
      </w:r>
      <w:r w:rsidR="0038701C">
        <w:rPr>
          <w:noProof/>
        </w:rPr>
        <w:fldChar w:fldCharType="end"/>
      </w:r>
      <w:r w:rsidRPr="00266A9C">
        <w:rPr>
          <w:noProof/>
        </w:rPr>
        <w:t xml:space="preserve">. </w:t>
      </w:r>
      <w:r w:rsidRPr="00266A9C">
        <w:rPr>
          <w:i w:val="0"/>
          <w:noProof/>
        </w:rPr>
        <w:t>Rezistența la rulare a pneurilor C1.</w:t>
      </w:r>
    </w:p>
    <w:p w14:paraId="5861BBBC" w14:textId="6125CFAB" w:rsidR="00971E00" w:rsidRPr="00266A9C" w:rsidRDefault="00234A31">
      <w:pPr>
        <w:rPr>
          <w:noProof/>
        </w:rPr>
      </w:pPr>
      <w:r w:rsidRPr="00266A9C">
        <w:rPr>
          <w:noProof/>
        </w:rPr>
        <w:t>Rezistența medie la rulare a pneurilor noi introduse pe piață începând din 2021 pare să se fi îmbunătățit considerabil</w:t>
      </w:r>
      <w:r w:rsidRPr="00266A9C">
        <w:rPr>
          <w:noProof/>
          <w:vertAlign w:val="superscript"/>
        </w:rPr>
        <w:t> (</w:t>
      </w:r>
      <w:r w:rsidRPr="00266A9C">
        <w:rPr>
          <w:rStyle w:val="FootnoteReference"/>
          <w:noProof/>
        </w:rPr>
        <w:footnoteReference w:id="20"/>
      </w:r>
      <w:r w:rsidRPr="00266A9C">
        <w:rPr>
          <w:noProof/>
          <w:vertAlign w:val="superscript"/>
        </w:rPr>
        <w:t>)</w:t>
      </w:r>
      <w:r w:rsidRPr="00266A9C">
        <w:rPr>
          <w:noProof/>
        </w:rPr>
        <w:t xml:space="preserve">. </w:t>
      </w:r>
      <w:r w:rsidRPr="00266A9C">
        <w:rPr>
          <w:noProof/>
          <w:color w:val="000000"/>
        </w:rPr>
        <w:t>Se estimează că, din 2021, rezistența la rulare a pneurilor C1 a scăzut cu 5,1 % față de scenariul de statu-quo.</w:t>
      </w:r>
    </w:p>
    <w:p w14:paraId="386BF9DB" w14:textId="77777777" w:rsidR="00971E00" w:rsidRPr="00266A9C" w:rsidRDefault="00971E00" w:rsidP="00AB212E">
      <w:pPr>
        <w:pStyle w:val="Heading3"/>
        <w:rPr>
          <w:noProof/>
        </w:rPr>
      </w:pPr>
      <w:bookmarkStart w:id="8" w:name="_Toc213083340"/>
      <w:r w:rsidRPr="00266A9C">
        <w:rPr>
          <w:noProof/>
        </w:rPr>
        <w:t>Aderența pe teren umed</w:t>
      </w:r>
      <w:bookmarkEnd w:id="8"/>
    </w:p>
    <w:p w14:paraId="3A447433" w14:textId="77777777" w:rsidR="00223712" w:rsidRPr="00266A9C" w:rsidRDefault="00223712" w:rsidP="00223712">
      <w:pPr>
        <w:rPr>
          <w:noProof/>
        </w:rPr>
      </w:pPr>
      <w:r w:rsidRPr="00266A9C">
        <w:rPr>
          <w:noProof/>
        </w:rPr>
        <w:fldChar w:fldCharType="begin"/>
      </w:r>
      <w:r w:rsidR="00971E00" w:rsidRPr="00266A9C">
        <w:rPr>
          <w:noProof/>
        </w:rPr>
        <w:instrText xml:space="preserve"> REF _Ref209039639 \h  \* MERGEFORMAT </w:instrText>
      </w:r>
      <w:r w:rsidRPr="00266A9C">
        <w:rPr>
          <w:noProof/>
        </w:rPr>
      </w:r>
      <w:r w:rsidRPr="00266A9C">
        <w:rPr>
          <w:noProof/>
        </w:rPr>
        <w:fldChar w:fldCharType="separate"/>
      </w:r>
      <w:r w:rsidR="00971E00" w:rsidRPr="00266A9C">
        <w:rPr>
          <w:noProof/>
          <w:lang w:val="en-GB" w:eastAsia="en-GB"/>
        </w:rPr>
        <w:drawing>
          <wp:inline distT="0" distB="0" distL="0" distR="0" wp14:anchorId="50FD0952" wp14:editId="23456BC8">
            <wp:extent cx="5472430" cy="3122295"/>
            <wp:effectExtent l="0" t="0" r="0" b="0"/>
            <wp:docPr id="1095900605" name="Chart 1">
              <a:extLst xmlns:a="http://schemas.openxmlformats.org/drawingml/2006/main">
                <a:ext uri="{FF2B5EF4-FFF2-40B4-BE49-F238E27FC236}">
                  <a16:creationId xmlns:a16="http://schemas.microsoft.com/office/drawing/2014/main" id="{17418CF4-71B1-4E5C-9AD6-04BC6FD310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15D293E" w14:textId="1618E356" w:rsidR="00971E00" w:rsidRPr="00266A9C" w:rsidRDefault="00223712">
      <w:pPr>
        <w:rPr>
          <w:noProof/>
        </w:rPr>
      </w:pPr>
      <w:r w:rsidRPr="00266A9C">
        <w:rPr>
          <w:noProof/>
        </w:rPr>
        <w:t>Figur</w:t>
      </w:r>
      <w:r w:rsidR="00B425BF" w:rsidRPr="00266A9C">
        <w:rPr>
          <w:noProof/>
        </w:rPr>
        <w:t>a</w:t>
      </w:r>
      <w:r w:rsidRPr="00266A9C">
        <w:rPr>
          <w:noProof/>
        </w:rPr>
        <w:t xml:space="preserve"> 5</w:t>
      </w:r>
      <w:r w:rsidRPr="00266A9C">
        <w:rPr>
          <w:noProof/>
        </w:rPr>
        <w:fldChar w:fldCharType="end"/>
      </w:r>
      <w:r w:rsidRPr="00266A9C">
        <w:rPr>
          <w:noProof/>
        </w:rPr>
        <w:t xml:space="preserve"> indică aderența medie estimată pe teren umed a pneurilor C1. Deși mai puțin pronunțată, performanța în materie de aderență pe teren umed pare, de asemenea, să se fi îmbunătățit în comparație cu scenariul de statu-quo pentru pneurile introduse pe piață după 2021</w:t>
      </w:r>
      <w:r w:rsidRPr="00266A9C">
        <w:rPr>
          <w:noProof/>
          <w:vertAlign w:val="superscript"/>
        </w:rPr>
        <w:t> (</w:t>
      </w:r>
      <w:r w:rsidRPr="00266A9C">
        <w:rPr>
          <w:rStyle w:val="FootnoteReference"/>
          <w:noProof/>
        </w:rPr>
        <w:footnoteReference w:id="21"/>
      </w:r>
      <w:r w:rsidRPr="00266A9C">
        <w:rPr>
          <w:noProof/>
          <w:vertAlign w:val="superscript"/>
        </w:rPr>
        <w:t>)</w:t>
      </w:r>
      <w:r w:rsidRPr="00266A9C">
        <w:rPr>
          <w:noProof/>
        </w:rPr>
        <w:t>.</w:t>
      </w:r>
    </w:p>
    <w:p w14:paraId="5DE8BA69" w14:textId="3D46B5D2" w:rsidR="005444B1" w:rsidRPr="00266A9C" w:rsidRDefault="005444B1" w:rsidP="00653373">
      <w:pPr>
        <w:pStyle w:val="Caption"/>
        <w:spacing w:before="0"/>
        <w:rPr>
          <w:noProof/>
        </w:rPr>
      </w:pPr>
      <w:bookmarkStart w:id="9" w:name="_Ref209039639"/>
      <w:r w:rsidRPr="00266A9C">
        <w:rPr>
          <w:noProof/>
          <w:lang w:val="en-GB" w:eastAsia="en-GB"/>
        </w:rPr>
        <w:drawing>
          <wp:inline distT="0" distB="0" distL="0" distR="0" wp14:anchorId="5CBA1BF8" wp14:editId="7CFCB670">
            <wp:extent cx="5472430" cy="3122295"/>
            <wp:effectExtent l="0" t="0" r="0" b="0"/>
            <wp:docPr id="1177800074" name="Chart 1">
              <a:extLst xmlns:a="http://schemas.openxmlformats.org/drawingml/2006/main">
                <a:ext uri="{FF2B5EF4-FFF2-40B4-BE49-F238E27FC236}">
                  <a16:creationId xmlns:a16="http://schemas.microsoft.com/office/drawing/2014/main" id="{17418CF4-71B1-4E5C-9AD6-04BC6FD310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76D1A0F" w14:textId="24DF1ED6" w:rsidR="00971E00" w:rsidRPr="00266A9C" w:rsidRDefault="00971E00" w:rsidP="00653373">
      <w:pPr>
        <w:pStyle w:val="Caption"/>
        <w:spacing w:before="0"/>
        <w:rPr>
          <w:noProof/>
        </w:rPr>
      </w:pPr>
      <w:r w:rsidRPr="00266A9C">
        <w:rPr>
          <w:noProof/>
        </w:rPr>
        <w:t xml:space="preserve">Figura </w:t>
      </w:r>
      <w:r w:rsidR="0038701C">
        <w:rPr>
          <w:noProof/>
        </w:rPr>
        <w:fldChar w:fldCharType="begin"/>
      </w:r>
      <w:r w:rsidR="0038701C">
        <w:rPr>
          <w:noProof/>
        </w:rPr>
        <w:instrText xml:space="preserve"> SEQ Figure \* ARABIC </w:instrText>
      </w:r>
      <w:r w:rsidR="0038701C">
        <w:rPr>
          <w:noProof/>
        </w:rPr>
        <w:fldChar w:fldCharType="separate"/>
      </w:r>
      <w:r w:rsidRPr="00266A9C">
        <w:rPr>
          <w:noProof/>
        </w:rPr>
        <w:t>5</w:t>
      </w:r>
      <w:r w:rsidR="0038701C">
        <w:rPr>
          <w:noProof/>
        </w:rPr>
        <w:fldChar w:fldCharType="end"/>
      </w:r>
      <w:bookmarkEnd w:id="9"/>
      <w:r w:rsidRPr="00266A9C">
        <w:rPr>
          <w:noProof/>
        </w:rPr>
        <w:t>.</w:t>
      </w:r>
      <w:r w:rsidRPr="00266A9C">
        <w:rPr>
          <w:i w:val="0"/>
          <w:noProof/>
        </w:rPr>
        <w:t xml:space="preserve"> Aderența pe teren umed a pneurilor C1.</w:t>
      </w:r>
    </w:p>
    <w:p w14:paraId="3F8D8585" w14:textId="35DAA6B3" w:rsidR="00971E00" w:rsidRPr="00266A9C" w:rsidRDefault="00971E00">
      <w:pPr>
        <w:rPr>
          <w:noProof/>
        </w:rPr>
      </w:pPr>
      <w:r w:rsidRPr="00266A9C">
        <w:rPr>
          <w:noProof/>
        </w:rPr>
        <w:t>Se estimează că</w:t>
      </w:r>
      <w:r w:rsidRPr="00266A9C">
        <w:rPr>
          <w:noProof/>
          <w:color w:val="000000"/>
        </w:rPr>
        <w:t xml:space="preserve"> s-a înregistrat o îmbunătățire cu </w:t>
      </w:r>
      <w:r w:rsidRPr="00266A9C">
        <w:rPr>
          <w:noProof/>
        </w:rPr>
        <w:t xml:space="preserve">aproximativ </w:t>
      </w:r>
      <w:r w:rsidRPr="00266A9C">
        <w:rPr>
          <w:noProof/>
          <w:color w:val="000000"/>
        </w:rPr>
        <w:t>2,4 % a</w:t>
      </w:r>
      <w:r w:rsidRPr="00266A9C">
        <w:rPr>
          <w:noProof/>
        </w:rPr>
        <w:t xml:space="preserve"> performanței în materie de aderență pe teren umed în comparație cu scenariul de statu-quo. Acest lucru duce la distanțe de frânare mai scurte pe un drum umed.</w:t>
      </w:r>
    </w:p>
    <w:p w14:paraId="33481184" w14:textId="77777777" w:rsidR="00971E00" w:rsidRPr="00266A9C" w:rsidRDefault="00971E00" w:rsidP="00AB212E">
      <w:pPr>
        <w:pStyle w:val="Heading3"/>
        <w:rPr>
          <w:noProof/>
        </w:rPr>
      </w:pPr>
      <w:bookmarkStart w:id="10" w:name="_Toc213083341"/>
      <w:r w:rsidRPr="00266A9C">
        <w:rPr>
          <w:noProof/>
        </w:rPr>
        <w:t>Zgomotul exterior de rulare</w:t>
      </w:r>
      <w:bookmarkEnd w:id="10"/>
    </w:p>
    <w:p w14:paraId="6ED4B264" w14:textId="47E885AE" w:rsidR="00971E00" w:rsidRPr="00266A9C" w:rsidRDefault="00971E00">
      <w:pPr>
        <w:rPr>
          <w:noProof/>
        </w:rPr>
      </w:pPr>
      <w:r w:rsidRPr="00266A9C">
        <w:rPr>
          <w:noProof/>
        </w:rPr>
        <w:fldChar w:fldCharType="begin"/>
      </w:r>
      <w:r w:rsidRPr="00266A9C">
        <w:rPr>
          <w:noProof/>
        </w:rPr>
        <w:instrText xml:space="preserve"> REF _Ref209039652 \h </w:instrText>
      </w:r>
      <w:r w:rsidRPr="00266A9C">
        <w:rPr>
          <w:noProof/>
        </w:rPr>
      </w:r>
      <w:r w:rsidRPr="00266A9C">
        <w:rPr>
          <w:noProof/>
        </w:rPr>
        <w:fldChar w:fldCharType="separate"/>
      </w:r>
      <w:r w:rsidRPr="00266A9C">
        <w:rPr>
          <w:noProof/>
        </w:rPr>
        <w:t>Figur</w:t>
      </w:r>
      <w:r w:rsidR="00266A9C" w:rsidRPr="00266A9C">
        <w:rPr>
          <w:noProof/>
        </w:rPr>
        <w:t>a</w:t>
      </w:r>
      <w:r w:rsidRPr="00266A9C">
        <w:rPr>
          <w:noProof/>
        </w:rPr>
        <w:t xml:space="preserve"> 6</w:t>
      </w:r>
      <w:r w:rsidRPr="00266A9C">
        <w:rPr>
          <w:noProof/>
        </w:rPr>
        <w:fldChar w:fldCharType="end"/>
      </w:r>
      <w:r w:rsidRPr="00266A9C">
        <w:rPr>
          <w:noProof/>
        </w:rPr>
        <w:t xml:space="preserve"> indică zgomotul exterior mediu estimat, pe baza valorii declarate. Nivelul de zgomot a crescut ușor doar până în 2018, posibil ca urmare a compromisului cu aderența pe teren umed (care s-a îmbunătățit semnificativ) și a tendinței de a utiliza pneuri cu raport de aspect mai mare la noile modele de autoturisme. Nu există nicio divergență perceptibilă față de scenariul de statu-quo.</w:t>
      </w:r>
    </w:p>
    <w:p w14:paraId="75CD04C5" w14:textId="6C38FB83" w:rsidR="00971E00" w:rsidRPr="00266A9C" w:rsidRDefault="006A0A80">
      <w:pPr>
        <w:keepNext/>
        <w:jc w:val="center"/>
        <w:rPr>
          <w:noProof/>
        </w:rPr>
      </w:pPr>
      <w:r w:rsidRPr="00266A9C">
        <w:rPr>
          <w:noProof/>
          <w:lang w:val="en-GB" w:eastAsia="en-GB"/>
        </w:rPr>
        <w:drawing>
          <wp:inline distT="0" distB="0" distL="0" distR="0" wp14:anchorId="6115BFB5" wp14:editId="36CD01C9">
            <wp:extent cx="5472430" cy="3122295"/>
            <wp:effectExtent l="0" t="0" r="13970" b="0"/>
            <wp:docPr id="934917085" name="Chart 1">
              <a:extLst xmlns:a="http://schemas.openxmlformats.org/drawingml/2006/main">
                <a:ext uri="{FF2B5EF4-FFF2-40B4-BE49-F238E27FC236}">
                  <a16:creationId xmlns:a16="http://schemas.microsoft.com/office/drawing/2014/main" id="{AF227026-DB73-4E97-92B9-5A95949B81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53D00A9" w14:textId="4B6C3E3E" w:rsidR="00971E00" w:rsidRPr="00266A9C" w:rsidRDefault="00971E00">
      <w:pPr>
        <w:pStyle w:val="Caption"/>
        <w:rPr>
          <w:noProof/>
        </w:rPr>
      </w:pPr>
      <w:bookmarkStart w:id="11" w:name="_Ref209039652"/>
      <w:r w:rsidRPr="00266A9C">
        <w:rPr>
          <w:noProof/>
        </w:rPr>
        <w:t xml:space="preserve">Figura </w:t>
      </w:r>
      <w:r w:rsidR="0038701C">
        <w:rPr>
          <w:noProof/>
        </w:rPr>
        <w:fldChar w:fldCharType="begin"/>
      </w:r>
      <w:r w:rsidR="0038701C">
        <w:rPr>
          <w:noProof/>
        </w:rPr>
        <w:instrText xml:space="preserve"> SEQ Figure \* ARABIC </w:instrText>
      </w:r>
      <w:r w:rsidR="0038701C">
        <w:rPr>
          <w:noProof/>
        </w:rPr>
        <w:fldChar w:fldCharType="separate"/>
      </w:r>
      <w:r w:rsidRPr="00266A9C">
        <w:rPr>
          <w:noProof/>
        </w:rPr>
        <w:t>6</w:t>
      </w:r>
      <w:r w:rsidR="0038701C">
        <w:rPr>
          <w:noProof/>
        </w:rPr>
        <w:fldChar w:fldCharType="end"/>
      </w:r>
      <w:bookmarkEnd w:id="11"/>
      <w:r w:rsidRPr="00266A9C">
        <w:rPr>
          <w:noProof/>
        </w:rPr>
        <w:t xml:space="preserve">. </w:t>
      </w:r>
      <w:r w:rsidRPr="00266A9C">
        <w:rPr>
          <w:i w:val="0"/>
          <w:noProof/>
        </w:rPr>
        <w:t>Zgomotul exterior de rulare al pneurilor C1.</w:t>
      </w:r>
    </w:p>
    <w:p w14:paraId="204F406B" w14:textId="77777777" w:rsidR="00971E00" w:rsidRPr="00266A9C" w:rsidRDefault="00971E00" w:rsidP="00CB681C">
      <w:pPr>
        <w:pStyle w:val="Heading2"/>
        <w:rPr>
          <w:rStyle w:val="Strong"/>
          <w:b/>
          <w:bCs w:val="0"/>
          <w:noProof/>
        </w:rPr>
      </w:pPr>
      <w:r w:rsidRPr="00266A9C">
        <w:rPr>
          <w:rStyle w:val="Strong"/>
          <w:b/>
          <w:noProof/>
        </w:rPr>
        <w:t>Pneurile C2 și C3</w:t>
      </w:r>
    </w:p>
    <w:p w14:paraId="5A9240FE" w14:textId="2116CE9E" w:rsidR="00971E00" w:rsidRPr="00266A9C" w:rsidRDefault="00971E00" w:rsidP="00653373">
      <w:pPr>
        <w:spacing w:after="120"/>
        <w:rPr>
          <w:noProof/>
        </w:rPr>
      </w:pPr>
      <w:r w:rsidRPr="00266A9C">
        <w:rPr>
          <w:noProof/>
        </w:rPr>
        <w:t>S-au constatat tendințe similare celor observate în cazul pneurilor C1 și în cazul pneurilor C2 și C3. În cazul pneurilor C3, s-a constatat o îmbunătățire a rezistenței la rulare cu aproximativ 7,3 % în comparație cu scenariul de statu-quo. Este posibil ca și alți factori să fi contribuit la progresele înregistrate de datele EPREL. Este posibil ca accentul sporit pus pe siguranță și ponderea mai mare a vehiculelor electrice pe drumuri să fi stimulat îmbunătățiri în ceea ce privește rezistența la rulare</w:t>
      </w:r>
      <w:r w:rsidRPr="00266A9C">
        <w:rPr>
          <w:noProof/>
          <w:vertAlign w:val="superscript"/>
        </w:rPr>
        <w:t> (</w:t>
      </w:r>
      <w:r w:rsidRPr="00266A9C">
        <w:rPr>
          <w:rStyle w:val="FootnoteReference"/>
          <w:noProof/>
        </w:rPr>
        <w:footnoteReference w:id="22"/>
      </w:r>
      <w:r w:rsidRPr="00266A9C">
        <w:rPr>
          <w:noProof/>
          <w:vertAlign w:val="superscript"/>
        </w:rPr>
        <w:t>)</w:t>
      </w:r>
      <w:r w:rsidRPr="00266A9C">
        <w:rPr>
          <w:noProof/>
        </w:rPr>
        <w:t>.</w:t>
      </w:r>
    </w:p>
    <w:p w14:paraId="6282BF25" w14:textId="3268E817" w:rsidR="00971E00" w:rsidRPr="00266A9C" w:rsidRDefault="00971E00" w:rsidP="00CB681C">
      <w:pPr>
        <w:keepNext/>
        <w:spacing w:after="120"/>
        <w:rPr>
          <w:noProof/>
        </w:rPr>
      </w:pPr>
      <w:r w:rsidRPr="00266A9C">
        <w:rPr>
          <w:noProof/>
        </w:rPr>
        <w:t>Deși rezistența la rulare, aderența pe teren umed și zgomotul sunt parametri care se influențează reciproc în sens invers, este posibilă îmbunătățirea simultană a tuturor celor trei parametri. În 2025, mai mulți producători au oferit pneuri din clasa A pentru toți cei trei parametri.</w:t>
      </w:r>
    </w:p>
    <w:tbl>
      <w:tblPr>
        <w:tblStyle w:val="TableGrid"/>
        <w:tblW w:w="8641" w:type="dxa"/>
        <w:tblLook w:val="04A0" w:firstRow="1" w:lastRow="0" w:firstColumn="1" w:lastColumn="0" w:noHBand="0" w:noVBand="1"/>
      </w:tblPr>
      <w:tblGrid>
        <w:gridCol w:w="759"/>
        <w:gridCol w:w="1161"/>
        <w:gridCol w:w="842"/>
        <w:gridCol w:w="1039"/>
        <w:gridCol w:w="1039"/>
        <w:gridCol w:w="1039"/>
        <w:gridCol w:w="842"/>
        <w:gridCol w:w="960"/>
        <w:gridCol w:w="960"/>
      </w:tblGrid>
      <w:tr w:rsidR="00971E00" w:rsidRPr="00266A9C" w14:paraId="391153A5" w14:textId="77777777">
        <w:trPr>
          <w:trHeight w:val="290"/>
        </w:trPr>
        <w:tc>
          <w:tcPr>
            <w:tcW w:w="8641" w:type="dxa"/>
            <w:gridSpan w:val="9"/>
            <w:tcBorders>
              <w:bottom w:val="nil"/>
            </w:tcBorders>
            <w:shd w:val="clear" w:color="000000" w:fill="F2F2F2"/>
            <w:noWrap/>
            <w:vAlign w:val="bottom"/>
          </w:tcPr>
          <w:p w14:paraId="4CEBCD9A" w14:textId="1A7BD249" w:rsidR="00971E00" w:rsidRPr="00266A9C" w:rsidRDefault="00971E00">
            <w:pPr>
              <w:widowControl w:val="0"/>
              <w:rPr>
                <w:rFonts w:ascii="Calibri" w:hAnsi="Calibri" w:cs="Arial"/>
                <w:noProof/>
                <w:color w:val="000000"/>
                <w:kern w:val="24"/>
                <w:sz w:val="20"/>
              </w:rPr>
            </w:pPr>
            <w:r w:rsidRPr="00266A9C">
              <w:rPr>
                <w:rFonts w:ascii="Calibri" w:hAnsi="Calibri"/>
                <w:noProof/>
                <w:color w:val="000000"/>
                <w:sz w:val="20"/>
              </w:rPr>
              <w:t xml:space="preserve">Ponderea noilor modele: </w:t>
            </w:r>
            <w:r w:rsidR="0038701C">
              <w:rPr>
                <w:noProof/>
              </w:rPr>
            </w:r>
            <w:r w:rsidR="0038701C">
              <w:rPr>
                <w:noProof/>
              </w:rPr>
              <w:pict w14:anchorId="739FD617">
                <v:rect id="Rectangle 1" o:spid="_x0000_s2054" style="width:21.4pt;height:11.45pt;flip:y;visibility:visible;mso-left-percent:-10001;mso-top-percent:-10001;mso-position-horizontal:absolute;mso-position-horizontal-relative:char;mso-position-vertical:absolute;mso-position-vertical-relative:line;mso-left-percent:-10001;mso-top-percent:-10001;v-text-anchor:middle" fillcolor="#d9d9d9" stroked="f" strokeweight="1pt">
                  <w10:wrap type="none"/>
                  <w10:anchorlock/>
                </v:rect>
              </w:pict>
            </w:r>
            <w:r w:rsidRPr="00266A9C">
              <w:rPr>
                <w:rFonts w:ascii="Calibri" w:hAnsi="Calibri"/>
                <w:noProof/>
                <w:color w:val="000000"/>
                <w:sz w:val="20"/>
              </w:rPr>
              <w:t xml:space="preserve"> 5 - 10 % </w:t>
            </w:r>
            <w:r w:rsidR="0038701C">
              <w:rPr>
                <w:noProof/>
              </w:rPr>
            </w:r>
            <w:r w:rsidR="0038701C">
              <w:rPr>
                <w:noProof/>
              </w:rPr>
              <w:pict w14:anchorId="51DB6E6C">
                <v:rect id="Rectangle 2" o:spid="_x0000_s2053" style="width:21.4pt;height:11.45pt;flip:y;visibility:visible;mso-left-percent:-10001;mso-top-percent:-10001;mso-position-horizontal:absolute;mso-position-horizontal-relative:char;mso-position-vertical:absolute;mso-position-vertical-relative:line;mso-left-percent:-10001;mso-top-percent:-10001;v-text-anchor:middle" fillcolor="#7f7f7f" stroked="f" strokeweight="1pt">
                  <w10:wrap type="none"/>
                  <w10:anchorlock/>
                </v:rect>
              </w:pict>
            </w:r>
            <w:r w:rsidRPr="00266A9C">
              <w:rPr>
                <w:rFonts w:ascii="Calibri" w:hAnsi="Calibri"/>
                <w:noProof/>
                <w:color w:val="000000"/>
                <w:sz w:val="20"/>
              </w:rPr>
              <w:t xml:space="preserve"> &gt; 10 %</w:t>
            </w:r>
          </w:p>
          <w:p w14:paraId="0D3B5AA6" w14:textId="77777777" w:rsidR="00971E00" w:rsidRPr="00266A9C" w:rsidRDefault="00971E00">
            <w:pPr>
              <w:widowControl w:val="0"/>
              <w:rPr>
                <w:rFonts w:ascii="Aptos Narrow" w:hAnsi="Aptos Narrow"/>
                <w:noProof/>
                <w:color w:val="000000"/>
                <w:sz w:val="22"/>
                <w:szCs w:val="22"/>
              </w:rPr>
            </w:pPr>
          </w:p>
        </w:tc>
      </w:tr>
      <w:tr w:rsidR="00971E00" w:rsidRPr="00266A9C" w14:paraId="696EC8DA" w14:textId="77777777">
        <w:trPr>
          <w:trHeight w:val="290"/>
        </w:trPr>
        <w:tc>
          <w:tcPr>
            <w:tcW w:w="1920" w:type="dxa"/>
            <w:gridSpan w:val="2"/>
            <w:tcBorders>
              <w:top w:val="single" w:sz="4" w:space="0" w:color="auto"/>
              <w:left w:val="single" w:sz="4" w:space="0" w:color="auto"/>
              <w:bottom w:val="nil"/>
              <w:right w:val="nil"/>
            </w:tcBorders>
            <w:shd w:val="clear" w:color="000000" w:fill="F2F2F2"/>
            <w:noWrap/>
            <w:vAlign w:val="bottom"/>
          </w:tcPr>
          <w:p w14:paraId="68C2A367"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C1</w:t>
            </w:r>
          </w:p>
        </w:tc>
        <w:tc>
          <w:tcPr>
            <w:tcW w:w="4801" w:type="dxa"/>
            <w:gridSpan w:val="5"/>
            <w:tcBorders>
              <w:top w:val="single" w:sz="4" w:space="0" w:color="auto"/>
              <w:left w:val="nil"/>
              <w:bottom w:val="nil"/>
              <w:right w:val="nil"/>
            </w:tcBorders>
            <w:noWrap/>
            <w:vAlign w:val="bottom"/>
          </w:tcPr>
          <w:p w14:paraId="0E0384AE"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Rezistența la rulare</w:t>
            </w:r>
          </w:p>
        </w:tc>
        <w:tc>
          <w:tcPr>
            <w:tcW w:w="960" w:type="dxa"/>
            <w:tcBorders>
              <w:top w:val="single" w:sz="4" w:space="0" w:color="auto"/>
              <w:left w:val="single" w:sz="4" w:space="0" w:color="auto"/>
              <w:bottom w:val="nil"/>
              <w:right w:val="single" w:sz="4" w:space="0" w:color="auto"/>
            </w:tcBorders>
            <w:noWrap/>
            <w:vAlign w:val="bottom"/>
          </w:tcPr>
          <w:p w14:paraId="3805CE05" w14:textId="1B3EF065" w:rsidR="00971E00" w:rsidRPr="00266A9C" w:rsidRDefault="00971E00">
            <w:pPr>
              <w:widowControl w:val="0"/>
              <w:rPr>
                <w:rFonts w:ascii="Aptos Narrow" w:hAnsi="Aptos Narrow"/>
                <w:noProof/>
                <w:color w:val="000000"/>
                <w:sz w:val="22"/>
                <w:szCs w:val="22"/>
              </w:rPr>
            </w:pPr>
          </w:p>
        </w:tc>
        <w:tc>
          <w:tcPr>
            <w:tcW w:w="960" w:type="dxa"/>
            <w:tcBorders>
              <w:top w:val="single" w:sz="4" w:space="0" w:color="auto"/>
              <w:left w:val="single" w:sz="4" w:space="0" w:color="auto"/>
              <w:bottom w:val="nil"/>
              <w:right w:val="single" w:sz="4" w:space="0" w:color="auto"/>
            </w:tcBorders>
          </w:tcPr>
          <w:p w14:paraId="51BD623E" w14:textId="77777777" w:rsidR="00971E00" w:rsidRPr="00266A9C" w:rsidRDefault="00971E00">
            <w:pPr>
              <w:widowControl w:val="0"/>
              <w:rPr>
                <w:rFonts w:ascii="Aptos Narrow" w:hAnsi="Aptos Narrow"/>
                <w:noProof/>
                <w:color w:val="000000"/>
                <w:sz w:val="22"/>
                <w:szCs w:val="22"/>
              </w:rPr>
            </w:pPr>
          </w:p>
        </w:tc>
      </w:tr>
      <w:tr w:rsidR="00971E00" w:rsidRPr="00266A9C" w14:paraId="747495D2" w14:textId="77777777">
        <w:trPr>
          <w:trHeight w:val="290"/>
        </w:trPr>
        <w:tc>
          <w:tcPr>
            <w:tcW w:w="759" w:type="dxa"/>
            <w:tcBorders>
              <w:top w:val="nil"/>
              <w:left w:val="single" w:sz="4" w:space="0" w:color="auto"/>
              <w:bottom w:val="nil"/>
              <w:right w:val="nil"/>
            </w:tcBorders>
            <w:shd w:val="clear" w:color="000000" w:fill="F2F2F2"/>
            <w:noWrap/>
            <w:vAlign w:val="bottom"/>
          </w:tcPr>
          <w:p w14:paraId="5A1C355A" w14:textId="58991D2B" w:rsidR="00971E00" w:rsidRPr="00266A9C"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2F2F2"/>
            <w:noWrap/>
            <w:vAlign w:val="bottom"/>
          </w:tcPr>
          <w:p w14:paraId="07379597"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2015</w:t>
            </w:r>
          </w:p>
        </w:tc>
        <w:tc>
          <w:tcPr>
            <w:tcW w:w="842" w:type="dxa"/>
            <w:tcBorders>
              <w:top w:val="nil"/>
              <w:left w:val="nil"/>
              <w:bottom w:val="nil"/>
              <w:right w:val="nil"/>
            </w:tcBorders>
            <w:shd w:val="clear" w:color="000000" w:fill="00B050"/>
            <w:noWrap/>
            <w:vAlign w:val="bottom"/>
          </w:tcPr>
          <w:p w14:paraId="7A7277CD"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A</w:t>
            </w:r>
          </w:p>
        </w:tc>
        <w:tc>
          <w:tcPr>
            <w:tcW w:w="1039" w:type="dxa"/>
            <w:tcBorders>
              <w:top w:val="nil"/>
              <w:left w:val="nil"/>
              <w:bottom w:val="nil"/>
              <w:right w:val="nil"/>
            </w:tcBorders>
            <w:shd w:val="clear" w:color="000000" w:fill="92D050"/>
            <w:noWrap/>
            <w:vAlign w:val="bottom"/>
          </w:tcPr>
          <w:p w14:paraId="146AEB49"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B</w:t>
            </w:r>
          </w:p>
        </w:tc>
        <w:tc>
          <w:tcPr>
            <w:tcW w:w="1039" w:type="dxa"/>
            <w:tcBorders>
              <w:top w:val="nil"/>
              <w:left w:val="nil"/>
              <w:bottom w:val="nil"/>
              <w:right w:val="nil"/>
            </w:tcBorders>
            <w:shd w:val="clear" w:color="000000" w:fill="FFFF00"/>
            <w:noWrap/>
            <w:vAlign w:val="bottom"/>
          </w:tcPr>
          <w:p w14:paraId="64D11414"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C</w:t>
            </w:r>
          </w:p>
        </w:tc>
        <w:tc>
          <w:tcPr>
            <w:tcW w:w="1039" w:type="dxa"/>
            <w:tcBorders>
              <w:top w:val="nil"/>
              <w:left w:val="nil"/>
              <w:bottom w:val="nil"/>
              <w:right w:val="nil"/>
            </w:tcBorders>
            <w:shd w:val="clear" w:color="000000" w:fill="F1A983"/>
            <w:noWrap/>
            <w:vAlign w:val="bottom"/>
          </w:tcPr>
          <w:p w14:paraId="43FC24D3"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D</w:t>
            </w:r>
          </w:p>
        </w:tc>
        <w:tc>
          <w:tcPr>
            <w:tcW w:w="842" w:type="dxa"/>
            <w:tcBorders>
              <w:top w:val="nil"/>
              <w:left w:val="nil"/>
              <w:bottom w:val="nil"/>
              <w:right w:val="nil"/>
            </w:tcBorders>
            <w:shd w:val="clear" w:color="000000" w:fill="FF0000"/>
            <w:noWrap/>
            <w:vAlign w:val="bottom"/>
          </w:tcPr>
          <w:p w14:paraId="3B1D7929"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E</w:t>
            </w:r>
          </w:p>
        </w:tc>
        <w:tc>
          <w:tcPr>
            <w:tcW w:w="960" w:type="dxa"/>
            <w:tcBorders>
              <w:top w:val="nil"/>
              <w:left w:val="single" w:sz="4" w:space="0" w:color="auto"/>
              <w:bottom w:val="nil"/>
              <w:right w:val="single" w:sz="4" w:space="0" w:color="auto"/>
            </w:tcBorders>
            <w:noWrap/>
            <w:vAlign w:val="bottom"/>
          </w:tcPr>
          <w:p w14:paraId="74BDF0CF" w14:textId="0500E998" w:rsidR="00971E00" w:rsidRPr="00266A9C" w:rsidRDefault="00971E00">
            <w:pPr>
              <w:widowControl w:val="0"/>
              <w:rPr>
                <w:rFonts w:ascii="Aptos Narrow" w:hAnsi="Aptos Narrow"/>
                <w:noProof/>
                <w:color w:val="000000"/>
                <w:sz w:val="22"/>
                <w:szCs w:val="22"/>
              </w:rPr>
            </w:pPr>
          </w:p>
        </w:tc>
        <w:tc>
          <w:tcPr>
            <w:tcW w:w="960" w:type="dxa"/>
            <w:tcBorders>
              <w:top w:val="nil"/>
              <w:left w:val="single" w:sz="4" w:space="0" w:color="auto"/>
              <w:bottom w:val="nil"/>
              <w:right w:val="single" w:sz="4" w:space="0" w:color="auto"/>
            </w:tcBorders>
          </w:tcPr>
          <w:p w14:paraId="35CC2A03" w14:textId="77777777" w:rsidR="00971E00" w:rsidRPr="00266A9C" w:rsidRDefault="00971E00">
            <w:pPr>
              <w:widowControl w:val="0"/>
              <w:rPr>
                <w:rFonts w:ascii="Aptos Narrow" w:hAnsi="Aptos Narrow"/>
                <w:noProof/>
                <w:color w:val="000000"/>
                <w:sz w:val="22"/>
                <w:szCs w:val="22"/>
              </w:rPr>
            </w:pPr>
          </w:p>
        </w:tc>
      </w:tr>
      <w:tr w:rsidR="00971E00" w:rsidRPr="00266A9C" w14:paraId="672B5044" w14:textId="77777777">
        <w:trPr>
          <w:trHeight w:val="290"/>
        </w:trPr>
        <w:tc>
          <w:tcPr>
            <w:tcW w:w="759" w:type="dxa"/>
            <w:vMerge w:val="restart"/>
            <w:tcBorders>
              <w:top w:val="nil"/>
              <w:left w:val="single" w:sz="4" w:space="0" w:color="auto"/>
              <w:bottom w:val="nil"/>
              <w:right w:val="nil"/>
            </w:tcBorders>
            <w:noWrap/>
            <w:textDirection w:val="btLr"/>
            <w:vAlign w:val="center"/>
          </w:tcPr>
          <w:p w14:paraId="37A4863C"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Aderența pe teren umed</w:t>
            </w:r>
          </w:p>
        </w:tc>
        <w:tc>
          <w:tcPr>
            <w:tcW w:w="1161" w:type="dxa"/>
            <w:tcBorders>
              <w:top w:val="nil"/>
              <w:left w:val="nil"/>
              <w:bottom w:val="nil"/>
              <w:right w:val="nil"/>
            </w:tcBorders>
            <w:shd w:val="clear" w:color="000000" w:fill="4F81BD"/>
            <w:noWrap/>
            <w:vAlign w:val="bottom"/>
          </w:tcPr>
          <w:p w14:paraId="3DBE89D5"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A</w:t>
            </w:r>
          </w:p>
        </w:tc>
        <w:tc>
          <w:tcPr>
            <w:tcW w:w="842" w:type="dxa"/>
            <w:tcBorders>
              <w:top w:val="nil"/>
              <w:left w:val="nil"/>
              <w:bottom w:val="nil"/>
              <w:right w:val="nil"/>
            </w:tcBorders>
            <w:noWrap/>
            <w:vAlign w:val="bottom"/>
          </w:tcPr>
          <w:p w14:paraId="51BA88A5"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0,0 %</w:t>
            </w:r>
          </w:p>
        </w:tc>
        <w:tc>
          <w:tcPr>
            <w:tcW w:w="1039" w:type="dxa"/>
            <w:tcBorders>
              <w:top w:val="nil"/>
              <w:left w:val="nil"/>
              <w:bottom w:val="nil"/>
              <w:right w:val="nil"/>
            </w:tcBorders>
            <w:noWrap/>
            <w:vAlign w:val="bottom"/>
          </w:tcPr>
          <w:p w14:paraId="7C18FABA"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0,5 %</w:t>
            </w:r>
          </w:p>
        </w:tc>
        <w:tc>
          <w:tcPr>
            <w:tcW w:w="1039" w:type="dxa"/>
            <w:tcBorders>
              <w:top w:val="nil"/>
              <w:left w:val="nil"/>
              <w:bottom w:val="nil"/>
              <w:right w:val="nil"/>
            </w:tcBorders>
            <w:noWrap/>
            <w:vAlign w:val="bottom"/>
          </w:tcPr>
          <w:p w14:paraId="6557BB23"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2,0 %</w:t>
            </w:r>
          </w:p>
        </w:tc>
        <w:tc>
          <w:tcPr>
            <w:tcW w:w="1039" w:type="dxa"/>
            <w:tcBorders>
              <w:top w:val="nil"/>
              <w:left w:val="nil"/>
              <w:bottom w:val="nil"/>
              <w:right w:val="nil"/>
            </w:tcBorders>
            <w:noWrap/>
            <w:vAlign w:val="bottom"/>
          </w:tcPr>
          <w:p w14:paraId="71B31A6F"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2,3 %</w:t>
            </w:r>
          </w:p>
        </w:tc>
        <w:tc>
          <w:tcPr>
            <w:tcW w:w="842" w:type="dxa"/>
            <w:tcBorders>
              <w:top w:val="nil"/>
              <w:left w:val="nil"/>
              <w:bottom w:val="nil"/>
              <w:right w:val="nil"/>
            </w:tcBorders>
            <w:noWrap/>
            <w:vAlign w:val="bottom"/>
          </w:tcPr>
          <w:p w14:paraId="7F0A03AA"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0,0 %</w:t>
            </w:r>
          </w:p>
        </w:tc>
        <w:tc>
          <w:tcPr>
            <w:tcW w:w="960" w:type="dxa"/>
            <w:tcBorders>
              <w:top w:val="nil"/>
              <w:left w:val="single" w:sz="4" w:space="0" w:color="auto"/>
              <w:bottom w:val="nil"/>
              <w:right w:val="single" w:sz="4" w:space="0" w:color="auto"/>
            </w:tcBorders>
            <w:noWrap/>
            <w:vAlign w:val="bottom"/>
          </w:tcPr>
          <w:p w14:paraId="3E3B8DF7"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4,8 %</w:t>
            </w:r>
          </w:p>
        </w:tc>
        <w:tc>
          <w:tcPr>
            <w:tcW w:w="960" w:type="dxa"/>
            <w:tcBorders>
              <w:top w:val="nil"/>
              <w:left w:val="single" w:sz="4" w:space="0" w:color="auto"/>
              <w:bottom w:val="nil"/>
              <w:right w:val="single" w:sz="4" w:space="0" w:color="auto"/>
            </w:tcBorders>
          </w:tcPr>
          <w:p w14:paraId="0DC2044A"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22CCF227" w14:textId="77777777">
        <w:trPr>
          <w:trHeight w:val="290"/>
        </w:trPr>
        <w:tc>
          <w:tcPr>
            <w:tcW w:w="759" w:type="dxa"/>
            <w:vMerge/>
            <w:tcBorders>
              <w:top w:val="nil"/>
              <w:left w:val="single" w:sz="4" w:space="0" w:color="auto"/>
              <w:bottom w:val="nil"/>
              <w:right w:val="nil"/>
            </w:tcBorders>
            <w:vAlign w:val="center"/>
          </w:tcPr>
          <w:p w14:paraId="03B32230" w14:textId="77777777" w:rsidR="00971E00" w:rsidRPr="00266A9C"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D93D9"/>
            <w:noWrap/>
            <w:vAlign w:val="bottom"/>
          </w:tcPr>
          <w:p w14:paraId="0A334AFB"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B</w:t>
            </w:r>
          </w:p>
        </w:tc>
        <w:tc>
          <w:tcPr>
            <w:tcW w:w="842" w:type="dxa"/>
            <w:tcBorders>
              <w:top w:val="nil"/>
              <w:left w:val="nil"/>
              <w:bottom w:val="nil"/>
              <w:right w:val="nil"/>
            </w:tcBorders>
            <w:noWrap/>
            <w:vAlign w:val="bottom"/>
          </w:tcPr>
          <w:p w14:paraId="6CD033DB"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0,0 %</w:t>
            </w:r>
          </w:p>
        </w:tc>
        <w:tc>
          <w:tcPr>
            <w:tcW w:w="1039" w:type="dxa"/>
            <w:tcBorders>
              <w:top w:val="nil"/>
              <w:left w:val="nil"/>
              <w:bottom w:val="nil"/>
              <w:right w:val="nil"/>
            </w:tcBorders>
            <w:noWrap/>
            <w:vAlign w:val="bottom"/>
          </w:tcPr>
          <w:p w14:paraId="0A624D00"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1,9 %</w:t>
            </w:r>
          </w:p>
        </w:tc>
        <w:tc>
          <w:tcPr>
            <w:tcW w:w="1039" w:type="dxa"/>
            <w:tcBorders>
              <w:top w:val="nil"/>
              <w:left w:val="nil"/>
              <w:bottom w:val="nil"/>
              <w:right w:val="nil"/>
            </w:tcBorders>
            <w:shd w:val="clear" w:color="000000" w:fill="A6A6A6"/>
            <w:noWrap/>
            <w:vAlign w:val="bottom"/>
          </w:tcPr>
          <w:p w14:paraId="7830B6F6"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19,8 %</w:t>
            </w:r>
          </w:p>
        </w:tc>
        <w:tc>
          <w:tcPr>
            <w:tcW w:w="1039" w:type="dxa"/>
            <w:tcBorders>
              <w:top w:val="nil"/>
              <w:left w:val="nil"/>
              <w:bottom w:val="nil"/>
              <w:right w:val="nil"/>
            </w:tcBorders>
            <w:shd w:val="clear" w:color="000000" w:fill="A6A6A6"/>
            <w:noWrap/>
            <w:vAlign w:val="bottom"/>
          </w:tcPr>
          <w:p w14:paraId="7FE803E2"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11,6 %</w:t>
            </w:r>
          </w:p>
        </w:tc>
        <w:tc>
          <w:tcPr>
            <w:tcW w:w="842" w:type="dxa"/>
            <w:tcBorders>
              <w:top w:val="nil"/>
              <w:left w:val="nil"/>
              <w:bottom w:val="nil"/>
              <w:right w:val="nil"/>
            </w:tcBorders>
            <w:noWrap/>
            <w:vAlign w:val="bottom"/>
          </w:tcPr>
          <w:p w14:paraId="02E9F382"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0,7 %</w:t>
            </w:r>
          </w:p>
        </w:tc>
        <w:tc>
          <w:tcPr>
            <w:tcW w:w="960" w:type="dxa"/>
            <w:tcBorders>
              <w:top w:val="nil"/>
              <w:left w:val="single" w:sz="4" w:space="0" w:color="auto"/>
              <w:bottom w:val="nil"/>
              <w:right w:val="single" w:sz="4" w:space="0" w:color="auto"/>
            </w:tcBorders>
            <w:noWrap/>
            <w:vAlign w:val="bottom"/>
          </w:tcPr>
          <w:p w14:paraId="642F862F"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34,0 %</w:t>
            </w:r>
          </w:p>
        </w:tc>
        <w:tc>
          <w:tcPr>
            <w:tcW w:w="960" w:type="dxa"/>
            <w:tcBorders>
              <w:top w:val="nil"/>
              <w:left w:val="single" w:sz="4" w:space="0" w:color="auto"/>
              <w:bottom w:val="nil"/>
              <w:right w:val="single" w:sz="4" w:space="0" w:color="auto"/>
            </w:tcBorders>
          </w:tcPr>
          <w:p w14:paraId="0E3BAF9E"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1593F2A6" w14:textId="77777777">
        <w:trPr>
          <w:trHeight w:val="290"/>
        </w:trPr>
        <w:tc>
          <w:tcPr>
            <w:tcW w:w="759" w:type="dxa"/>
            <w:vMerge/>
            <w:tcBorders>
              <w:top w:val="nil"/>
              <w:left w:val="single" w:sz="4" w:space="0" w:color="auto"/>
              <w:bottom w:val="nil"/>
              <w:right w:val="nil"/>
            </w:tcBorders>
            <w:vAlign w:val="center"/>
          </w:tcPr>
          <w:p w14:paraId="2B728D06" w14:textId="77777777" w:rsidR="00971E00" w:rsidRPr="00266A9C"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4B3E1"/>
            <w:noWrap/>
            <w:vAlign w:val="bottom"/>
          </w:tcPr>
          <w:p w14:paraId="6498E443"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C</w:t>
            </w:r>
          </w:p>
        </w:tc>
        <w:tc>
          <w:tcPr>
            <w:tcW w:w="842" w:type="dxa"/>
            <w:tcBorders>
              <w:top w:val="nil"/>
              <w:left w:val="nil"/>
              <w:bottom w:val="nil"/>
              <w:right w:val="nil"/>
            </w:tcBorders>
            <w:noWrap/>
            <w:vAlign w:val="bottom"/>
          </w:tcPr>
          <w:p w14:paraId="5879CA4F"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0,0 %</w:t>
            </w:r>
          </w:p>
        </w:tc>
        <w:tc>
          <w:tcPr>
            <w:tcW w:w="1039" w:type="dxa"/>
            <w:tcBorders>
              <w:top w:val="nil"/>
              <w:left w:val="nil"/>
              <w:bottom w:val="nil"/>
              <w:right w:val="nil"/>
            </w:tcBorders>
            <w:noWrap/>
            <w:vAlign w:val="bottom"/>
          </w:tcPr>
          <w:p w14:paraId="53532F16"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0,5 %</w:t>
            </w:r>
          </w:p>
        </w:tc>
        <w:tc>
          <w:tcPr>
            <w:tcW w:w="1039" w:type="dxa"/>
            <w:tcBorders>
              <w:top w:val="nil"/>
              <w:left w:val="nil"/>
              <w:bottom w:val="nil"/>
              <w:right w:val="nil"/>
            </w:tcBorders>
            <w:shd w:val="clear" w:color="000000" w:fill="A6A6A6"/>
            <w:noWrap/>
            <w:vAlign w:val="bottom"/>
          </w:tcPr>
          <w:p w14:paraId="39423888"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21,0 %</w:t>
            </w:r>
          </w:p>
        </w:tc>
        <w:tc>
          <w:tcPr>
            <w:tcW w:w="1039" w:type="dxa"/>
            <w:tcBorders>
              <w:top w:val="nil"/>
              <w:left w:val="nil"/>
              <w:bottom w:val="nil"/>
              <w:right w:val="nil"/>
            </w:tcBorders>
            <w:shd w:val="clear" w:color="000000" w:fill="A6A6A6"/>
            <w:noWrap/>
            <w:vAlign w:val="bottom"/>
          </w:tcPr>
          <w:p w14:paraId="3C7F9592"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22,5 %</w:t>
            </w:r>
          </w:p>
        </w:tc>
        <w:tc>
          <w:tcPr>
            <w:tcW w:w="842" w:type="dxa"/>
            <w:tcBorders>
              <w:top w:val="nil"/>
              <w:left w:val="nil"/>
              <w:bottom w:val="nil"/>
              <w:right w:val="nil"/>
            </w:tcBorders>
            <w:noWrap/>
            <w:vAlign w:val="bottom"/>
          </w:tcPr>
          <w:p w14:paraId="0599C58E"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2,5 %</w:t>
            </w:r>
          </w:p>
        </w:tc>
        <w:tc>
          <w:tcPr>
            <w:tcW w:w="960" w:type="dxa"/>
            <w:tcBorders>
              <w:top w:val="nil"/>
              <w:left w:val="single" w:sz="4" w:space="0" w:color="auto"/>
              <w:bottom w:val="nil"/>
              <w:right w:val="single" w:sz="4" w:space="0" w:color="auto"/>
            </w:tcBorders>
            <w:noWrap/>
            <w:vAlign w:val="bottom"/>
          </w:tcPr>
          <w:p w14:paraId="773C7EF2"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46,6 %</w:t>
            </w:r>
          </w:p>
        </w:tc>
        <w:tc>
          <w:tcPr>
            <w:tcW w:w="960" w:type="dxa"/>
            <w:tcBorders>
              <w:top w:val="nil"/>
              <w:left w:val="single" w:sz="4" w:space="0" w:color="auto"/>
              <w:bottom w:val="nil"/>
              <w:right w:val="single" w:sz="4" w:space="0" w:color="auto"/>
            </w:tcBorders>
          </w:tcPr>
          <w:p w14:paraId="66DF0A1D"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5591A97D" w14:textId="77777777">
        <w:trPr>
          <w:trHeight w:val="290"/>
        </w:trPr>
        <w:tc>
          <w:tcPr>
            <w:tcW w:w="759" w:type="dxa"/>
            <w:vMerge/>
            <w:tcBorders>
              <w:top w:val="nil"/>
              <w:left w:val="single" w:sz="4" w:space="0" w:color="auto"/>
              <w:bottom w:val="nil"/>
              <w:right w:val="nil"/>
            </w:tcBorders>
            <w:vAlign w:val="center"/>
          </w:tcPr>
          <w:p w14:paraId="67D0844C" w14:textId="77777777" w:rsidR="00971E00" w:rsidRPr="00266A9C"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83CCEB"/>
            <w:noWrap/>
            <w:vAlign w:val="bottom"/>
          </w:tcPr>
          <w:p w14:paraId="45704814"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D</w:t>
            </w:r>
          </w:p>
        </w:tc>
        <w:tc>
          <w:tcPr>
            <w:tcW w:w="842" w:type="dxa"/>
            <w:tcBorders>
              <w:top w:val="nil"/>
              <w:left w:val="nil"/>
              <w:bottom w:val="nil"/>
              <w:right w:val="nil"/>
            </w:tcBorders>
            <w:noWrap/>
            <w:vAlign w:val="bottom"/>
          </w:tcPr>
          <w:p w14:paraId="7F89F364"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0,0 %</w:t>
            </w:r>
          </w:p>
        </w:tc>
        <w:tc>
          <w:tcPr>
            <w:tcW w:w="1039" w:type="dxa"/>
            <w:tcBorders>
              <w:top w:val="nil"/>
              <w:left w:val="nil"/>
              <w:bottom w:val="nil"/>
              <w:right w:val="nil"/>
            </w:tcBorders>
            <w:noWrap/>
            <w:vAlign w:val="bottom"/>
          </w:tcPr>
          <w:p w14:paraId="6A4B3225"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0,1 %</w:t>
            </w:r>
          </w:p>
        </w:tc>
        <w:tc>
          <w:tcPr>
            <w:tcW w:w="1039" w:type="dxa"/>
            <w:tcBorders>
              <w:top w:val="nil"/>
              <w:left w:val="nil"/>
              <w:bottom w:val="nil"/>
              <w:right w:val="nil"/>
            </w:tcBorders>
            <w:noWrap/>
            <w:vAlign w:val="bottom"/>
          </w:tcPr>
          <w:p w14:paraId="61CFA828"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2,6 %</w:t>
            </w:r>
          </w:p>
        </w:tc>
        <w:tc>
          <w:tcPr>
            <w:tcW w:w="1039" w:type="dxa"/>
            <w:tcBorders>
              <w:top w:val="nil"/>
              <w:left w:val="nil"/>
              <w:bottom w:val="nil"/>
              <w:right w:val="nil"/>
            </w:tcBorders>
            <w:shd w:val="clear" w:color="000000" w:fill="D9D9D9"/>
            <w:noWrap/>
            <w:vAlign w:val="bottom"/>
          </w:tcPr>
          <w:p w14:paraId="7672E3E4"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9,6 %</w:t>
            </w:r>
          </w:p>
        </w:tc>
        <w:tc>
          <w:tcPr>
            <w:tcW w:w="842" w:type="dxa"/>
            <w:tcBorders>
              <w:top w:val="nil"/>
              <w:left w:val="nil"/>
              <w:bottom w:val="nil"/>
              <w:right w:val="nil"/>
            </w:tcBorders>
            <w:noWrap/>
            <w:vAlign w:val="bottom"/>
          </w:tcPr>
          <w:p w14:paraId="309D881B"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0,7 %</w:t>
            </w:r>
          </w:p>
        </w:tc>
        <w:tc>
          <w:tcPr>
            <w:tcW w:w="960" w:type="dxa"/>
            <w:tcBorders>
              <w:top w:val="nil"/>
              <w:left w:val="single" w:sz="4" w:space="0" w:color="auto"/>
              <w:bottom w:val="nil"/>
              <w:right w:val="single" w:sz="4" w:space="0" w:color="auto"/>
            </w:tcBorders>
            <w:noWrap/>
            <w:vAlign w:val="bottom"/>
          </w:tcPr>
          <w:p w14:paraId="267B4B67"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12,9 %</w:t>
            </w:r>
          </w:p>
        </w:tc>
        <w:tc>
          <w:tcPr>
            <w:tcW w:w="960" w:type="dxa"/>
            <w:tcBorders>
              <w:top w:val="nil"/>
              <w:left w:val="single" w:sz="4" w:space="0" w:color="auto"/>
              <w:bottom w:val="nil"/>
              <w:right w:val="single" w:sz="4" w:space="0" w:color="auto"/>
            </w:tcBorders>
          </w:tcPr>
          <w:p w14:paraId="63086EDB"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42321F3E" w14:textId="77777777">
        <w:trPr>
          <w:trHeight w:val="290"/>
        </w:trPr>
        <w:tc>
          <w:tcPr>
            <w:tcW w:w="759" w:type="dxa"/>
            <w:vMerge/>
            <w:tcBorders>
              <w:top w:val="nil"/>
              <w:left w:val="single" w:sz="4" w:space="0" w:color="auto"/>
              <w:bottom w:val="nil"/>
              <w:right w:val="nil"/>
            </w:tcBorders>
            <w:vAlign w:val="center"/>
          </w:tcPr>
          <w:p w14:paraId="502009C2" w14:textId="77777777" w:rsidR="00971E00" w:rsidRPr="00266A9C"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CAEDFB"/>
            <w:noWrap/>
            <w:vAlign w:val="bottom"/>
          </w:tcPr>
          <w:p w14:paraId="78234026"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E</w:t>
            </w:r>
          </w:p>
        </w:tc>
        <w:tc>
          <w:tcPr>
            <w:tcW w:w="842" w:type="dxa"/>
            <w:tcBorders>
              <w:top w:val="nil"/>
              <w:left w:val="nil"/>
              <w:bottom w:val="nil"/>
              <w:right w:val="nil"/>
            </w:tcBorders>
            <w:noWrap/>
            <w:vAlign w:val="bottom"/>
          </w:tcPr>
          <w:p w14:paraId="7B60E87D"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0,0 %</w:t>
            </w:r>
          </w:p>
        </w:tc>
        <w:tc>
          <w:tcPr>
            <w:tcW w:w="1039" w:type="dxa"/>
            <w:tcBorders>
              <w:top w:val="nil"/>
              <w:left w:val="nil"/>
              <w:bottom w:val="nil"/>
              <w:right w:val="nil"/>
            </w:tcBorders>
            <w:noWrap/>
            <w:vAlign w:val="bottom"/>
          </w:tcPr>
          <w:p w14:paraId="4FC3F8D2"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0,0 %</w:t>
            </w:r>
          </w:p>
        </w:tc>
        <w:tc>
          <w:tcPr>
            <w:tcW w:w="1039" w:type="dxa"/>
            <w:tcBorders>
              <w:top w:val="nil"/>
              <w:left w:val="nil"/>
              <w:bottom w:val="nil"/>
              <w:right w:val="nil"/>
            </w:tcBorders>
            <w:noWrap/>
            <w:vAlign w:val="bottom"/>
          </w:tcPr>
          <w:p w14:paraId="2C2D8268"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0,2 %</w:t>
            </w:r>
          </w:p>
        </w:tc>
        <w:tc>
          <w:tcPr>
            <w:tcW w:w="1039" w:type="dxa"/>
            <w:tcBorders>
              <w:top w:val="nil"/>
              <w:left w:val="nil"/>
              <w:bottom w:val="nil"/>
              <w:right w:val="nil"/>
            </w:tcBorders>
            <w:noWrap/>
            <w:vAlign w:val="bottom"/>
          </w:tcPr>
          <w:p w14:paraId="68F09BC2"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0,8 %</w:t>
            </w:r>
          </w:p>
        </w:tc>
        <w:tc>
          <w:tcPr>
            <w:tcW w:w="842" w:type="dxa"/>
            <w:tcBorders>
              <w:top w:val="nil"/>
              <w:left w:val="nil"/>
              <w:bottom w:val="nil"/>
              <w:right w:val="nil"/>
            </w:tcBorders>
            <w:noWrap/>
            <w:vAlign w:val="bottom"/>
          </w:tcPr>
          <w:p w14:paraId="7194425B"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0,7 %</w:t>
            </w:r>
          </w:p>
        </w:tc>
        <w:tc>
          <w:tcPr>
            <w:tcW w:w="960" w:type="dxa"/>
            <w:tcBorders>
              <w:top w:val="nil"/>
              <w:left w:val="single" w:sz="4" w:space="0" w:color="auto"/>
              <w:bottom w:val="nil"/>
              <w:right w:val="single" w:sz="4" w:space="0" w:color="auto"/>
            </w:tcBorders>
            <w:noWrap/>
            <w:vAlign w:val="bottom"/>
          </w:tcPr>
          <w:p w14:paraId="5FC297F0"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1,7 %</w:t>
            </w:r>
          </w:p>
        </w:tc>
        <w:tc>
          <w:tcPr>
            <w:tcW w:w="960" w:type="dxa"/>
            <w:tcBorders>
              <w:top w:val="nil"/>
              <w:left w:val="single" w:sz="4" w:space="0" w:color="auto"/>
              <w:bottom w:val="nil"/>
              <w:right w:val="single" w:sz="4" w:space="0" w:color="auto"/>
            </w:tcBorders>
          </w:tcPr>
          <w:p w14:paraId="474BCE32"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01F79E0A" w14:textId="77777777">
        <w:trPr>
          <w:trHeight w:val="290"/>
        </w:trPr>
        <w:tc>
          <w:tcPr>
            <w:tcW w:w="759" w:type="dxa"/>
            <w:tcBorders>
              <w:top w:val="single" w:sz="4" w:space="0" w:color="auto"/>
              <w:left w:val="single" w:sz="4" w:space="0" w:color="auto"/>
              <w:bottom w:val="single" w:sz="4" w:space="0" w:color="auto"/>
              <w:right w:val="nil"/>
            </w:tcBorders>
            <w:noWrap/>
            <w:vAlign w:val="bottom"/>
          </w:tcPr>
          <w:p w14:paraId="17E56784" w14:textId="0F0E2013" w:rsidR="00971E00" w:rsidRPr="00266A9C" w:rsidRDefault="00971E00">
            <w:pPr>
              <w:widowControl w:val="0"/>
              <w:rPr>
                <w:rFonts w:ascii="Aptos Narrow" w:hAnsi="Aptos Narrow"/>
                <w:noProof/>
                <w:color w:val="000000"/>
                <w:sz w:val="22"/>
                <w:szCs w:val="22"/>
              </w:rPr>
            </w:pPr>
          </w:p>
        </w:tc>
        <w:tc>
          <w:tcPr>
            <w:tcW w:w="1161" w:type="dxa"/>
            <w:tcBorders>
              <w:top w:val="single" w:sz="4" w:space="0" w:color="auto"/>
              <w:left w:val="nil"/>
              <w:bottom w:val="single" w:sz="4" w:space="0" w:color="auto"/>
              <w:right w:val="nil"/>
            </w:tcBorders>
            <w:noWrap/>
            <w:vAlign w:val="bottom"/>
          </w:tcPr>
          <w:p w14:paraId="56C0EC33" w14:textId="2BF120B1" w:rsidR="00971E00" w:rsidRPr="00266A9C" w:rsidRDefault="00971E00">
            <w:pPr>
              <w:widowControl w:val="0"/>
              <w:rPr>
                <w:rFonts w:ascii="Aptos Narrow" w:hAnsi="Aptos Narrow"/>
                <w:noProof/>
                <w:color w:val="000000"/>
                <w:sz w:val="22"/>
                <w:szCs w:val="22"/>
              </w:rPr>
            </w:pPr>
          </w:p>
        </w:tc>
        <w:tc>
          <w:tcPr>
            <w:tcW w:w="842" w:type="dxa"/>
            <w:tcBorders>
              <w:top w:val="single" w:sz="4" w:space="0" w:color="auto"/>
              <w:left w:val="nil"/>
              <w:bottom w:val="single" w:sz="4" w:space="0" w:color="auto"/>
              <w:right w:val="nil"/>
            </w:tcBorders>
            <w:noWrap/>
            <w:vAlign w:val="bottom"/>
          </w:tcPr>
          <w:p w14:paraId="423231AD"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0,0 %</w:t>
            </w:r>
          </w:p>
        </w:tc>
        <w:tc>
          <w:tcPr>
            <w:tcW w:w="1039" w:type="dxa"/>
            <w:tcBorders>
              <w:top w:val="single" w:sz="4" w:space="0" w:color="auto"/>
              <w:left w:val="nil"/>
              <w:bottom w:val="single" w:sz="4" w:space="0" w:color="auto"/>
              <w:right w:val="nil"/>
            </w:tcBorders>
            <w:noWrap/>
            <w:vAlign w:val="bottom"/>
          </w:tcPr>
          <w:p w14:paraId="1AA888D3"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3,0 %</w:t>
            </w:r>
          </w:p>
        </w:tc>
        <w:tc>
          <w:tcPr>
            <w:tcW w:w="1039" w:type="dxa"/>
            <w:tcBorders>
              <w:top w:val="single" w:sz="4" w:space="0" w:color="auto"/>
              <w:left w:val="nil"/>
              <w:bottom w:val="single" w:sz="4" w:space="0" w:color="auto"/>
              <w:right w:val="nil"/>
            </w:tcBorders>
            <w:noWrap/>
            <w:vAlign w:val="bottom"/>
          </w:tcPr>
          <w:p w14:paraId="4E95CB5C"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45,7 %</w:t>
            </w:r>
          </w:p>
        </w:tc>
        <w:tc>
          <w:tcPr>
            <w:tcW w:w="1039" w:type="dxa"/>
            <w:tcBorders>
              <w:top w:val="single" w:sz="4" w:space="0" w:color="auto"/>
              <w:left w:val="nil"/>
              <w:bottom w:val="single" w:sz="4" w:space="0" w:color="auto"/>
              <w:right w:val="nil"/>
            </w:tcBorders>
            <w:noWrap/>
            <w:vAlign w:val="bottom"/>
          </w:tcPr>
          <w:p w14:paraId="63A777EA"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46,7 %</w:t>
            </w:r>
          </w:p>
        </w:tc>
        <w:tc>
          <w:tcPr>
            <w:tcW w:w="842" w:type="dxa"/>
            <w:tcBorders>
              <w:top w:val="single" w:sz="4" w:space="0" w:color="auto"/>
              <w:left w:val="nil"/>
              <w:bottom w:val="single" w:sz="4" w:space="0" w:color="auto"/>
              <w:right w:val="nil"/>
            </w:tcBorders>
            <w:noWrap/>
            <w:vAlign w:val="bottom"/>
          </w:tcPr>
          <w:p w14:paraId="2AB030A3"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4,6 %</w:t>
            </w:r>
          </w:p>
        </w:tc>
        <w:tc>
          <w:tcPr>
            <w:tcW w:w="960" w:type="dxa"/>
            <w:tcBorders>
              <w:top w:val="single" w:sz="4" w:space="0" w:color="auto"/>
              <w:left w:val="single" w:sz="4" w:space="0" w:color="auto"/>
              <w:bottom w:val="single" w:sz="4" w:space="0" w:color="auto"/>
              <w:right w:val="single" w:sz="4" w:space="0" w:color="auto"/>
            </w:tcBorders>
            <w:noWrap/>
            <w:vAlign w:val="bottom"/>
          </w:tcPr>
          <w:p w14:paraId="4446B4E2" w14:textId="5C7FEB15" w:rsidR="00971E00" w:rsidRPr="00266A9C" w:rsidRDefault="00971E00">
            <w:pPr>
              <w:widowControl w:val="0"/>
              <w:rPr>
                <w:rFonts w:ascii="Aptos Narrow" w:hAnsi="Aptos Narrow"/>
                <w:noProof/>
                <w:color w:val="000000"/>
                <w:sz w:val="22"/>
                <w:szCs w:val="22"/>
              </w:rPr>
            </w:pPr>
          </w:p>
        </w:tc>
        <w:tc>
          <w:tcPr>
            <w:tcW w:w="960" w:type="dxa"/>
            <w:tcBorders>
              <w:top w:val="single" w:sz="4" w:space="0" w:color="auto"/>
              <w:left w:val="single" w:sz="4" w:space="0" w:color="auto"/>
              <w:bottom w:val="single" w:sz="4" w:space="0" w:color="auto"/>
              <w:right w:val="single" w:sz="4" w:space="0" w:color="auto"/>
            </w:tcBorders>
          </w:tcPr>
          <w:p w14:paraId="67960982" w14:textId="77777777" w:rsidR="00971E00" w:rsidRPr="00266A9C" w:rsidRDefault="00971E00">
            <w:pPr>
              <w:widowControl w:val="0"/>
              <w:rPr>
                <w:rFonts w:ascii="Aptos Narrow" w:hAnsi="Aptos Narrow"/>
                <w:noProof/>
                <w:color w:val="000000"/>
                <w:sz w:val="22"/>
                <w:szCs w:val="22"/>
              </w:rPr>
            </w:pPr>
          </w:p>
        </w:tc>
      </w:tr>
      <w:tr w:rsidR="00971E00" w:rsidRPr="00266A9C" w14:paraId="74F56B86" w14:textId="77777777">
        <w:trPr>
          <w:trHeight w:val="290"/>
        </w:trPr>
        <w:tc>
          <w:tcPr>
            <w:tcW w:w="759" w:type="dxa"/>
            <w:tcBorders>
              <w:top w:val="nil"/>
              <w:left w:val="nil"/>
              <w:bottom w:val="nil"/>
              <w:right w:val="nil"/>
            </w:tcBorders>
            <w:shd w:val="clear" w:color="000000" w:fill="FFFFFF"/>
            <w:noWrap/>
            <w:vAlign w:val="bottom"/>
          </w:tcPr>
          <w:p w14:paraId="1376A8FF" w14:textId="326A7B17" w:rsidR="00971E00" w:rsidRPr="00266A9C"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FFFFF"/>
            <w:noWrap/>
            <w:vAlign w:val="bottom"/>
          </w:tcPr>
          <w:p w14:paraId="4A3DFD6E" w14:textId="3A0101DD" w:rsidR="00971E00" w:rsidRPr="00266A9C" w:rsidRDefault="00971E00">
            <w:pPr>
              <w:widowControl w:val="0"/>
              <w:rPr>
                <w:rFonts w:ascii="Aptos Narrow" w:hAnsi="Aptos Narrow"/>
                <w:noProof/>
                <w:color w:val="000000"/>
                <w:sz w:val="22"/>
                <w:szCs w:val="22"/>
              </w:rPr>
            </w:pPr>
          </w:p>
        </w:tc>
        <w:tc>
          <w:tcPr>
            <w:tcW w:w="842" w:type="dxa"/>
            <w:tcBorders>
              <w:top w:val="nil"/>
              <w:left w:val="nil"/>
              <w:bottom w:val="nil"/>
              <w:right w:val="nil"/>
            </w:tcBorders>
            <w:shd w:val="clear" w:color="000000" w:fill="FFFFFF"/>
            <w:noWrap/>
            <w:vAlign w:val="bottom"/>
          </w:tcPr>
          <w:p w14:paraId="473037AF" w14:textId="53B15353" w:rsidR="00971E00" w:rsidRPr="00266A9C"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1FD4FC6F" w14:textId="54D68166" w:rsidR="00971E00" w:rsidRPr="00266A9C"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48E4E938" w14:textId="442F159F" w:rsidR="00971E00" w:rsidRPr="00266A9C"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10D3DA58" w14:textId="5D5D605B" w:rsidR="00971E00" w:rsidRPr="00266A9C" w:rsidRDefault="00971E00">
            <w:pPr>
              <w:widowControl w:val="0"/>
              <w:rPr>
                <w:rFonts w:ascii="Aptos Narrow" w:hAnsi="Aptos Narrow"/>
                <w:noProof/>
                <w:color w:val="000000"/>
                <w:sz w:val="22"/>
                <w:szCs w:val="22"/>
              </w:rPr>
            </w:pPr>
          </w:p>
        </w:tc>
        <w:tc>
          <w:tcPr>
            <w:tcW w:w="842" w:type="dxa"/>
            <w:tcBorders>
              <w:top w:val="nil"/>
              <w:left w:val="nil"/>
              <w:bottom w:val="nil"/>
              <w:right w:val="nil"/>
            </w:tcBorders>
            <w:shd w:val="clear" w:color="000000" w:fill="FFFFFF"/>
            <w:noWrap/>
            <w:vAlign w:val="bottom"/>
          </w:tcPr>
          <w:p w14:paraId="2A6C2302" w14:textId="62467CF7" w:rsidR="00971E00" w:rsidRPr="00266A9C" w:rsidRDefault="00971E00">
            <w:pPr>
              <w:widowControl w:val="0"/>
              <w:rPr>
                <w:rFonts w:ascii="Aptos Narrow" w:hAnsi="Aptos Narrow"/>
                <w:noProof/>
                <w:color w:val="000000"/>
                <w:sz w:val="22"/>
                <w:szCs w:val="22"/>
              </w:rPr>
            </w:pPr>
          </w:p>
        </w:tc>
        <w:tc>
          <w:tcPr>
            <w:tcW w:w="960" w:type="dxa"/>
            <w:tcBorders>
              <w:top w:val="nil"/>
              <w:left w:val="nil"/>
              <w:bottom w:val="nil"/>
              <w:right w:val="nil"/>
            </w:tcBorders>
            <w:shd w:val="clear" w:color="000000" w:fill="FFFFFF"/>
            <w:noWrap/>
            <w:vAlign w:val="bottom"/>
          </w:tcPr>
          <w:p w14:paraId="1187D0AE" w14:textId="4534FDE0" w:rsidR="00971E00" w:rsidRPr="00266A9C" w:rsidRDefault="00971E00">
            <w:pPr>
              <w:widowControl w:val="0"/>
              <w:rPr>
                <w:rFonts w:ascii="Aptos Narrow" w:hAnsi="Aptos Narrow"/>
                <w:noProof/>
                <w:color w:val="000000"/>
                <w:sz w:val="22"/>
                <w:szCs w:val="22"/>
              </w:rPr>
            </w:pPr>
          </w:p>
        </w:tc>
        <w:tc>
          <w:tcPr>
            <w:tcW w:w="960" w:type="dxa"/>
            <w:tcBorders>
              <w:top w:val="nil"/>
              <w:left w:val="nil"/>
              <w:bottom w:val="nil"/>
              <w:right w:val="nil"/>
            </w:tcBorders>
            <w:shd w:val="clear" w:color="000000" w:fill="FFFFFF"/>
          </w:tcPr>
          <w:p w14:paraId="225D6B98" w14:textId="77777777" w:rsidR="00971E00" w:rsidRPr="00266A9C" w:rsidRDefault="00971E00">
            <w:pPr>
              <w:widowControl w:val="0"/>
              <w:rPr>
                <w:rFonts w:ascii="Aptos Narrow" w:hAnsi="Aptos Narrow"/>
                <w:noProof/>
                <w:color w:val="000000"/>
                <w:sz w:val="22"/>
                <w:szCs w:val="22"/>
              </w:rPr>
            </w:pPr>
          </w:p>
        </w:tc>
      </w:tr>
      <w:tr w:rsidR="00971E00" w:rsidRPr="00266A9C" w14:paraId="4A6CEA87" w14:textId="77777777">
        <w:trPr>
          <w:trHeight w:val="290"/>
        </w:trPr>
        <w:tc>
          <w:tcPr>
            <w:tcW w:w="1920" w:type="dxa"/>
            <w:gridSpan w:val="2"/>
            <w:tcBorders>
              <w:top w:val="single" w:sz="4" w:space="0" w:color="auto"/>
              <w:left w:val="single" w:sz="4" w:space="0" w:color="auto"/>
              <w:bottom w:val="nil"/>
              <w:right w:val="nil"/>
            </w:tcBorders>
            <w:shd w:val="clear" w:color="000000" w:fill="F2F2F2"/>
            <w:noWrap/>
            <w:vAlign w:val="bottom"/>
          </w:tcPr>
          <w:p w14:paraId="062AF48F"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C1</w:t>
            </w:r>
          </w:p>
        </w:tc>
        <w:tc>
          <w:tcPr>
            <w:tcW w:w="4801" w:type="dxa"/>
            <w:gridSpan w:val="5"/>
            <w:tcBorders>
              <w:top w:val="single" w:sz="4" w:space="0" w:color="auto"/>
              <w:left w:val="nil"/>
              <w:bottom w:val="nil"/>
              <w:right w:val="single" w:sz="4" w:space="0" w:color="000000"/>
            </w:tcBorders>
            <w:noWrap/>
            <w:vAlign w:val="bottom"/>
          </w:tcPr>
          <w:p w14:paraId="38F4D59C"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Rezistența la rulare</w:t>
            </w:r>
          </w:p>
        </w:tc>
        <w:tc>
          <w:tcPr>
            <w:tcW w:w="960" w:type="dxa"/>
            <w:tcBorders>
              <w:top w:val="single" w:sz="4" w:space="0" w:color="auto"/>
              <w:left w:val="nil"/>
              <w:bottom w:val="nil"/>
              <w:right w:val="single" w:sz="4" w:space="0" w:color="auto"/>
            </w:tcBorders>
            <w:noWrap/>
            <w:vAlign w:val="bottom"/>
          </w:tcPr>
          <w:p w14:paraId="23B39C56" w14:textId="1CFC54AB" w:rsidR="00971E00" w:rsidRPr="00266A9C" w:rsidRDefault="00971E00">
            <w:pPr>
              <w:widowControl w:val="0"/>
              <w:rPr>
                <w:rFonts w:ascii="Aptos Narrow" w:hAnsi="Aptos Narrow"/>
                <w:noProof/>
                <w:color w:val="000000"/>
                <w:sz w:val="22"/>
                <w:szCs w:val="22"/>
              </w:rPr>
            </w:pPr>
          </w:p>
        </w:tc>
        <w:tc>
          <w:tcPr>
            <w:tcW w:w="960" w:type="dxa"/>
            <w:tcBorders>
              <w:top w:val="single" w:sz="4" w:space="0" w:color="auto"/>
              <w:left w:val="nil"/>
              <w:bottom w:val="nil"/>
              <w:right w:val="single" w:sz="4" w:space="0" w:color="auto"/>
            </w:tcBorders>
          </w:tcPr>
          <w:p w14:paraId="3C8160D7" w14:textId="77777777" w:rsidR="00971E00" w:rsidRPr="00266A9C" w:rsidRDefault="00971E00">
            <w:pPr>
              <w:widowControl w:val="0"/>
              <w:rPr>
                <w:rFonts w:ascii="Aptos Narrow" w:hAnsi="Aptos Narrow"/>
                <w:noProof/>
                <w:color w:val="000000"/>
                <w:sz w:val="22"/>
                <w:szCs w:val="22"/>
              </w:rPr>
            </w:pPr>
          </w:p>
        </w:tc>
      </w:tr>
      <w:tr w:rsidR="00971E00" w:rsidRPr="00266A9C" w14:paraId="49CFD17C" w14:textId="77777777">
        <w:trPr>
          <w:trHeight w:val="290"/>
        </w:trPr>
        <w:tc>
          <w:tcPr>
            <w:tcW w:w="759" w:type="dxa"/>
            <w:tcBorders>
              <w:top w:val="nil"/>
              <w:left w:val="single" w:sz="4" w:space="0" w:color="auto"/>
              <w:bottom w:val="nil"/>
              <w:right w:val="nil"/>
            </w:tcBorders>
            <w:shd w:val="clear" w:color="000000" w:fill="F2F2F2"/>
            <w:noWrap/>
            <w:vAlign w:val="bottom"/>
          </w:tcPr>
          <w:p w14:paraId="4F6E0F63" w14:textId="1748D2E1" w:rsidR="00971E00" w:rsidRPr="00266A9C"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2F2F2"/>
            <w:noWrap/>
            <w:vAlign w:val="bottom"/>
          </w:tcPr>
          <w:p w14:paraId="4C513AB5"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2020</w:t>
            </w:r>
          </w:p>
        </w:tc>
        <w:tc>
          <w:tcPr>
            <w:tcW w:w="842" w:type="dxa"/>
            <w:tcBorders>
              <w:top w:val="nil"/>
              <w:left w:val="nil"/>
              <w:bottom w:val="nil"/>
              <w:right w:val="nil"/>
            </w:tcBorders>
            <w:shd w:val="clear" w:color="000000" w:fill="00B050"/>
            <w:noWrap/>
            <w:vAlign w:val="bottom"/>
          </w:tcPr>
          <w:p w14:paraId="63460140"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A</w:t>
            </w:r>
          </w:p>
        </w:tc>
        <w:tc>
          <w:tcPr>
            <w:tcW w:w="1039" w:type="dxa"/>
            <w:tcBorders>
              <w:top w:val="nil"/>
              <w:left w:val="nil"/>
              <w:bottom w:val="nil"/>
              <w:right w:val="nil"/>
            </w:tcBorders>
            <w:shd w:val="clear" w:color="000000" w:fill="92D050"/>
            <w:noWrap/>
            <w:vAlign w:val="bottom"/>
          </w:tcPr>
          <w:p w14:paraId="0FAAE9BE"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B</w:t>
            </w:r>
          </w:p>
        </w:tc>
        <w:tc>
          <w:tcPr>
            <w:tcW w:w="1039" w:type="dxa"/>
            <w:tcBorders>
              <w:top w:val="nil"/>
              <w:left w:val="nil"/>
              <w:bottom w:val="nil"/>
              <w:right w:val="nil"/>
            </w:tcBorders>
            <w:shd w:val="clear" w:color="000000" w:fill="FFFF00"/>
            <w:noWrap/>
            <w:vAlign w:val="bottom"/>
          </w:tcPr>
          <w:p w14:paraId="2AD5CA4F"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C</w:t>
            </w:r>
          </w:p>
        </w:tc>
        <w:tc>
          <w:tcPr>
            <w:tcW w:w="1039" w:type="dxa"/>
            <w:tcBorders>
              <w:top w:val="nil"/>
              <w:left w:val="nil"/>
              <w:bottom w:val="nil"/>
              <w:right w:val="nil"/>
            </w:tcBorders>
            <w:shd w:val="clear" w:color="000000" w:fill="F1A983"/>
            <w:noWrap/>
            <w:vAlign w:val="bottom"/>
          </w:tcPr>
          <w:p w14:paraId="66BEF996"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D</w:t>
            </w:r>
          </w:p>
        </w:tc>
        <w:tc>
          <w:tcPr>
            <w:tcW w:w="842" w:type="dxa"/>
            <w:tcBorders>
              <w:top w:val="nil"/>
              <w:left w:val="nil"/>
              <w:bottom w:val="nil"/>
              <w:right w:val="nil"/>
            </w:tcBorders>
            <w:shd w:val="clear" w:color="000000" w:fill="FF0000"/>
            <w:noWrap/>
            <w:vAlign w:val="bottom"/>
          </w:tcPr>
          <w:p w14:paraId="4779D4DF"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E</w:t>
            </w:r>
          </w:p>
        </w:tc>
        <w:tc>
          <w:tcPr>
            <w:tcW w:w="960" w:type="dxa"/>
            <w:tcBorders>
              <w:top w:val="nil"/>
              <w:left w:val="single" w:sz="4" w:space="0" w:color="auto"/>
              <w:bottom w:val="nil"/>
              <w:right w:val="single" w:sz="4" w:space="0" w:color="auto"/>
            </w:tcBorders>
            <w:noWrap/>
            <w:vAlign w:val="bottom"/>
          </w:tcPr>
          <w:p w14:paraId="27E83FA3" w14:textId="5FCEC266" w:rsidR="00971E00" w:rsidRPr="00266A9C" w:rsidRDefault="00971E00">
            <w:pPr>
              <w:widowControl w:val="0"/>
              <w:rPr>
                <w:rFonts w:ascii="Aptos Narrow" w:hAnsi="Aptos Narrow"/>
                <w:noProof/>
                <w:color w:val="000000"/>
                <w:sz w:val="22"/>
                <w:szCs w:val="22"/>
              </w:rPr>
            </w:pPr>
          </w:p>
        </w:tc>
        <w:tc>
          <w:tcPr>
            <w:tcW w:w="960" w:type="dxa"/>
            <w:tcBorders>
              <w:top w:val="nil"/>
              <w:left w:val="single" w:sz="4" w:space="0" w:color="auto"/>
              <w:bottom w:val="nil"/>
              <w:right w:val="single" w:sz="4" w:space="0" w:color="auto"/>
            </w:tcBorders>
          </w:tcPr>
          <w:p w14:paraId="13DE14C7" w14:textId="77777777" w:rsidR="00971E00" w:rsidRPr="00266A9C" w:rsidRDefault="00971E00">
            <w:pPr>
              <w:widowControl w:val="0"/>
              <w:rPr>
                <w:rFonts w:ascii="Aptos Narrow" w:hAnsi="Aptos Narrow"/>
                <w:noProof/>
                <w:color w:val="000000"/>
                <w:sz w:val="22"/>
                <w:szCs w:val="22"/>
              </w:rPr>
            </w:pPr>
          </w:p>
        </w:tc>
      </w:tr>
      <w:tr w:rsidR="00971E00" w:rsidRPr="00266A9C" w14:paraId="76C54838" w14:textId="77777777">
        <w:trPr>
          <w:trHeight w:val="290"/>
        </w:trPr>
        <w:tc>
          <w:tcPr>
            <w:tcW w:w="759" w:type="dxa"/>
            <w:vMerge w:val="restart"/>
            <w:tcBorders>
              <w:top w:val="nil"/>
              <w:left w:val="single" w:sz="4" w:space="0" w:color="auto"/>
              <w:bottom w:val="single" w:sz="4" w:space="0" w:color="000000"/>
              <w:right w:val="nil"/>
            </w:tcBorders>
            <w:noWrap/>
            <w:textDirection w:val="btLr"/>
            <w:vAlign w:val="center"/>
          </w:tcPr>
          <w:p w14:paraId="44A46EEB"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Aderența pe teren umed</w:t>
            </w:r>
          </w:p>
        </w:tc>
        <w:tc>
          <w:tcPr>
            <w:tcW w:w="1161" w:type="dxa"/>
            <w:tcBorders>
              <w:top w:val="nil"/>
              <w:left w:val="nil"/>
              <w:bottom w:val="nil"/>
              <w:right w:val="nil"/>
            </w:tcBorders>
            <w:shd w:val="clear" w:color="000000" w:fill="4F81BD"/>
            <w:noWrap/>
            <w:vAlign w:val="bottom"/>
          </w:tcPr>
          <w:p w14:paraId="73400449"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A</w:t>
            </w:r>
          </w:p>
        </w:tc>
        <w:tc>
          <w:tcPr>
            <w:tcW w:w="842" w:type="dxa"/>
            <w:tcBorders>
              <w:top w:val="nil"/>
              <w:left w:val="nil"/>
              <w:bottom w:val="nil"/>
              <w:right w:val="nil"/>
            </w:tcBorders>
            <w:noWrap/>
            <w:vAlign w:val="bottom"/>
          </w:tcPr>
          <w:p w14:paraId="79F15954"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0,7 %</w:t>
            </w:r>
          </w:p>
        </w:tc>
        <w:tc>
          <w:tcPr>
            <w:tcW w:w="1039" w:type="dxa"/>
            <w:tcBorders>
              <w:top w:val="nil"/>
              <w:left w:val="nil"/>
              <w:bottom w:val="nil"/>
              <w:right w:val="nil"/>
            </w:tcBorders>
            <w:noWrap/>
            <w:vAlign w:val="bottom"/>
          </w:tcPr>
          <w:p w14:paraId="3AFCF29D"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1,7 %</w:t>
            </w:r>
          </w:p>
        </w:tc>
        <w:tc>
          <w:tcPr>
            <w:tcW w:w="1039" w:type="dxa"/>
            <w:tcBorders>
              <w:top w:val="nil"/>
              <w:left w:val="nil"/>
              <w:bottom w:val="nil"/>
              <w:right w:val="nil"/>
            </w:tcBorders>
            <w:shd w:val="clear" w:color="000000" w:fill="D9D9D9"/>
            <w:noWrap/>
            <w:vAlign w:val="bottom"/>
          </w:tcPr>
          <w:p w14:paraId="14F437B2"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7,5 %</w:t>
            </w:r>
          </w:p>
        </w:tc>
        <w:tc>
          <w:tcPr>
            <w:tcW w:w="1039" w:type="dxa"/>
            <w:tcBorders>
              <w:top w:val="nil"/>
              <w:left w:val="nil"/>
              <w:bottom w:val="nil"/>
              <w:right w:val="nil"/>
            </w:tcBorders>
            <w:noWrap/>
            <w:vAlign w:val="bottom"/>
          </w:tcPr>
          <w:p w14:paraId="78096627"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2,9 %</w:t>
            </w:r>
          </w:p>
        </w:tc>
        <w:tc>
          <w:tcPr>
            <w:tcW w:w="842" w:type="dxa"/>
            <w:tcBorders>
              <w:top w:val="nil"/>
              <w:left w:val="nil"/>
              <w:bottom w:val="nil"/>
              <w:right w:val="nil"/>
            </w:tcBorders>
            <w:noWrap/>
            <w:vAlign w:val="bottom"/>
          </w:tcPr>
          <w:p w14:paraId="1BA0D2BE"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0,0 %</w:t>
            </w:r>
          </w:p>
        </w:tc>
        <w:tc>
          <w:tcPr>
            <w:tcW w:w="960" w:type="dxa"/>
            <w:tcBorders>
              <w:top w:val="nil"/>
              <w:left w:val="single" w:sz="4" w:space="0" w:color="auto"/>
              <w:bottom w:val="nil"/>
              <w:right w:val="single" w:sz="4" w:space="0" w:color="auto"/>
            </w:tcBorders>
            <w:noWrap/>
            <w:vAlign w:val="bottom"/>
          </w:tcPr>
          <w:p w14:paraId="03C17E25"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12,8 %</w:t>
            </w:r>
          </w:p>
        </w:tc>
        <w:tc>
          <w:tcPr>
            <w:tcW w:w="960" w:type="dxa"/>
            <w:tcBorders>
              <w:top w:val="nil"/>
              <w:left w:val="single" w:sz="4" w:space="0" w:color="auto"/>
              <w:bottom w:val="nil"/>
              <w:right w:val="single" w:sz="4" w:space="0" w:color="auto"/>
            </w:tcBorders>
          </w:tcPr>
          <w:p w14:paraId="311110FB"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4C044DEC" w14:textId="77777777">
        <w:trPr>
          <w:trHeight w:val="290"/>
        </w:trPr>
        <w:tc>
          <w:tcPr>
            <w:tcW w:w="759" w:type="dxa"/>
            <w:vMerge/>
            <w:tcBorders>
              <w:top w:val="nil"/>
              <w:left w:val="single" w:sz="4" w:space="0" w:color="auto"/>
              <w:bottom w:val="single" w:sz="4" w:space="0" w:color="000000"/>
              <w:right w:val="nil"/>
            </w:tcBorders>
            <w:vAlign w:val="center"/>
          </w:tcPr>
          <w:p w14:paraId="097080C9" w14:textId="77777777" w:rsidR="00971E00" w:rsidRPr="00266A9C"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D93D9"/>
            <w:noWrap/>
            <w:vAlign w:val="bottom"/>
          </w:tcPr>
          <w:p w14:paraId="3C095CFC"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B</w:t>
            </w:r>
          </w:p>
        </w:tc>
        <w:tc>
          <w:tcPr>
            <w:tcW w:w="842" w:type="dxa"/>
            <w:tcBorders>
              <w:top w:val="nil"/>
              <w:left w:val="nil"/>
              <w:bottom w:val="nil"/>
              <w:right w:val="nil"/>
            </w:tcBorders>
            <w:noWrap/>
            <w:vAlign w:val="bottom"/>
          </w:tcPr>
          <w:p w14:paraId="4E4111B4"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1,4 %</w:t>
            </w:r>
          </w:p>
        </w:tc>
        <w:tc>
          <w:tcPr>
            <w:tcW w:w="1039" w:type="dxa"/>
            <w:tcBorders>
              <w:top w:val="nil"/>
              <w:left w:val="nil"/>
              <w:bottom w:val="nil"/>
              <w:right w:val="nil"/>
            </w:tcBorders>
            <w:noWrap/>
            <w:vAlign w:val="bottom"/>
          </w:tcPr>
          <w:p w14:paraId="3150FE48"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2,4 %</w:t>
            </w:r>
          </w:p>
        </w:tc>
        <w:tc>
          <w:tcPr>
            <w:tcW w:w="1039" w:type="dxa"/>
            <w:tcBorders>
              <w:top w:val="nil"/>
              <w:left w:val="nil"/>
              <w:bottom w:val="nil"/>
              <w:right w:val="nil"/>
            </w:tcBorders>
            <w:shd w:val="clear" w:color="000000" w:fill="A6A6A6"/>
            <w:noWrap/>
            <w:vAlign w:val="bottom"/>
          </w:tcPr>
          <w:p w14:paraId="0B37EC79"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18,9 %</w:t>
            </w:r>
          </w:p>
        </w:tc>
        <w:tc>
          <w:tcPr>
            <w:tcW w:w="1039" w:type="dxa"/>
            <w:tcBorders>
              <w:top w:val="nil"/>
              <w:left w:val="nil"/>
              <w:bottom w:val="nil"/>
              <w:right w:val="nil"/>
            </w:tcBorders>
            <w:shd w:val="clear" w:color="000000" w:fill="A6A6A6"/>
            <w:noWrap/>
            <w:vAlign w:val="bottom"/>
          </w:tcPr>
          <w:p w14:paraId="7B77890A"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16,4 %</w:t>
            </w:r>
          </w:p>
        </w:tc>
        <w:tc>
          <w:tcPr>
            <w:tcW w:w="842" w:type="dxa"/>
            <w:tcBorders>
              <w:top w:val="nil"/>
              <w:left w:val="nil"/>
              <w:bottom w:val="nil"/>
              <w:right w:val="nil"/>
            </w:tcBorders>
            <w:noWrap/>
            <w:vAlign w:val="bottom"/>
          </w:tcPr>
          <w:p w14:paraId="33D12F7B"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0,9 %</w:t>
            </w:r>
          </w:p>
        </w:tc>
        <w:tc>
          <w:tcPr>
            <w:tcW w:w="960" w:type="dxa"/>
            <w:tcBorders>
              <w:top w:val="nil"/>
              <w:left w:val="single" w:sz="4" w:space="0" w:color="auto"/>
              <w:bottom w:val="nil"/>
              <w:right w:val="single" w:sz="4" w:space="0" w:color="auto"/>
            </w:tcBorders>
            <w:noWrap/>
            <w:vAlign w:val="bottom"/>
          </w:tcPr>
          <w:p w14:paraId="7B175C6B"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40,0 %</w:t>
            </w:r>
          </w:p>
        </w:tc>
        <w:tc>
          <w:tcPr>
            <w:tcW w:w="960" w:type="dxa"/>
            <w:tcBorders>
              <w:top w:val="nil"/>
              <w:left w:val="single" w:sz="4" w:space="0" w:color="auto"/>
              <w:bottom w:val="nil"/>
              <w:right w:val="single" w:sz="4" w:space="0" w:color="auto"/>
            </w:tcBorders>
          </w:tcPr>
          <w:p w14:paraId="4A4173CD"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1F8253EC" w14:textId="77777777">
        <w:trPr>
          <w:trHeight w:val="290"/>
        </w:trPr>
        <w:tc>
          <w:tcPr>
            <w:tcW w:w="759" w:type="dxa"/>
            <w:vMerge/>
            <w:tcBorders>
              <w:top w:val="nil"/>
              <w:left w:val="single" w:sz="4" w:space="0" w:color="auto"/>
              <w:bottom w:val="single" w:sz="4" w:space="0" w:color="000000"/>
              <w:right w:val="nil"/>
            </w:tcBorders>
            <w:vAlign w:val="center"/>
          </w:tcPr>
          <w:p w14:paraId="5C2E3764" w14:textId="77777777" w:rsidR="00971E00" w:rsidRPr="00266A9C"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4B3E1"/>
            <w:noWrap/>
            <w:vAlign w:val="bottom"/>
          </w:tcPr>
          <w:p w14:paraId="740FDD4D"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C</w:t>
            </w:r>
          </w:p>
        </w:tc>
        <w:tc>
          <w:tcPr>
            <w:tcW w:w="842" w:type="dxa"/>
            <w:tcBorders>
              <w:top w:val="nil"/>
              <w:left w:val="nil"/>
              <w:bottom w:val="nil"/>
              <w:right w:val="nil"/>
            </w:tcBorders>
            <w:noWrap/>
            <w:vAlign w:val="bottom"/>
          </w:tcPr>
          <w:p w14:paraId="1FA9DB58"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0,1 %</w:t>
            </w:r>
          </w:p>
        </w:tc>
        <w:tc>
          <w:tcPr>
            <w:tcW w:w="1039" w:type="dxa"/>
            <w:tcBorders>
              <w:top w:val="nil"/>
              <w:left w:val="nil"/>
              <w:bottom w:val="nil"/>
              <w:right w:val="nil"/>
            </w:tcBorders>
            <w:noWrap/>
            <w:vAlign w:val="bottom"/>
          </w:tcPr>
          <w:p w14:paraId="525088EC"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0,7 %</w:t>
            </w:r>
          </w:p>
        </w:tc>
        <w:tc>
          <w:tcPr>
            <w:tcW w:w="1039" w:type="dxa"/>
            <w:tcBorders>
              <w:top w:val="nil"/>
              <w:left w:val="nil"/>
              <w:bottom w:val="nil"/>
              <w:right w:val="nil"/>
            </w:tcBorders>
            <w:shd w:val="clear" w:color="000000" w:fill="A6A6A6"/>
            <w:noWrap/>
            <w:vAlign w:val="bottom"/>
          </w:tcPr>
          <w:p w14:paraId="76A1AA49"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11,2 %</w:t>
            </w:r>
          </w:p>
        </w:tc>
        <w:tc>
          <w:tcPr>
            <w:tcW w:w="1039" w:type="dxa"/>
            <w:tcBorders>
              <w:top w:val="nil"/>
              <w:left w:val="nil"/>
              <w:bottom w:val="nil"/>
              <w:right w:val="nil"/>
            </w:tcBorders>
            <w:shd w:val="clear" w:color="000000" w:fill="A6A6A6"/>
            <w:noWrap/>
            <w:vAlign w:val="bottom"/>
          </w:tcPr>
          <w:p w14:paraId="330EA995"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23,6 %</w:t>
            </w:r>
          </w:p>
        </w:tc>
        <w:tc>
          <w:tcPr>
            <w:tcW w:w="842" w:type="dxa"/>
            <w:tcBorders>
              <w:top w:val="nil"/>
              <w:left w:val="nil"/>
              <w:bottom w:val="nil"/>
              <w:right w:val="nil"/>
            </w:tcBorders>
            <w:noWrap/>
            <w:vAlign w:val="bottom"/>
          </w:tcPr>
          <w:p w14:paraId="548C84BB"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0,5 %</w:t>
            </w:r>
          </w:p>
        </w:tc>
        <w:tc>
          <w:tcPr>
            <w:tcW w:w="960" w:type="dxa"/>
            <w:tcBorders>
              <w:top w:val="nil"/>
              <w:left w:val="single" w:sz="4" w:space="0" w:color="auto"/>
              <w:bottom w:val="nil"/>
              <w:right w:val="single" w:sz="4" w:space="0" w:color="auto"/>
            </w:tcBorders>
            <w:noWrap/>
            <w:vAlign w:val="bottom"/>
          </w:tcPr>
          <w:p w14:paraId="2DCCDE57"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36,1 %</w:t>
            </w:r>
          </w:p>
        </w:tc>
        <w:tc>
          <w:tcPr>
            <w:tcW w:w="960" w:type="dxa"/>
            <w:tcBorders>
              <w:top w:val="nil"/>
              <w:left w:val="single" w:sz="4" w:space="0" w:color="auto"/>
              <w:bottom w:val="nil"/>
              <w:right w:val="single" w:sz="4" w:space="0" w:color="auto"/>
            </w:tcBorders>
          </w:tcPr>
          <w:p w14:paraId="277A725E"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5F31C214" w14:textId="77777777">
        <w:trPr>
          <w:trHeight w:val="290"/>
        </w:trPr>
        <w:tc>
          <w:tcPr>
            <w:tcW w:w="759" w:type="dxa"/>
            <w:vMerge/>
            <w:tcBorders>
              <w:top w:val="nil"/>
              <w:left w:val="single" w:sz="4" w:space="0" w:color="auto"/>
              <w:bottom w:val="single" w:sz="4" w:space="0" w:color="000000"/>
              <w:right w:val="nil"/>
            </w:tcBorders>
            <w:vAlign w:val="center"/>
          </w:tcPr>
          <w:p w14:paraId="65DA3B0E" w14:textId="77777777" w:rsidR="00971E00" w:rsidRPr="00266A9C"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83CCEB"/>
            <w:noWrap/>
            <w:vAlign w:val="bottom"/>
          </w:tcPr>
          <w:p w14:paraId="00187C61"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D</w:t>
            </w:r>
          </w:p>
        </w:tc>
        <w:tc>
          <w:tcPr>
            <w:tcW w:w="842" w:type="dxa"/>
            <w:tcBorders>
              <w:top w:val="nil"/>
              <w:left w:val="nil"/>
              <w:bottom w:val="nil"/>
              <w:right w:val="nil"/>
            </w:tcBorders>
            <w:noWrap/>
            <w:vAlign w:val="bottom"/>
          </w:tcPr>
          <w:p w14:paraId="4668451E"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0,0 %</w:t>
            </w:r>
          </w:p>
        </w:tc>
        <w:tc>
          <w:tcPr>
            <w:tcW w:w="1039" w:type="dxa"/>
            <w:tcBorders>
              <w:top w:val="nil"/>
              <w:left w:val="nil"/>
              <w:bottom w:val="nil"/>
              <w:right w:val="nil"/>
            </w:tcBorders>
            <w:noWrap/>
            <w:vAlign w:val="bottom"/>
          </w:tcPr>
          <w:p w14:paraId="29306C5D"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0,2 %</w:t>
            </w:r>
          </w:p>
        </w:tc>
        <w:tc>
          <w:tcPr>
            <w:tcW w:w="1039" w:type="dxa"/>
            <w:tcBorders>
              <w:top w:val="nil"/>
              <w:left w:val="nil"/>
              <w:bottom w:val="nil"/>
              <w:right w:val="nil"/>
            </w:tcBorders>
            <w:noWrap/>
            <w:vAlign w:val="bottom"/>
          </w:tcPr>
          <w:p w14:paraId="41B9F271"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1,4 %</w:t>
            </w:r>
          </w:p>
        </w:tc>
        <w:tc>
          <w:tcPr>
            <w:tcW w:w="1039" w:type="dxa"/>
            <w:tcBorders>
              <w:top w:val="nil"/>
              <w:left w:val="nil"/>
              <w:bottom w:val="nil"/>
              <w:right w:val="nil"/>
            </w:tcBorders>
            <w:shd w:val="clear" w:color="000000" w:fill="D9D9D9"/>
            <w:noWrap/>
            <w:vAlign w:val="bottom"/>
          </w:tcPr>
          <w:p w14:paraId="1596BDE8"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6,6 %</w:t>
            </w:r>
          </w:p>
        </w:tc>
        <w:tc>
          <w:tcPr>
            <w:tcW w:w="842" w:type="dxa"/>
            <w:tcBorders>
              <w:top w:val="nil"/>
              <w:left w:val="nil"/>
              <w:bottom w:val="nil"/>
              <w:right w:val="nil"/>
            </w:tcBorders>
            <w:noWrap/>
            <w:vAlign w:val="bottom"/>
          </w:tcPr>
          <w:p w14:paraId="5300337D"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0,5 %</w:t>
            </w:r>
          </w:p>
        </w:tc>
        <w:tc>
          <w:tcPr>
            <w:tcW w:w="960" w:type="dxa"/>
            <w:tcBorders>
              <w:top w:val="nil"/>
              <w:left w:val="single" w:sz="4" w:space="0" w:color="auto"/>
              <w:bottom w:val="nil"/>
              <w:right w:val="single" w:sz="4" w:space="0" w:color="auto"/>
            </w:tcBorders>
            <w:noWrap/>
            <w:vAlign w:val="bottom"/>
          </w:tcPr>
          <w:p w14:paraId="49C423D1"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8,7 %</w:t>
            </w:r>
          </w:p>
        </w:tc>
        <w:tc>
          <w:tcPr>
            <w:tcW w:w="960" w:type="dxa"/>
            <w:tcBorders>
              <w:top w:val="nil"/>
              <w:left w:val="single" w:sz="4" w:space="0" w:color="auto"/>
              <w:bottom w:val="nil"/>
              <w:right w:val="single" w:sz="4" w:space="0" w:color="auto"/>
            </w:tcBorders>
          </w:tcPr>
          <w:p w14:paraId="049EE7DD"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7CE0367D" w14:textId="77777777">
        <w:trPr>
          <w:trHeight w:val="290"/>
        </w:trPr>
        <w:tc>
          <w:tcPr>
            <w:tcW w:w="759" w:type="dxa"/>
            <w:vMerge/>
            <w:tcBorders>
              <w:top w:val="nil"/>
              <w:left w:val="single" w:sz="4" w:space="0" w:color="auto"/>
              <w:bottom w:val="single" w:sz="4" w:space="0" w:color="000000"/>
              <w:right w:val="nil"/>
            </w:tcBorders>
            <w:vAlign w:val="center"/>
          </w:tcPr>
          <w:p w14:paraId="12EF6D55" w14:textId="77777777" w:rsidR="00971E00" w:rsidRPr="00266A9C"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CAEDFB"/>
            <w:noWrap/>
            <w:vAlign w:val="bottom"/>
          </w:tcPr>
          <w:p w14:paraId="06421738"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E</w:t>
            </w:r>
          </w:p>
        </w:tc>
        <w:tc>
          <w:tcPr>
            <w:tcW w:w="842" w:type="dxa"/>
            <w:tcBorders>
              <w:top w:val="nil"/>
              <w:left w:val="nil"/>
              <w:bottom w:val="nil"/>
              <w:right w:val="nil"/>
            </w:tcBorders>
            <w:noWrap/>
            <w:vAlign w:val="bottom"/>
          </w:tcPr>
          <w:p w14:paraId="308181CE"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0,0 %</w:t>
            </w:r>
          </w:p>
        </w:tc>
        <w:tc>
          <w:tcPr>
            <w:tcW w:w="1039" w:type="dxa"/>
            <w:tcBorders>
              <w:top w:val="nil"/>
              <w:left w:val="nil"/>
              <w:bottom w:val="nil"/>
              <w:right w:val="nil"/>
            </w:tcBorders>
            <w:noWrap/>
            <w:vAlign w:val="bottom"/>
          </w:tcPr>
          <w:p w14:paraId="735D9A18"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0,3 %</w:t>
            </w:r>
          </w:p>
        </w:tc>
        <w:tc>
          <w:tcPr>
            <w:tcW w:w="1039" w:type="dxa"/>
            <w:tcBorders>
              <w:top w:val="nil"/>
              <w:left w:val="nil"/>
              <w:bottom w:val="nil"/>
              <w:right w:val="nil"/>
            </w:tcBorders>
            <w:noWrap/>
            <w:vAlign w:val="bottom"/>
          </w:tcPr>
          <w:p w14:paraId="68ED77E3"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0,7 %</w:t>
            </w:r>
          </w:p>
        </w:tc>
        <w:tc>
          <w:tcPr>
            <w:tcW w:w="1039" w:type="dxa"/>
            <w:tcBorders>
              <w:top w:val="nil"/>
              <w:left w:val="nil"/>
              <w:bottom w:val="nil"/>
              <w:right w:val="nil"/>
            </w:tcBorders>
            <w:noWrap/>
            <w:vAlign w:val="bottom"/>
          </w:tcPr>
          <w:p w14:paraId="791D3254"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0,3 %</w:t>
            </w:r>
          </w:p>
        </w:tc>
        <w:tc>
          <w:tcPr>
            <w:tcW w:w="842" w:type="dxa"/>
            <w:tcBorders>
              <w:top w:val="nil"/>
              <w:left w:val="nil"/>
              <w:bottom w:val="nil"/>
              <w:right w:val="nil"/>
            </w:tcBorders>
            <w:noWrap/>
            <w:vAlign w:val="bottom"/>
          </w:tcPr>
          <w:p w14:paraId="7020ABCF"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1,2 %</w:t>
            </w:r>
          </w:p>
        </w:tc>
        <w:tc>
          <w:tcPr>
            <w:tcW w:w="960" w:type="dxa"/>
            <w:tcBorders>
              <w:top w:val="nil"/>
              <w:left w:val="single" w:sz="4" w:space="0" w:color="auto"/>
              <w:bottom w:val="nil"/>
              <w:right w:val="single" w:sz="4" w:space="0" w:color="auto"/>
            </w:tcBorders>
            <w:noWrap/>
            <w:vAlign w:val="bottom"/>
          </w:tcPr>
          <w:p w14:paraId="306C2899"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2,4 %</w:t>
            </w:r>
          </w:p>
        </w:tc>
        <w:tc>
          <w:tcPr>
            <w:tcW w:w="960" w:type="dxa"/>
            <w:tcBorders>
              <w:top w:val="nil"/>
              <w:left w:val="single" w:sz="4" w:space="0" w:color="auto"/>
              <w:bottom w:val="nil"/>
              <w:right w:val="single" w:sz="4" w:space="0" w:color="auto"/>
            </w:tcBorders>
          </w:tcPr>
          <w:p w14:paraId="405E4DEC"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00301D6B" w14:textId="77777777">
        <w:trPr>
          <w:trHeight w:val="290"/>
        </w:trPr>
        <w:tc>
          <w:tcPr>
            <w:tcW w:w="759" w:type="dxa"/>
            <w:tcBorders>
              <w:top w:val="nil"/>
              <w:left w:val="single" w:sz="4" w:space="0" w:color="auto"/>
              <w:bottom w:val="single" w:sz="4" w:space="0" w:color="auto"/>
              <w:right w:val="nil"/>
            </w:tcBorders>
            <w:noWrap/>
            <w:vAlign w:val="bottom"/>
          </w:tcPr>
          <w:p w14:paraId="40975EDC" w14:textId="1A04B9E5" w:rsidR="00971E00" w:rsidRPr="00266A9C" w:rsidRDefault="00971E00">
            <w:pPr>
              <w:widowControl w:val="0"/>
              <w:rPr>
                <w:rFonts w:ascii="Aptos Narrow" w:hAnsi="Aptos Narrow"/>
                <w:noProof/>
                <w:color w:val="000000"/>
                <w:sz w:val="22"/>
                <w:szCs w:val="22"/>
              </w:rPr>
            </w:pPr>
          </w:p>
        </w:tc>
        <w:tc>
          <w:tcPr>
            <w:tcW w:w="1161" w:type="dxa"/>
            <w:tcBorders>
              <w:top w:val="single" w:sz="4" w:space="0" w:color="auto"/>
              <w:left w:val="nil"/>
              <w:bottom w:val="single" w:sz="4" w:space="0" w:color="auto"/>
              <w:right w:val="nil"/>
            </w:tcBorders>
            <w:noWrap/>
            <w:vAlign w:val="bottom"/>
          </w:tcPr>
          <w:p w14:paraId="0A1EE4BC" w14:textId="425C3CD0" w:rsidR="00971E00" w:rsidRPr="00266A9C" w:rsidRDefault="00971E00">
            <w:pPr>
              <w:widowControl w:val="0"/>
              <w:rPr>
                <w:rFonts w:ascii="Aptos Narrow" w:hAnsi="Aptos Narrow"/>
                <w:noProof/>
                <w:color w:val="000000"/>
                <w:sz w:val="22"/>
                <w:szCs w:val="22"/>
              </w:rPr>
            </w:pPr>
          </w:p>
        </w:tc>
        <w:tc>
          <w:tcPr>
            <w:tcW w:w="842" w:type="dxa"/>
            <w:tcBorders>
              <w:top w:val="single" w:sz="4" w:space="0" w:color="auto"/>
              <w:left w:val="nil"/>
              <w:bottom w:val="single" w:sz="4" w:space="0" w:color="auto"/>
              <w:right w:val="nil"/>
            </w:tcBorders>
            <w:noWrap/>
            <w:vAlign w:val="bottom"/>
          </w:tcPr>
          <w:p w14:paraId="5E39A65C"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2,2 %</w:t>
            </w:r>
          </w:p>
        </w:tc>
        <w:tc>
          <w:tcPr>
            <w:tcW w:w="1039" w:type="dxa"/>
            <w:tcBorders>
              <w:top w:val="single" w:sz="4" w:space="0" w:color="auto"/>
              <w:left w:val="nil"/>
              <w:bottom w:val="single" w:sz="4" w:space="0" w:color="auto"/>
              <w:right w:val="nil"/>
            </w:tcBorders>
            <w:noWrap/>
            <w:vAlign w:val="bottom"/>
          </w:tcPr>
          <w:p w14:paraId="64AFFBC0"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5,3 %</w:t>
            </w:r>
          </w:p>
        </w:tc>
        <w:tc>
          <w:tcPr>
            <w:tcW w:w="1039" w:type="dxa"/>
            <w:tcBorders>
              <w:top w:val="single" w:sz="4" w:space="0" w:color="auto"/>
              <w:left w:val="nil"/>
              <w:bottom w:val="single" w:sz="4" w:space="0" w:color="auto"/>
              <w:right w:val="nil"/>
            </w:tcBorders>
            <w:noWrap/>
            <w:vAlign w:val="bottom"/>
          </w:tcPr>
          <w:p w14:paraId="4E59D6E8"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39,6 %</w:t>
            </w:r>
          </w:p>
        </w:tc>
        <w:tc>
          <w:tcPr>
            <w:tcW w:w="1039" w:type="dxa"/>
            <w:tcBorders>
              <w:top w:val="single" w:sz="4" w:space="0" w:color="auto"/>
              <w:left w:val="nil"/>
              <w:bottom w:val="single" w:sz="4" w:space="0" w:color="auto"/>
              <w:right w:val="nil"/>
            </w:tcBorders>
            <w:noWrap/>
            <w:vAlign w:val="bottom"/>
          </w:tcPr>
          <w:p w14:paraId="67965A2C"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49,8 %</w:t>
            </w:r>
          </w:p>
        </w:tc>
        <w:tc>
          <w:tcPr>
            <w:tcW w:w="842" w:type="dxa"/>
            <w:tcBorders>
              <w:top w:val="single" w:sz="4" w:space="0" w:color="auto"/>
              <w:left w:val="nil"/>
              <w:bottom w:val="single" w:sz="4" w:space="0" w:color="auto"/>
              <w:right w:val="nil"/>
            </w:tcBorders>
            <w:noWrap/>
            <w:vAlign w:val="bottom"/>
          </w:tcPr>
          <w:p w14:paraId="0E0E264D"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3,2 %</w:t>
            </w:r>
          </w:p>
        </w:tc>
        <w:tc>
          <w:tcPr>
            <w:tcW w:w="960" w:type="dxa"/>
            <w:tcBorders>
              <w:top w:val="single" w:sz="4" w:space="0" w:color="auto"/>
              <w:left w:val="single" w:sz="4" w:space="0" w:color="auto"/>
              <w:bottom w:val="single" w:sz="4" w:space="0" w:color="auto"/>
              <w:right w:val="single" w:sz="4" w:space="0" w:color="auto"/>
            </w:tcBorders>
            <w:noWrap/>
            <w:vAlign w:val="bottom"/>
          </w:tcPr>
          <w:p w14:paraId="4FE0030E" w14:textId="6795E15C" w:rsidR="00971E00" w:rsidRPr="00266A9C" w:rsidRDefault="00971E00">
            <w:pPr>
              <w:widowControl w:val="0"/>
              <w:rPr>
                <w:rFonts w:ascii="Aptos Narrow" w:hAnsi="Aptos Narrow"/>
                <w:noProof/>
                <w:color w:val="000000"/>
                <w:sz w:val="22"/>
                <w:szCs w:val="22"/>
              </w:rPr>
            </w:pPr>
          </w:p>
        </w:tc>
        <w:tc>
          <w:tcPr>
            <w:tcW w:w="960" w:type="dxa"/>
            <w:tcBorders>
              <w:top w:val="single" w:sz="4" w:space="0" w:color="auto"/>
              <w:left w:val="single" w:sz="4" w:space="0" w:color="auto"/>
              <w:bottom w:val="single" w:sz="4" w:space="0" w:color="auto"/>
              <w:right w:val="single" w:sz="4" w:space="0" w:color="auto"/>
            </w:tcBorders>
          </w:tcPr>
          <w:p w14:paraId="5FE21AEF" w14:textId="77777777" w:rsidR="00971E00" w:rsidRPr="00266A9C" w:rsidRDefault="00971E00">
            <w:pPr>
              <w:widowControl w:val="0"/>
              <w:rPr>
                <w:rFonts w:ascii="Aptos Narrow" w:hAnsi="Aptos Narrow"/>
                <w:noProof/>
                <w:color w:val="000000"/>
                <w:sz w:val="22"/>
                <w:szCs w:val="22"/>
              </w:rPr>
            </w:pPr>
          </w:p>
        </w:tc>
      </w:tr>
      <w:tr w:rsidR="00971E00" w:rsidRPr="00266A9C" w14:paraId="56D469CA" w14:textId="77777777">
        <w:trPr>
          <w:trHeight w:val="290"/>
        </w:trPr>
        <w:tc>
          <w:tcPr>
            <w:tcW w:w="759" w:type="dxa"/>
            <w:tcBorders>
              <w:top w:val="nil"/>
              <w:left w:val="nil"/>
              <w:bottom w:val="nil"/>
              <w:right w:val="nil"/>
            </w:tcBorders>
            <w:shd w:val="clear" w:color="000000" w:fill="FFFFFF"/>
            <w:noWrap/>
            <w:vAlign w:val="bottom"/>
          </w:tcPr>
          <w:p w14:paraId="50E53623" w14:textId="7BF3728A" w:rsidR="00971E00" w:rsidRPr="00266A9C"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FFFFF"/>
            <w:noWrap/>
            <w:vAlign w:val="bottom"/>
          </w:tcPr>
          <w:p w14:paraId="045AB343" w14:textId="457E1C75" w:rsidR="00971E00" w:rsidRPr="00266A9C" w:rsidRDefault="00971E00">
            <w:pPr>
              <w:widowControl w:val="0"/>
              <w:rPr>
                <w:rFonts w:ascii="Aptos Narrow" w:hAnsi="Aptos Narrow"/>
                <w:noProof/>
                <w:color w:val="000000"/>
                <w:sz w:val="22"/>
                <w:szCs w:val="22"/>
              </w:rPr>
            </w:pPr>
          </w:p>
        </w:tc>
        <w:tc>
          <w:tcPr>
            <w:tcW w:w="842" w:type="dxa"/>
            <w:tcBorders>
              <w:top w:val="nil"/>
              <w:left w:val="nil"/>
              <w:bottom w:val="nil"/>
              <w:right w:val="nil"/>
            </w:tcBorders>
            <w:shd w:val="clear" w:color="000000" w:fill="FFFFFF"/>
            <w:noWrap/>
            <w:vAlign w:val="bottom"/>
          </w:tcPr>
          <w:p w14:paraId="269BCB56" w14:textId="121685F4" w:rsidR="00971E00" w:rsidRPr="00266A9C"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41D46C59" w14:textId="051DA621" w:rsidR="00971E00" w:rsidRPr="00266A9C"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0D4D5E76" w14:textId="5D7AF436" w:rsidR="00971E00" w:rsidRPr="00266A9C" w:rsidRDefault="00971E00">
            <w:pPr>
              <w:widowControl w:val="0"/>
              <w:rPr>
                <w:rFonts w:ascii="Aptos Narrow" w:hAnsi="Aptos Narrow"/>
                <w:noProof/>
                <w:color w:val="000000"/>
                <w:sz w:val="22"/>
                <w:szCs w:val="22"/>
              </w:rPr>
            </w:pPr>
          </w:p>
        </w:tc>
        <w:tc>
          <w:tcPr>
            <w:tcW w:w="1039" w:type="dxa"/>
            <w:tcBorders>
              <w:top w:val="nil"/>
              <w:left w:val="nil"/>
              <w:bottom w:val="nil"/>
              <w:right w:val="nil"/>
            </w:tcBorders>
            <w:shd w:val="clear" w:color="000000" w:fill="FFFFFF"/>
            <w:noWrap/>
            <w:vAlign w:val="bottom"/>
          </w:tcPr>
          <w:p w14:paraId="6C2D9D52" w14:textId="50F7AC9C" w:rsidR="00971E00" w:rsidRPr="00266A9C" w:rsidRDefault="00971E00">
            <w:pPr>
              <w:widowControl w:val="0"/>
              <w:rPr>
                <w:rFonts w:ascii="Aptos Narrow" w:hAnsi="Aptos Narrow"/>
                <w:noProof/>
                <w:color w:val="000000"/>
                <w:sz w:val="22"/>
                <w:szCs w:val="22"/>
              </w:rPr>
            </w:pPr>
          </w:p>
        </w:tc>
        <w:tc>
          <w:tcPr>
            <w:tcW w:w="842" w:type="dxa"/>
            <w:tcBorders>
              <w:top w:val="nil"/>
              <w:left w:val="nil"/>
              <w:bottom w:val="nil"/>
              <w:right w:val="nil"/>
            </w:tcBorders>
            <w:shd w:val="clear" w:color="000000" w:fill="FFFFFF"/>
            <w:noWrap/>
            <w:vAlign w:val="bottom"/>
          </w:tcPr>
          <w:p w14:paraId="2CF9456E" w14:textId="48A5B337" w:rsidR="00971E00" w:rsidRPr="00266A9C" w:rsidRDefault="00971E00">
            <w:pPr>
              <w:widowControl w:val="0"/>
              <w:rPr>
                <w:rFonts w:ascii="Aptos Narrow" w:hAnsi="Aptos Narrow"/>
                <w:noProof/>
                <w:color w:val="000000"/>
                <w:sz w:val="22"/>
                <w:szCs w:val="22"/>
              </w:rPr>
            </w:pPr>
          </w:p>
        </w:tc>
        <w:tc>
          <w:tcPr>
            <w:tcW w:w="960" w:type="dxa"/>
            <w:tcBorders>
              <w:top w:val="nil"/>
              <w:left w:val="nil"/>
              <w:bottom w:val="nil"/>
              <w:right w:val="nil"/>
            </w:tcBorders>
            <w:shd w:val="clear" w:color="000000" w:fill="FFFFFF"/>
            <w:noWrap/>
            <w:vAlign w:val="bottom"/>
          </w:tcPr>
          <w:p w14:paraId="71E96380" w14:textId="17D916F4" w:rsidR="00971E00" w:rsidRPr="00266A9C" w:rsidRDefault="00971E00">
            <w:pPr>
              <w:widowControl w:val="0"/>
              <w:rPr>
                <w:rFonts w:ascii="Aptos Narrow" w:hAnsi="Aptos Narrow"/>
                <w:noProof/>
                <w:color w:val="000000"/>
                <w:sz w:val="22"/>
                <w:szCs w:val="22"/>
              </w:rPr>
            </w:pPr>
          </w:p>
        </w:tc>
        <w:tc>
          <w:tcPr>
            <w:tcW w:w="960" w:type="dxa"/>
            <w:tcBorders>
              <w:top w:val="nil"/>
              <w:left w:val="nil"/>
              <w:bottom w:val="nil"/>
              <w:right w:val="nil"/>
            </w:tcBorders>
            <w:shd w:val="clear" w:color="000000" w:fill="FFFFFF"/>
          </w:tcPr>
          <w:p w14:paraId="219B1DD6" w14:textId="77777777" w:rsidR="00971E00" w:rsidRPr="00266A9C" w:rsidRDefault="00971E00">
            <w:pPr>
              <w:widowControl w:val="0"/>
              <w:rPr>
                <w:rFonts w:ascii="Aptos Narrow" w:hAnsi="Aptos Narrow"/>
                <w:noProof/>
                <w:color w:val="000000"/>
                <w:sz w:val="22"/>
                <w:szCs w:val="22"/>
              </w:rPr>
            </w:pPr>
          </w:p>
        </w:tc>
      </w:tr>
      <w:tr w:rsidR="00971E00" w:rsidRPr="00266A9C" w14:paraId="1E69AC6C" w14:textId="77777777">
        <w:trPr>
          <w:trHeight w:val="290"/>
        </w:trPr>
        <w:tc>
          <w:tcPr>
            <w:tcW w:w="1920" w:type="dxa"/>
            <w:gridSpan w:val="2"/>
            <w:tcBorders>
              <w:top w:val="single" w:sz="4" w:space="0" w:color="auto"/>
              <w:left w:val="single" w:sz="4" w:space="0" w:color="auto"/>
              <w:bottom w:val="nil"/>
              <w:right w:val="nil"/>
            </w:tcBorders>
            <w:shd w:val="clear" w:color="000000" w:fill="F2F2F2"/>
            <w:noWrap/>
            <w:vAlign w:val="bottom"/>
          </w:tcPr>
          <w:p w14:paraId="2DEB5C6D"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C1</w:t>
            </w:r>
          </w:p>
        </w:tc>
        <w:tc>
          <w:tcPr>
            <w:tcW w:w="4801" w:type="dxa"/>
            <w:gridSpan w:val="5"/>
            <w:tcBorders>
              <w:top w:val="single" w:sz="4" w:space="0" w:color="auto"/>
              <w:left w:val="nil"/>
              <w:bottom w:val="nil"/>
              <w:right w:val="single" w:sz="4" w:space="0" w:color="000000"/>
            </w:tcBorders>
            <w:noWrap/>
            <w:vAlign w:val="bottom"/>
          </w:tcPr>
          <w:p w14:paraId="3945869B"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Rezistența la rulare</w:t>
            </w:r>
          </w:p>
        </w:tc>
        <w:tc>
          <w:tcPr>
            <w:tcW w:w="960" w:type="dxa"/>
            <w:tcBorders>
              <w:top w:val="single" w:sz="4" w:space="0" w:color="auto"/>
              <w:left w:val="nil"/>
              <w:bottom w:val="nil"/>
              <w:right w:val="single" w:sz="4" w:space="0" w:color="auto"/>
            </w:tcBorders>
            <w:shd w:val="clear" w:color="000000" w:fill="FFFFFF"/>
            <w:noWrap/>
            <w:vAlign w:val="bottom"/>
          </w:tcPr>
          <w:p w14:paraId="3B49CD50" w14:textId="7E525D89" w:rsidR="00971E00" w:rsidRPr="00266A9C" w:rsidRDefault="00971E00">
            <w:pPr>
              <w:widowControl w:val="0"/>
              <w:rPr>
                <w:rFonts w:ascii="Aptos Narrow" w:hAnsi="Aptos Narrow"/>
                <w:noProof/>
                <w:color w:val="000000"/>
                <w:sz w:val="22"/>
                <w:szCs w:val="22"/>
              </w:rPr>
            </w:pPr>
          </w:p>
        </w:tc>
        <w:tc>
          <w:tcPr>
            <w:tcW w:w="960" w:type="dxa"/>
            <w:tcBorders>
              <w:top w:val="single" w:sz="4" w:space="0" w:color="auto"/>
              <w:left w:val="nil"/>
              <w:bottom w:val="nil"/>
              <w:right w:val="single" w:sz="4" w:space="0" w:color="auto"/>
            </w:tcBorders>
            <w:shd w:val="clear" w:color="000000" w:fill="FFFFFF"/>
          </w:tcPr>
          <w:p w14:paraId="19564A36" w14:textId="77777777" w:rsidR="00971E00" w:rsidRPr="00266A9C" w:rsidRDefault="00971E00">
            <w:pPr>
              <w:widowControl w:val="0"/>
              <w:rPr>
                <w:rFonts w:ascii="Aptos Narrow" w:hAnsi="Aptos Narrow"/>
                <w:noProof/>
                <w:color w:val="000000"/>
                <w:sz w:val="22"/>
                <w:szCs w:val="22"/>
              </w:rPr>
            </w:pPr>
          </w:p>
        </w:tc>
      </w:tr>
      <w:tr w:rsidR="00971E00" w:rsidRPr="00266A9C" w14:paraId="2DCFB0EE" w14:textId="77777777">
        <w:trPr>
          <w:trHeight w:val="290"/>
        </w:trPr>
        <w:tc>
          <w:tcPr>
            <w:tcW w:w="759" w:type="dxa"/>
            <w:tcBorders>
              <w:top w:val="nil"/>
              <w:left w:val="single" w:sz="4" w:space="0" w:color="auto"/>
              <w:bottom w:val="nil"/>
              <w:right w:val="nil"/>
            </w:tcBorders>
            <w:shd w:val="clear" w:color="000000" w:fill="F2F2F2"/>
            <w:noWrap/>
            <w:vAlign w:val="bottom"/>
          </w:tcPr>
          <w:p w14:paraId="5708648E" w14:textId="38DB5B3D" w:rsidR="00971E00" w:rsidRPr="00266A9C" w:rsidRDefault="00971E00">
            <w:pPr>
              <w:widowControl w:val="0"/>
              <w:rPr>
                <w:rFonts w:ascii="Aptos Narrow" w:hAnsi="Aptos Narrow"/>
                <w:noProof/>
                <w:color w:val="000000"/>
                <w:sz w:val="22"/>
                <w:szCs w:val="22"/>
              </w:rPr>
            </w:pPr>
          </w:p>
        </w:tc>
        <w:tc>
          <w:tcPr>
            <w:tcW w:w="1161" w:type="dxa"/>
            <w:tcBorders>
              <w:top w:val="nil"/>
              <w:left w:val="nil"/>
              <w:bottom w:val="nil"/>
              <w:right w:val="nil"/>
            </w:tcBorders>
            <w:shd w:val="clear" w:color="000000" w:fill="F2F2F2"/>
            <w:noWrap/>
            <w:vAlign w:val="bottom"/>
          </w:tcPr>
          <w:p w14:paraId="780673B3"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2024</w:t>
            </w:r>
          </w:p>
        </w:tc>
        <w:tc>
          <w:tcPr>
            <w:tcW w:w="842" w:type="dxa"/>
            <w:tcBorders>
              <w:top w:val="nil"/>
              <w:left w:val="nil"/>
              <w:bottom w:val="nil"/>
              <w:right w:val="nil"/>
            </w:tcBorders>
            <w:shd w:val="clear" w:color="000000" w:fill="00B050"/>
            <w:noWrap/>
            <w:vAlign w:val="bottom"/>
          </w:tcPr>
          <w:p w14:paraId="2A918B3F"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A</w:t>
            </w:r>
          </w:p>
        </w:tc>
        <w:tc>
          <w:tcPr>
            <w:tcW w:w="1039" w:type="dxa"/>
            <w:tcBorders>
              <w:top w:val="nil"/>
              <w:left w:val="nil"/>
              <w:bottom w:val="nil"/>
              <w:right w:val="nil"/>
            </w:tcBorders>
            <w:shd w:val="clear" w:color="000000" w:fill="92D050"/>
            <w:noWrap/>
            <w:vAlign w:val="bottom"/>
          </w:tcPr>
          <w:p w14:paraId="2C97B50C"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B</w:t>
            </w:r>
          </w:p>
        </w:tc>
        <w:tc>
          <w:tcPr>
            <w:tcW w:w="1039" w:type="dxa"/>
            <w:tcBorders>
              <w:top w:val="nil"/>
              <w:left w:val="nil"/>
              <w:bottom w:val="nil"/>
              <w:right w:val="nil"/>
            </w:tcBorders>
            <w:shd w:val="clear" w:color="000000" w:fill="FFFF00"/>
            <w:noWrap/>
            <w:vAlign w:val="bottom"/>
          </w:tcPr>
          <w:p w14:paraId="530959EF"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C</w:t>
            </w:r>
          </w:p>
        </w:tc>
        <w:tc>
          <w:tcPr>
            <w:tcW w:w="1039" w:type="dxa"/>
            <w:tcBorders>
              <w:top w:val="nil"/>
              <w:left w:val="nil"/>
              <w:bottom w:val="nil"/>
              <w:right w:val="nil"/>
            </w:tcBorders>
            <w:shd w:val="clear" w:color="000000" w:fill="F1A983"/>
            <w:noWrap/>
            <w:vAlign w:val="bottom"/>
          </w:tcPr>
          <w:p w14:paraId="28CC1817"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D</w:t>
            </w:r>
          </w:p>
        </w:tc>
        <w:tc>
          <w:tcPr>
            <w:tcW w:w="842" w:type="dxa"/>
            <w:tcBorders>
              <w:top w:val="nil"/>
              <w:left w:val="nil"/>
              <w:bottom w:val="nil"/>
              <w:right w:val="nil"/>
            </w:tcBorders>
            <w:shd w:val="clear" w:color="000000" w:fill="FF0000"/>
            <w:noWrap/>
            <w:vAlign w:val="bottom"/>
          </w:tcPr>
          <w:p w14:paraId="38C50445"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E</w:t>
            </w:r>
          </w:p>
        </w:tc>
        <w:tc>
          <w:tcPr>
            <w:tcW w:w="960" w:type="dxa"/>
            <w:tcBorders>
              <w:top w:val="nil"/>
              <w:left w:val="single" w:sz="4" w:space="0" w:color="auto"/>
              <w:bottom w:val="nil"/>
              <w:right w:val="single" w:sz="4" w:space="0" w:color="auto"/>
            </w:tcBorders>
            <w:shd w:val="clear" w:color="000000" w:fill="FFFFFF"/>
            <w:noWrap/>
            <w:vAlign w:val="bottom"/>
          </w:tcPr>
          <w:p w14:paraId="7941A3B4" w14:textId="52480069" w:rsidR="00971E00" w:rsidRPr="00266A9C" w:rsidRDefault="00971E00">
            <w:pPr>
              <w:widowControl w:val="0"/>
              <w:rPr>
                <w:rFonts w:ascii="Aptos Narrow" w:hAnsi="Aptos Narrow"/>
                <w:noProof/>
                <w:color w:val="000000"/>
                <w:sz w:val="22"/>
                <w:szCs w:val="22"/>
              </w:rPr>
            </w:pPr>
          </w:p>
        </w:tc>
        <w:tc>
          <w:tcPr>
            <w:tcW w:w="960" w:type="dxa"/>
            <w:tcBorders>
              <w:top w:val="nil"/>
              <w:left w:val="single" w:sz="4" w:space="0" w:color="auto"/>
              <w:bottom w:val="nil"/>
              <w:right w:val="single" w:sz="4" w:space="0" w:color="auto"/>
            </w:tcBorders>
            <w:shd w:val="clear" w:color="000000" w:fill="FFFFFF"/>
          </w:tcPr>
          <w:p w14:paraId="66322C05" w14:textId="77777777" w:rsidR="00971E00" w:rsidRPr="00266A9C" w:rsidRDefault="00971E00">
            <w:pPr>
              <w:widowControl w:val="0"/>
              <w:rPr>
                <w:rFonts w:ascii="Aptos Narrow" w:hAnsi="Aptos Narrow"/>
                <w:noProof/>
                <w:color w:val="000000"/>
                <w:sz w:val="22"/>
                <w:szCs w:val="22"/>
              </w:rPr>
            </w:pPr>
          </w:p>
        </w:tc>
      </w:tr>
      <w:tr w:rsidR="00971E00" w:rsidRPr="00266A9C" w14:paraId="6298B2FA" w14:textId="77777777">
        <w:trPr>
          <w:trHeight w:val="290"/>
        </w:trPr>
        <w:tc>
          <w:tcPr>
            <w:tcW w:w="759" w:type="dxa"/>
            <w:vMerge w:val="restart"/>
            <w:tcBorders>
              <w:top w:val="nil"/>
              <w:left w:val="single" w:sz="4" w:space="0" w:color="auto"/>
              <w:bottom w:val="single" w:sz="4" w:space="0" w:color="000000"/>
              <w:right w:val="nil"/>
            </w:tcBorders>
            <w:noWrap/>
            <w:textDirection w:val="btLr"/>
            <w:vAlign w:val="center"/>
          </w:tcPr>
          <w:p w14:paraId="13C370A2"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Aderența pe teren umed</w:t>
            </w:r>
          </w:p>
        </w:tc>
        <w:tc>
          <w:tcPr>
            <w:tcW w:w="1161" w:type="dxa"/>
            <w:tcBorders>
              <w:top w:val="nil"/>
              <w:left w:val="nil"/>
              <w:bottom w:val="nil"/>
              <w:right w:val="nil"/>
            </w:tcBorders>
            <w:shd w:val="clear" w:color="000000" w:fill="4F81BD"/>
            <w:noWrap/>
            <w:vAlign w:val="bottom"/>
          </w:tcPr>
          <w:p w14:paraId="4BC4A5FB"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A</w:t>
            </w:r>
          </w:p>
        </w:tc>
        <w:tc>
          <w:tcPr>
            <w:tcW w:w="842" w:type="dxa"/>
            <w:tcBorders>
              <w:top w:val="nil"/>
              <w:left w:val="nil"/>
              <w:bottom w:val="nil"/>
              <w:right w:val="nil"/>
            </w:tcBorders>
            <w:noWrap/>
            <w:vAlign w:val="bottom"/>
          </w:tcPr>
          <w:p w14:paraId="522071B0"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1,1 %</w:t>
            </w:r>
          </w:p>
        </w:tc>
        <w:tc>
          <w:tcPr>
            <w:tcW w:w="1039" w:type="dxa"/>
            <w:tcBorders>
              <w:top w:val="nil"/>
              <w:left w:val="nil"/>
              <w:bottom w:val="nil"/>
              <w:right w:val="nil"/>
            </w:tcBorders>
            <w:shd w:val="clear" w:color="000000" w:fill="D9D9D9"/>
            <w:noWrap/>
            <w:vAlign w:val="bottom"/>
          </w:tcPr>
          <w:p w14:paraId="41B64F2B"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5,1 %</w:t>
            </w:r>
          </w:p>
        </w:tc>
        <w:tc>
          <w:tcPr>
            <w:tcW w:w="1039" w:type="dxa"/>
            <w:tcBorders>
              <w:top w:val="nil"/>
              <w:left w:val="nil"/>
              <w:bottom w:val="nil"/>
              <w:right w:val="nil"/>
            </w:tcBorders>
            <w:shd w:val="clear" w:color="000000" w:fill="D9D9D9"/>
            <w:noWrap/>
            <w:vAlign w:val="bottom"/>
          </w:tcPr>
          <w:p w14:paraId="0A08037C"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9,5 %</w:t>
            </w:r>
          </w:p>
        </w:tc>
        <w:tc>
          <w:tcPr>
            <w:tcW w:w="1039" w:type="dxa"/>
            <w:tcBorders>
              <w:top w:val="nil"/>
              <w:left w:val="nil"/>
              <w:bottom w:val="nil"/>
              <w:right w:val="nil"/>
            </w:tcBorders>
            <w:noWrap/>
            <w:vAlign w:val="bottom"/>
          </w:tcPr>
          <w:p w14:paraId="707A5DDF"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3,6 %</w:t>
            </w:r>
          </w:p>
        </w:tc>
        <w:tc>
          <w:tcPr>
            <w:tcW w:w="842" w:type="dxa"/>
            <w:tcBorders>
              <w:top w:val="nil"/>
              <w:left w:val="nil"/>
              <w:bottom w:val="nil"/>
              <w:right w:val="nil"/>
            </w:tcBorders>
            <w:noWrap/>
            <w:vAlign w:val="bottom"/>
          </w:tcPr>
          <w:p w14:paraId="21702C33"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0,0 %</w:t>
            </w:r>
          </w:p>
        </w:tc>
        <w:tc>
          <w:tcPr>
            <w:tcW w:w="960" w:type="dxa"/>
            <w:tcBorders>
              <w:top w:val="nil"/>
              <w:left w:val="single" w:sz="4" w:space="0" w:color="auto"/>
              <w:bottom w:val="nil"/>
              <w:right w:val="single" w:sz="4" w:space="0" w:color="auto"/>
            </w:tcBorders>
            <w:noWrap/>
            <w:vAlign w:val="bottom"/>
          </w:tcPr>
          <w:p w14:paraId="675C617D"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19,4 %</w:t>
            </w:r>
          </w:p>
        </w:tc>
        <w:tc>
          <w:tcPr>
            <w:tcW w:w="960" w:type="dxa"/>
            <w:tcBorders>
              <w:top w:val="nil"/>
              <w:left w:val="single" w:sz="4" w:space="0" w:color="auto"/>
              <w:bottom w:val="nil"/>
              <w:right w:val="single" w:sz="4" w:space="0" w:color="auto"/>
            </w:tcBorders>
          </w:tcPr>
          <w:p w14:paraId="5E14E4C1"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213B2BF8" w14:textId="77777777">
        <w:trPr>
          <w:trHeight w:val="290"/>
        </w:trPr>
        <w:tc>
          <w:tcPr>
            <w:tcW w:w="759" w:type="dxa"/>
            <w:vMerge/>
            <w:tcBorders>
              <w:top w:val="nil"/>
              <w:left w:val="single" w:sz="4" w:space="0" w:color="auto"/>
              <w:bottom w:val="single" w:sz="4" w:space="0" w:color="000000"/>
              <w:right w:val="nil"/>
            </w:tcBorders>
            <w:vAlign w:val="center"/>
          </w:tcPr>
          <w:p w14:paraId="17170C1F" w14:textId="77777777" w:rsidR="00971E00" w:rsidRPr="00266A9C"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D93D9"/>
            <w:noWrap/>
            <w:vAlign w:val="bottom"/>
          </w:tcPr>
          <w:p w14:paraId="6A38B8EE"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B</w:t>
            </w:r>
          </w:p>
        </w:tc>
        <w:tc>
          <w:tcPr>
            <w:tcW w:w="842" w:type="dxa"/>
            <w:tcBorders>
              <w:top w:val="nil"/>
              <w:left w:val="nil"/>
              <w:bottom w:val="nil"/>
              <w:right w:val="nil"/>
            </w:tcBorders>
            <w:noWrap/>
            <w:vAlign w:val="bottom"/>
          </w:tcPr>
          <w:p w14:paraId="1D1B8118"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2,2 %</w:t>
            </w:r>
          </w:p>
        </w:tc>
        <w:tc>
          <w:tcPr>
            <w:tcW w:w="1039" w:type="dxa"/>
            <w:tcBorders>
              <w:top w:val="nil"/>
              <w:left w:val="nil"/>
              <w:bottom w:val="nil"/>
              <w:right w:val="nil"/>
            </w:tcBorders>
            <w:shd w:val="clear" w:color="000000" w:fill="D9D9D9"/>
            <w:noWrap/>
            <w:vAlign w:val="bottom"/>
          </w:tcPr>
          <w:p w14:paraId="43342825"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6,6 %</w:t>
            </w:r>
          </w:p>
        </w:tc>
        <w:tc>
          <w:tcPr>
            <w:tcW w:w="1039" w:type="dxa"/>
            <w:tcBorders>
              <w:top w:val="nil"/>
              <w:left w:val="nil"/>
              <w:bottom w:val="nil"/>
              <w:right w:val="nil"/>
            </w:tcBorders>
            <w:shd w:val="clear" w:color="000000" w:fill="A6A6A6"/>
            <w:noWrap/>
            <w:vAlign w:val="bottom"/>
          </w:tcPr>
          <w:p w14:paraId="42F4F6A6"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24,9 %</w:t>
            </w:r>
          </w:p>
        </w:tc>
        <w:tc>
          <w:tcPr>
            <w:tcW w:w="1039" w:type="dxa"/>
            <w:tcBorders>
              <w:top w:val="nil"/>
              <w:left w:val="nil"/>
              <w:bottom w:val="nil"/>
              <w:right w:val="nil"/>
            </w:tcBorders>
            <w:shd w:val="clear" w:color="000000" w:fill="D9D9D9"/>
            <w:noWrap/>
            <w:vAlign w:val="bottom"/>
          </w:tcPr>
          <w:p w14:paraId="4AA704A9"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7,7 %</w:t>
            </w:r>
          </w:p>
        </w:tc>
        <w:tc>
          <w:tcPr>
            <w:tcW w:w="842" w:type="dxa"/>
            <w:tcBorders>
              <w:top w:val="nil"/>
              <w:left w:val="nil"/>
              <w:bottom w:val="nil"/>
              <w:right w:val="nil"/>
            </w:tcBorders>
            <w:noWrap/>
            <w:vAlign w:val="bottom"/>
          </w:tcPr>
          <w:p w14:paraId="046AB6BE"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0,6 %</w:t>
            </w:r>
          </w:p>
        </w:tc>
        <w:tc>
          <w:tcPr>
            <w:tcW w:w="960" w:type="dxa"/>
            <w:tcBorders>
              <w:top w:val="nil"/>
              <w:left w:val="single" w:sz="4" w:space="0" w:color="auto"/>
              <w:bottom w:val="nil"/>
              <w:right w:val="single" w:sz="4" w:space="0" w:color="auto"/>
            </w:tcBorders>
            <w:noWrap/>
            <w:vAlign w:val="bottom"/>
          </w:tcPr>
          <w:p w14:paraId="0CF1475B"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42,1 %</w:t>
            </w:r>
          </w:p>
        </w:tc>
        <w:tc>
          <w:tcPr>
            <w:tcW w:w="960" w:type="dxa"/>
            <w:tcBorders>
              <w:top w:val="nil"/>
              <w:left w:val="single" w:sz="4" w:space="0" w:color="auto"/>
              <w:bottom w:val="nil"/>
              <w:right w:val="single" w:sz="4" w:space="0" w:color="auto"/>
            </w:tcBorders>
          </w:tcPr>
          <w:p w14:paraId="1F4B279B"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01CBA604" w14:textId="77777777">
        <w:trPr>
          <w:trHeight w:val="290"/>
        </w:trPr>
        <w:tc>
          <w:tcPr>
            <w:tcW w:w="759" w:type="dxa"/>
            <w:vMerge/>
            <w:tcBorders>
              <w:top w:val="nil"/>
              <w:left w:val="single" w:sz="4" w:space="0" w:color="auto"/>
              <w:bottom w:val="single" w:sz="4" w:space="0" w:color="000000"/>
              <w:right w:val="nil"/>
            </w:tcBorders>
            <w:vAlign w:val="center"/>
          </w:tcPr>
          <w:p w14:paraId="76128795" w14:textId="77777777" w:rsidR="00971E00" w:rsidRPr="00266A9C"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44B3E1"/>
            <w:noWrap/>
            <w:vAlign w:val="bottom"/>
          </w:tcPr>
          <w:p w14:paraId="3FE84BB3"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C</w:t>
            </w:r>
          </w:p>
        </w:tc>
        <w:tc>
          <w:tcPr>
            <w:tcW w:w="842" w:type="dxa"/>
            <w:tcBorders>
              <w:top w:val="nil"/>
              <w:left w:val="nil"/>
              <w:bottom w:val="nil"/>
              <w:right w:val="nil"/>
            </w:tcBorders>
            <w:noWrap/>
            <w:vAlign w:val="bottom"/>
          </w:tcPr>
          <w:p w14:paraId="4DACF382"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0,3 %</w:t>
            </w:r>
          </w:p>
        </w:tc>
        <w:tc>
          <w:tcPr>
            <w:tcW w:w="1039" w:type="dxa"/>
            <w:tcBorders>
              <w:top w:val="nil"/>
              <w:left w:val="nil"/>
              <w:bottom w:val="nil"/>
              <w:right w:val="nil"/>
            </w:tcBorders>
            <w:noWrap/>
            <w:vAlign w:val="bottom"/>
          </w:tcPr>
          <w:p w14:paraId="7F06A820"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1,3 %</w:t>
            </w:r>
          </w:p>
        </w:tc>
        <w:tc>
          <w:tcPr>
            <w:tcW w:w="1039" w:type="dxa"/>
            <w:tcBorders>
              <w:top w:val="nil"/>
              <w:left w:val="nil"/>
              <w:bottom w:val="nil"/>
              <w:right w:val="nil"/>
            </w:tcBorders>
            <w:shd w:val="clear" w:color="000000" w:fill="A6A6A6"/>
            <w:noWrap/>
            <w:vAlign w:val="bottom"/>
          </w:tcPr>
          <w:p w14:paraId="3D6CD507"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17,6 %</w:t>
            </w:r>
          </w:p>
        </w:tc>
        <w:tc>
          <w:tcPr>
            <w:tcW w:w="1039" w:type="dxa"/>
            <w:tcBorders>
              <w:top w:val="nil"/>
              <w:left w:val="nil"/>
              <w:bottom w:val="nil"/>
              <w:right w:val="nil"/>
            </w:tcBorders>
            <w:shd w:val="clear" w:color="000000" w:fill="D9D9D9"/>
            <w:noWrap/>
            <w:vAlign w:val="bottom"/>
          </w:tcPr>
          <w:p w14:paraId="13353BB2" w14:textId="77777777" w:rsidR="00971E00" w:rsidRPr="00266A9C" w:rsidRDefault="00971E00">
            <w:pPr>
              <w:widowControl w:val="0"/>
              <w:jc w:val="center"/>
              <w:rPr>
                <w:rFonts w:ascii="Aptos Narrow" w:hAnsi="Aptos Narrow"/>
                <w:b/>
                <w:bCs/>
                <w:noProof/>
                <w:color w:val="000000"/>
                <w:sz w:val="22"/>
                <w:szCs w:val="22"/>
              </w:rPr>
            </w:pPr>
            <w:r w:rsidRPr="00266A9C">
              <w:rPr>
                <w:rFonts w:ascii="Aptos Narrow" w:hAnsi="Aptos Narrow"/>
                <w:b/>
                <w:noProof/>
                <w:color w:val="000000"/>
                <w:sz w:val="22"/>
              </w:rPr>
              <w:t>7,5 %</w:t>
            </w:r>
          </w:p>
        </w:tc>
        <w:tc>
          <w:tcPr>
            <w:tcW w:w="842" w:type="dxa"/>
            <w:tcBorders>
              <w:top w:val="nil"/>
              <w:left w:val="nil"/>
              <w:bottom w:val="nil"/>
              <w:right w:val="nil"/>
            </w:tcBorders>
            <w:noWrap/>
            <w:vAlign w:val="bottom"/>
          </w:tcPr>
          <w:p w14:paraId="7C3FE072"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0,4 %</w:t>
            </w:r>
          </w:p>
        </w:tc>
        <w:tc>
          <w:tcPr>
            <w:tcW w:w="960" w:type="dxa"/>
            <w:tcBorders>
              <w:top w:val="nil"/>
              <w:left w:val="single" w:sz="4" w:space="0" w:color="auto"/>
              <w:bottom w:val="nil"/>
              <w:right w:val="single" w:sz="4" w:space="0" w:color="auto"/>
            </w:tcBorders>
            <w:noWrap/>
            <w:vAlign w:val="bottom"/>
          </w:tcPr>
          <w:p w14:paraId="39926BE0"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27,2 %</w:t>
            </w:r>
          </w:p>
        </w:tc>
        <w:tc>
          <w:tcPr>
            <w:tcW w:w="960" w:type="dxa"/>
            <w:tcBorders>
              <w:top w:val="nil"/>
              <w:left w:val="single" w:sz="4" w:space="0" w:color="auto"/>
              <w:bottom w:val="nil"/>
              <w:right w:val="single" w:sz="4" w:space="0" w:color="auto"/>
            </w:tcBorders>
          </w:tcPr>
          <w:p w14:paraId="414150F5"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3160F594" w14:textId="77777777">
        <w:trPr>
          <w:trHeight w:val="290"/>
        </w:trPr>
        <w:tc>
          <w:tcPr>
            <w:tcW w:w="759" w:type="dxa"/>
            <w:vMerge/>
            <w:tcBorders>
              <w:top w:val="nil"/>
              <w:left w:val="single" w:sz="4" w:space="0" w:color="auto"/>
              <w:bottom w:val="single" w:sz="4" w:space="0" w:color="000000"/>
              <w:right w:val="nil"/>
            </w:tcBorders>
            <w:vAlign w:val="center"/>
          </w:tcPr>
          <w:p w14:paraId="7CACA737" w14:textId="77777777" w:rsidR="00971E00" w:rsidRPr="00266A9C"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83CCEB"/>
            <w:noWrap/>
            <w:vAlign w:val="bottom"/>
          </w:tcPr>
          <w:p w14:paraId="0697D8EE"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D</w:t>
            </w:r>
          </w:p>
        </w:tc>
        <w:tc>
          <w:tcPr>
            <w:tcW w:w="842" w:type="dxa"/>
            <w:tcBorders>
              <w:top w:val="nil"/>
              <w:left w:val="nil"/>
              <w:bottom w:val="nil"/>
              <w:right w:val="nil"/>
            </w:tcBorders>
            <w:noWrap/>
            <w:vAlign w:val="bottom"/>
          </w:tcPr>
          <w:p w14:paraId="0A69D4E4"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0,2 %</w:t>
            </w:r>
          </w:p>
        </w:tc>
        <w:tc>
          <w:tcPr>
            <w:tcW w:w="1039" w:type="dxa"/>
            <w:tcBorders>
              <w:top w:val="nil"/>
              <w:left w:val="nil"/>
              <w:bottom w:val="nil"/>
              <w:right w:val="nil"/>
            </w:tcBorders>
            <w:noWrap/>
            <w:vAlign w:val="bottom"/>
          </w:tcPr>
          <w:p w14:paraId="1918EBAC"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0,6 %</w:t>
            </w:r>
          </w:p>
        </w:tc>
        <w:tc>
          <w:tcPr>
            <w:tcW w:w="1039" w:type="dxa"/>
            <w:tcBorders>
              <w:top w:val="nil"/>
              <w:left w:val="nil"/>
              <w:bottom w:val="nil"/>
              <w:right w:val="nil"/>
            </w:tcBorders>
            <w:noWrap/>
            <w:vAlign w:val="bottom"/>
          </w:tcPr>
          <w:p w14:paraId="6C15EBD7"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3,7 %</w:t>
            </w:r>
          </w:p>
        </w:tc>
        <w:tc>
          <w:tcPr>
            <w:tcW w:w="1039" w:type="dxa"/>
            <w:tcBorders>
              <w:top w:val="nil"/>
              <w:left w:val="nil"/>
              <w:bottom w:val="nil"/>
              <w:right w:val="nil"/>
            </w:tcBorders>
            <w:noWrap/>
            <w:vAlign w:val="bottom"/>
          </w:tcPr>
          <w:p w14:paraId="20058674"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4,9 %</w:t>
            </w:r>
          </w:p>
        </w:tc>
        <w:tc>
          <w:tcPr>
            <w:tcW w:w="842" w:type="dxa"/>
            <w:tcBorders>
              <w:top w:val="nil"/>
              <w:left w:val="nil"/>
              <w:bottom w:val="nil"/>
              <w:right w:val="nil"/>
            </w:tcBorders>
            <w:noWrap/>
            <w:vAlign w:val="bottom"/>
          </w:tcPr>
          <w:p w14:paraId="0F03C09F"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0,5 %</w:t>
            </w:r>
          </w:p>
        </w:tc>
        <w:tc>
          <w:tcPr>
            <w:tcW w:w="960" w:type="dxa"/>
            <w:tcBorders>
              <w:top w:val="nil"/>
              <w:left w:val="single" w:sz="4" w:space="0" w:color="auto"/>
              <w:bottom w:val="nil"/>
              <w:right w:val="single" w:sz="4" w:space="0" w:color="auto"/>
            </w:tcBorders>
            <w:noWrap/>
            <w:vAlign w:val="bottom"/>
          </w:tcPr>
          <w:p w14:paraId="1E015B3F"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9,9 %</w:t>
            </w:r>
          </w:p>
        </w:tc>
        <w:tc>
          <w:tcPr>
            <w:tcW w:w="960" w:type="dxa"/>
            <w:tcBorders>
              <w:top w:val="nil"/>
              <w:left w:val="single" w:sz="4" w:space="0" w:color="auto"/>
              <w:bottom w:val="nil"/>
              <w:right w:val="single" w:sz="4" w:space="0" w:color="auto"/>
            </w:tcBorders>
          </w:tcPr>
          <w:p w14:paraId="35163E4E"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3E866089" w14:textId="77777777">
        <w:trPr>
          <w:trHeight w:val="290"/>
        </w:trPr>
        <w:tc>
          <w:tcPr>
            <w:tcW w:w="759" w:type="dxa"/>
            <w:vMerge/>
            <w:tcBorders>
              <w:top w:val="nil"/>
              <w:left w:val="single" w:sz="4" w:space="0" w:color="auto"/>
              <w:bottom w:val="single" w:sz="4" w:space="0" w:color="000000"/>
              <w:right w:val="nil"/>
            </w:tcBorders>
            <w:vAlign w:val="center"/>
          </w:tcPr>
          <w:p w14:paraId="6FB9EDED" w14:textId="77777777" w:rsidR="00971E00" w:rsidRPr="00266A9C" w:rsidRDefault="00971E00">
            <w:pPr>
              <w:widowControl w:val="0"/>
              <w:rPr>
                <w:rFonts w:ascii="Aptos Narrow" w:hAnsi="Aptos Narrow"/>
                <w:b/>
                <w:bCs/>
                <w:noProof/>
                <w:color w:val="000000"/>
                <w:sz w:val="22"/>
                <w:szCs w:val="22"/>
              </w:rPr>
            </w:pPr>
          </w:p>
        </w:tc>
        <w:tc>
          <w:tcPr>
            <w:tcW w:w="1161" w:type="dxa"/>
            <w:tcBorders>
              <w:top w:val="nil"/>
              <w:left w:val="nil"/>
              <w:bottom w:val="nil"/>
              <w:right w:val="nil"/>
            </w:tcBorders>
            <w:shd w:val="clear" w:color="000000" w:fill="CAEDFB"/>
            <w:noWrap/>
            <w:vAlign w:val="bottom"/>
          </w:tcPr>
          <w:p w14:paraId="4AE9A205" w14:textId="77777777" w:rsidR="00971E00" w:rsidRPr="00266A9C" w:rsidRDefault="00971E00">
            <w:pPr>
              <w:widowControl w:val="0"/>
              <w:jc w:val="center"/>
              <w:rPr>
                <w:rFonts w:ascii="Aptos Narrow" w:hAnsi="Aptos Narrow"/>
                <w:b/>
                <w:bCs/>
                <w:noProof/>
                <w:color w:val="FFFFFF"/>
                <w:sz w:val="22"/>
                <w:szCs w:val="22"/>
              </w:rPr>
            </w:pPr>
            <w:r w:rsidRPr="00266A9C">
              <w:rPr>
                <w:rFonts w:ascii="Aptos Narrow" w:hAnsi="Aptos Narrow"/>
                <w:b/>
                <w:noProof/>
                <w:color w:val="FFFFFF"/>
                <w:sz w:val="22"/>
              </w:rPr>
              <w:t>E</w:t>
            </w:r>
          </w:p>
        </w:tc>
        <w:tc>
          <w:tcPr>
            <w:tcW w:w="842" w:type="dxa"/>
            <w:tcBorders>
              <w:top w:val="nil"/>
              <w:left w:val="nil"/>
              <w:bottom w:val="nil"/>
              <w:right w:val="nil"/>
            </w:tcBorders>
            <w:noWrap/>
            <w:vAlign w:val="bottom"/>
          </w:tcPr>
          <w:p w14:paraId="7FF97CA5"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0,0 %</w:t>
            </w:r>
          </w:p>
        </w:tc>
        <w:tc>
          <w:tcPr>
            <w:tcW w:w="1039" w:type="dxa"/>
            <w:tcBorders>
              <w:top w:val="nil"/>
              <w:left w:val="nil"/>
              <w:bottom w:val="nil"/>
              <w:right w:val="nil"/>
            </w:tcBorders>
            <w:noWrap/>
            <w:vAlign w:val="bottom"/>
          </w:tcPr>
          <w:p w14:paraId="212FB630"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0,1 %</w:t>
            </w:r>
          </w:p>
        </w:tc>
        <w:tc>
          <w:tcPr>
            <w:tcW w:w="1039" w:type="dxa"/>
            <w:tcBorders>
              <w:top w:val="nil"/>
              <w:left w:val="nil"/>
              <w:bottom w:val="nil"/>
              <w:right w:val="nil"/>
            </w:tcBorders>
            <w:noWrap/>
            <w:vAlign w:val="bottom"/>
          </w:tcPr>
          <w:p w14:paraId="3E6D06CF"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1,1 %</w:t>
            </w:r>
          </w:p>
        </w:tc>
        <w:tc>
          <w:tcPr>
            <w:tcW w:w="1039" w:type="dxa"/>
            <w:tcBorders>
              <w:top w:val="nil"/>
              <w:left w:val="nil"/>
              <w:bottom w:val="nil"/>
              <w:right w:val="nil"/>
            </w:tcBorders>
            <w:noWrap/>
            <w:vAlign w:val="bottom"/>
          </w:tcPr>
          <w:p w14:paraId="77AB15F4"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0,1 %</w:t>
            </w:r>
          </w:p>
        </w:tc>
        <w:tc>
          <w:tcPr>
            <w:tcW w:w="842" w:type="dxa"/>
            <w:tcBorders>
              <w:top w:val="nil"/>
              <w:left w:val="nil"/>
              <w:bottom w:val="nil"/>
              <w:right w:val="nil"/>
            </w:tcBorders>
            <w:noWrap/>
            <w:vAlign w:val="bottom"/>
          </w:tcPr>
          <w:p w14:paraId="79761AE9"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0,1 %</w:t>
            </w:r>
          </w:p>
        </w:tc>
        <w:tc>
          <w:tcPr>
            <w:tcW w:w="960" w:type="dxa"/>
            <w:tcBorders>
              <w:top w:val="nil"/>
              <w:left w:val="single" w:sz="4" w:space="0" w:color="auto"/>
              <w:bottom w:val="nil"/>
              <w:right w:val="single" w:sz="4" w:space="0" w:color="auto"/>
            </w:tcBorders>
            <w:noWrap/>
            <w:vAlign w:val="bottom"/>
          </w:tcPr>
          <w:p w14:paraId="42F364CA"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1,4 %</w:t>
            </w:r>
          </w:p>
        </w:tc>
        <w:tc>
          <w:tcPr>
            <w:tcW w:w="960" w:type="dxa"/>
            <w:tcBorders>
              <w:top w:val="nil"/>
              <w:left w:val="single" w:sz="4" w:space="0" w:color="auto"/>
              <w:bottom w:val="nil"/>
              <w:right w:val="single" w:sz="4" w:space="0" w:color="auto"/>
            </w:tcBorders>
          </w:tcPr>
          <w:p w14:paraId="0E6E74E0" w14:textId="77777777" w:rsidR="00971E00" w:rsidRPr="00266A9C" w:rsidRDefault="00971E00">
            <w:pPr>
              <w:widowControl w:val="0"/>
              <w:jc w:val="center"/>
              <w:rPr>
                <w:rFonts w:ascii="Aptos Narrow" w:hAnsi="Aptos Narrow"/>
                <w:noProof/>
                <w:color w:val="000000"/>
                <w:sz w:val="22"/>
                <w:szCs w:val="22"/>
              </w:rPr>
            </w:pPr>
          </w:p>
        </w:tc>
      </w:tr>
      <w:tr w:rsidR="00971E00" w:rsidRPr="00266A9C" w14:paraId="2F77A2A5" w14:textId="77777777">
        <w:trPr>
          <w:trHeight w:val="290"/>
        </w:trPr>
        <w:tc>
          <w:tcPr>
            <w:tcW w:w="759" w:type="dxa"/>
            <w:tcBorders>
              <w:top w:val="nil"/>
              <w:left w:val="single" w:sz="4" w:space="0" w:color="auto"/>
              <w:bottom w:val="single" w:sz="4" w:space="0" w:color="auto"/>
              <w:right w:val="nil"/>
            </w:tcBorders>
            <w:shd w:val="clear" w:color="000000" w:fill="FFFFFF"/>
            <w:noWrap/>
            <w:vAlign w:val="bottom"/>
          </w:tcPr>
          <w:p w14:paraId="44323339" w14:textId="2F44A066" w:rsidR="00971E00" w:rsidRPr="00266A9C" w:rsidRDefault="00971E00">
            <w:pPr>
              <w:widowControl w:val="0"/>
              <w:rPr>
                <w:rFonts w:ascii="Aptos Narrow" w:hAnsi="Aptos Narrow"/>
                <w:noProof/>
                <w:color w:val="000000"/>
                <w:sz w:val="22"/>
                <w:szCs w:val="22"/>
              </w:rPr>
            </w:pPr>
          </w:p>
        </w:tc>
        <w:tc>
          <w:tcPr>
            <w:tcW w:w="1161" w:type="dxa"/>
            <w:tcBorders>
              <w:top w:val="single" w:sz="4" w:space="0" w:color="auto"/>
              <w:left w:val="nil"/>
              <w:bottom w:val="single" w:sz="4" w:space="0" w:color="auto"/>
              <w:right w:val="nil"/>
            </w:tcBorders>
            <w:shd w:val="clear" w:color="000000" w:fill="FFFFFF"/>
            <w:noWrap/>
            <w:vAlign w:val="bottom"/>
          </w:tcPr>
          <w:p w14:paraId="54E3E82C" w14:textId="76CA443D" w:rsidR="00971E00" w:rsidRPr="00266A9C" w:rsidRDefault="00971E00">
            <w:pPr>
              <w:widowControl w:val="0"/>
              <w:rPr>
                <w:rFonts w:ascii="Aptos Narrow" w:hAnsi="Aptos Narrow"/>
                <w:noProof/>
                <w:color w:val="000000"/>
                <w:sz w:val="22"/>
                <w:szCs w:val="22"/>
              </w:rPr>
            </w:pPr>
          </w:p>
        </w:tc>
        <w:tc>
          <w:tcPr>
            <w:tcW w:w="842" w:type="dxa"/>
            <w:tcBorders>
              <w:top w:val="single" w:sz="4" w:space="0" w:color="auto"/>
              <w:left w:val="nil"/>
              <w:bottom w:val="single" w:sz="4" w:space="0" w:color="auto"/>
              <w:right w:val="nil"/>
            </w:tcBorders>
            <w:noWrap/>
            <w:vAlign w:val="bottom"/>
          </w:tcPr>
          <w:p w14:paraId="464ED15A"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3,9 %</w:t>
            </w:r>
          </w:p>
        </w:tc>
        <w:tc>
          <w:tcPr>
            <w:tcW w:w="1039" w:type="dxa"/>
            <w:tcBorders>
              <w:top w:val="single" w:sz="4" w:space="0" w:color="auto"/>
              <w:left w:val="nil"/>
              <w:bottom w:val="single" w:sz="4" w:space="0" w:color="auto"/>
              <w:right w:val="nil"/>
            </w:tcBorders>
            <w:noWrap/>
            <w:vAlign w:val="bottom"/>
          </w:tcPr>
          <w:p w14:paraId="58C23CB7"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13,8 %</w:t>
            </w:r>
          </w:p>
        </w:tc>
        <w:tc>
          <w:tcPr>
            <w:tcW w:w="1039" w:type="dxa"/>
            <w:tcBorders>
              <w:top w:val="single" w:sz="4" w:space="0" w:color="auto"/>
              <w:left w:val="nil"/>
              <w:bottom w:val="single" w:sz="4" w:space="0" w:color="auto"/>
              <w:right w:val="nil"/>
            </w:tcBorders>
            <w:noWrap/>
            <w:vAlign w:val="bottom"/>
          </w:tcPr>
          <w:p w14:paraId="2EA01C36"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56,8 %</w:t>
            </w:r>
          </w:p>
        </w:tc>
        <w:tc>
          <w:tcPr>
            <w:tcW w:w="1039" w:type="dxa"/>
            <w:tcBorders>
              <w:top w:val="single" w:sz="4" w:space="0" w:color="auto"/>
              <w:left w:val="nil"/>
              <w:bottom w:val="single" w:sz="4" w:space="0" w:color="auto"/>
              <w:right w:val="nil"/>
            </w:tcBorders>
            <w:noWrap/>
            <w:vAlign w:val="bottom"/>
          </w:tcPr>
          <w:p w14:paraId="4F671464"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23,9 %</w:t>
            </w:r>
          </w:p>
        </w:tc>
        <w:tc>
          <w:tcPr>
            <w:tcW w:w="842" w:type="dxa"/>
            <w:tcBorders>
              <w:top w:val="single" w:sz="4" w:space="0" w:color="auto"/>
              <w:left w:val="nil"/>
              <w:bottom w:val="single" w:sz="4" w:space="0" w:color="auto"/>
              <w:right w:val="nil"/>
            </w:tcBorders>
            <w:noWrap/>
            <w:vAlign w:val="bottom"/>
          </w:tcPr>
          <w:p w14:paraId="408612D3" w14:textId="77777777" w:rsidR="00971E00" w:rsidRPr="00266A9C" w:rsidRDefault="00971E00">
            <w:pPr>
              <w:widowControl w:val="0"/>
              <w:jc w:val="center"/>
              <w:rPr>
                <w:rFonts w:ascii="Aptos Narrow" w:hAnsi="Aptos Narrow"/>
                <w:noProof/>
                <w:color w:val="000000"/>
                <w:sz w:val="22"/>
                <w:szCs w:val="22"/>
              </w:rPr>
            </w:pPr>
            <w:r w:rsidRPr="00266A9C">
              <w:rPr>
                <w:rFonts w:ascii="Aptos Narrow" w:hAnsi="Aptos Narrow"/>
                <w:noProof/>
                <w:color w:val="000000"/>
                <w:sz w:val="22"/>
              </w:rPr>
              <w:t>1,6 %</w:t>
            </w:r>
          </w:p>
        </w:tc>
        <w:tc>
          <w:tcPr>
            <w:tcW w:w="960" w:type="dxa"/>
            <w:tcBorders>
              <w:top w:val="single" w:sz="4" w:space="0" w:color="auto"/>
              <w:left w:val="single" w:sz="4" w:space="0" w:color="auto"/>
              <w:bottom w:val="single" w:sz="4" w:space="0" w:color="auto"/>
              <w:right w:val="single" w:sz="4" w:space="0" w:color="auto"/>
            </w:tcBorders>
            <w:noWrap/>
            <w:vAlign w:val="bottom"/>
          </w:tcPr>
          <w:p w14:paraId="728D01F7" w14:textId="48A8DA89" w:rsidR="00971E00" w:rsidRPr="00266A9C" w:rsidRDefault="00971E00">
            <w:pPr>
              <w:widowControl w:val="0"/>
              <w:rPr>
                <w:rFonts w:ascii="Aptos Narrow" w:hAnsi="Aptos Narrow"/>
                <w:noProof/>
                <w:color w:val="000000"/>
                <w:sz w:val="22"/>
                <w:szCs w:val="22"/>
              </w:rPr>
            </w:pPr>
          </w:p>
        </w:tc>
        <w:tc>
          <w:tcPr>
            <w:tcW w:w="960" w:type="dxa"/>
            <w:tcBorders>
              <w:top w:val="single" w:sz="4" w:space="0" w:color="auto"/>
              <w:left w:val="single" w:sz="4" w:space="0" w:color="auto"/>
              <w:bottom w:val="single" w:sz="4" w:space="0" w:color="auto"/>
              <w:right w:val="single" w:sz="4" w:space="0" w:color="auto"/>
            </w:tcBorders>
          </w:tcPr>
          <w:p w14:paraId="26914E5A" w14:textId="77777777" w:rsidR="00971E00" w:rsidRPr="00266A9C" w:rsidRDefault="00971E00">
            <w:pPr>
              <w:widowControl w:val="0"/>
              <w:rPr>
                <w:rFonts w:ascii="Aptos Narrow" w:hAnsi="Aptos Narrow"/>
                <w:noProof/>
                <w:color w:val="000000"/>
                <w:sz w:val="22"/>
                <w:szCs w:val="22"/>
              </w:rPr>
            </w:pPr>
          </w:p>
        </w:tc>
      </w:tr>
    </w:tbl>
    <w:p w14:paraId="1BA76684" w14:textId="1F451434" w:rsidR="00971E00" w:rsidRPr="00266A9C" w:rsidRDefault="00971E00">
      <w:pPr>
        <w:pStyle w:val="Caption"/>
        <w:widowControl w:val="0"/>
        <w:rPr>
          <w:noProof/>
        </w:rPr>
      </w:pPr>
      <w:bookmarkStart w:id="12" w:name="_Ref212541777"/>
      <w:r w:rsidRPr="00266A9C">
        <w:rPr>
          <w:noProof/>
        </w:rPr>
        <w:t xml:space="preserve">Figura </w:t>
      </w:r>
      <w:r w:rsidR="0038701C">
        <w:rPr>
          <w:noProof/>
        </w:rPr>
        <w:fldChar w:fldCharType="begin"/>
      </w:r>
      <w:r w:rsidR="0038701C">
        <w:rPr>
          <w:noProof/>
        </w:rPr>
        <w:instrText xml:space="preserve"> SEQ Figure \* ARABIC </w:instrText>
      </w:r>
      <w:r w:rsidR="0038701C">
        <w:rPr>
          <w:noProof/>
        </w:rPr>
        <w:fldChar w:fldCharType="separate"/>
      </w:r>
      <w:r w:rsidRPr="00266A9C">
        <w:rPr>
          <w:noProof/>
        </w:rPr>
        <w:t>7</w:t>
      </w:r>
      <w:r w:rsidR="0038701C">
        <w:rPr>
          <w:noProof/>
        </w:rPr>
        <w:fldChar w:fldCharType="end"/>
      </w:r>
      <w:bookmarkEnd w:id="12"/>
      <w:r w:rsidRPr="00266A9C">
        <w:rPr>
          <w:noProof/>
        </w:rPr>
        <w:t>.</w:t>
      </w:r>
      <w:r w:rsidRPr="00266A9C">
        <w:rPr>
          <w:i w:val="0"/>
          <w:noProof/>
        </w:rPr>
        <w:t xml:space="preserve"> Evoluția rezistenței la rulare și a aderenței pe teren umed a pneurilor C1.</w:t>
      </w:r>
    </w:p>
    <w:p w14:paraId="00148FE0" w14:textId="78F979DA" w:rsidR="00971E00" w:rsidRPr="00266A9C" w:rsidRDefault="00971E00">
      <w:pPr>
        <w:widowControl w:val="0"/>
        <w:spacing w:after="120"/>
        <w:rPr>
          <w:noProof/>
        </w:rPr>
      </w:pPr>
      <w:r w:rsidRPr="00266A9C">
        <w:rPr>
          <w:noProof/>
        </w:rPr>
        <w:fldChar w:fldCharType="begin"/>
      </w:r>
      <w:r w:rsidRPr="00266A9C">
        <w:rPr>
          <w:noProof/>
        </w:rPr>
        <w:instrText xml:space="preserve"> REF _Ref212541777 \h  \* MERGEFORMAT </w:instrText>
      </w:r>
      <w:r w:rsidRPr="00266A9C">
        <w:rPr>
          <w:noProof/>
        </w:rPr>
      </w:r>
      <w:r w:rsidRPr="00266A9C">
        <w:rPr>
          <w:noProof/>
        </w:rPr>
        <w:fldChar w:fldCharType="separate"/>
      </w:r>
      <w:r w:rsidRPr="00266A9C">
        <w:rPr>
          <w:noProof/>
        </w:rPr>
        <w:t>Figur</w:t>
      </w:r>
      <w:r w:rsidR="007660D8" w:rsidRPr="00266A9C">
        <w:rPr>
          <w:noProof/>
        </w:rPr>
        <w:t>a</w:t>
      </w:r>
      <w:r w:rsidRPr="00266A9C">
        <w:rPr>
          <w:noProof/>
        </w:rPr>
        <w:t xml:space="preserve"> 7</w:t>
      </w:r>
      <w:r w:rsidRPr="00266A9C">
        <w:rPr>
          <w:noProof/>
        </w:rPr>
        <w:fldChar w:fldCharType="end"/>
      </w:r>
      <w:r w:rsidRPr="00266A9C">
        <w:rPr>
          <w:noProof/>
        </w:rPr>
        <w:t xml:space="preserve"> ilustrează modul în care rezistența la rulare și aderența pe teren umed au evoluat în ultimul deceniu. Tabelele prezintă proporția relativă a modelelor de pneuri în 2015, 2020 și 2024 pentru fiecare combinație de parametri.</w:t>
      </w:r>
    </w:p>
    <w:p w14:paraId="2FE04783" w14:textId="1895D541" w:rsidR="00971E00" w:rsidRPr="00266A9C" w:rsidRDefault="00971E00">
      <w:pPr>
        <w:widowControl w:val="0"/>
        <w:spacing w:after="120"/>
        <w:rPr>
          <w:noProof/>
        </w:rPr>
      </w:pPr>
      <w:r w:rsidRPr="00266A9C">
        <w:rPr>
          <w:noProof/>
        </w:rPr>
        <w:t>În această perioadă, modelele introduse pe piață se îndreaptă spre colțul din stânga sus, îmbunătățind în același timp rezistența la rulare și aderența pe teren umed. Cel mai mare segment trece de la o combinație de D pentru rezistența la rulare și C pentru aderența pe teren umed în 2015 și 2020 la C și, respectiv, B în 2024.</w:t>
      </w:r>
    </w:p>
    <w:p w14:paraId="59BBCF83" w14:textId="60C4AB69" w:rsidR="00971E00" w:rsidRPr="00266A9C" w:rsidRDefault="00971E00" w:rsidP="00AB212E">
      <w:pPr>
        <w:pStyle w:val="Heading1"/>
        <w:rPr>
          <w:noProof/>
        </w:rPr>
      </w:pPr>
      <w:bookmarkStart w:id="13" w:name="_Toc211189601"/>
      <w:bookmarkStart w:id="14" w:name="_Toc213083343"/>
      <w:r w:rsidRPr="00266A9C">
        <w:rPr>
          <w:noProof/>
        </w:rPr>
        <w:t>Acte delegate</w:t>
      </w:r>
    </w:p>
    <w:p w14:paraId="1514B720" w14:textId="4CC21CDD" w:rsidR="00971E00" w:rsidRPr="00266A9C" w:rsidRDefault="00971E00" w:rsidP="00CB681C">
      <w:pPr>
        <w:spacing w:after="120"/>
        <w:rPr>
          <w:noProof/>
        </w:rPr>
      </w:pPr>
      <w:r w:rsidRPr="00266A9C">
        <w:rPr>
          <w:noProof/>
        </w:rPr>
        <w:t>Articolul 13 din TLR împuternicește Comisia să adopte acte delegate pentru:</w:t>
      </w:r>
    </w:p>
    <w:p w14:paraId="56C1F4A1" w14:textId="1050F533" w:rsidR="00971E00" w:rsidRPr="00266A9C" w:rsidRDefault="00971E00" w:rsidP="00CB681C">
      <w:pPr>
        <w:pStyle w:val="ListParagraph"/>
        <w:numPr>
          <w:ilvl w:val="0"/>
          <w:numId w:val="25"/>
        </w:numPr>
        <w:contextualSpacing w:val="0"/>
        <w:rPr>
          <w:noProof/>
        </w:rPr>
      </w:pPr>
      <w:r w:rsidRPr="00266A9C">
        <w:rPr>
          <w:noProof/>
        </w:rPr>
        <w:t>introducerea unor noi cerințe de informare privind pneurile reșapate;</w:t>
      </w:r>
    </w:p>
    <w:p w14:paraId="69D2B28E" w14:textId="73F0C949" w:rsidR="00971E00" w:rsidRPr="00266A9C" w:rsidRDefault="00971E00" w:rsidP="00CB681C">
      <w:pPr>
        <w:pStyle w:val="ListParagraph"/>
        <w:numPr>
          <w:ilvl w:val="0"/>
          <w:numId w:val="25"/>
        </w:numPr>
        <w:contextualSpacing w:val="0"/>
        <w:rPr>
          <w:noProof/>
        </w:rPr>
      </w:pPr>
      <w:r w:rsidRPr="00266A9C">
        <w:rPr>
          <w:noProof/>
        </w:rPr>
        <w:t>includerea unor parametri sau cerințe de informare privind abraziunea și kilometrajul pneurilor;</w:t>
      </w:r>
    </w:p>
    <w:p w14:paraId="5318EB45" w14:textId="77777777" w:rsidR="00971E00" w:rsidRPr="00266A9C" w:rsidRDefault="00971E00" w:rsidP="00CB681C">
      <w:pPr>
        <w:pStyle w:val="ListParagraph"/>
        <w:numPr>
          <w:ilvl w:val="0"/>
          <w:numId w:val="25"/>
        </w:numPr>
        <w:spacing w:after="240"/>
        <w:contextualSpacing w:val="0"/>
        <w:rPr>
          <w:noProof/>
        </w:rPr>
      </w:pPr>
      <w:r w:rsidRPr="00266A9C">
        <w:rPr>
          <w:noProof/>
        </w:rPr>
        <w:t>adaptarea altor aspecte la progresul tehnologic.</w:t>
      </w:r>
    </w:p>
    <w:p w14:paraId="7E068F4D" w14:textId="753B68A4" w:rsidR="00971E00" w:rsidRPr="00266A9C" w:rsidRDefault="00971E00" w:rsidP="00CB681C">
      <w:pPr>
        <w:pStyle w:val="Heading2"/>
        <w:rPr>
          <w:noProof/>
        </w:rPr>
      </w:pPr>
      <w:r w:rsidRPr="00266A9C">
        <w:rPr>
          <w:noProof/>
        </w:rPr>
        <w:t>Pneuri reșapate</w:t>
      </w:r>
    </w:p>
    <w:p w14:paraId="151E830F" w14:textId="629085A8" w:rsidR="00971E00" w:rsidRPr="00266A9C" w:rsidRDefault="00971E00" w:rsidP="00C50D24">
      <w:pPr>
        <w:rPr>
          <w:noProof/>
        </w:rPr>
      </w:pPr>
      <w:r w:rsidRPr="00266A9C">
        <w:rPr>
          <w:noProof/>
        </w:rPr>
        <w:t>Pneurile reșapate sunt pneuri uzate care sunt refabricate prin înlocuirea benzii de rulare uzate cu una nouă, pentru a le oferi un al doilea sau chiar un al treilea ciclu de viață. Reșaparea are ca rezultat o reducere cu aproape două treimi a materialelor și a energiei utilizate, precum și a emisiilor de GES aferente. În 2022, trei organizații din sector, ETRMA, ETRTO și BIPAVER, au prezentat Comisiei o propunere</w:t>
      </w:r>
      <w:r w:rsidRPr="00266A9C">
        <w:rPr>
          <w:noProof/>
          <w:vertAlign w:val="superscript"/>
        </w:rPr>
        <w:t> (</w:t>
      </w:r>
      <w:r w:rsidRPr="00266A9C">
        <w:rPr>
          <w:rStyle w:val="FootnoteReference"/>
          <w:noProof/>
        </w:rPr>
        <w:footnoteReference w:id="23"/>
      </w:r>
      <w:r w:rsidRPr="00266A9C">
        <w:rPr>
          <w:noProof/>
          <w:vertAlign w:val="superscript"/>
        </w:rPr>
        <w:t>)</w:t>
      </w:r>
      <w:r w:rsidRPr="00266A9C">
        <w:rPr>
          <w:noProof/>
        </w:rPr>
        <w:t xml:space="preserve"> de etichetare a pneurilor C3 reșapate. Comisia a efectuat un studiu tehnic preliminar și a început să pregătească baza analitică pentru o propunere. Părțile interesate au fost consultate, iar lucrările sunt în curs.</w:t>
      </w:r>
    </w:p>
    <w:p w14:paraId="4E968940" w14:textId="77777777" w:rsidR="00971E00" w:rsidRPr="00266A9C" w:rsidRDefault="00971E00" w:rsidP="00C50D24">
      <w:pPr>
        <w:pStyle w:val="Heading2"/>
        <w:rPr>
          <w:noProof/>
        </w:rPr>
      </w:pPr>
      <w:r w:rsidRPr="00266A9C">
        <w:rPr>
          <w:noProof/>
        </w:rPr>
        <w:t>Abraziune și kilometraj</w:t>
      </w:r>
    </w:p>
    <w:p w14:paraId="07EC71D2" w14:textId="5EF82240" w:rsidR="008F27A8" w:rsidRPr="00266A9C" w:rsidRDefault="003C6B0D" w:rsidP="00C50D24">
      <w:pPr>
        <w:rPr>
          <w:noProof/>
        </w:rPr>
      </w:pPr>
      <w:r w:rsidRPr="00266A9C">
        <w:rPr>
          <w:noProof/>
        </w:rPr>
        <w:t xml:space="preserve">Astfel cum s-a menționat în capitolul 3 și după cum reiese din două sondaje realizate în rândul consumatorilor din mai multe țări, un indicator al duratei de viață utile potențiale (sau „kilometrajului”) pneurilor ar stimula interesul clienților față de eticheta pneurilor: împreună cu rezistența la rulare, acesta reprezintă un indicator al economiilor realizate, care ar putea putând compensa costul de achiziție inițial mai ridicat al pneurilor de rezervă. Până de curând, nu era disponibilă nicio metodă de încercare adecvată pentru măsurarea abraziunii și a kilometrajului pneurilor, astfel încât Comisia nu a putut lua măsuri pentru introducerea cerințelor de informare [conform articolului 13 alineatul (3)]. </w:t>
      </w:r>
    </w:p>
    <w:p w14:paraId="3393AE40" w14:textId="66BBA767" w:rsidR="003C2AEA" w:rsidRPr="00266A9C" w:rsidRDefault="00971E00" w:rsidP="00C50D24">
      <w:pPr>
        <w:rPr>
          <w:noProof/>
        </w:rPr>
      </w:pPr>
      <w:r w:rsidRPr="00266A9C">
        <w:rPr>
          <w:noProof/>
        </w:rPr>
        <w:t>În cadrul Grupului operativ pentru abraziunea pneurilor (TF-TA) al CEE-ONU</w:t>
      </w:r>
      <w:r w:rsidRPr="00266A9C">
        <w:rPr>
          <w:noProof/>
          <w:vertAlign w:val="superscript"/>
        </w:rPr>
        <w:t> (</w:t>
      </w:r>
      <w:r w:rsidRPr="00266A9C">
        <w:rPr>
          <w:rStyle w:val="FootnoteReference"/>
          <w:noProof/>
        </w:rPr>
        <w:footnoteReference w:id="24"/>
      </w:r>
      <w:r w:rsidRPr="00266A9C">
        <w:rPr>
          <w:noProof/>
          <w:vertAlign w:val="superscript"/>
        </w:rPr>
        <w:t>)</w:t>
      </w:r>
      <w:r w:rsidRPr="00266A9C">
        <w:rPr>
          <w:noProof/>
        </w:rPr>
        <w:t>, constituit în mod special, se lucrează la stabilirea unor metode de încercare la abraziune pentru pneurile C1, C2 și C3. Încercarea la abraziune CEE-ONU pentru pneurile C1</w:t>
      </w:r>
      <w:r w:rsidRPr="00266A9C">
        <w:rPr>
          <w:noProof/>
          <w:vertAlign w:val="superscript"/>
        </w:rPr>
        <w:t> (</w:t>
      </w:r>
      <w:r w:rsidRPr="00266A9C">
        <w:rPr>
          <w:rStyle w:val="FootnoteReference"/>
          <w:noProof/>
        </w:rPr>
        <w:footnoteReference w:id="25"/>
      </w:r>
      <w:r w:rsidRPr="00266A9C">
        <w:rPr>
          <w:noProof/>
          <w:vertAlign w:val="superscript"/>
        </w:rPr>
        <w:t>)</w:t>
      </w:r>
      <w:r w:rsidRPr="00266A9C">
        <w:rPr>
          <w:noProof/>
        </w:rPr>
        <w:t xml:space="preserve"> include două metodologii: o metodă bazată pe un convoi de vehicule pe șosea, desfășurată în condiții meteorologice și climatice limitate, și o metodă cu tambur în laborator</w:t>
      </w:r>
      <w:r w:rsidRPr="00266A9C">
        <w:rPr>
          <w:noProof/>
          <w:vertAlign w:val="superscript"/>
        </w:rPr>
        <w:t> (</w:t>
      </w:r>
      <w:r w:rsidRPr="00266A9C">
        <w:rPr>
          <w:rStyle w:val="FootnoteReference"/>
          <w:noProof/>
        </w:rPr>
        <w:footnoteReference w:id="26"/>
      </w:r>
      <w:r w:rsidRPr="00266A9C">
        <w:rPr>
          <w:noProof/>
          <w:vertAlign w:val="superscript"/>
        </w:rPr>
        <w:t>)</w:t>
      </w:r>
      <w:r w:rsidRPr="00266A9C">
        <w:rPr>
          <w:noProof/>
        </w:rPr>
        <w:t>. Încercarea anterioară acoperă 8 000 km pe drumurile publice deschise</w:t>
      </w:r>
      <w:r w:rsidRPr="00266A9C">
        <w:rPr>
          <w:noProof/>
          <w:vertAlign w:val="superscript"/>
        </w:rPr>
        <w:t> (</w:t>
      </w:r>
      <w:r w:rsidRPr="00266A9C">
        <w:rPr>
          <w:rStyle w:val="FootnoteReference"/>
          <w:noProof/>
        </w:rPr>
        <w:footnoteReference w:id="27"/>
      </w:r>
      <w:r w:rsidRPr="00266A9C">
        <w:rPr>
          <w:noProof/>
          <w:vertAlign w:val="superscript"/>
        </w:rPr>
        <w:t>)</w:t>
      </w:r>
      <w:r w:rsidRPr="00266A9C">
        <w:rPr>
          <w:noProof/>
        </w:rPr>
        <w:t>.</w:t>
      </w:r>
      <w:r w:rsidR="00846830" w:rsidRPr="00266A9C">
        <w:rPr>
          <w:noProof/>
        </w:rPr>
        <w:t xml:space="preserve"> </w:t>
      </w:r>
      <w:r w:rsidRPr="00266A9C">
        <w:rPr>
          <w:noProof/>
        </w:rPr>
        <w:t>Lucrările pentru pneurile C2 și C3 sunt în curs, iar concluziile sunt așteptate în 2027 pentru pneurile C2, dar mai târziu pentru pneurile C3.</w:t>
      </w:r>
    </w:p>
    <w:p w14:paraId="27874368" w14:textId="606A2896" w:rsidR="00971E00" w:rsidRPr="00266A9C" w:rsidRDefault="00417449" w:rsidP="00C50D24">
      <w:pPr>
        <w:rPr>
          <w:noProof/>
        </w:rPr>
      </w:pPr>
      <w:r w:rsidRPr="00266A9C">
        <w:rPr>
          <w:noProof/>
        </w:rPr>
        <w:t>Comisia a îndemnat TA-TF să elaboreze un indicator legat de uzura pneurilor pentru a evalua potențialul de parcurgere a kilometrilor</w:t>
      </w:r>
      <w:r w:rsidRPr="00266A9C">
        <w:rPr>
          <w:noProof/>
          <w:vertAlign w:val="superscript"/>
        </w:rPr>
        <w:t> (</w:t>
      </w:r>
      <w:r w:rsidRPr="00266A9C">
        <w:rPr>
          <w:rStyle w:val="FootnoteReference"/>
          <w:noProof/>
        </w:rPr>
        <w:footnoteReference w:id="28"/>
      </w:r>
      <w:r w:rsidRPr="00266A9C">
        <w:rPr>
          <w:noProof/>
          <w:vertAlign w:val="superscript"/>
        </w:rPr>
        <w:t>)</w:t>
      </w:r>
      <w:r w:rsidRPr="00266A9C">
        <w:rPr>
          <w:noProof/>
        </w:rPr>
        <w:t xml:space="preserve">, deoarece activitatea s-a axat, până în prezent, exclusiv pe stabilirea unor cerințe minime privind abraziunea. Între timp, în Regulamentul Euro 7 a fost stabilită o valoare-limită pentru pneurile C1. </w:t>
      </w:r>
    </w:p>
    <w:p w14:paraId="0EA93E6E" w14:textId="578B173A" w:rsidR="00971E00" w:rsidRPr="00266A9C" w:rsidRDefault="00971E00">
      <w:pPr>
        <w:pStyle w:val="Caption"/>
        <w:rPr>
          <w:noProof/>
        </w:rPr>
      </w:pPr>
      <w:r w:rsidRPr="00266A9C">
        <w:rPr>
          <w:noProof/>
        </w:rPr>
        <w:t xml:space="preserve">Tabelul </w:t>
      </w:r>
      <w:r w:rsidR="0038701C">
        <w:rPr>
          <w:noProof/>
        </w:rPr>
        <w:fldChar w:fldCharType="begin"/>
      </w:r>
      <w:r w:rsidR="0038701C">
        <w:rPr>
          <w:noProof/>
        </w:rPr>
        <w:instrText xml:space="preserve"> SEQ Table \* ARABIC </w:instrText>
      </w:r>
      <w:r w:rsidR="0038701C">
        <w:rPr>
          <w:noProof/>
        </w:rPr>
        <w:fldChar w:fldCharType="separate"/>
      </w:r>
      <w:r w:rsidRPr="00266A9C">
        <w:rPr>
          <w:noProof/>
        </w:rPr>
        <w:t>1</w:t>
      </w:r>
      <w:r w:rsidR="0038701C">
        <w:rPr>
          <w:noProof/>
        </w:rPr>
        <w:fldChar w:fldCharType="end"/>
      </w:r>
      <w:r w:rsidRPr="00266A9C">
        <w:rPr>
          <w:noProof/>
        </w:rPr>
        <w:t>. Calendarul pragurilor obligatorii de abraziune în conformitate cu Euro 7 [Regulamentul (UE) 2024/1257].</w:t>
      </w:r>
    </w:p>
    <w:tbl>
      <w:tblPr>
        <w:tblStyle w:val="TableGrid"/>
        <w:tblW w:w="86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3450"/>
        <w:gridCol w:w="1725"/>
        <w:gridCol w:w="1755"/>
        <w:gridCol w:w="1756"/>
      </w:tblGrid>
      <w:tr w:rsidR="00971E00" w:rsidRPr="00266A9C" w14:paraId="3BC7E7A6" w14:textId="77777777" w:rsidTr="00E821B0">
        <w:trPr>
          <w:trHeight w:val="20"/>
          <w:jc w:val="center"/>
        </w:trPr>
        <w:tc>
          <w:tcPr>
            <w:tcW w:w="3450" w:type="dxa"/>
            <w:shd w:val="clear" w:color="auto" w:fill="D9D9D9" w:themeFill="background1" w:themeFillShade="D9"/>
            <w:tcMar>
              <w:top w:w="85" w:type="dxa"/>
              <w:left w:w="144" w:type="dxa"/>
              <w:bottom w:w="85" w:type="dxa"/>
              <w:right w:w="144" w:type="dxa"/>
            </w:tcMar>
          </w:tcPr>
          <w:p w14:paraId="0DCCBA03" w14:textId="77777777" w:rsidR="00971E00" w:rsidRPr="00266A9C" w:rsidRDefault="00971E00" w:rsidP="00C50D24">
            <w:pPr>
              <w:widowControl w:val="0"/>
              <w:spacing w:after="120"/>
              <w:jc w:val="center"/>
              <w:rPr>
                <w:b/>
                <w:bCs/>
                <w:noProof/>
                <w:sz w:val="22"/>
                <w:szCs w:val="22"/>
              </w:rPr>
            </w:pPr>
            <w:r w:rsidRPr="00266A9C">
              <w:rPr>
                <w:b/>
                <w:noProof/>
                <w:sz w:val="22"/>
              </w:rPr>
              <w:t>Cerința aplicabilă</w:t>
            </w:r>
          </w:p>
        </w:tc>
        <w:tc>
          <w:tcPr>
            <w:tcW w:w="1725" w:type="dxa"/>
            <w:shd w:val="clear" w:color="auto" w:fill="D9D9D9" w:themeFill="background1" w:themeFillShade="D9"/>
            <w:tcMar>
              <w:top w:w="85" w:type="dxa"/>
              <w:left w:w="144" w:type="dxa"/>
              <w:bottom w:w="85" w:type="dxa"/>
              <w:right w:w="144" w:type="dxa"/>
            </w:tcMar>
          </w:tcPr>
          <w:p w14:paraId="0208B379" w14:textId="77777777" w:rsidR="00971E00" w:rsidRPr="00266A9C" w:rsidRDefault="00971E00" w:rsidP="00C50D24">
            <w:pPr>
              <w:widowControl w:val="0"/>
              <w:spacing w:after="120"/>
              <w:jc w:val="center"/>
              <w:rPr>
                <w:noProof/>
                <w:sz w:val="22"/>
                <w:szCs w:val="22"/>
                <w:highlight w:val="lightGray"/>
              </w:rPr>
            </w:pPr>
            <w:r w:rsidRPr="00266A9C">
              <w:rPr>
                <w:b/>
                <w:noProof/>
                <w:sz w:val="22"/>
                <w:highlight w:val="lightGray"/>
              </w:rPr>
              <w:t>Pneurile C1</w:t>
            </w:r>
          </w:p>
        </w:tc>
        <w:tc>
          <w:tcPr>
            <w:tcW w:w="1755" w:type="dxa"/>
            <w:shd w:val="clear" w:color="auto" w:fill="D9D9D9" w:themeFill="background1" w:themeFillShade="D9"/>
            <w:tcMar>
              <w:top w:w="85" w:type="dxa"/>
              <w:left w:w="144" w:type="dxa"/>
              <w:bottom w:w="85" w:type="dxa"/>
              <w:right w:w="144" w:type="dxa"/>
            </w:tcMar>
          </w:tcPr>
          <w:p w14:paraId="22D9ED25" w14:textId="77777777" w:rsidR="00971E00" w:rsidRPr="00266A9C" w:rsidRDefault="00971E00" w:rsidP="00C50D24">
            <w:pPr>
              <w:widowControl w:val="0"/>
              <w:spacing w:after="120"/>
              <w:jc w:val="center"/>
              <w:rPr>
                <w:noProof/>
                <w:sz w:val="22"/>
                <w:szCs w:val="22"/>
                <w:highlight w:val="lightGray"/>
              </w:rPr>
            </w:pPr>
            <w:r w:rsidRPr="00266A9C">
              <w:rPr>
                <w:b/>
                <w:noProof/>
                <w:sz w:val="22"/>
                <w:highlight w:val="lightGray"/>
              </w:rPr>
              <w:t>Pneurile C2</w:t>
            </w:r>
          </w:p>
        </w:tc>
        <w:tc>
          <w:tcPr>
            <w:tcW w:w="1756" w:type="dxa"/>
            <w:shd w:val="clear" w:color="auto" w:fill="D9D9D9" w:themeFill="background1" w:themeFillShade="D9"/>
            <w:tcMar>
              <w:top w:w="85" w:type="dxa"/>
              <w:left w:w="144" w:type="dxa"/>
              <w:bottom w:w="85" w:type="dxa"/>
              <w:right w:w="144" w:type="dxa"/>
            </w:tcMar>
          </w:tcPr>
          <w:p w14:paraId="1D6B6329" w14:textId="77777777" w:rsidR="00971E00" w:rsidRPr="00266A9C" w:rsidRDefault="00971E00" w:rsidP="00C50D24">
            <w:pPr>
              <w:widowControl w:val="0"/>
              <w:spacing w:after="120"/>
              <w:jc w:val="center"/>
              <w:rPr>
                <w:noProof/>
                <w:sz w:val="22"/>
                <w:szCs w:val="22"/>
                <w:highlight w:val="lightGray"/>
              </w:rPr>
            </w:pPr>
            <w:r w:rsidRPr="00266A9C">
              <w:rPr>
                <w:b/>
                <w:noProof/>
                <w:sz w:val="22"/>
                <w:highlight w:val="lightGray"/>
              </w:rPr>
              <w:t>Pneurile C3</w:t>
            </w:r>
          </w:p>
        </w:tc>
      </w:tr>
      <w:tr w:rsidR="00971E00" w:rsidRPr="00266A9C" w14:paraId="12E8AB68" w14:textId="77777777" w:rsidTr="00E821B0">
        <w:trPr>
          <w:trHeight w:val="20"/>
          <w:jc w:val="center"/>
        </w:trPr>
        <w:tc>
          <w:tcPr>
            <w:tcW w:w="3450" w:type="dxa"/>
            <w:shd w:val="clear" w:color="auto" w:fill="FFFFFF" w:themeFill="background1"/>
            <w:tcMar>
              <w:top w:w="85" w:type="dxa"/>
              <w:left w:w="144" w:type="dxa"/>
              <w:bottom w:w="85" w:type="dxa"/>
              <w:right w:w="144" w:type="dxa"/>
            </w:tcMar>
          </w:tcPr>
          <w:p w14:paraId="7F0E9747" w14:textId="77777777" w:rsidR="00971E00" w:rsidRPr="00266A9C" w:rsidRDefault="00971E00" w:rsidP="00C50D24">
            <w:pPr>
              <w:widowControl w:val="0"/>
              <w:spacing w:after="120"/>
              <w:jc w:val="right"/>
              <w:rPr>
                <w:noProof/>
                <w:sz w:val="22"/>
                <w:szCs w:val="22"/>
              </w:rPr>
            </w:pPr>
            <w:r w:rsidRPr="00266A9C">
              <w:rPr>
                <w:noProof/>
                <w:sz w:val="22"/>
              </w:rPr>
              <w:t>Noi modele de pneuri din:</w:t>
            </w:r>
          </w:p>
        </w:tc>
        <w:tc>
          <w:tcPr>
            <w:tcW w:w="1725" w:type="dxa"/>
            <w:shd w:val="clear" w:color="auto" w:fill="FFFFFF" w:themeFill="background1"/>
            <w:tcMar>
              <w:top w:w="85" w:type="dxa"/>
              <w:left w:w="144" w:type="dxa"/>
              <w:bottom w:w="85" w:type="dxa"/>
              <w:right w:w="144" w:type="dxa"/>
            </w:tcMar>
          </w:tcPr>
          <w:p w14:paraId="6DCE8609" w14:textId="3AC73E9E" w:rsidR="00971E00" w:rsidRPr="00266A9C" w:rsidRDefault="00971E00" w:rsidP="00C50D24">
            <w:pPr>
              <w:widowControl w:val="0"/>
              <w:spacing w:after="120"/>
              <w:rPr>
                <w:noProof/>
                <w:sz w:val="22"/>
                <w:szCs w:val="22"/>
              </w:rPr>
            </w:pPr>
            <w:r w:rsidRPr="00266A9C">
              <w:rPr>
                <w:noProof/>
                <w:sz w:val="22"/>
              </w:rPr>
              <w:t>1 iulie 2028</w:t>
            </w:r>
          </w:p>
        </w:tc>
        <w:tc>
          <w:tcPr>
            <w:tcW w:w="1755" w:type="dxa"/>
            <w:shd w:val="clear" w:color="auto" w:fill="FFFFFF" w:themeFill="background1"/>
            <w:tcMar>
              <w:top w:w="85" w:type="dxa"/>
              <w:left w:w="144" w:type="dxa"/>
              <w:bottom w:w="85" w:type="dxa"/>
              <w:right w:w="144" w:type="dxa"/>
            </w:tcMar>
          </w:tcPr>
          <w:p w14:paraId="26F9023B" w14:textId="08BA0B38" w:rsidR="00971E00" w:rsidRPr="00266A9C" w:rsidRDefault="00971E00" w:rsidP="00C50D24">
            <w:pPr>
              <w:widowControl w:val="0"/>
              <w:spacing w:after="120"/>
              <w:rPr>
                <w:noProof/>
                <w:sz w:val="22"/>
                <w:szCs w:val="22"/>
              </w:rPr>
            </w:pPr>
            <w:r w:rsidRPr="00266A9C">
              <w:rPr>
                <w:noProof/>
                <w:sz w:val="22"/>
              </w:rPr>
              <w:t>1 aprilie 2030</w:t>
            </w:r>
          </w:p>
        </w:tc>
        <w:tc>
          <w:tcPr>
            <w:tcW w:w="1756" w:type="dxa"/>
            <w:shd w:val="clear" w:color="auto" w:fill="FFFFFF" w:themeFill="background1"/>
            <w:tcMar>
              <w:top w:w="85" w:type="dxa"/>
              <w:left w:w="144" w:type="dxa"/>
              <w:bottom w:w="85" w:type="dxa"/>
              <w:right w:w="144" w:type="dxa"/>
            </w:tcMar>
          </w:tcPr>
          <w:p w14:paraId="39D747C2" w14:textId="644D1252" w:rsidR="00971E00" w:rsidRPr="00266A9C" w:rsidRDefault="00971E00" w:rsidP="00C50D24">
            <w:pPr>
              <w:widowControl w:val="0"/>
              <w:spacing w:after="120"/>
              <w:rPr>
                <w:noProof/>
                <w:sz w:val="22"/>
                <w:szCs w:val="22"/>
              </w:rPr>
            </w:pPr>
            <w:r w:rsidRPr="00266A9C">
              <w:rPr>
                <w:noProof/>
                <w:sz w:val="22"/>
              </w:rPr>
              <w:t>1 aprilie 2032</w:t>
            </w:r>
          </w:p>
        </w:tc>
      </w:tr>
      <w:tr w:rsidR="00971E00" w:rsidRPr="00266A9C" w14:paraId="7B6A112A" w14:textId="77777777" w:rsidTr="00E821B0">
        <w:trPr>
          <w:trHeight w:val="20"/>
          <w:jc w:val="center"/>
        </w:trPr>
        <w:tc>
          <w:tcPr>
            <w:tcW w:w="3450" w:type="dxa"/>
            <w:shd w:val="clear" w:color="auto" w:fill="FFFFFF" w:themeFill="background1"/>
            <w:tcMar>
              <w:top w:w="85" w:type="dxa"/>
              <w:left w:w="144" w:type="dxa"/>
              <w:bottom w:w="85" w:type="dxa"/>
              <w:right w:w="144" w:type="dxa"/>
            </w:tcMar>
          </w:tcPr>
          <w:p w14:paraId="030464AA" w14:textId="77777777" w:rsidR="00971E00" w:rsidRPr="00266A9C" w:rsidRDefault="00971E00" w:rsidP="00C50D24">
            <w:pPr>
              <w:widowControl w:val="0"/>
              <w:spacing w:after="120"/>
              <w:jc w:val="right"/>
              <w:rPr>
                <w:noProof/>
                <w:sz w:val="22"/>
                <w:szCs w:val="22"/>
              </w:rPr>
            </w:pPr>
            <w:r w:rsidRPr="00266A9C">
              <w:rPr>
                <w:noProof/>
                <w:sz w:val="22"/>
              </w:rPr>
              <w:t>Toate modelele de pneuri din:</w:t>
            </w:r>
          </w:p>
        </w:tc>
        <w:tc>
          <w:tcPr>
            <w:tcW w:w="1725" w:type="dxa"/>
            <w:shd w:val="clear" w:color="auto" w:fill="FFFFFF" w:themeFill="background1"/>
            <w:tcMar>
              <w:top w:w="85" w:type="dxa"/>
              <w:left w:w="144" w:type="dxa"/>
              <w:bottom w:w="85" w:type="dxa"/>
              <w:right w:w="144" w:type="dxa"/>
            </w:tcMar>
          </w:tcPr>
          <w:p w14:paraId="5A9683DB" w14:textId="7BC4CFB8" w:rsidR="00971E00" w:rsidRPr="00266A9C" w:rsidRDefault="00971E00" w:rsidP="00C50D24">
            <w:pPr>
              <w:widowControl w:val="0"/>
              <w:spacing w:after="120"/>
              <w:rPr>
                <w:noProof/>
                <w:sz w:val="22"/>
                <w:szCs w:val="22"/>
              </w:rPr>
            </w:pPr>
            <w:r w:rsidRPr="00266A9C">
              <w:rPr>
                <w:noProof/>
                <w:sz w:val="22"/>
              </w:rPr>
              <w:t>1 iulie 2030</w:t>
            </w:r>
          </w:p>
        </w:tc>
        <w:tc>
          <w:tcPr>
            <w:tcW w:w="1755" w:type="dxa"/>
            <w:shd w:val="clear" w:color="auto" w:fill="FFFFFF" w:themeFill="background1"/>
            <w:tcMar>
              <w:top w:w="85" w:type="dxa"/>
              <w:left w:w="144" w:type="dxa"/>
              <w:bottom w:w="85" w:type="dxa"/>
              <w:right w:w="144" w:type="dxa"/>
            </w:tcMar>
          </w:tcPr>
          <w:p w14:paraId="5B4D47F1" w14:textId="4861B051" w:rsidR="00971E00" w:rsidRPr="00266A9C" w:rsidRDefault="00971E00" w:rsidP="00C50D24">
            <w:pPr>
              <w:widowControl w:val="0"/>
              <w:spacing w:after="120"/>
              <w:rPr>
                <w:noProof/>
                <w:sz w:val="22"/>
                <w:szCs w:val="22"/>
              </w:rPr>
            </w:pPr>
            <w:r w:rsidRPr="00266A9C">
              <w:rPr>
                <w:noProof/>
                <w:sz w:val="22"/>
              </w:rPr>
              <w:t>1 aprilie 2032</w:t>
            </w:r>
          </w:p>
        </w:tc>
        <w:tc>
          <w:tcPr>
            <w:tcW w:w="1756" w:type="dxa"/>
            <w:shd w:val="clear" w:color="auto" w:fill="FFFFFF" w:themeFill="background1"/>
            <w:tcMar>
              <w:top w:w="85" w:type="dxa"/>
              <w:left w:w="144" w:type="dxa"/>
              <w:bottom w:w="85" w:type="dxa"/>
              <w:right w:w="144" w:type="dxa"/>
            </w:tcMar>
          </w:tcPr>
          <w:p w14:paraId="3ECDE229" w14:textId="66B5F19C" w:rsidR="00971E00" w:rsidRPr="00266A9C" w:rsidRDefault="00971E00" w:rsidP="00C50D24">
            <w:pPr>
              <w:widowControl w:val="0"/>
              <w:spacing w:after="120"/>
              <w:rPr>
                <w:noProof/>
                <w:sz w:val="22"/>
                <w:szCs w:val="22"/>
              </w:rPr>
            </w:pPr>
            <w:r w:rsidRPr="00266A9C">
              <w:rPr>
                <w:noProof/>
                <w:sz w:val="22"/>
              </w:rPr>
              <w:t>1 aprilie 2034</w:t>
            </w:r>
          </w:p>
        </w:tc>
      </w:tr>
      <w:tr w:rsidR="00971E00" w:rsidRPr="00266A9C" w14:paraId="077AD5B5" w14:textId="77777777" w:rsidTr="00E821B0">
        <w:trPr>
          <w:trHeight w:val="20"/>
          <w:jc w:val="center"/>
        </w:trPr>
        <w:tc>
          <w:tcPr>
            <w:tcW w:w="3450" w:type="dxa"/>
            <w:shd w:val="clear" w:color="auto" w:fill="FFFFFF" w:themeFill="background1"/>
            <w:tcMar>
              <w:top w:w="85" w:type="dxa"/>
              <w:left w:w="144" w:type="dxa"/>
              <w:bottom w:w="85" w:type="dxa"/>
              <w:right w:w="144" w:type="dxa"/>
            </w:tcMar>
          </w:tcPr>
          <w:p w14:paraId="2F216308" w14:textId="77777777" w:rsidR="00971E00" w:rsidRPr="00266A9C" w:rsidRDefault="00971E00" w:rsidP="00C50D24">
            <w:pPr>
              <w:widowControl w:val="0"/>
              <w:spacing w:after="120"/>
              <w:jc w:val="right"/>
              <w:rPr>
                <w:noProof/>
                <w:sz w:val="22"/>
                <w:szCs w:val="22"/>
              </w:rPr>
            </w:pPr>
            <w:r w:rsidRPr="00266A9C">
              <w:rPr>
                <w:noProof/>
                <w:sz w:val="22"/>
              </w:rPr>
              <w:t>Modelele neconforme de pe piață până la:</w:t>
            </w:r>
          </w:p>
        </w:tc>
        <w:tc>
          <w:tcPr>
            <w:tcW w:w="1725" w:type="dxa"/>
            <w:shd w:val="clear" w:color="auto" w:fill="FFFFFF" w:themeFill="background1"/>
            <w:tcMar>
              <w:top w:w="85" w:type="dxa"/>
              <w:left w:w="144" w:type="dxa"/>
              <w:bottom w:w="85" w:type="dxa"/>
              <w:right w:w="144" w:type="dxa"/>
            </w:tcMar>
          </w:tcPr>
          <w:p w14:paraId="2EE0FD9A" w14:textId="6D02D3DF" w:rsidR="00971E00" w:rsidRPr="00266A9C" w:rsidRDefault="00971E00" w:rsidP="00C50D24">
            <w:pPr>
              <w:widowControl w:val="0"/>
              <w:spacing w:after="120"/>
              <w:rPr>
                <w:noProof/>
                <w:sz w:val="22"/>
                <w:szCs w:val="22"/>
              </w:rPr>
            </w:pPr>
            <w:r w:rsidRPr="00266A9C">
              <w:rPr>
                <w:noProof/>
                <w:sz w:val="22"/>
              </w:rPr>
              <w:t>30 iunie 2032</w:t>
            </w:r>
          </w:p>
        </w:tc>
        <w:tc>
          <w:tcPr>
            <w:tcW w:w="1755" w:type="dxa"/>
            <w:shd w:val="clear" w:color="auto" w:fill="FFFFFF" w:themeFill="background1"/>
            <w:tcMar>
              <w:top w:w="85" w:type="dxa"/>
              <w:left w:w="144" w:type="dxa"/>
              <w:bottom w:w="85" w:type="dxa"/>
              <w:right w:w="144" w:type="dxa"/>
            </w:tcMar>
          </w:tcPr>
          <w:p w14:paraId="086DD2AB" w14:textId="208708ED" w:rsidR="00971E00" w:rsidRPr="00266A9C" w:rsidRDefault="00971E00" w:rsidP="00C50D24">
            <w:pPr>
              <w:widowControl w:val="0"/>
              <w:spacing w:after="120"/>
              <w:rPr>
                <w:noProof/>
                <w:sz w:val="22"/>
                <w:szCs w:val="22"/>
              </w:rPr>
            </w:pPr>
            <w:r w:rsidRPr="00266A9C">
              <w:rPr>
                <w:noProof/>
                <w:sz w:val="22"/>
              </w:rPr>
              <w:t>31 martie 2034</w:t>
            </w:r>
          </w:p>
        </w:tc>
        <w:tc>
          <w:tcPr>
            <w:tcW w:w="1756" w:type="dxa"/>
            <w:shd w:val="clear" w:color="auto" w:fill="FFFFFF" w:themeFill="background1"/>
            <w:tcMar>
              <w:top w:w="85" w:type="dxa"/>
              <w:left w:w="144" w:type="dxa"/>
              <w:bottom w:w="85" w:type="dxa"/>
              <w:right w:w="144" w:type="dxa"/>
            </w:tcMar>
          </w:tcPr>
          <w:p w14:paraId="783795CD" w14:textId="776E29C3" w:rsidR="00971E00" w:rsidRPr="00266A9C" w:rsidRDefault="00971E00" w:rsidP="00C50D24">
            <w:pPr>
              <w:widowControl w:val="0"/>
              <w:spacing w:after="120"/>
              <w:rPr>
                <w:noProof/>
                <w:sz w:val="22"/>
                <w:szCs w:val="22"/>
              </w:rPr>
            </w:pPr>
            <w:r w:rsidRPr="00266A9C">
              <w:rPr>
                <w:noProof/>
                <w:sz w:val="22"/>
              </w:rPr>
              <w:t>31 martie 2036</w:t>
            </w:r>
          </w:p>
        </w:tc>
      </w:tr>
    </w:tbl>
    <w:p w14:paraId="28F9DD04" w14:textId="2BC410D1" w:rsidR="00971E00" w:rsidRPr="00266A9C" w:rsidDel="0034735B" w:rsidRDefault="00971E00" w:rsidP="00776E8E">
      <w:pPr>
        <w:rPr>
          <w:noProof/>
        </w:rPr>
      </w:pPr>
    </w:p>
    <w:p w14:paraId="14A0A9CA" w14:textId="2E6E8615" w:rsidR="00971E00" w:rsidRPr="00266A9C" w:rsidDel="006B075F" w:rsidRDefault="00971E00" w:rsidP="00FD32ED">
      <w:pPr>
        <w:pStyle w:val="Heading2"/>
        <w:rPr>
          <w:noProof/>
        </w:rPr>
      </w:pPr>
      <w:r w:rsidRPr="00266A9C">
        <w:rPr>
          <w:noProof/>
        </w:rPr>
        <w:t>Alte aspecte</w:t>
      </w:r>
    </w:p>
    <w:p w14:paraId="729E5ADC" w14:textId="42F3881C" w:rsidR="00971E00" w:rsidRPr="00266A9C" w:rsidRDefault="005E1B8F" w:rsidP="008E0ACF">
      <w:pPr>
        <w:rPr>
          <w:noProof/>
        </w:rPr>
      </w:pPr>
      <w:r w:rsidRPr="00266A9C">
        <w:rPr>
          <w:noProof/>
        </w:rPr>
        <w:t>Etichetarea pneurilor reșapate ar necesita modificarea mai multor anexe la TLR. De asemenea, TLR nu oferă claritate sau cerințe detaliate în anumite privințe (etichete imbricate, parametri publici, documentația de conformitate). Acest lucru reprezintă o sursă de incertitudine pentru furnizori, precum și pentru comercianții de pneuri și de vehicule, și complică procesul de conformare</w:t>
      </w:r>
      <w:r w:rsidRPr="00266A9C">
        <w:rPr>
          <w:noProof/>
          <w:vertAlign w:val="superscript"/>
        </w:rPr>
        <w:t> (</w:t>
      </w:r>
      <w:r w:rsidRPr="00266A9C">
        <w:rPr>
          <w:rStyle w:val="FootnoteReference"/>
          <w:noProof/>
        </w:rPr>
        <w:footnoteReference w:id="29"/>
      </w:r>
      <w:r w:rsidRPr="00266A9C">
        <w:rPr>
          <w:noProof/>
          <w:vertAlign w:val="superscript"/>
        </w:rPr>
        <w:t>)</w:t>
      </w:r>
      <w:r w:rsidRPr="00266A9C">
        <w:rPr>
          <w:noProof/>
        </w:rPr>
        <w:t>. Alinierea la legislația privind produsele cu impact energetic etichetate ar rezolva majoritatea problemelor.</w:t>
      </w:r>
    </w:p>
    <w:p w14:paraId="401097C4" w14:textId="77777777" w:rsidR="00971E00" w:rsidRPr="00266A9C" w:rsidRDefault="00971E00">
      <w:pPr>
        <w:pStyle w:val="Heading1"/>
        <w:rPr>
          <w:noProof/>
        </w:rPr>
      </w:pPr>
      <w:r w:rsidRPr="00266A9C">
        <w:rPr>
          <w:noProof/>
        </w:rPr>
        <w:t>Supravegherea pieței și asigurarea respectării legislației</w:t>
      </w:r>
      <w:bookmarkEnd w:id="13"/>
      <w:bookmarkEnd w:id="14"/>
    </w:p>
    <w:p w14:paraId="2AEC3443" w14:textId="00474073" w:rsidR="004C3588" w:rsidRPr="00266A9C" w:rsidRDefault="008A0FF4" w:rsidP="004C3588">
      <w:pPr>
        <w:rPr>
          <w:rFonts w:eastAsia="Yu Mincho"/>
          <w:noProof/>
        </w:rPr>
      </w:pPr>
      <w:r w:rsidRPr="00266A9C">
        <w:rPr>
          <w:noProof/>
        </w:rPr>
        <w:t>Regulamentul (CE) nr. 765/2008</w:t>
      </w:r>
      <w:r w:rsidRPr="00266A9C">
        <w:rPr>
          <w:noProof/>
          <w:vertAlign w:val="superscript"/>
        </w:rPr>
        <w:t> (</w:t>
      </w:r>
      <w:r w:rsidRPr="00266A9C">
        <w:rPr>
          <w:rStyle w:val="FootnoteReference"/>
          <w:noProof/>
        </w:rPr>
        <w:footnoteReference w:id="30"/>
      </w:r>
      <w:r w:rsidRPr="00266A9C">
        <w:rPr>
          <w:noProof/>
          <w:vertAlign w:val="superscript"/>
        </w:rPr>
        <w:t>)</w:t>
      </w:r>
      <w:r w:rsidRPr="00266A9C">
        <w:rPr>
          <w:noProof/>
        </w:rPr>
        <w:t xml:space="preserve"> stabilește procedura de verificare a conformității de către autoritățile naționale de supraveghere a pieței (ASP-uri) pentru etichetarea pneurilor și pentru supravegherea transfrontalieră a pieței. Regulamentul (UE) 2019/1020</w:t>
      </w:r>
      <w:r w:rsidRPr="00266A9C">
        <w:rPr>
          <w:noProof/>
          <w:vertAlign w:val="superscript"/>
        </w:rPr>
        <w:t> (</w:t>
      </w:r>
      <w:r w:rsidRPr="00266A9C">
        <w:rPr>
          <w:rStyle w:val="FootnoteReference"/>
          <w:noProof/>
        </w:rPr>
        <w:footnoteReference w:id="31"/>
      </w:r>
      <w:r w:rsidRPr="00266A9C">
        <w:rPr>
          <w:noProof/>
          <w:vertAlign w:val="superscript"/>
        </w:rPr>
        <w:t>)</w:t>
      </w:r>
      <w:r w:rsidRPr="00266A9C">
        <w:rPr>
          <w:noProof/>
        </w:rPr>
        <w:t xml:space="preserve"> privind supravegherea pieței și conformitatea produselor a modificat Regulamentul (CE) nr. 765/2008, extinzând domeniul de aplicare și aliniind definițiile și normele de acreditare pentru instalațiile de testare.</w:t>
      </w:r>
    </w:p>
    <w:p w14:paraId="67B18F99" w14:textId="488034CC" w:rsidR="003D1F0D" w:rsidRPr="00266A9C" w:rsidRDefault="003D1F0D" w:rsidP="00C50D24">
      <w:pPr>
        <w:rPr>
          <w:noProof/>
        </w:rPr>
      </w:pPr>
      <w:r w:rsidRPr="00266A9C">
        <w:rPr>
          <w:noProof/>
        </w:rPr>
        <w:t>În plus, TLR creează anumite obligații pentru furnizori (producători, importatori și reprezentanți autorizați) și comercianți sau distribuitori, inclusiv obligația de a coopera cu autoritățile de supraveghere a pieței și de a lua măsuri imediate în caz de neconformitate. Sunt stabilite cerințe specifice pentru furnizorii de servicii de găzduire pe internet.</w:t>
      </w:r>
    </w:p>
    <w:p w14:paraId="0786CF15" w14:textId="797658B7" w:rsidR="004C3588" w:rsidRPr="00266A9C" w:rsidRDefault="004C3588" w:rsidP="004C3588">
      <w:pPr>
        <w:rPr>
          <w:noProof/>
        </w:rPr>
      </w:pPr>
      <w:r w:rsidRPr="00266A9C">
        <w:rPr>
          <w:noProof/>
        </w:rPr>
        <w:t>Pneurile sunt produse complexe, esențiale pentru siguranță. Evaluarea calității și a conformității pneurilor necesită competențe și cunoștințe de specialitate specifice. Pentru a verifica performanța, ASP-urile au nevoie de echipamente specializate și costisitoare, precum și de terenuri sau piste de încercare dedicate.</w:t>
      </w:r>
    </w:p>
    <w:p w14:paraId="75062886" w14:textId="638B7F8D" w:rsidR="00971E00" w:rsidRPr="00266A9C" w:rsidRDefault="00FF3D99" w:rsidP="00C50D24">
      <w:pPr>
        <w:rPr>
          <w:noProof/>
        </w:rPr>
      </w:pPr>
      <w:r w:rsidRPr="00266A9C">
        <w:rPr>
          <w:noProof/>
        </w:rPr>
        <w:t>Majoritatea încercărilor de performanță și de conformitate efectuate de ASP-uri se realizează în prezent pe aparate (frigidere, mașini de spălat rufe, becuri electrice) și foarte puține dintre acestea dețin experiență și competențe specifice în ceea ce privește pneurile. În multe țări, se alocă puține resurse umane și financiare pentru controlul conformității, astfel încât majoritatea efectuează doar controale privind aspectele formale. În plus, în aproximativ jumătate dintre statele membre, competențele în materie de etichetare și omologare de tip sunt împărțite între diferite autorități, coordonarea dintre acestea fiind redusă sau inexistentă, chiar dacă echipamentele și procedurile de încercare utilizate sunt aceleași.</w:t>
      </w:r>
    </w:p>
    <w:p w14:paraId="084DA055" w14:textId="5745A60C" w:rsidR="00971E00" w:rsidRPr="00266A9C" w:rsidRDefault="00415426" w:rsidP="00C50D24">
      <w:pPr>
        <w:rPr>
          <w:noProof/>
        </w:rPr>
      </w:pPr>
      <w:r w:rsidRPr="00266A9C">
        <w:rPr>
          <w:noProof/>
        </w:rPr>
        <w:t>Mai multe state membre efectuează controale, iar acestea prezintă rate ridicate de neconformitate. Irlanda a raportat rezultate pentru 36 de modele de pneuri în ICSMS</w:t>
      </w:r>
      <w:r w:rsidRPr="00266A9C">
        <w:rPr>
          <w:noProof/>
          <w:vertAlign w:val="superscript"/>
        </w:rPr>
        <w:t> (</w:t>
      </w:r>
      <w:r w:rsidRPr="00266A9C">
        <w:rPr>
          <w:rStyle w:val="FootnoteReference"/>
          <w:noProof/>
        </w:rPr>
        <w:footnoteReference w:id="32"/>
      </w:r>
      <w:r w:rsidRPr="00266A9C">
        <w:rPr>
          <w:noProof/>
          <w:vertAlign w:val="superscript"/>
        </w:rPr>
        <w:t>)</w:t>
      </w:r>
      <w:r w:rsidRPr="00266A9C">
        <w:rPr>
          <w:noProof/>
        </w:rPr>
        <w:t>; potrivit constatărilor sale, doar 33 % erau conforme în 2024 și 51 % în 2025. Germania a raportat rezultate pentru 60 de modele de pneuri supuse încercărilor; potrivit constatărilor sale, 37 % erau conforme în 2023 și 58 % în 2024. Autoritățile naționale de supraveghere a pieței efectuează, în general, supravegherea pieței utilizând o abordare bazată pe riscuri, ceea ce înseamnă că ratele de neconformitate constatate nu sunt neapărat reprezentative pentru mediile pieței. Cu toate acestea, datele obținute în urma încercărilor efectuate de JRC indică, de asemenea, cifre foarte ridicate privind neconformitatea. În ceea ce privește pneurile care intră pe piața UE, controalele vamale la frontierele externe ale UE au rămas limitate și, în consecință, numărul cazurilor de neconformitate descoperite a fost scăzut.</w:t>
      </w:r>
    </w:p>
    <w:p w14:paraId="250C95E7" w14:textId="03014A49" w:rsidR="00971E00" w:rsidRPr="00266A9C" w:rsidRDefault="003C1AF4" w:rsidP="00C50D24">
      <w:pPr>
        <w:rPr>
          <w:noProof/>
        </w:rPr>
      </w:pPr>
      <w:r w:rsidRPr="00266A9C">
        <w:rPr>
          <w:noProof/>
        </w:rPr>
        <w:t>În temeiul TLR, statele membre sunt obligate să stabilească norme privind sancțiuni eficace, proporționale și disuasive, precum și să instituie mecanisme de asigurare a respectării legislației pentru încălcarea regulamentului și să notifice Comisiei normele respective până la 1 mai 2021. Lista sancțiunilor notificate a fost publicată pe Portalul pentru produse eficiente din punct de vedere energetic</w:t>
      </w:r>
      <w:r w:rsidRPr="00266A9C">
        <w:rPr>
          <w:noProof/>
          <w:vertAlign w:val="superscript"/>
        </w:rPr>
        <w:t> (</w:t>
      </w:r>
      <w:r w:rsidRPr="00266A9C">
        <w:rPr>
          <w:rStyle w:val="FootnoteReference"/>
          <w:noProof/>
        </w:rPr>
        <w:footnoteReference w:id="33"/>
      </w:r>
      <w:r w:rsidRPr="00266A9C">
        <w:rPr>
          <w:noProof/>
          <w:vertAlign w:val="superscript"/>
        </w:rPr>
        <w:t>)</w:t>
      </w:r>
      <w:r w:rsidRPr="00266A9C">
        <w:rPr>
          <w:noProof/>
        </w:rPr>
        <w:t>.</w:t>
      </w:r>
    </w:p>
    <w:p w14:paraId="6EDF7B28" w14:textId="77777777" w:rsidR="00971E00" w:rsidRPr="00266A9C" w:rsidRDefault="00971E00" w:rsidP="00AB212E">
      <w:pPr>
        <w:pStyle w:val="Heading2"/>
        <w:rPr>
          <w:noProof/>
        </w:rPr>
      </w:pPr>
      <w:r w:rsidRPr="00266A9C">
        <w:rPr>
          <w:noProof/>
        </w:rPr>
        <w:t>Omologarea de tip versus etichetarea pneurilor</w:t>
      </w:r>
    </w:p>
    <w:p w14:paraId="0E84AF3C" w14:textId="60F98FD1" w:rsidR="00971E00" w:rsidRPr="00266A9C" w:rsidRDefault="00971E00" w:rsidP="00C50D24">
      <w:pPr>
        <w:rPr>
          <w:noProof/>
        </w:rPr>
      </w:pPr>
      <w:r w:rsidRPr="00266A9C">
        <w:rPr>
          <w:noProof/>
        </w:rPr>
        <w:t>Omologarea de tip nu se efectuează pentru fiecare model de pneu, ci numai la nivelul „familiei de pneuri” și utilizând scenariul „cel mai pesimist”, pentru fiecare parametru reglementat. De exemplu, în ceea ce privește rezistența la rulare, dintre pneurile cu același profil al benzii de rulare, dar cu raporturi de aspect diferite, cel având cel mai mic indice de încărcare și cel mai mare raport de aspect este considerat pneul reprezentativ pentru scenariul cel mai pesimist. Aceasta înseamnă că, din 10 sau 20 de pneuri din aceeași familie și cu același profil al benzii de rulare, doar unul este supus încercărilor pentru rezistența la rulare, altul pentru aderența pe teren umed și, eventual, altul pentru zgomot.</w:t>
      </w:r>
    </w:p>
    <w:p w14:paraId="13435476" w14:textId="007430E5" w:rsidR="00971E00" w:rsidRPr="00266A9C" w:rsidRDefault="00FC49FA" w:rsidP="00C50D24">
      <w:pPr>
        <w:rPr>
          <w:noProof/>
        </w:rPr>
      </w:pPr>
      <w:r w:rsidRPr="00266A9C">
        <w:rPr>
          <w:noProof/>
        </w:rPr>
        <w:t>În ceea ce privește etichetarea pneurilor, fiecare membru al unei familii de pneuri este, în principiu, supus încercărilor folosind aceeași metodă de încercare.</w:t>
      </w:r>
    </w:p>
    <w:p w14:paraId="190BE72B" w14:textId="6AC9DB48" w:rsidR="00971E00" w:rsidRPr="00266A9C" w:rsidRDefault="00971E00" w:rsidP="00C50D24">
      <w:pPr>
        <w:rPr>
          <w:noProof/>
        </w:rPr>
      </w:pPr>
      <w:r w:rsidRPr="00266A9C">
        <w:rPr>
          <w:noProof/>
        </w:rPr>
        <w:t>Aceasta înseamnă că controlul conformității și verificarea clasei menționate pe etichetă, cu excepția cazului în care se indică faptul că este vorba de cel mai pesimist scenariu, necesită efectuarea unei încercări specifice pe pneul respectiv și nu se pot baza pe rezultatele încercărilor din cadrul omologării de tip pentru întreaga familie de pneuri.</w:t>
      </w:r>
    </w:p>
    <w:p w14:paraId="78B02E37" w14:textId="5CEE3D38" w:rsidR="00971E00" w:rsidRPr="00266A9C" w:rsidRDefault="00971E00" w:rsidP="00AB212E">
      <w:pPr>
        <w:pStyle w:val="Heading2"/>
        <w:rPr>
          <w:noProof/>
        </w:rPr>
      </w:pPr>
      <w:bookmarkStart w:id="15" w:name="_Toc211189603"/>
      <w:bookmarkStart w:id="16" w:name="_Toc213083344"/>
      <w:r w:rsidRPr="00266A9C">
        <w:rPr>
          <w:noProof/>
        </w:rPr>
        <w:t xml:space="preserve">Sprijinul UE pentru </w:t>
      </w:r>
      <w:bookmarkEnd w:id="15"/>
      <w:bookmarkEnd w:id="16"/>
      <w:r w:rsidRPr="00266A9C">
        <w:rPr>
          <w:noProof/>
        </w:rPr>
        <w:t>autoritățile de supraveghere a pieței</w:t>
      </w:r>
    </w:p>
    <w:p w14:paraId="19E9ECC4" w14:textId="79A9246E" w:rsidR="00971E00" w:rsidRPr="00266A9C" w:rsidRDefault="00971E00" w:rsidP="00C50D24">
      <w:pPr>
        <w:rPr>
          <w:noProof/>
        </w:rPr>
      </w:pPr>
      <w:r w:rsidRPr="00266A9C">
        <w:rPr>
          <w:noProof/>
        </w:rPr>
        <w:t>Energy Efficiency Compliant Products 4 (</w:t>
      </w:r>
      <w:hyperlink r:id="rId29" w:history="1">
        <w:r w:rsidRPr="00266A9C">
          <w:rPr>
            <w:rStyle w:val="Hyperlink"/>
            <w:noProof/>
          </w:rPr>
          <w:t>EEPLIANT4</w:t>
        </w:r>
      </w:hyperlink>
      <w:r w:rsidRPr="00266A9C">
        <w:rPr>
          <w:noProof/>
        </w:rPr>
        <w:t xml:space="preserve">) este o acțiune concertată cofinanțată de UE în cadrul </w:t>
      </w:r>
      <w:hyperlink r:id="rId30" w:history="1">
        <w:r w:rsidRPr="00266A9C">
          <w:rPr>
            <w:rStyle w:val="Hyperlink"/>
            <w:noProof/>
          </w:rPr>
          <w:t>programului LIFE, instrumentul de finanțare al UE pentru mediu și politici climatice</w:t>
        </w:r>
      </w:hyperlink>
      <w:r w:rsidRPr="00266A9C">
        <w:rPr>
          <w:noProof/>
        </w:rPr>
        <w:t xml:space="preserve">. </w:t>
      </w:r>
      <w:hyperlink r:id="rId31" w:history="1">
        <w:r w:rsidRPr="00266A9C">
          <w:rPr>
            <w:rStyle w:val="Hyperlink"/>
            <w:noProof/>
          </w:rPr>
          <w:t>EEPLIANT4</w:t>
        </w:r>
      </w:hyperlink>
      <w:r w:rsidRPr="00266A9C">
        <w:rPr>
          <w:noProof/>
        </w:rPr>
        <w:t xml:space="preserve"> include un pachet de lucru privind pneurile în cadrul căruia se vor efectua verificări ale conformității cu TLR. Doar patru ASP-uri participă: Cipru, Estonia, Țările de Jos și Portugalia, coordonate de PROSAFE</w:t>
      </w:r>
      <w:r w:rsidRPr="00266A9C">
        <w:rPr>
          <w:noProof/>
          <w:vertAlign w:val="superscript"/>
        </w:rPr>
        <w:t> (</w:t>
      </w:r>
      <w:r w:rsidRPr="00266A9C">
        <w:rPr>
          <w:rStyle w:val="FootnoteReference"/>
          <w:noProof/>
        </w:rPr>
        <w:footnoteReference w:id="34"/>
      </w:r>
      <w:r w:rsidRPr="00266A9C">
        <w:rPr>
          <w:noProof/>
          <w:vertAlign w:val="superscript"/>
        </w:rPr>
        <w:t>)</w:t>
      </w:r>
      <w:r w:rsidRPr="00266A9C">
        <w:rPr>
          <w:noProof/>
        </w:rPr>
        <w:t>.</w:t>
      </w:r>
    </w:p>
    <w:tbl>
      <w:tblPr>
        <w:tblStyle w:val="TableGrid"/>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20" w:firstRow="1" w:lastRow="0" w:firstColumn="0" w:lastColumn="0" w:noHBand="0" w:noVBand="1"/>
      </w:tblPr>
      <w:tblGrid>
        <w:gridCol w:w="1555"/>
        <w:gridCol w:w="3720"/>
        <w:gridCol w:w="1800"/>
        <w:gridCol w:w="1851"/>
      </w:tblGrid>
      <w:tr w:rsidR="00971E00" w:rsidRPr="00266A9C" w14:paraId="0176C18C" w14:textId="77777777" w:rsidTr="009A7315">
        <w:trPr>
          <w:trHeight w:val="20"/>
        </w:trPr>
        <w:tc>
          <w:tcPr>
            <w:tcW w:w="1555" w:type="dxa"/>
            <w:shd w:val="clear" w:color="auto" w:fill="D9D9D9"/>
            <w:tcMar>
              <w:top w:w="85" w:type="dxa"/>
              <w:left w:w="144" w:type="dxa"/>
              <w:bottom w:w="85" w:type="dxa"/>
              <w:right w:w="144" w:type="dxa"/>
            </w:tcMar>
          </w:tcPr>
          <w:p w14:paraId="5CA20599" w14:textId="3FFC97DC" w:rsidR="00971E00" w:rsidRPr="00266A9C" w:rsidRDefault="00971E00" w:rsidP="00C50D24">
            <w:pPr>
              <w:keepNext/>
              <w:keepLines/>
              <w:widowControl w:val="0"/>
              <w:spacing w:after="120"/>
              <w:rPr>
                <w:b/>
                <w:bCs/>
                <w:noProof/>
                <w:sz w:val="22"/>
                <w:szCs w:val="22"/>
              </w:rPr>
            </w:pPr>
            <w:r w:rsidRPr="00266A9C">
              <w:rPr>
                <w:b/>
                <w:noProof/>
                <w:sz w:val="22"/>
              </w:rPr>
              <w:t xml:space="preserve">Proiectul </w:t>
            </w:r>
          </w:p>
        </w:tc>
        <w:tc>
          <w:tcPr>
            <w:tcW w:w="3720" w:type="dxa"/>
            <w:shd w:val="clear" w:color="auto" w:fill="D9D9D9"/>
            <w:tcMar>
              <w:top w:w="85" w:type="dxa"/>
              <w:left w:w="144" w:type="dxa"/>
              <w:bottom w:w="85" w:type="dxa"/>
              <w:right w:w="144" w:type="dxa"/>
            </w:tcMar>
          </w:tcPr>
          <w:p w14:paraId="4EBDB472" w14:textId="77777777" w:rsidR="00971E00" w:rsidRPr="00266A9C" w:rsidRDefault="00971E00" w:rsidP="00C50D24">
            <w:pPr>
              <w:keepNext/>
              <w:keepLines/>
              <w:widowControl w:val="0"/>
              <w:spacing w:after="120"/>
              <w:jc w:val="center"/>
              <w:rPr>
                <w:noProof/>
                <w:sz w:val="22"/>
                <w:szCs w:val="22"/>
                <w:highlight w:val="lightGray"/>
              </w:rPr>
            </w:pPr>
            <w:r w:rsidRPr="00266A9C">
              <w:rPr>
                <w:b/>
                <w:noProof/>
                <w:sz w:val="22"/>
                <w:highlight w:val="lightGray"/>
              </w:rPr>
              <w:t>Programul</w:t>
            </w:r>
          </w:p>
        </w:tc>
        <w:tc>
          <w:tcPr>
            <w:tcW w:w="1800" w:type="dxa"/>
            <w:shd w:val="clear" w:color="auto" w:fill="D9D9D9"/>
            <w:tcMar>
              <w:top w:w="85" w:type="dxa"/>
              <w:left w:w="144" w:type="dxa"/>
              <w:bottom w:w="85" w:type="dxa"/>
              <w:right w:w="144" w:type="dxa"/>
            </w:tcMar>
          </w:tcPr>
          <w:p w14:paraId="5EC04889" w14:textId="77777777" w:rsidR="00971E00" w:rsidRPr="00266A9C" w:rsidRDefault="00971E00" w:rsidP="00C50D24">
            <w:pPr>
              <w:keepNext/>
              <w:keepLines/>
              <w:widowControl w:val="0"/>
              <w:spacing w:after="120"/>
              <w:jc w:val="center"/>
              <w:rPr>
                <w:noProof/>
                <w:sz w:val="22"/>
                <w:szCs w:val="22"/>
                <w:highlight w:val="lightGray"/>
              </w:rPr>
            </w:pPr>
            <w:r w:rsidRPr="00266A9C">
              <w:rPr>
                <w:b/>
                <w:noProof/>
                <w:sz w:val="22"/>
                <w:highlight w:val="lightGray"/>
              </w:rPr>
              <w:t>Timpul de funcționare</w:t>
            </w:r>
          </w:p>
        </w:tc>
        <w:tc>
          <w:tcPr>
            <w:tcW w:w="1851" w:type="dxa"/>
            <w:shd w:val="clear" w:color="auto" w:fill="D9D9D9"/>
            <w:tcMar>
              <w:top w:w="85" w:type="dxa"/>
              <w:left w:w="144" w:type="dxa"/>
              <w:bottom w:w="85" w:type="dxa"/>
              <w:right w:w="144" w:type="dxa"/>
            </w:tcMar>
          </w:tcPr>
          <w:p w14:paraId="11ABA8C8" w14:textId="77777777" w:rsidR="00971E00" w:rsidRPr="00266A9C" w:rsidRDefault="00971E00" w:rsidP="00C50D24">
            <w:pPr>
              <w:keepNext/>
              <w:keepLines/>
              <w:widowControl w:val="0"/>
              <w:spacing w:after="120"/>
              <w:jc w:val="center"/>
              <w:rPr>
                <w:noProof/>
                <w:sz w:val="22"/>
                <w:szCs w:val="22"/>
                <w:highlight w:val="lightGray"/>
              </w:rPr>
            </w:pPr>
            <w:r w:rsidRPr="00266A9C">
              <w:rPr>
                <w:b/>
                <w:noProof/>
                <w:sz w:val="22"/>
                <w:highlight w:val="lightGray"/>
              </w:rPr>
              <w:t>Contribuția UE</w:t>
            </w:r>
          </w:p>
        </w:tc>
      </w:tr>
      <w:tr w:rsidR="00971E00" w:rsidRPr="00266A9C" w14:paraId="7D3BC214" w14:textId="77777777" w:rsidTr="009A7315">
        <w:trPr>
          <w:trHeight w:val="20"/>
        </w:trPr>
        <w:tc>
          <w:tcPr>
            <w:tcW w:w="1555" w:type="dxa"/>
            <w:shd w:val="clear" w:color="auto" w:fill="FFFFFF"/>
            <w:tcMar>
              <w:top w:w="85" w:type="dxa"/>
              <w:left w:w="144" w:type="dxa"/>
              <w:bottom w:w="85" w:type="dxa"/>
              <w:right w:w="144" w:type="dxa"/>
            </w:tcMar>
          </w:tcPr>
          <w:p w14:paraId="43EBD6E0" w14:textId="77777777" w:rsidR="00971E00" w:rsidRPr="00266A9C" w:rsidRDefault="00971E00" w:rsidP="00C50D24">
            <w:pPr>
              <w:keepNext/>
              <w:keepLines/>
              <w:widowControl w:val="0"/>
              <w:spacing w:after="120"/>
              <w:rPr>
                <w:noProof/>
                <w:sz w:val="22"/>
                <w:szCs w:val="22"/>
              </w:rPr>
            </w:pPr>
            <w:r w:rsidRPr="00266A9C">
              <w:rPr>
                <w:noProof/>
                <w:sz w:val="22"/>
              </w:rPr>
              <w:t>MSTyr15</w:t>
            </w:r>
          </w:p>
        </w:tc>
        <w:tc>
          <w:tcPr>
            <w:tcW w:w="3720" w:type="dxa"/>
            <w:shd w:val="clear" w:color="auto" w:fill="FFFFFF"/>
            <w:tcMar>
              <w:top w:w="85" w:type="dxa"/>
              <w:left w:w="144" w:type="dxa"/>
              <w:bottom w:w="85" w:type="dxa"/>
              <w:right w:w="144" w:type="dxa"/>
            </w:tcMar>
          </w:tcPr>
          <w:p w14:paraId="499F2000" w14:textId="77777777" w:rsidR="00971E00" w:rsidRPr="00266A9C" w:rsidRDefault="00971E00" w:rsidP="00C50D24">
            <w:pPr>
              <w:keepNext/>
              <w:keepLines/>
              <w:widowControl w:val="0"/>
              <w:spacing w:after="120"/>
              <w:rPr>
                <w:noProof/>
                <w:sz w:val="22"/>
                <w:szCs w:val="22"/>
              </w:rPr>
            </w:pPr>
            <w:r w:rsidRPr="00266A9C">
              <w:rPr>
                <w:noProof/>
                <w:sz w:val="22"/>
              </w:rPr>
              <w:t>Programul Orizont 2020 al Comisiei Europene</w:t>
            </w:r>
          </w:p>
        </w:tc>
        <w:tc>
          <w:tcPr>
            <w:tcW w:w="1800" w:type="dxa"/>
            <w:shd w:val="clear" w:color="auto" w:fill="FFFFFF"/>
            <w:tcMar>
              <w:top w:w="85" w:type="dxa"/>
              <w:left w:w="144" w:type="dxa"/>
              <w:bottom w:w="85" w:type="dxa"/>
              <w:right w:w="144" w:type="dxa"/>
            </w:tcMar>
          </w:tcPr>
          <w:p w14:paraId="789B7005" w14:textId="77777777" w:rsidR="00971E00" w:rsidRPr="00266A9C" w:rsidRDefault="00971E00" w:rsidP="00C50D24">
            <w:pPr>
              <w:keepNext/>
              <w:keepLines/>
              <w:widowControl w:val="0"/>
              <w:spacing w:after="120"/>
              <w:jc w:val="center"/>
              <w:rPr>
                <w:noProof/>
                <w:sz w:val="22"/>
                <w:szCs w:val="22"/>
              </w:rPr>
            </w:pPr>
            <w:r w:rsidRPr="00266A9C">
              <w:rPr>
                <w:noProof/>
                <w:sz w:val="22"/>
              </w:rPr>
              <w:t>2016-2019</w:t>
            </w:r>
          </w:p>
        </w:tc>
        <w:tc>
          <w:tcPr>
            <w:tcW w:w="1851" w:type="dxa"/>
            <w:shd w:val="clear" w:color="auto" w:fill="FFFFFF"/>
            <w:tcMar>
              <w:top w:w="85" w:type="dxa"/>
              <w:left w:w="144" w:type="dxa"/>
              <w:bottom w:w="85" w:type="dxa"/>
              <w:right w:w="144" w:type="dxa"/>
            </w:tcMar>
          </w:tcPr>
          <w:p w14:paraId="7E256FB7" w14:textId="7095497B" w:rsidR="00971E00" w:rsidRPr="00266A9C" w:rsidRDefault="00971E00" w:rsidP="00C50D24">
            <w:pPr>
              <w:keepNext/>
              <w:keepLines/>
              <w:widowControl w:val="0"/>
              <w:spacing w:after="120"/>
              <w:jc w:val="center"/>
              <w:rPr>
                <w:noProof/>
                <w:sz w:val="22"/>
                <w:szCs w:val="22"/>
              </w:rPr>
            </w:pPr>
            <w:r w:rsidRPr="00266A9C">
              <w:rPr>
                <w:noProof/>
                <w:sz w:val="22"/>
              </w:rPr>
              <w:t>1 854 673 EUR</w:t>
            </w:r>
          </w:p>
        </w:tc>
      </w:tr>
      <w:tr w:rsidR="00971E00" w:rsidRPr="00266A9C" w14:paraId="6B61BC6E" w14:textId="77777777" w:rsidTr="009A7315">
        <w:trPr>
          <w:trHeight w:val="20"/>
        </w:trPr>
        <w:tc>
          <w:tcPr>
            <w:tcW w:w="1555" w:type="dxa"/>
            <w:shd w:val="clear" w:color="auto" w:fill="FFFFFF"/>
            <w:tcMar>
              <w:top w:w="85" w:type="dxa"/>
              <w:left w:w="144" w:type="dxa"/>
              <w:bottom w:w="85" w:type="dxa"/>
              <w:right w:w="144" w:type="dxa"/>
            </w:tcMar>
          </w:tcPr>
          <w:p w14:paraId="78916A2E" w14:textId="77777777" w:rsidR="00971E00" w:rsidRPr="00266A9C" w:rsidRDefault="00971E00" w:rsidP="00C50D24">
            <w:pPr>
              <w:keepNext/>
              <w:keepLines/>
              <w:widowControl w:val="0"/>
              <w:spacing w:after="120"/>
              <w:rPr>
                <w:noProof/>
                <w:sz w:val="22"/>
                <w:szCs w:val="22"/>
              </w:rPr>
            </w:pPr>
            <w:r w:rsidRPr="00266A9C">
              <w:rPr>
                <w:noProof/>
                <w:sz w:val="22"/>
              </w:rPr>
              <w:t>EEPLIANT4</w:t>
            </w:r>
          </w:p>
        </w:tc>
        <w:tc>
          <w:tcPr>
            <w:tcW w:w="3720" w:type="dxa"/>
            <w:shd w:val="clear" w:color="auto" w:fill="FFFFFF"/>
            <w:tcMar>
              <w:top w:w="85" w:type="dxa"/>
              <w:left w:w="144" w:type="dxa"/>
              <w:bottom w:w="85" w:type="dxa"/>
              <w:right w:w="144" w:type="dxa"/>
            </w:tcMar>
          </w:tcPr>
          <w:p w14:paraId="7DA35CB8" w14:textId="77777777" w:rsidR="00971E00" w:rsidRPr="00266A9C" w:rsidRDefault="00971E00" w:rsidP="00C50D24">
            <w:pPr>
              <w:keepNext/>
              <w:keepLines/>
              <w:widowControl w:val="0"/>
              <w:spacing w:after="120"/>
              <w:rPr>
                <w:noProof/>
                <w:sz w:val="22"/>
                <w:szCs w:val="22"/>
              </w:rPr>
            </w:pPr>
            <w:r w:rsidRPr="00266A9C">
              <w:rPr>
                <w:noProof/>
                <w:sz w:val="22"/>
              </w:rPr>
              <w:t>LIFE</w:t>
            </w:r>
          </w:p>
        </w:tc>
        <w:tc>
          <w:tcPr>
            <w:tcW w:w="1800" w:type="dxa"/>
            <w:shd w:val="clear" w:color="auto" w:fill="FFFFFF"/>
            <w:tcMar>
              <w:top w:w="85" w:type="dxa"/>
              <w:left w:w="144" w:type="dxa"/>
              <w:bottom w:w="85" w:type="dxa"/>
              <w:right w:w="144" w:type="dxa"/>
            </w:tcMar>
          </w:tcPr>
          <w:p w14:paraId="7F290257" w14:textId="77777777" w:rsidR="00971E00" w:rsidRPr="00266A9C" w:rsidRDefault="00971E00" w:rsidP="00C50D24">
            <w:pPr>
              <w:keepNext/>
              <w:keepLines/>
              <w:widowControl w:val="0"/>
              <w:spacing w:after="120"/>
              <w:jc w:val="center"/>
              <w:rPr>
                <w:noProof/>
                <w:sz w:val="22"/>
                <w:szCs w:val="22"/>
              </w:rPr>
            </w:pPr>
            <w:r w:rsidRPr="00266A9C">
              <w:rPr>
                <w:noProof/>
                <w:sz w:val="22"/>
              </w:rPr>
              <w:t>2024-2029</w:t>
            </w:r>
          </w:p>
        </w:tc>
        <w:tc>
          <w:tcPr>
            <w:tcW w:w="1851" w:type="dxa"/>
            <w:shd w:val="clear" w:color="auto" w:fill="FFFFFF"/>
            <w:tcMar>
              <w:top w:w="85" w:type="dxa"/>
              <w:left w:w="144" w:type="dxa"/>
              <w:bottom w:w="85" w:type="dxa"/>
              <w:right w:w="144" w:type="dxa"/>
            </w:tcMar>
          </w:tcPr>
          <w:p w14:paraId="634BBB6A" w14:textId="64B790A1" w:rsidR="00971E00" w:rsidRPr="00266A9C" w:rsidRDefault="00971E00" w:rsidP="00C50D24">
            <w:pPr>
              <w:keepNext/>
              <w:keepLines/>
              <w:widowControl w:val="0"/>
              <w:spacing w:after="120"/>
              <w:jc w:val="center"/>
              <w:rPr>
                <w:noProof/>
                <w:sz w:val="22"/>
                <w:szCs w:val="22"/>
              </w:rPr>
            </w:pPr>
            <w:r w:rsidRPr="00266A9C">
              <w:rPr>
                <w:noProof/>
                <w:sz w:val="22"/>
              </w:rPr>
              <w:t>7 999 999 EUR</w:t>
            </w:r>
          </w:p>
        </w:tc>
      </w:tr>
    </w:tbl>
    <w:p w14:paraId="1F86A985" w14:textId="13F50EA4" w:rsidR="00971E00" w:rsidRPr="00266A9C" w:rsidRDefault="00971E00" w:rsidP="00C50D24">
      <w:pPr>
        <w:pStyle w:val="Caption"/>
        <w:keepLines/>
        <w:spacing w:before="120"/>
        <w:rPr>
          <w:noProof/>
        </w:rPr>
      </w:pPr>
      <w:r w:rsidRPr="00266A9C">
        <w:rPr>
          <w:noProof/>
        </w:rPr>
        <w:t>Tabelul 3.</w:t>
      </w:r>
      <w:r w:rsidRPr="00266A9C">
        <w:rPr>
          <w:i w:val="0"/>
          <w:noProof/>
        </w:rPr>
        <w:t xml:space="preserve"> </w:t>
      </w:r>
      <w:r w:rsidRPr="00266A9C">
        <w:rPr>
          <w:noProof/>
        </w:rPr>
        <w:t>Sprijinul UE pentru punerea în aplicare a Regulamentului privind etichetarea pneurilor și supravegherea a pieței aferentă</w:t>
      </w:r>
    </w:p>
    <w:p w14:paraId="0C2219FA" w14:textId="3B3F5496" w:rsidR="00971E00" w:rsidRPr="00266A9C" w:rsidRDefault="00971E00" w:rsidP="00C50D24">
      <w:pPr>
        <w:spacing w:after="120"/>
        <w:rPr>
          <w:noProof/>
        </w:rPr>
      </w:pPr>
      <w:bookmarkStart w:id="17" w:name="_Hlk196476302"/>
      <w:bookmarkStart w:id="18" w:name="_Hlk207178141"/>
      <w:r w:rsidRPr="00266A9C">
        <w:rPr>
          <w:noProof/>
        </w:rPr>
        <w:t>Comisia sprijină, de asemenea, activitățile ASP-urilor prin:</w:t>
      </w:r>
    </w:p>
    <w:p w14:paraId="134B4A50" w14:textId="28A53539" w:rsidR="00971E00" w:rsidRPr="00266A9C" w:rsidRDefault="00617FE0" w:rsidP="00C50D24">
      <w:pPr>
        <w:pStyle w:val="ListParagraph"/>
        <w:numPr>
          <w:ilvl w:val="0"/>
          <w:numId w:val="26"/>
        </w:numPr>
        <w:rPr>
          <w:noProof/>
        </w:rPr>
      </w:pPr>
      <w:r w:rsidRPr="00266A9C">
        <w:rPr>
          <w:noProof/>
        </w:rPr>
        <w:t>reuniuni bianuale și sprijin acordat ASP-urilor prin intermediul Grupului de experți pentru cooperare administrativă (AdCo) privind etichetarea pneurilor – cooperarea administrativă în materie de supraveghere a pieței;</w:t>
      </w:r>
    </w:p>
    <w:p w14:paraId="4A6EA545" w14:textId="0940D86F" w:rsidR="00971E00" w:rsidRPr="00266A9C" w:rsidRDefault="00617FE0" w:rsidP="00C50D24">
      <w:pPr>
        <w:pStyle w:val="ListParagraph"/>
        <w:numPr>
          <w:ilvl w:val="0"/>
          <w:numId w:val="26"/>
        </w:numPr>
        <w:rPr>
          <w:noProof/>
        </w:rPr>
      </w:pPr>
      <w:r w:rsidRPr="00266A9C">
        <w:rPr>
          <w:noProof/>
        </w:rPr>
        <w:t>Rețeaua europeană pentru conformitatea produselor în temeiul Regulamentului privind supravegherea pieței (RSP);</w:t>
      </w:r>
    </w:p>
    <w:p w14:paraId="11C7297A" w14:textId="1CBBAD29" w:rsidR="00971E00" w:rsidRPr="00266A9C" w:rsidRDefault="00617FE0" w:rsidP="00C50D24">
      <w:pPr>
        <w:pStyle w:val="ListParagraph"/>
        <w:numPr>
          <w:ilvl w:val="0"/>
          <w:numId w:val="26"/>
        </w:numPr>
        <w:rPr>
          <w:noProof/>
        </w:rPr>
      </w:pPr>
      <w:r w:rsidRPr="00266A9C">
        <w:rPr>
          <w:noProof/>
        </w:rPr>
        <w:t>integrarea dintre EPREL și ICSMS;</w:t>
      </w:r>
    </w:p>
    <w:p w14:paraId="208EE5E5" w14:textId="4F63D2CA" w:rsidR="00971E00" w:rsidRPr="00266A9C" w:rsidRDefault="00617FE0" w:rsidP="00C50D24">
      <w:pPr>
        <w:pStyle w:val="ListParagraph"/>
        <w:numPr>
          <w:ilvl w:val="0"/>
          <w:numId w:val="26"/>
        </w:numPr>
        <w:spacing w:after="240"/>
        <w:contextualSpacing w:val="0"/>
        <w:rPr>
          <w:noProof/>
        </w:rPr>
      </w:pPr>
      <w:r w:rsidRPr="00266A9C">
        <w:rPr>
          <w:noProof/>
        </w:rPr>
        <w:t>o „clauză de salvgardare” în ICSMS, care permite ASP-urilor să facă schimb de informații cu privire la produsele care prezintă un risc.</w:t>
      </w:r>
    </w:p>
    <w:p w14:paraId="25163AFD" w14:textId="19843183" w:rsidR="00971E00" w:rsidRPr="00266A9C" w:rsidRDefault="00971E00" w:rsidP="00C50D24">
      <w:pPr>
        <w:rPr>
          <w:noProof/>
        </w:rPr>
      </w:pPr>
      <w:r w:rsidRPr="00266A9C">
        <w:rPr>
          <w:noProof/>
        </w:rPr>
        <w:t xml:space="preserve">Articolul 34 alineatul (4) din RSP obligă statele membre să raporteze verificările aprofundate ale conformității. Până în toamna anului 2025, baza de date ICSMS cuprindea 230 de inspecții TLR aprofundate. </w:t>
      </w:r>
      <w:r w:rsidRPr="00266A9C">
        <w:rPr>
          <w:noProof/>
        </w:rPr>
        <w:fldChar w:fldCharType="begin"/>
      </w:r>
      <w:r w:rsidRPr="00266A9C">
        <w:rPr>
          <w:noProof/>
        </w:rPr>
        <w:instrText xml:space="preserve"> REF _Ref213666103 \h  \* MERGEFORMAT </w:instrText>
      </w:r>
      <w:r w:rsidRPr="00266A9C">
        <w:rPr>
          <w:noProof/>
        </w:rPr>
      </w:r>
      <w:r w:rsidRPr="00266A9C">
        <w:rPr>
          <w:noProof/>
        </w:rPr>
        <w:fldChar w:fldCharType="separate"/>
      </w:r>
      <w:r w:rsidRPr="00266A9C">
        <w:rPr>
          <w:noProof/>
        </w:rPr>
        <w:t>Figur</w:t>
      </w:r>
      <w:r w:rsidR="00266A9C" w:rsidRPr="00266A9C">
        <w:rPr>
          <w:noProof/>
        </w:rPr>
        <w:t>a</w:t>
      </w:r>
      <w:r w:rsidRPr="00266A9C">
        <w:rPr>
          <w:noProof/>
        </w:rPr>
        <w:t xml:space="preserve"> 8</w:t>
      </w:r>
      <w:r w:rsidRPr="00266A9C">
        <w:rPr>
          <w:noProof/>
        </w:rPr>
        <w:fldChar w:fldCharType="end"/>
      </w:r>
      <w:r w:rsidRPr="00266A9C">
        <w:rPr>
          <w:noProof/>
        </w:rPr>
        <w:t xml:space="preserve"> prezintă rezultatele pentru fiecare stat membru. Statele membre care nu apar în tabel nu au raportat nicio verificare în ICSMS.</w:t>
      </w:r>
    </w:p>
    <w:p w14:paraId="60E1C99C" w14:textId="0DCA3913" w:rsidR="00971E00" w:rsidRPr="00266A9C" w:rsidRDefault="00971E00" w:rsidP="00C50D24">
      <w:pPr>
        <w:rPr>
          <w:noProof/>
        </w:rPr>
      </w:pPr>
      <w:r w:rsidRPr="00266A9C">
        <w:rPr>
          <w:noProof/>
        </w:rPr>
        <w:t>Dintre verificările TLR raportate, 5 au identificat pneuri care prezentau un risc grav, iar 16 au identificat un risc ridicat. Măsurile de corecție au inclus avertismente (14), ordine de retragere a modelului de pe piață (2) și o interdicție (2). Alte măsuri au inclus modificări în EPREL (1) și o modificare a etichetei (1). Adesea, măsura de corecție nu este raportată.</w:t>
      </w:r>
    </w:p>
    <w:tbl>
      <w:tblPr>
        <w:tblStyle w:val="TableGrid"/>
        <w:tblW w:w="7420" w:type="dxa"/>
        <w:tblCellMar>
          <w:top w:w="15" w:type="dxa"/>
          <w:bottom w:w="15" w:type="dxa"/>
        </w:tblCellMar>
        <w:tblLook w:val="04A0" w:firstRow="1" w:lastRow="0" w:firstColumn="1" w:lastColumn="0" w:noHBand="0" w:noVBand="1"/>
      </w:tblPr>
      <w:tblGrid>
        <w:gridCol w:w="1660"/>
        <w:gridCol w:w="960"/>
        <w:gridCol w:w="960"/>
        <w:gridCol w:w="960"/>
        <w:gridCol w:w="960"/>
        <w:gridCol w:w="960"/>
        <w:gridCol w:w="960"/>
      </w:tblGrid>
      <w:tr w:rsidR="00971E00" w:rsidRPr="00266A9C" w14:paraId="21764E69" w14:textId="77777777">
        <w:trPr>
          <w:trHeight w:val="340"/>
        </w:trPr>
        <w:tc>
          <w:tcPr>
            <w:tcW w:w="1660" w:type="dxa"/>
            <w:tcBorders>
              <w:top w:val="single" w:sz="4" w:space="0" w:color="auto"/>
              <w:left w:val="single" w:sz="4" w:space="0" w:color="auto"/>
              <w:bottom w:val="single" w:sz="4" w:space="0" w:color="auto"/>
              <w:right w:val="single" w:sz="4" w:space="0" w:color="auto"/>
            </w:tcBorders>
            <w:noWrap/>
            <w:vAlign w:val="bottom"/>
          </w:tcPr>
          <w:p w14:paraId="13A51E57" w14:textId="77777777" w:rsidR="00971E00" w:rsidRPr="00266A9C" w:rsidRDefault="00971E00" w:rsidP="00C50D24">
            <w:pPr>
              <w:keepNext/>
              <w:keepLines/>
              <w:spacing w:after="120"/>
              <w:rPr>
                <w:noProof/>
                <w:sz w:val="20"/>
              </w:rPr>
            </w:pPr>
          </w:p>
        </w:tc>
        <w:tc>
          <w:tcPr>
            <w:tcW w:w="960" w:type="dxa"/>
            <w:tcBorders>
              <w:top w:val="single" w:sz="4" w:space="0" w:color="auto"/>
              <w:left w:val="nil"/>
              <w:bottom w:val="single" w:sz="4" w:space="0" w:color="auto"/>
              <w:right w:val="nil"/>
            </w:tcBorders>
            <w:noWrap/>
            <w:vAlign w:val="center"/>
          </w:tcPr>
          <w:p w14:paraId="4089A781"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2020</w:t>
            </w:r>
          </w:p>
        </w:tc>
        <w:tc>
          <w:tcPr>
            <w:tcW w:w="960" w:type="dxa"/>
            <w:tcBorders>
              <w:top w:val="single" w:sz="4" w:space="0" w:color="auto"/>
              <w:left w:val="nil"/>
              <w:bottom w:val="single" w:sz="4" w:space="0" w:color="auto"/>
              <w:right w:val="nil"/>
            </w:tcBorders>
            <w:noWrap/>
            <w:vAlign w:val="center"/>
          </w:tcPr>
          <w:p w14:paraId="7BEBC6AB"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2021</w:t>
            </w:r>
          </w:p>
        </w:tc>
        <w:tc>
          <w:tcPr>
            <w:tcW w:w="960" w:type="dxa"/>
            <w:tcBorders>
              <w:top w:val="single" w:sz="4" w:space="0" w:color="auto"/>
              <w:left w:val="nil"/>
              <w:bottom w:val="single" w:sz="4" w:space="0" w:color="auto"/>
              <w:right w:val="nil"/>
            </w:tcBorders>
            <w:noWrap/>
            <w:vAlign w:val="center"/>
          </w:tcPr>
          <w:p w14:paraId="1F3180EA"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2022</w:t>
            </w:r>
          </w:p>
        </w:tc>
        <w:tc>
          <w:tcPr>
            <w:tcW w:w="960" w:type="dxa"/>
            <w:tcBorders>
              <w:top w:val="single" w:sz="4" w:space="0" w:color="auto"/>
              <w:left w:val="nil"/>
              <w:bottom w:val="single" w:sz="4" w:space="0" w:color="auto"/>
              <w:right w:val="nil"/>
            </w:tcBorders>
            <w:noWrap/>
            <w:vAlign w:val="center"/>
          </w:tcPr>
          <w:p w14:paraId="492B4EF9"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2023</w:t>
            </w:r>
          </w:p>
        </w:tc>
        <w:tc>
          <w:tcPr>
            <w:tcW w:w="960" w:type="dxa"/>
            <w:tcBorders>
              <w:top w:val="single" w:sz="4" w:space="0" w:color="auto"/>
              <w:left w:val="nil"/>
              <w:bottom w:val="single" w:sz="4" w:space="0" w:color="auto"/>
              <w:right w:val="nil"/>
            </w:tcBorders>
            <w:noWrap/>
            <w:vAlign w:val="center"/>
          </w:tcPr>
          <w:p w14:paraId="1D81889E"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2024</w:t>
            </w:r>
          </w:p>
        </w:tc>
        <w:tc>
          <w:tcPr>
            <w:tcW w:w="960" w:type="dxa"/>
            <w:tcBorders>
              <w:top w:val="single" w:sz="4" w:space="0" w:color="auto"/>
              <w:left w:val="nil"/>
              <w:bottom w:val="single" w:sz="4" w:space="0" w:color="auto"/>
              <w:right w:val="single" w:sz="4" w:space="0" w:color="auto"/>
            </w:tcBorders>
            <w:noWrap/>
            <w:vAlign w:val="center"/>
          </w:tcPr>
          <w:p w14:paraId="0D62C6EE"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2025</w:t>
            </w:r>
          </w:p>
        </w:tc>
      </w:tr>
      <w:tr w:rsidR="00971E00" w:rsidRPr="00266A9C" w14:paraId="5551F1C2" w14:textId="77777777">
        <w:trPr>
          <w:trHeight w:val="340"/>
        </w:trPr>
        <w:tc>
          <w:tcPr>
            <w:tcW w:w="1660" w:type="dxa"/>
            <w:tcBorders>
              <w:top w:val="nil"/>
              <w:left w:val="single" w:sz="4" w:space="0" w:color="auto"/>
              <w:bottom w:val="nil"/>
              <w:right w:val="single" w:sz="4" w:space="0" w:color="auto"/>
            </w:tcBorders>
            <w:noWrap/>
            <w:vAlign w:val="center"/>
          </w:tcPr>
          <w:p w14:paraId="52AAE397" w14:textId="77777777" w:rsidR="00971E00" w:rsidRPr="00266A9C" w:rsidRDefault="00971E00" w:rsidP="00C50D24">
            <w:pPr>
              <w:keepNext/>
              <w:keepLines/>
              <w:spacing w:after="120"/>
              <w:jc w:val="right"/>
              <w:rPr>
                <w:rFonts w:ascii="Aptos Narrow" w:hAnsi="Aptos Narrow"/>
                <w:b/>
                <w:bCs/>
                <w:noProof/>
                <w:color w:val="000000"/>
                <w:sz w:val="22"/>
                <w:szCs w:val="22"/>
              </w:rPr>
            </w:pPr>
            <w:r w:rsidRPr="00266A9C">
              <w:rPr>
                <w:rFonts w:ascii="Aptos Narrow" w:hAnsi="Aptos Narrow"/>
                <w:b/>
                <w:noProof/>
                <w:color w:val="000000"/>
                <w:sz w:val="22"/>
              </w:rPr>
              <w:t>Spania</w:t>
            </w:r>
          </w:p>
        </w:tc>
        <w:tc>
          <w:tcPr>
            <w:tcW w:w="960" w:type="dxa"/>
            <w:tcBorders>
              <w:top w:val="nil"/>
              <w:left w:val="nil"/>
              <w:bottom w:val="nil"/>
              <w:right w:val="nil"/>
            </w:tcBorders>
            <w:noWrap/>
            <w:vAlign w:val="center"/>
          </w:tcPr>
          <w:p w14:paraId="00EA02B5" w14:textId="77777777" w:rsidR="00971E00" w:rsidRPr="00266A9C"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2C768DFB"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5B31A0D0"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FBB078"/>
            <w:noWrap/>
            <w:vAlign w:val="center"/>
          </w:tcPr>
          <w:p w14:paraId="19F32D9C"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30 %</w:t>
            </w:r>
          </w:p>
        </w:tc>
        <w:tc>
          <w:tcPr>
            <w:tcW w:w="960" w:type="dxa"/>
            <w:tcBorders>
              <w:top w:val="nil"/>
              <w:left w:val="nil"/>
              <w:bottom w:val="nil"/>
              <w:right w:val="nil"/>
            </w:tcBorders>
            <w:shd w:val="clear" w:color="000000" w:fill="9ACE7F"/>
            <w:noWrap/>
            <w:vAlign w:val="center"/>
          </w:tcPr>
          <w:p w14:paraId="212973F8"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84 %</w:t>
            </w:r>
          </w:p>
        </w:tc>
        <w:tc>
          <w:tcPr>
            <w:tcW w:w="960" w:type="dxa"/>
            <w:tcBorders>
              <w:top w:val="nil"/>
              <w:left w:val="nil"/>
              <w:bottom w:val="nil"/>
              <w:right w:val="single" w:sz="4" w:space="0" w:color="auto"/>
            </w:tcBorders>
            <w:shd w:val="clear" w:color="000000" w:fill="D1DE82"/>
            <w:noWrap/>
            <w:vAlign w:val="center"/>
          </w:tcPr>
          <w:p w14:paraId="4E52B0B5"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68 %</w:t>
            </w:r>
          </w:p>
        </w:tc>
      </w:tr>
      <w:tr w:rsidR="00971E00" w:rsidRPr="00266A9C" w14:paraId="22721121" w14:textId="77777777">
        <w:trPr>
          <w:trHeight w:val="340"/>
        </w:trPr>
        <w:tc>
          <w:tcPr>
            <w:tcW w:w="1660" w:type="dxa"/>
            <w:tcBorders>
              <w:top w:val="nil"/>
              <w:left w:val="single" w:sz="4" w:space="0" w:color="auto"/>
              <w:bottom w:val="nil"/>
              <w:right w:val="single" w:sz="4" w:space="0" w:color="auto"/>
            </w:tcBorders>
            <w:noWrap/>
            <w:vAlign w:val="center"/>
          </w:tcPr>
          <w:p w14:paraId="43B48FCB" w14:textId="77777777" w:rsidR="00971E00" w:rsidRPr="00266A9C" w:rsidRDefault="00971E00" w:rsidP="00C50D24">
            <w:pPr>
              <w:keepNext/>
              <w:keepLines/>
              <w:spacing w:after="120"/>
              <w:jc w:val="right"/>
              <w:rPr>
                <w:rFonts w:ascii="Aptos Narrow" w:hAnsi="Aptos Narrow"/>
                <w:b/>
                <w:bCs/>
                <w:noProof/>
                <w:color w:val="000000"/>
                <w:sz w:val="22"/>
                <w:szCs w:val="22"/>
              </w:rPr>
            </w:pPr>
            <w:r w:rsidRPr="00266A9C">
              <w:rPr>
                <w:rFonts w:ascii="Aptos Narrow" w:hAnsi="Aptos Narrow"/>
                <w:b/>
                <w:noProof/>
                <w:color w:val="000000"/>
                <w:sz w:val="22"/>
              </w:rPr>
              <w:t>Germania</w:t>
            </w:r>
          </w:p>
        </w:tc>
        <w:tc>
          <w:tcPr>
            <w:tcW w:w="960" w:type="dxa"/>
            <w:tcBorders>
              <w:top w:val="nil"/>
              <w:left w:val="nil"/>
              <w:bottom w:val="nil"/>
              <w:right w:val="nil"/>
            </w:tcBorders>
            <w:noWrap/>
            <w:vAlign w:val="center"/>
          </w:tcPr>
          <w:p w14:paraId="00FD434E" w14:textId="77777777" w:rsidR="00971E00" w:rsidRPr="00266A9C"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shd w:val="clear" w:color="000000" w:fill="86C87D"/>
            <w:noWrap/>
            <w:vAlign w:val="center"/>
          </w:tcPr>
          <w:p w14:paraId="0F0BB1AC"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90 %</w:t>
            </w:r>
          </w:p>
        </w:tc>
        <w:tc>
          <w:tcPr>
            <w:tcW w:w="960" w:type="dxa"/>
            <w:tcBorders>
              <w:top w:val="nil"/>
              <w:left w:val="nil"/>
              <w:bottom w:val="nil"/>
              <w:right w:val="nil"/>
            </w:tcBorders>
            <w:shd w:val="clear" w:color="000000" w:fill="7BC57D"/>
            <w:noWrap/>
            <w:vAlign w:val="center"/>
          </w:tcPr>
          <w:p w14:paraId="4EABDF03"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93 %</w:t>
            </w:r>
          </w:p>
        </w:tc>
        <w:tc>
          <w:tcPr>
            <w:tcW w:w="960" w:type="dxa"/>
            <w:tcBorders>
              <w:top w:val="nil"/>
              <w:left w:val="nil"/>
              <w:bottom w:val="nil"/>
              <w:right w:val="nil"/>
            </w:tcBorders>
            <w:shd w:val="clear" w:color="000000" w:fill="FCC17B"/>
            <w:noWrap/>
            <w:vAlign w:val="center"/>
          </w:tcPr>
          <w:p w14:paraId="32975F07"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37 %</w:t>
            </w:r>
          </w:p>
        </w:tc>
        <w:tc>
          <w:tcPr>
            <w:tcW w:w="960" w:type="dxa"/>
            <w:tcBorders>
              <w:top w:val="nil"/>
              <w:left w:val="nil"/>
              <w:bottom w:val="nil"/>
              <w:right w:val="nil"/>
            </w:tcBorders>
            <w:shd w:val="clear" w:color="000000" w:fill="F3E884"/>
            <w:noWrap/>
            <w:vAlign w:val="center"/>
          </w:tcPr>
          <w:p w14:paraId="7425651C"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58 %</w:t>
            </w:r>
          </w:p>
        </w:tc>
        <w:tc>
          <w:tcPr>
            <w:tcW w:w="960" w:type="dxa"/>
            <w:tcBorders>
              <w:top w:val="nil"/>
              <w:left w:val="nil"/>
              <w:bottom w:val="nil"/>
              <w:right w:val="single" w:sz="4" w:space="0" w:color="auto"/>
            </w:tcBorders>
            <w:noWrap/>
            <w:vAlign w:val="center"/>
          </w:tcPr>
          <w:p w14:paraId="59A4CDA5" w14:textId="77777777" w:rsidR="00971E00" w:rsidRPr="00266A9C" w:rsidRDefault="00971E00" w:rsidP="00C50D24">
            <w:pPr>
              <w:keepNext/>
              <w:keepLines/>
              <w:spacing w:after="120"/>
              <w:jc w:val="center"/>
              <w:rPr>
                <w:rFonts w:ascii="Aptos Narrow" w:hAnsi="Aptos Narrow"/>
                <w:b/>
                <w:bCs/>
                <w:noProof/>
                <w:color w:val="000000"/>
                <w:sz w:val="22"/>
                <w:szCs w:val="22"/>
              </w:rPr>
            </w:pPr>
          </w:p>
        </w:tc>
      </w:tr>
      <w:tr w:rsidR="00971E00" w:rsidRPr="00266A9C" w14:paraId="75A5CCBA" w14:textId="77777777">
        <w:trPr>
          <w:trHeight w:val="340"/>
        </w:trPr>
        <w:tc>
          <w:tcPr>
            <w:tcW w:w="1660" w:type="dxa"/>
            <w:tcBorders>
              <w:top w:val="nil"/>
              <w:left w:val="single" w:sz="4" w:space="0" w:color="auto"/>
              <w:bottom w:val="nil"/>
              <w:right w:val="single" w:sz="4" w:space="0" w:color="auto"/>
            </w:tcBorders>
            <w:noWrap/>
            <w:vAlign w:val="center"/>
          </w:tcPr>
          <w:p w14:paraId="0D07DED5" w14:textId="77777777" w:rsidR="00971E00" w:rsidRPr="00266A9C" w:rsidRDefault="00971E00" w:rsidP="00C50D24">
            <w:pPr>
              <w:keepNext/>
              <w:keepLines/>
              <w:spacing w:after="120"/>
              <w:jc w:val="right"/>
              <w:rPr>
                <w:rFonts w:ascii="Aptos Narrow" w:hAnsi="Aptos Narrow"/>
                <w:b/>
                <w:bCs/>
                <w:noProof/>
                <w:color w:val="000000"/>
                <w:sz w:val="22"/>
                <w:szCs w:val="22"/>
              </w:rPr>
            </w:pPr>
            <w:r w:rsidRPr="00266A9C">
              <w:rPr>
                <w:rFonts w:ascii="Aptos Narrow" w:hAnsi="Aptos Narrow"/>
                <w:b/>
                <w:noProof/>
                <w:color w:val="000000"/>
                <w:sz w:val="22"/>
              </w:rPr>
              <w:t>Irlanda</w:t>
            </w:r>
          </w:p>
        </w:tc>
        <w:tc>
          <w:tcPr>
            <w:tcW w:w="960" w:type="dxa"/>
            <w:tcBorders>
              <w:top w:val="nil"/>
              <w:left w:val="nil"/>
              <w:bottom w:val="nil"/>
              <w:right w:val="nil"/>
            </w:tcBorders>
            <w:noWrap/>
            <w:vAlign w:val="center"/>
          </w:tcPr>
          <w:p w14:paraId="01FC3B91" w14:textId="77777777" w:rsidR="00971E00" w:rsidRPr="00266A9C"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4485E744"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60060162"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616FE9BC"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FCB77A"/>
            <w:noWrap/>
            <w:vAlign w:val="center"/>
          </w:tcPr>
          <w:p w14:paraId="1D66C909"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33 %</w:t>
            </w:r>
          </w:p>
        </w:tc>
        <w:tc>
          <w:tcPr>
            <w:tcW w:w="960" w:type="dxa"/>
            <w:tcBorders>
              <w:top w:val="nil"/>
              <w:left w:val="nil"/>
              <w:bottom w:val="nil"/>
              <w:right w:val="single" w:sz="4" w:space="0" w:color="auto"/>
            </w:tcBorders>
            <w:shd w:val="clear" w:color="000000" w:fill="FEE282"/>
            <w:noWrap/>
            <w:vAlign w:val="center"/>
          </w:tcPr>
          <w:p w14:paraId="0B3B1BCA"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51 %</w:t>
            </w:r>
          </w:p>
        </w:tc>
      </w:tr>
      <w:tr w:rsidR="00971E00" w:rsidRPr="00266A9C" w14:paraId="029771EA" w14:textId="77777777">
        <w:trPr>
          <w:trHeight w:val="340"/>
        </w:trPr>
        <w:tc>
          <w:tcPr>
            <w:tcW w:w="1660" w:type="dxa"/>
            <w:tcBorders>
              <w:top w:val="nil"/>
              <w:left w:val="single" w:sz="4" w:space="0" w:color="auto"/>
              <w:bottom w:val="nil"/>
              <w:right w:val="single" w:sz="4" w:space="0" w:color="auto"/>
            </w:tcBorders>
            <w:noWrap/>
            <w:vAlign w:val="center"/>
          </w:tcPr>
          <w:p w14:paraId="74ABEC2F" w14:textId="77777777" w:rsidR="00971E00" w:rsidRPr="00266A9C" w:rsidRDefault="00971E00" w:rsidP="00C50D24">
            <w:pPr>
              <w:keepNext/>
              <w:keepLines/>
              <w:spacing w:after="120"/>
              <w:jc w:val="right"/>
              <w:rPr>
                <w:rFonts w:ascii="Aptos Narrow" w:hAnsi="Aptos Narrow"/>
                <w:b/>
                <w:bCs/>
                <w:noProof/>
                <w:color w:val="000000"/>
                <w:sz w:val="22"/>
                <w:szCs w:val="22"/>
              </w:rPr>
            </w:pPr>
            <w:r w:rsidRPr="00266A9C">
              <w:rPr>
                <w:rFonts w:ascii="Aptos Narrow" w:hAnsi="Aptos Narrow"/>
                <w:b/>
                <w:noProof/>
                <w:color w:val="000000"/>
                <w:sz w:val="22"/>
              </w:rPr>
              <w:t>Luxemburg</w:t>
            </w:r>
          </w:p>
        </w:tc>
        <w:tc>
          <w:tcPr>
            <w:tcW w:w="960" w:type="dxa"/>
            <w:tcBorders>
              <w:top w:val="nil"/>
              <w:left w:val="nil"/>
              <w:bottom w:val="nil"/>
              <w:right w:val="nil"/>
            </w:tcBorders>
            <w:noWrap/>
            <w:vAlign w:val="center"/>
          </w:tcPr>
          <w:p w14:paraId="0290C795" w14:textId="77777777" w:rsidR="00971E00" w:rsidRPr="00266A9C"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07454007"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06B5F60F"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0DAD59B0"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63BE7B"/>
            <w:noWrap/>
            <w:vAlign w:val="center"/>
          </w:tcPr>
          <w:p w14:paraId="4E565AA7"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100 %</w:t>
            </w:r>
          </w:p>
        </w:tc>
        <w:tc>
          <w:tcPr>
            <w:tcW w:w="960" w:type="dxa"/>
            <w:tcBorders>
              <w:top w:val="nil"/>
              <w:left w:val="nil"/>
              <w:bottom w:val="nil"/>
              <w:right w:val="single" w:sz="4" w:space="0" w:color="auto"/>
            </w:tcBorders>
            <w:noWrap/>
            <w:vAlign w:val="center"/>
          </w:tcPr>
          <w:p w14:paraId="61E0A7EF" w14:textId="77777777" w:rsidR="00971E00" w:rsidRPr="00266A9C" w:rsidRDefault="00971E00" w:rsidP="00C50D24">
            <w:pPr>
              <w:keepNext/>
              <w:keepLines/>
              <w:spacing w:after="120"/>
              <w:jc w:val="center"/>
              <w:rPr>
                <w:rFonts w:ascii="Aptos Narrow" w:hAnsi="Aptos Narrow"/>
                <w:b/>
                <w:bCs/>
                <w:noProof/>
                <w:color w:val="000000"/>
                <w:sz w:val="22"/>
                <w:szCs w:val="22"/>
              </w:rPr>
            </w:pPr>
          </w:p>
        </w:tc>
      </w:tr>
      <w:tr w:rsidR="00971E00" w:rsidRPr="00266A9C" w14:paraId="0580A146" w14:textId="77777777">
        <w:trPr>
          <w:trHeight w:val="340"/>
        </w:trPr>
        <w:tc>
          <w:tcPr>
            <w:tcW w:w="1660" w:type="dxa"/>
            <w:tcBorders>
              <w:top w:val="nil"/>
              <w:left w:val="single" w:sz="4" w:space="0" w:color="auto"/>
              <w:bottom w:val="nil"/>
              <w:right w:val="single" w:sz="4" w:space="0" w:color="auto"/>
            </w:tcBorders>
            <w:noWrap/>
            <w:vAlign w:val="center"/>
          </w:tcPr>
          <w:p w14:paraId="06F9DBAD" w14:textId="77777777" w:rsidR="00971E00" w:rsidRPr="00266A9C" w:rsidRDefault="00971E00" w:rsidP="00C50D24">
            <w:pPr>
              <w:keepNext/>
              <w:keepLines/>
              <w:spacing w:after="120"/>
              <w:jc w:val="right"/>
              <w:rPr>
                <w:rFonts w:ascii="Aptos Narrow" w:hAnsi="Aptos Narrow"/>
                <w:b/>
                <w:bCs/>
                <w:noProof/>
                <w:color w:val="000000"/>
                <w:sz w:val="22"/>
                <w:szCs w:val="22"/>
              </w:rPr>
            </w:pPr>
            <w:r w:rsidRPr="00266A9C">
              <w:rPr>
                <w:rFonts w:ascii="Aptos Narrow" w:hAnsi="Aptos Narrow"/>
                <w:b/>
                <w:noProof/>
                <w:color w:val="000000"/>
                <w:sz w:val="22"/>
              </w:rPr>
              <w:t>Croația</w:t>
            </w:r>
          </w:p>
        </w:tc>
        <w:tc>
          <w:tcPr>
            <w:tcW w:w="960" w:type="dxa"/>
            <w:tcBorders>
              <w:top w:val="nil"/>
              <w:left w:val="nil"/>
              <w:bottom w:val="nil"/>
              <w:right w:val="nil"/>
            </w:tcBorders>
            <w:noWrap/>
            <w:vAlign w:val="center"/>
          </w:tcPr>
          <w:p w14:paraId="3A6D4222" w14:textId="77777777" w:rsidR="00971E00" w:rsidRPr="00266A9C"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0C8EEB5C"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61E7EAE2"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192ABE5D"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63BE7B"/>
            <w:noWrap/>
            <w:vAlign w:val="center"/>
          </w:tcPr>
          <w:p w14:paraId="17D5BC98"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100 %</w:t>
            </w:r>
          </w:p>
        </w:tc>
        <w:tc>
          <w:tcPr>
            <w:tcW w:w="960" w:type="dxa"/>
            <w:tcBorders>
              <w:top w:val="nil"/>
              <w:left w:val="nil"/>
              <w:bottom w:val="nil"/>
              <w:right w:val="single" w:sz="4" w:space="0" w:color="auto"/>
            </w:tcBorders>
            <w:noWrap/>
            <w:vAlign w:val="center"/>
          </w:tcPr>
          <w:p w14:paraId="7DB0DFA4" w14:textId="77777777" w:rsidR="00971E00" w:rsidRPr="00266A9C" w:rsidRDefault="00971E00" w:rsidP="00C50D24">
            <w:pPr>
              <w:keepNext/>
              <w:keepLines/>
              <w:spacing w:after="120"/>
              <w:jc w:val="center"/>
              <w:rPr>
                <w:rFonts w:ascii="Aptos Narrow" w:hAnsi="Aptos Narrow"/>
                <w:b/>
                <w:bCs/>
                <w:noProof/>
                <w:color w:val="000000"/>
                <w:sz w:val="22"/>
                <w:szCs w:val="22"/>
              </w:rPr>
            </w:pPr>
          </w:p>
        </w:tc>
      </w:tr>
      <w:tr w:rsidR="00971E00" w:rsidRPr="00266A9C" w14:paraId="12CE1ADE" w14:textId="77777777">
        <w:trPr>
          <w:trHeight w:val="340"/>
        </w:trPr>
        <w:tc>
          <w:tcPr>
            <w:tcW w:w="1660" w:type="dxa"/>
            <w:tcBorders>
              <w:top w:val="nil"/>
              <w:left w:val="single" w:sz="4" w:space="0" w:color="auto"/>
              <w:bottom w:val="nil"/>
              <w:right w:val="single" w:sz="4" w:space="0" w:color="auto"/>
            </w:tcBorders>
            <w:noWrap/>
            <w:vAlign w:val="center"/>
          </w:tcPr>
          <w:p w14:paraId="32B7B64C" w14:textId="77777777" w:rsidR="00971E00" w:rsidRPr="00266A9C" w:rsidRDefault="00971E00" w:rsidP="00C50D24">
            <w:pPr>
              <w:keepNext/>
              <w:keepLines/>
              <w:spacing w:after="120"/>
              <w:jc w:val="right"/>
              <w:rPr>
                <w:rFonts w:ascii="Aptos Narrow" w:hAnsi="Aptos Narrow"/>
                <w:b/>
                <w:bCs/>
                <w:noProof/>
                <w:color w:val="000000"/>
                <w:sz w:val="22"/>
                <w:szCs w:val="22"/>
              </w:rPr>
            </w:pPr>
            <w:r w:rsidRPr="00266A9C">
              <w:rPr>
                <w:rFonts w:ascii="Aptos Narrow" w:hAnsi="Aptos Narrow"/>
                <w:b/>
                <w:noProof/>
                <w:color w:val="000000"/>
                <w:sz w:val="22"/>
              </w:rPr>
              <w:t>Uniunea Europeană</w:t>
            </w:r>
          </w:p>
        </w:tc>
        <w:tc>
          <w:tcPr>
            <w:tcW w:w="960" w:type="dxa"/>
            <w:tcBorders>
              <w:top w:val="nil"/>
              <w:left w:val="nil"/>
              <w:bottom w:val="nil"/>
              <w:right w:val="nil"/>
            </w:tcBorders>
            <w:noWrap/>
            <w:vAlign w:val="center"/>
          </w:tcPr>
          <w:p w14:paraId="4CD96078" w14:textId="77777777" w:rsidR="00971E00" w:rsidRPr="00266A9C"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4A56B3C9"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7B3BF7D7"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noWrap/>
            <w:vAlign w:val="center"/>
          </w:tcPr>
          <w:p w14:paraId="469FDA6E"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FEE081"/>
            <w:noWrap/>
            <w:vAlign w:val="center"/>
          </w:tcPr>
          <w:p w14:paraId="7D8B9A61"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50 %</w:t>
            </w:r>
          </w:p>
        </w:tc>
        <w:tc>
          <w:tcPr>
            <w:tcW w:w="960" w:type="dxa"/>
            <w:tcBorders>
              <w:top w:val="nil"/>
              <w:left w:val="nil"/>
              <w:bottom w:val="nil"/>
              <w:right w:val="single" w:sz="4" w:space="0" w:color="auto"/>
            </w:tcBorders>
            <w:noWrap/>
            <w:vAlign w:val="center"/>
          </w:tcPr>
          <w:p w14:paraId="6FAE7512" w14:textId="77777777" w:rsidR="00971E00" w:rsidRPr="00266A9C" w:rsidRDefault="00971E00" w:rsidP="00C50D24">
            <w:pPr>
              <w:keepNext/>
              <w:keepLines/>
              <w:spacing w:after="120"/>
              <w:jc w:val="center"/>
              <w:rPr>
                <w:rFonts w:ascii="Aptos Narrow" w:hAnsi="Aptos Narrow"/>
                <w:b/>
                <w:bCs/>
                <w:noProof/>
                <w:color w:val="000000"/>
                <w:sz w:val="22"/>
                <w:szCs w:val="22"/>
              </w:rPr>
            </w:pPr>
          </w:p>
        </w:tc>
      </w:tr>
      <w:tr w:rsidR="00971E00" w:rsidRPr="00266A9C" w14:paraId="0ACCBCF8" w14:textId="77777777">
        <w:trPr>
          <w:trHeight w:val="340"/>
        </w:trPr>
        <w:tc>
          <w:tcPr>
            <w:tcW w:w="1660" w:type="dxa"/>
            <w:tcBorders>
              <w:top w:val="nil"/>
              <w:left w:val="single" w:sz="4" w:space="0" w:color="auto"/>
              <w:bottom w:val="nil"/>
              <w:right w:val="single" w:sz="4" w:space="0" w:color="auto"/>
            </w:tcBorders>
            <w:noWrap/>
            <w:vAlign w:val="center"/>
          </w:tcPr>
          <w:p w14:paraId="07E97CB6" w14:textId="77777777" w:rsidR="00971E00" w:rsidRPr="00266A9C" w:rsidRDefault="00971E00" w:rsidP="00C50D24">
            <w:pPr>
              <w:keepNext/>
              <w:keepLines/>
              <w:spacing w:after="120"/>
              <w:jc w:val="right"/>
              <w:rPr>
                <w:rFonts w:ascii="Aptos Narrow" w:hAnsi="Aptos Narrow"/>
                <w:b/>
                <w:bCs/>
                <w:noProof/>
                <w:color w:val="000000"/>
                <w:sz w:val="22"/>
                <w:szCs w:val="22"/>
              </w:rPr>
            </w:pPr>
            <w:r w:rsidRPr="00266A9C">
              <w:rPr>
                <w:rFonts w:ascii="Aptos Narrow" w:hAnsi="Aptos Narrow"/>
                <w:b/>
                <w:noProof/>
                <w:color w:val="000000"/>
                <w:sz w:val="22"/>
              </w:rPr>
              <w:t>Portugalia</w:t>
            </w:r>
          </w:p>
        </w:tc>
        <w:tc>
          <w:tcPr>
            <w:tcW w:w="960" w:type="dxa"/>
            <w:tcBorders>
              <w:top w:val="nil"/>
              <w:left w:val="nil"/>
              <w:bottom w:val="nil"/>
              <w:right w:val="nil"/>
            </w:tcBorders>
            <w:noWrap/>
            <w:vAlign w:val="center"/>
          </w:tcPr>
          <w:p w14:paraId="2361FF3A" w14:textId="77777777" w:rsidR="00971E00" w:rsidRPr="00266A9C"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nil"/>
              <w:right w:val="nil"/>
            </w:tcBorders>
            <w:noWrap/>
            <w:vAlign w:val="center"/>
          </w:tcPr>
          <w:p w14:paraId="018914E3" w14:textId="77777777" w:rsidR="00971E00" w:rsidRPr="00266A9C" w:rsidRDefault="00971E00" w:rsidP="00C50D24">
            <w:pPr>
              <w:keepNext/>
              <w:keepLines/>
              <w:spacing w:after="120"/>
              <w:jc w:val="center"/>
              <w:rPr>
                <w:noProof/>
                <w:sz w:val="20"/>
              </w:rPr>
            </w:pPr>
          </w:p>
        </w:tc>
        <w:tc>
          <w:tcPr>
            <w:tcW w:w="960" w:type="dxa"/>
            <w:tcBorders>
              <w:top w:val="nil"/>
              <w:left w:val="nil"/>
              <w:bottom w:val="nil"/>
              <w:right w:val="nil"/>
            </w:tcBorders>
            <w:shd w:val="clear" w:color="000000" w:fill="F8696B"/>
            <w:noWrap/>
            <w:vAlign w:val="center"/>
          </w:tcPr>
          <w:p w14:paraId="02F30084"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0 %</w:t>
            </w:r>
          </w:p>
        </w:tc>
        <w:tc>
          <w:tcPr>
            <w:tcW w:w="960" w:type="dxa"/>
            <w:tcBorders>
              <w:top w:val="nil"/>
              <w:left w:val="nil"/>
              <w:bottom w:val="nil"/>
              <w:right w:val="nil"/>
            </w:tcBorders>
            <w:shd w:val="clear" w:color="000000" w:fill="63BE7B"/>
            <w:noWrap/>
            <w:vAlign w:val="center"/>
          </w:tcPr>
          <w:p w14:paraId="3F677656"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100 %</w:t>
            </w:r>
          </w:p>
        </w:tc>
        <w:tc>
          <w:tcPr>
            <w:tcW w:w="960" w:type="dxa"/>
            <w:tcBorders>
              <w:top w:val="nil"/>
              <w:left w:val="nil"/>
              <w:bottom w:val="nil"/>
              <w:right w:val="nil"/>
            </w:tcBorders>
            <w:shd w:val="clear" w:color="000000" w:fill="F8696B"/>
            <w:noWrap/>
            <w:vAlign w:val="center"/>
          </w:tcPr>
          <w:p w14:paraId="7F3390EC"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0 %</w:t>
            </w:r>
          </w:p>
        </w:tc>
        <w:tc>
          <w:tcPr>
            <w:tcW w:w="960" w:type="dxa"/>
            <w:tcBorders>
              <w:top w:val="nil"/>
              <w:left w:val="nil"/>
              <w:bottom w:val="nil"/>
              <w:right w:val="single" w:sz="4" w:space="0" w:color="auto"/>
            </w:tcBorders>
            <w:noWrap/>
            <w:vAlign w:val="center"/>
          </w:tcPr>
          <w:p w14:paraId="784BB0DB" w14:textId="77777777" w:rsidR="00971E00" w:rsidRPr="00266A9C" w:rsidRDefault="00971E00" w:rsidP="00C50D24">
            <w:pPr>
              <w:keepNext/>
              <w:keepLines/>
              <w:spacing w:after="120"/>
              <w:jc w:val="center"/>
              <w:rPr>
                <w:rFonts w:ascii="Aptos Narrow" w:hAnsi="Aptos Narrow"/>
                <w:b/>
                <w:bCs/>
                <w:noProof/>
                <w:color w:val="000000"/>
                <w:sz w:val="22"/>
                <w:szCs w:val="22"/>
              </w:rPr>
            </w:pPr>
          </w:p>
        </w:tc>
      </w:tr>
      <w:tr w:rsidR="00971E00" w:rsidRPr="00266A9C" w14:paraId="41538824" w14:textId="77777777">
        <w:trPr>
          <w:trHeight w:val="340"/>
        </w:trPr>
        <w:tc>
          <w:tcPr>
            <w:tcW w:w="1660" w:type="dxa"/>
            <w:tcBorders>
              <w:top w:val="nil"/>
              <w:left w:val="single" w:sz="4" w:space="0" w:color="auto"/>
              <w:bottom w:val="single" w:sz="4" w:space="0" w:color="auto"/>
              <w:right w:val="single" w:sz="4" w:space="0" w:color="auto"/>
            </w:tcBorders>
            <w:noWrap/>
            <w:vAlign w:val="center"/>
          </w:tcPr>
          <w:p w14:paraId="6B7A2FDC" w14:textId="77777777" w:rsidR="00971E00" w:rsidRPr="00266A9C" w:rsidRDefault="00971E00" w:rsidP="00C50D24">
            <w:pPr>
              <w:keepNext/>
              <w:keepLines/>
              <w:spacing w:after="120"/>
              <w:jc w:val="right"/>
              <w:rPr>
                <w:rFonts w:ascii="Aptos Narrow" w:hAnsi="Aptos Narrow"/>
                <w:b/>
                <w:bCs/>
                <w:noProof/>
                <w:color w:val="000000"/>
                <w:sz w:val="22"/>
                <w:szCs w:val="22"/>
              </w:rPr>
            </w:pPr>
            <w:r w:rsidRPr="00266A9C">
              <w:rPr>
                <w:rFonts w:ascii="Aptos Narrow" w:hAnsi="Aptos Narrow"/>
                <w:b/>
                <w:noProof/>
                <w:color w:val="000000"/>
                <w:sz w:val="22"/>
              </w:rPr>
              <w:t>Danemarca</w:t>
            </w:r>
          </w:p>
        </w:tc>
        <w:tc>
          <w:tcPr>
            <w:tcW w:w="960" w:type="dxa"/>
            <w:tcBorders>
              <w:top w:val="nil"/>
              <w:left w:val="nil"/>
              <w:bottom w:val="single" w:sz="4" w:space="0" w:color="auto"/>
              <w:right w:val="nil"/>
            </w:tcBorders>
            <w:noWrap/>
            <w:vAlign w:val="center"/>
          </w:tcPr>
          <w:p w14:paraId="498B0CD9" w14:textId="77777777" w:rsidR="00971E00" w:rsidRPr="00266A9C" w:rsidRDefault="00971E00" w:rsidP="00C50D24">
            <w:pPr>
              <w:keepNext/>
              <w:keepLines/>
              <w:spacing w:after="120"/>
              <w:jc w:val="right"/>
              <w:rPr>
                <w:rFonts w:ascii="Aptos Narrow" w:hAnsi="Aptos Narrow"/>
                <w:b/>
                <w:bCs/>
                <w:noProof/>
                <w:color w:val="000000"/>
                <w:sz w:val="22"/>
                <w:szCs w:val="22"/>
              </w:rPr>
            </w:pPr>
          </w:p>
        </w:tc>
        <w:tc>
          <w:tcPr>
            <w:tcW w:w="960" w:type="dxa"/>
            <w:tcBorders>
              <w:top w:val="nil"/>
              <w:left w:val="nil"/>
              <w:bottom w:val="single" w:sz="4" w:space="0" w:color="auto"/>
              <w:right w:val="nil"/>
            </w:tcBorders>
            <w:noWrap/>
            <w:vAlign w:val="center"/>
          </w:tcPr>
          <w:p w14:paraId="7678B978" w14:textId="77777777" w:rsidR="00971E00" w:rsidRPr="00266A9C" w:rsidRDefault="00971E00" w:rsidP="00C50D24">
            <w:pPr>
              <w:keepNext/>
              <w:keepLines/>
              <w:spacing w:after="120"/>
              <w:jc w:val="center"/>
              <w:rPr>
                <w:noProof/>
                <w:sz w:val="20"/>
              </w:rPr>
            </w:pPr>
          </w:p>
        </w:tc>
        <w:tc>
          <w:tcPr>
            <w:tcW w:w="960" w:type="dxa"/>
            <w:tcBorders>
              <w:top w:val="nil"/>
              <w:left w:val="nil"/>
              <w:bottom w:val="single" w:sz="4" w:space="0" w:color="auto"/>
              <w:right w:val="nil"/>
            </w:tcBorders>
            <w:noWrap/>
            <w:vAlign w:val="center"/>
          </w:tcPr>
          <w:p w14:paraId="10702C3B" w14:textId="77777777" w:rsidR="00971E00" w:rsidRPr="00266A9C" w:rsidRDefault="00971E00" w:rsidP="00C50D24">
            <w:pPr>
              <w:keepNext/>
              <w:keepLines/>
              <w:spacing w:after="120"/>
              <w:jc w:val="center"/>
              <w:rPr>
                <w:noProof/>
                <w:sz w:val="20"/>
              </w:rPr>
            </w:pPr>
          </w:p>
        </w:tc>
        <w:tc>
          <w:tcPr>
            <w:tcW w:w="960" w:type="dxa"/>
            <w:tcBorders>
              <w:top w:val="nil"/>
              <w:left w:val="nil"/>
              <w:bottom w:val="single" w:sz="4" w:space="0" w:color="auto"/>
              <w:right w:val="nil"/>
            </w:tcBorders>
            <w:noWrap/>
            <w:vAlign w:val="center"/>
          </w:tcPr>
          <w:p w14:paraId="3A5D7BD2" w14:textId="77777777" w:rsidR="00971E00" w:rsidRPr="00266A9C" w:rsidRDefault="00971E00" w:rsidP="00C50D24">
            <w:pPr>
              <w:keepNext/>
              <w:keepLines/>
              <w:spacing w:after="120"/>
              <w:jc w:val="center"/>
              <w:rPr>
                <w:noProof/>
                <w:sz w:val="20"/>
              </w:rPr>
            </w:pPr>
          </w:p>
        </w:tc>
        <w:tc>
          <w:tcPr>
            <w:tcW w:w="960" w:type="dxa"/>
            <w:tcBorders>
              <w:top w:val="nil"/>
              <w:left w:val="nil"/>
              <w:bottom w:val="single" w:sz="4" w:space="0" w:color="auto"/>
              <w:right w:val="nil"/>
            </w:tcBorders>
            <w:noWrap/>
            <w:vAlign w:val="center"/>
          </w:tcPr>
          <w:p w14:paraId="2F63FD75" w14:textId="77777777" w:rsidR="00971E00" w:rsidRPr="00266A9C" w:rsidRDefault="00971E00" w:rsidP="00C50D24">
            <w:pPr>
              <w:keepNext/>
              <w:keepLines/>
              <w:spacing w:after="120"/>
              <w:jc w:val="center"/>
              <w:rPr>
                <w:noProof/>
                <w:sz w:val="20"/>
              </w:rPr>
            </w:pPr>
          </w:p>
        </w:tc>
        <w:tc>
          <w:tcPr>
            <w:tcW w:w="960" w:type="dxa"/>
            <w:tcBorders>
              <w:top w:val="nil"/>
              <w:left w:val="nil"/>
              <w:bottom w:val="single" w:sz="4" w:space="0" w:color="auto"/>
              <w:right w:val="single" w:sz="4" w:space="0" w:color="auto"/>
            </w:tcBorders>
            <w:shd w:val="clear" w:color="000000" w:fill="F8696B"/>
            <w:noWrap/>
            <w:vAlign w:val="center"/>
          </w:tcPr>
          <w:p w14:paraId="29FF4700" w14:textId="77777777" w:rsidR="00971E00" w:rsidRPr="00266A9C" w:rsidRDefault="00971E00" w:rsidP="00C50D24">
            <w:pPr>
              <w:keepNext/>
              <w:keepLines/>
              <w:spacing w:after="120"/>
              <w:jc w:val="center"/>
              <w:rPr>
                <w:rFonts w:ascii="Aptos Narrow" w:hAnsi="Aptos Narrow"/>
                <w:b/>
                <w:bCs/>
                <w:noProof/>
                <w:color w:val="000000"/>
                <w:sz w:val="22"/>
                <w:szCs w:val="22"/>
              </w:rPr>
            </w:pPr>
            <w:r w:rsidRPr="00266A9C">
              <w:rPr>
                <w:rFonts w:ascii="Aptos Narrow" w:hAnsi="Aptos Narrow"/>
                <w:b/>
                <w:noProof/>
                <w:color w:val="000000"/>
                <w:sz w:val="22"/>
              </w:rPr>
              <w:t>0 %</w:t>
            </w:r>
          </w:p>
        </w:tc>
      </w:tr>
    </w:tbl>
    <w:p w14:paraId="3C9AAF4F" w14:textId="762F5722" w:rsidR="00971E00" w:rsidRPr="00266A9C" w:rsidRDefault="0038701C">
      <w:pPr>
        <w:pStyle w:val="Caption"/>
        <w:keepLines/>
        <w:rPr>
          <w:i w:val="0"/>
          <w:iCs/>
          <w:noProof/>
        </w:rPr>
      </w:pPr>
      <w:bookmarkStart w:id="19" w:name="_Ref213666103"/>
      <w:r>
        <w:rPr>
          <w:noProof/>
          <w:color w:val="595959"/>
        </w:rPr>
        <w:pict w14:anchorId="08FAAB4E">
          <v:shape id="Picture 11" o:spid="_x0000_s2052" type="#_x0000_t75" alt="O serie de numere și simboluri&#10;&#10;Conținutul generat de inteligența artificială poate fi incorect." style="position:absolute;left:0;text-align:left;margin-left:383.95pt;margin-top:-139pt;width:53.2pt;height:124.6pt;z-index:251658240;visibility:visible;mso-position-horizontal-relative:text;mso-position-vertical-relative:text">
            <v:imagedata r:id="rId32" o:title="A number of numbers and symbols&#10;&#10;AI-generated content may be incorrect"/>
          </v:shape>
        </w:pict>
      </w:r>
      <w:r w:rsidR="008E2097" w:rsidRPr="00266A9C">
        <w:rPr>
          <w:noProof/>
        </w:rPr>
        <w:t xml:space="preserve">Figura </w:t>
      </w:r>
      <w:r>
        <w:rPr>
          <w:noProof/>
        </w:rPr>
        <w:fldChar w:fldCharType="begin"/>
      </w:r>
      <w:r>
        <w:rPr>
          <w:noProof/>
        </w:rPr>
        <w:instrText xml:space="preserve"> SEQ Figure \* ARABIC </w:instrText>
      </w:r>
      <w:r>
        <w:rPr>
          <w:noProof/>
        </w:rPr>
        <w:fldChar w:fldCharType="separate"/>
      </w:r>
      <w:r w:rsidR="008E2097" w:rsidRPr="00266A9C">
        <w:rPr>
          <w:noProof/>
        </w:rPr>
        <w:t>8</w:t>
      </w:r>
      <w:r>
        <w:rPr>
          <w:noProof/>
        </w:rPr>
        <w:fldChar w:fldCharType="end"/>
      </w:r>
      <w:bookmarkEnd w:id="19"/>
      <w:r w:rsidR="008E2097" w:rsidRPr="00266A9C">
        <w:rPr>
          <w:rStyle w:val="CaptionChar2"/>
          <w:i/>
          <w:noProof/>
        </w:rPr>
        <w:t>.</w:t>
      </w:r>
      <w:r w:rsidR="008E2097" w:rsidRPr="00266A9C">
        <w:rPr>
          <w:i w:val="0"/>
          <w:noProof/>
        </w:rPr>
        <w:t xml:space="preserve"> </w:t>
      </w:r>
      <w:r w:rsidR="008E2097" w:rsidRPr="00266A9C">
        <w:rPr>
          <w:noProof/>
        </w:rPr>
        <w:t xml:space="preserve">Prezentare generală a </w:t>
      </w:r>
      <w:r w:rsidR="008E2097" w:rsidRPr="00266A9C">
        <w:rPr>
          <w:rStyle w:val="CaptionChar2"/>
          <w:noProof/>
        </w:rPr>
        <w:t>încercărilor de conformitate TLR, ICSMS. „Uniunea Europeană” se referă la rapoartele întocmite de JRC al Comisiei. Un procent ridicat (zonele marcate cu verde) înseamnă că s-a constatat că modelele sunt conforme</w:t>
      </w:r>
      <w:r w:rsidR="008E2097" w:rsidRPr="00266A9C">
        <w:rPr>
          <w:rStyle w:val="CaptionChar2"/>
          <w:i/>
          <w:noProof/>
        </w:rPr>
        <w:t>.</w:t>
      </w:r>
    </w:p>
    <w:p w14:paraId="15444890" w14:textId="04959183" w:rsidR="00971E00" w:rsidRPr="00266A9C" w:rsidRDefault="00971E00" w:rsidP="00E37A99">
      <w:pPr>
        <w:pStyle w:val="Heading2"/>
        <w:rPr>
          <w:noProof/>
        </w:rPr>
      </w:pPr>
      <w:bookmarkStart w:id="20" w:name="_Toc211189605"/>
      <w:bookmarkStart w:id="21" w:name="_Toc213083345"/>
      <w:r w:rsidRPr="00266A9C">
        <w:rPr>
          <w:noProof/>
        </w:rPr>
        <w:t>Rolul Comisiei în supravegherea pieței</w:t>
      </w:r>
      <w:bookmarkEnd w:id="20"/>
      <w:bookmarkEnd w:id="21"/>
    </w:p>
    <w:p w14:paraId="2954159E" w14:textId="1AB2280D" w:rsidR="009A7315" w:rsidRPr="00266A9C" w:rsidRDefault="00971E00">
      <w:pPr>
        <w:widowControl w:val="0"/>
        <w:spacing w:before="45"/>
        <w:rPr>
          <w:noProof/>
        </w:rPr>
      </w:pPr>
      <w:r w:rsidRPr="00266A9C">
        <w:rPr>
          <w:noProof/>
        </w:rPr>
        <w:t xml:space="preserve">Încercarea pneurilor este dificilă din punct de vedere tehnic și nu pare să fie o prioritate pentru statele membre. Informațiile insuficiente privind conformitatea din EPREL, un număr mare de modele, costurile ridicate de încercare (între 1 000 și 10 000 EUR pe unitate), dificultatea de a acumula cunoștințe de specialitate, lipsa capacității de laborator, distribuția diferită a responsabilităților între organismele naționale din statele membre și lipsa de coordonare contribuie la un control insuficient, la rate ridicate de neconformitate și – posibil în legătură cu acestea – la neîncredere din partea clienților și a distribuitorilor (a se vedea rezultatele sondajului cu privire la percepțiile referitoare la etichetele pneurilor ca fiind nesigure, deoarece se bazează pe declarații pe propria răspundere). </w:t>
      </w:r>
      <w:r w:rsidR="005E3D12" w:rsidRPr="00266A9C">
        <w:rPr>
          <w:noProof/>
        </w:rPr>
        <w:t xml:space="preserve">Figura 9 </w:t>
      </w:r>
      <w:r w:rsidRPr="00266A9C">
        <w:rPr>
          <w:noProof/>
        </w:rPr>
        <w:t>arată ratele surprinzătoare de neconformitate pentru pneurile supuse încercării de către JRC în perioada 2021-2024.</w:t>
      </w:r>
    </w:p>
    <w:p w14:paraId="762DA17F" w14:textId="0E05EC92" w:rsidR="00BC182E" w:rsidRPr="00266A9C" w:rsidRDefault="00B06F44" w:rsidP="00BC182E">
      <w:pPr>
        <w:keepNext/>
        <w:widowControl w:val="0"/>
        <w:spacing w:before="45"/>
        <w:jc w:val="center"/>
        <w:rPr>
          <w:noProof/>
        </w:rPr>
      </w:pPr>
      <w:r w:rsidRPr="00266A9C">
        <w:rPr>
          <w:noProof/>
          <w:lang w:val="en-GB" w:eastAsia="en-GB"/>
        </w:rPr>
        <w:drawing>
          <wp:inline distT="0" distB="0" distL="0" distR="0" wp14:anchorId="6ECE11E1" wp14:editId="53F1D759">
            <wp:extent cx="4635795" cy="1856900"/>
            <wp:effectExtent l="0" t="0" r="0" b="0"/>
            <wp:docPr id="20367194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42504" cy="1859587"/>
                    </a:xfrm>
                    <a:prstGeom prst="rect">
                      <a:avLst/>
                    </a:prstGeom>
                    <a:noFill/>
                    <a:ln>
                      <a:noFill/>
                    </a:ln>
                  </pic:spPr>
                </pic:pic>
              </a:graphicData>
            </a:graphic>
          </wp:inline>
        </w:drawing>
      </w:r>
    </w:p>
    <w:p w14:paraId="0C106AD2" w14:textId="6DE3DBCF" w:rsidR="0083519F" w:rsidRPr="00266A9C" w:rsidRDefault="00BC182E" w:rsidP="00776E8E">
      <w:pPr>
        <w:pStyle w:val="Caption"/>
        <w:jc w:val="center"/>
        <w:rPr>
          <w:i w:val="0"/>
          <w:iCs/>
          <w:noProof/>
        </w:rPr>
      </w:pPr>
      <w:r w:rsidRPr="00266A9C">
        <w:rPr>
          <w:noProof/>
        </w:rPr>
        <w:t xml:space="preserve">Figura </w:t>
      </w:r>
      <w:r w:rsidR="0038701C">
        <w:rPr>
          <w:noProof/>
        </w:rPr>
        <w:fldChar w:fldCharType="begin"/>
      </w:r>
      <w:r w:rsidR="0038701C">
        <w:rPr>
          <w:noProof/>
        </w:rPr>
        <w:instrText xml:space="preserve"> SEQ Figure \* ARABIC </w:instrText>
      </w:r>
      <w:r w:rsidR="0038701C">
        <w:rPr>
          <w:noProof/>
        </w:rPr>
        <w:fldChar w:fldCharType="separate"/>
      </w:r>
      <w:r w:rsidRPr="00266A9C">
        <w:rPr>
          <w:noProof/>
        </w:rPr>
        <w:t>9</w:t>
      </w:r>
      <w:r w:rsidR="0038701C">
        <w:rPr>
          <w:noProof/>
        </w:rPr>
        <w:fldChar w:fldCharType="end"/>
      </w:r>
      <w:r w:rsidRPr="00266A9C">
        <w:rPr>
          <w:noProof/>
        </w:rPr>
        <w:t xml:space="preserve">: </w:t>
      </w:r>
      <w:r w:rsidRPr="00266A9C">
        <w:rPr>
          <w:i w:val="0"/>
          <w:noProof/>
        </w:rPr>
        <w:t>Constatările de neconformitate identificate de JRC în perioada 2021-2024 (prezentare în cadrul reuniunii AdCo, 1 aprilie 2025, Ispra).</w:t>
      </w:r>
    </w:p>
    <w:p w14:paraId="60AE2CE6" w14:textId="76CB3781" w:rsidR="00971E00" w:rsidRPr="00266A9C" w:rsidRDefault="00971E00" w:rsidP="009A7315">
      <w:pPr>
        <w:widowControl w:val="0"/>
        <w:spacing w:before="45"/>
        <w:rPr>
          <w:noProof/>
        </w:rPr>
      </w:pPr>
      <w:r w:rsidRPr="00266A9C">
        <w:rPr>
          <w:noProof/>
        </w:rPr>
        <w:t>O implicare mai puternică a Comisiei ar fi benefică. O astfel de strategie este pusă în aplicare pentru siguranța vehiculelor din 2020. În acest caz, deși statele membre joacă un rol central și efectuează încercări de supraveghere, Comisia asigură un al doilea nivel de control și efectuează teste independente. Comisia este împuternicită</w:t>
      </w:r>
      <w:r w:rsidRPr="00266A9C">
        <w:rPr>
          <w:noProof/>
          <w:vertAlign w:val="superscript"/>
        </w:rPr>
        <w:t> (</w:t>
      </w:r>
      <w:r w:rsidRPr="00266A9C">
        <w:rPr>
          <w:rStyle w:val="FootnoteReference"/>
          <w:noProof/>
        </w:rPr>
        <w:footnoteReference w:id="35"/>
      </w:r>
      <w:r w:rsidRPr="00266A9C">
        <w:rPr>
          <w:noProof/>
          <w:vertAlign w:val="superscript"/>
        </w:rPr>
        <w:t>)</w:t>
      </w:r>
      <w:r w:rsidRPr="00266A9C">
        <w:rPr>
          <w:noProof/>
        </w:rPr>
        <w:t xml:space="preserve"> să efectueze încercări asupra vehiculelor și a pieselor acestora, să impună amenzi administrative direct producătorilor și să dispună rechemări la nivelul UE</w:t>
      </w:r>
      <w:r w:rsidRPr="00266A9C">
        <w:rPr>
          <w:noProof/>
          <w:vertAlign w:val="superscript"/>
        </w:rPr>
        <w:t> (</w:t>
      </w:r>
      <w:r w:rsidRPr="00266A9C">
        <w:rPr>
          <w:rStyle w:val="FootnoteReference"/>
          <w:noProof/>
        </w:rPr>
        <w:footnoteReference w:id="36"/>
      </w:r>
      <w:r w:rsidRPr="00266A9C">
        <w:rPr>
          <w:noProof/>
          <w:vertAlign w:val="superscript"/>
        </w:rPr>
        <w:t>)</w:t>
      </w:r>
      <w:r w:rsidRPr="00266A9C">
        <w:rPr>
          <w:noProof/>
        </w:rPr>
        <w:t>. Omologarea de tip a pneurilor intră în sfera de competență a Comisiei, dar etichetarea pneurilor nu intră în sfera sa de competență.</w:t>
      </w:r>
      <w:r w:rsidR="00846830" w:rsidRPr="00266A9C">
        <w:rPr>
          <w:noProof/>
        </w:rPr>
        <w:t xml:space="preserve"> </w:t>
      </w:r>
      <w:r w:rsidRPr="00266A9C">
        <w:rPr>
          <w:noProof/>
        </w:rPr>
        <w:t>În prezent, sunt organizate campanii de încercare la nivelul UE pentru a evalua conformitatea pneurilor vândute pe piața UE, completând controalele naționale și acoperind lacunele în cazul în care capacitățile naționale pot fi limitate</w:t>
      </w:r>
      <w:r w:rsidRPr="00266A9C">
        <w:rPr>
          <w:noProof/>
          <w:vertAlign w:val="superscript"/>
        </w:rPr>
        <w:t> (</w:t>
      </w:r>
      <w:r w:rsidRPr="00266A9C">
        <w:rPr>
          <w:rStyle w:val="FootnoteReference"/>
          <w:noProof/>
        </w:rPr>
        <w:footnoteReference w:id="37"/>
      </w:r>
      <w:r w:rsidRPr="00266A9C">
        <w:rPr>
          <w:noProof/>
          <w:vertAlign w:val="superscript"/>
        </w:rPr>
        <w:t>)</w:t>
      </w:r>
      <w:r w:rsidRPr="00266A9C">
        <w:rPr>
          <w:noProof/>
        </w:rPr>
        <w:t>. O abordare centralizată și coordonată, care să acopere și etichetarea, ar crea sinergii și ar garanta imparțialitatea, fără conflicte de interese</w:t>
      </w:r>
      <w:r w:rsidRPr="00266A9C">
        <w:rPr>
          <w:noProof/>
          <w:vertAlign w:val="superscript"/>
        </w:rPr>
        <w:t> (</w:t>
      </w:r>
      <w:r w:rsidRPr="00266A9C">
        <w:rPr>
          <w:rStyle w:val="FootnoteReference"/>
          <w:noProof/>
        </w:rPr>
        <w:footnoteReference w:id="38"/>
      </w:r>
      <w:r w:rsidRPr="00266A9C">
        <w:rPr>
          <w:noProof/>
          <w:vertAlign w:val="superscript"/>
        </w:rPr>
        <w:t>)</w:t>
      </w:r>
      <w:r w:rsidRPr="00266A9C">
        <w:rPr>
          <w:noProof/>
        </w:rPr>
        <w:t>. În plus, costul suplimentar al verificărilor conformității etichetării ar fi minim, deoarece acestea se bazează pe aceleași încercări impuse de Regulamentul CEE-ONU nr. 117.</w:t>
      </w:r>
    </w:p>
    <w:p w14:paraId="14FD5AE2" w14:textId="77777777" w:rsidR="00971E00" w:rsidRPr="00266A9C" w:rsidRDefault="00971E00">
      <w:pPr>
        <w:pStyle w:val="Heading1"/>
        <w:rPr>
          <w:noProof/>
        </w:rPr>
      </w:pPr>
      <w:bookmarkStart w:id="22" w:name="_Toc213083346"/>
      <w:bookmarkStart w:id="23" w:name="_Hlk224634629"/>
      <w:r w:rsidRPr="00266A9C">
        <w:rPr>
          <w:noProof/>
        </w:rPr>
        <w:t>Posibile verificări și încercări efectuate de părți terțe</w:t>
      </w:r>
      <w:bookmarkEnd w:id="22"/>
    </w:p>
    <w:bookmarkEnd w:id="23"/>
    <w:p w14:paraId="56945615" w14:textId="07BA6D9E" w:rsidR="00971E00" w:rsidRPr="00266A9C" w:rsidRDefault="00971E00">
      <w:pPr>
        <w:spacing w:before="45" w:after="120"/>
        <w:rPr>
          <w:noProof/>
        </w:rPr>
      </w:pPr>
      <w:r w:rsidRPr="00266A9C">
        <w:rPr>
          <w:noProof/>
        </w:rPr>
        <w:t>Comisia a urmărit să evalueze costurile și beneficiile verificării independente obligatorii de către o parte terță a informațiilor furnizate pe eticheta pneurilor, luând în considerare experiența dobândită cu privire la cadrul mai larg prevăzut de Regulamentul (CE) nr. 661/2009.</w:t>
      </w:r>
    </w:p>
    <w:p w14:paraId="72DD8784" w14:textId="12F61952" w:rsidR="003C43CE" w:rsidRPr="00266A9C" w:rsidRDefault="00971E00">
      <w:pPr>
        <w:spacing w:before="45" w:after="120"/>
        <w:rPr>
          <w:noProof/>
        </w:rPr>
      </w:pPr>
      <w:r w:rsidRPr="00266A9C">
        <w:rPr>
          <w:noProof/>
        </w:rPr>
        <w:t xml:space="preserve">Verificarea de către o parte terță poate contribui la compensarea deficiențelor ASP-urilor în ceea ce privește bugetul, laboratoarele, personalul, coordonarea și competențele necesare. Recurgerea la părți terțe ar putea asigura accesul la echipamente de laborator de ultimă generație și la personal specializat. Mai multe laboratoare au dobândit deja experiență în ceea ce privește cadrul mai larg de omologare de tip prevăzut de </w:t>
      </w:r>
      <w:hyperlink r:id="rId34" w:history="1">
        <w:r w:rsidRPr="00266A9C">
          <w:rPr>
            <w:rStyle w:val="Hyperlink"/>
            <w:noProof/>
          </w:rPr>
          <w:t>Regulamentul (UE) 2019/2144</w:t>
        </w:r>
      </w:hyperlink>
      <w:r w:rsidRPr="00266A9C">
        <w:rPr>
          <w:noProof/>
        </w:rPr>
        <w:t xml:space="preserve"> și sunt, de asemenea, deja acreditate să desfășoare toate activitățile de încercare TLR. Cu toate acestea, taxele pentru încercarea și certificarea efectuate de terți pot fi semnificative. </w:t>
      </w:r>
      <w:r w:rsidRPr="00266A9C">
        <w:rPr>
          <w:noProof/>
        </w:rPr>
        <w:fldChar w:fldCharType="begin"/>
      </w:r>
      <w:r w:rsidRPr="00266A9C">
        <w:rPr>
          <w:noProof/>
        </w:rPr>
        <w:instrText xml:space="preserve"> REF _Ref210754933 \h </w:instrText>
      </w:r>
      <w:r w:rsidRPr="00266A9C">
        <w:rPr>
          <w:noProof/>
        </w:rPr>
      </w:r>
      <w:r w:rsidRPr="00266A9C">
        <w:rPr>
          <w:noProof/>
        </w:rPr>
        <w:fldChar w:fldCharType="separate"/>
      </w:r>
      <w:r w:rsidRPr="00266A9C">
        <w:rPr>
          <w:noProof/>
        </w:rPr>
        <w:t>Tab</w:t>
      </w:r>
      <w:r w:rsidR="005E3D12" w:rsidRPr="00266A9C">
        <w:rPr>
          <w:noProof/>
        </w:rPr>
        <w:t>elul 4</w:t>
      </w:r>
      <w:r w:rsidRPr="00266A9C">
        <w:rPr>
          <w:noProof/>
        </w:rPr>
        <w:t xml:space="preserve"> </w:t>
      </w:r>
      <w:r w:rsidRPr="00266A9C">
        <w:rPr>
          <w:noProof/>
        </w:rPr>
        <w:fldChar w:fldCharType="end"/>
      </w:r>
      <w:r w:rsidRPr="00266A9C">
        <w:rPr>
          <w:noProof/>
        </w:rPr>
        <w:t>indică prețurile orientative pentru încercarea parametrilor TLR pentru pneurile C1 în laboratoare acreditate în conformitate cu legislația privind omologarea de tip a pneurilor.</w:t>
      </w:r>
    </w:p>
    <w:p w14:paraId="7B7E0B11" w14:textId="37B7E44F" w:rsidR="00971E00" w:rsidRPr="00266A9C" w:rsidRDefault="00971E00">
      <w:pPr>
        <w:pStyle w:val="Caption"/>
        <w:spacing w:before="300" w:after="150"/>
        <w:rPr>
          <w:noProof/>
        </w:rPr>
      </w:pPr>
      <w:bookmarkStart w:id="24" w:name="_Ref210754933"/>
      <w:r w:rsidRPr="00266A9C">
        <w:rPr>
          <w:noProof/>
        </w:rPr>
        <w:t xml:space="preserve">Tabelul </w:t>
      </w:r>
      <w:bookmarkEnd w:id="24"/>
      <w:r w:rsidRPr="00266A9C">
        <w:rPr>
          <w:noProof/>
        </w:rPr>
        <w:t xml:space="preserve">4. </w:t>
      </w:r>
      <w:bookmarkStart w:id="25" w:name="_Ref210754901"/>
      <w:r w:rsidRPr="00266A9C">
        <w:rPr>
          <w:noProof/>
        </w:rPr>
        <w:t xml:space="preserve">Costurile încercărilor de verificare efectuate de părți terțe pentru pneurile C1 </w:t>
      </w:r>
      <w:bookmarkEnd w:id="25"/>
      <w:r w:rsidRPr="00266A9C">
        <w:rPr>
          <w:noProof/>
        </w:rPr>
        <w:t>(pe pneu)</w:t>
      </w:r>
    </w:p>
    <w:tbl>
      <w:tblPr>
        <w:tblStyle w:val="TableGrid"/>
        <w:tblW w:w="0" w:type="auto"/>
        <w:jc w:val="center"/>
        <w:tblBorders>
          <w:top w:val="single" w:sz="4" w:space="0" w:color="auto"/>
          <w:insideH w:val="single" w:sz="4" w:space="0" w:color="auto"/>
        </w:tblBorders>
        <w:tblLayout w:type="fixed"/>
        <w:tblCellMar>
          <w:left w:w="85" w:type="dxa"/>
          <w:right w:w="85" w:type="dxa"/>
        </w:tblCellMar>
        <w:tblLook w:val="04A0" w:firstRow="1" w:lastRow="0" w:firstColumn="1" w:lastColumn="0" w:noHBand="0" w:noVBand="1"/>
      </w:tblPr>
      <w:tblGrid>
        <w:gridCol w:w="5098"/>
        <w:gridCol w:w="1959"/>
        <w:gridCol w:w="1959"/>
      </w:tblGrid>
      <w:tr w:rsidR="00971E00" w:rsidRPr="00266A9C" w14:paraId="5265B1E4" w14:textId="77777777">
        <w:trPr>
          <w:jc w:val="center"/>
        </w:trPr>
        <w:tc>
          <w:tcPr>
            <w:tcW w:w="5098" w:type="dxa"/>
            <w:shd w:val="clear" w:color="auto" w:fill="EAEDF1"/>
            <w:tcMar>
              <w:top w:w="85" w:type="dxa"/>
              <w:bottom w:w="85" w:type="dxa"/>
            </w:tcMar>
          </w:tcPr>
          <w:p w14:paraId="2D7B8F93" w14:textId="77777777" w:rsidR="00971E00" w:rsidRPr="00266A9C" w:rsidRDefault="00971E00" w:rsidP="009A7315">
            <w:pPr>
              <w:pStyle w:val="NormalIndent"/>
              <w:keepNext/>
              <w:keepLines/>
              <w:spacing w:after="120" w:line="240" w:lineRule="auto"/>
              <w:ind w:left="0"/>
              <w:jc w:val="center"/>
              <w:rPr>
                <w:rFonts w:ascii="Times New Roman" w:hAnsi="Times New Roman"/>
                <w:b/>
                <w:bCs/>
                <w:noProof/>
                <w:sz w:val="22"/>
                <w:szCs w:val="22"/>
              </w:rPr>
            </w:pPr>
            <w:r w:rsidRPr="00266A9C">
              <w:rPr>
                <w:rFonts w:ascii="Times New Roman" w:hAnsi="Times New Roman"/>
                <w:b/>
                <w:noProof/>
                <w:sz w:val="22"/>
              </w:rPr>
              <w:t>Procedură de încercare – pneu clasa C1 –</w:t>
            </w:r>
          </w:p>
        </w:tc>
        <w:tc>
          <w:tcPr>
            <w:tcW w:w="1959" w:type="dxa"/>
            <w:shd w:val="clear" w:color="auto" w:fill="EAEDF1"/>
            <w:tcMar>
              <w:top w:w="85" w:type="dxa"/>
              <w:bottom w:w="85" w:type="dxa"/>
            </w:tcMar>
          </w:tcPr>
          <w:p w14:paraId="783FD2BD" w14:textId="77777777" w:rsidR="00971E00" w:rsidRPr="00266A9C" w:rsidRDefault="00971E00" w:rsidP="009A7315">
            <w:pPr>
              <w:pStyle w:val="NormalIndent"/>
              <w:keepNext/>
              <w:keepLines/>
              <w:spacing w:after="120" w:line="240" w:lineRule="auto"/>
              <w:ind w:left="0"/>
              <w:jc w:val="center"/>
              <w:rPr>
                <w:rFonts w:ascii="Times New Roman" w:hAnsi="Times New Roman"/>
                <w:b/>
                <w:bCs/>
                <w:noProof/>
                <w:sz w:val="22"/>
                <w:szCs w:val="22"/>
              </w:rPr>
            </w:pPr>
            <w:r w:rsidRPr="00266A9C">
              <w:rPr>
                <w:rFonts w:ascii="Times New Roman" w:hAnsi="Times New Roman"/>
                <w:b/>
                <w:noProof/>
                <w:sz w:val="22"/>
              </w:rPr>
              <w:t>De la</w:t>
            </w:r>
          </w:p>
        </w:tc>
        <w:tc>
          <w:tcPr>
            <w:tcW w:w="1959" w:type="dxa"/>
            <w:shd w:val="clear" w:color="auto" w:fill="EAEDF1"/>
            <w:tcMar>
              <w:top w:w="85" w:type="dxa"/>
              <w:bottom w:w="85" w:type="dxa"/>
            </w:tcMar>
          </w:tcPr>
          <w:p w14:paraId="4384A2C8" w14:textId="77777777" w:rsidR="00971E00" w:rsidRPr="00266A9C" w:rsidRDefault="00971E00" w:rsidP="009A7315">
            <w:pPr>
              <w:pStyle w:val="NormalIndent"/>
              <w:keepNext/>
              <w:keepLines/>
              <w:spacing w:after="120" w:line="240" w:lineRule="auto"/>
              <w:ind w:left="0"/>
              <w:jc w:val="center"/>
              <w:rPr>
                <w:rFonts w:ascii="Times New Roman" w:hAnsi="Times New Roman"/>
                <w:b/>
                <w:bCs/>
                <w:noProof/>
                <w:sz w:val="22"/>
                <w:szCs w:val="22"/>
              </w:rPr>
            </w:pPr>
            <w:r w:rsidRPr="00266A9C">
              <w:rPr>
                <w:rFonts w:ascii="Times New Roman" w:hAnsi="Times New Roman"/>
                <w:b/>
                <w:noProof/>
                <w:sz w:val="22"/>
              </w:rPr>
              <w:t>Până la</w:t>
            </w:r>
          </w:p>
        </w:tc>
      </w:tr>
      <w:tr w:rsidR="00971E00" w:rsidRPr="00266A9C" w14:paraId="6259CDF3" w14:textId="77777777" w:rsidTr="00782375">
        <w:trPr>
          <w:jc w:val="center"/>
        </w:trPr>
        <w:tc>
          <w:tcPr>
            <w:tcW w:w="5098" w:type="dxa"/>
            <w:tcMar>
              <w:top w:w="85" w:type="dxa"/>
              <w:bottom w:w="85" w:type="dxa"/>
            </w:tcMar>
          </w:tcPr>
          <w:p w14:paraId="22664C80" w14:textId="77777777" w:rsidR="00971E00" w:rsidRPr="00266A9C" w:rsidRDefault="00971E00" w:rsidP="009A7315">
            <w:pPr>
              <w:widowControl w:val="0"/>
              <w:spacing w:after="120"/>
              <w:rPr>
                <w:noProof/>
                <w:sz w:val="22"/>
                <w:szCs w:val="22"/>
              </w:rPr>
            </w:pPr>
            <w:r w:rsidRPr="00266A9C">
              <w:rPr>
                <w:noProof/>
                <w:sz w:val="22"/>
              </w:rPr>
              <w:t xml:space="preserve">ECE 117 R. Anexa 3 – Zgomot </w:t>
            </w:r>
          </w:p>
        </w:tc>
        <w:tc>
          <w:tcPr>
            <w:tcW w:w="1959" w:type="dxa"/>
            <w:tcMar>
              <w:top w:w="85" w:type="dxa"/>
              <w:bottom w:w="85" w:type="dxa"/>
            </w:tcMar>
          </w:tcPr>
          <w:p w14:paraId="499187B7" w14:textId="24BE843E" w:rsidR="00971E00" w:rsidRPr="00266A9C" w:rsidRDefault="00971E00" w:rsidP="009A7315">
            <w:pPr>
              <w:widowControl w:val="0"/>
              <w:tabs>
                <w:tab w:val="right" w:pos="1377"/>
              </w:tabs>
              <w:spacing w:after="120"/>
              <w:ind w:right="460"/>
              <w:jc w:val="right"/>
              <w:rPr>
                <w:noProof/>
                <w:sz w:val="22"/>
                <w:szCs w:val="22"/>
              </w:rPr>
            </w:pPr>
            <w:r w:rsidRPr="00266A9C">
              <w:rPr>
                <w:noProof/>
                <w:sz w:val="22"/>
              </w:rPr>
              <w:t>1 100 EUR</w:t>
            </w:r>
          </w:p>
        </w:tc>
        <w:tc>
          <w:tcPr>
            <w:tcW w:w="1959" w:type="dxa"/>
            <w:tcMar>
              <w:top w:w="85" w:type="dxa"/>
              <w:bottom w:w="85" w:type="dxa"/>
            </w:tcMar>
          </w:tcPr>
          <w:p w14:paraId="6F1060AD" w14:textId="3BE3F453" w:rsidR="00971E00" w:rsidRPr="00266A9C" w:rsidRDefault="00971E00" w:rsidP="009A7315">
            <w:pPr>
              <w:widowControl w:val="0"/>
              <w:tabs>
                <w:tab w:val="right" w:pos="1377"/>
              </w:tabs>
              <w:spacing w:after="120"/>
              <w:ind w:right="434"/>
              <w:jc w:val="right"/>
              <w:rPr>
                <w:noProof/>
                <w:sz w:val="22"/>
                <w:szCs w:val="22"/>
              </w:rPr>
            </w:pPr>
            <w:r w:rsidRPr="00266A9C">
              <w:rPr>
                <w:noProof/>
                <w:sz w:val="22"/>
              </w:rPr>
              <w:t>2 000 EUR</w:t>
            </w:r>
          </w:p>
        </w:tc>
      </w:tr>
      <w:tr w:rsidR="00971E00" w:rsidRPr="00266A9C" w14:paraId="401B59F1" w14:textId="77777777" w:rsidTr="00782375">
        <w:trPr>
          <w:jc w:val="center"/>
        </w:trPr>
        <w:tc>
          <w:tcPr>
            <w:tcW w:w="5098" w:type="dxa"/>
            <w:tcMar>
              <w:top w:w="85" w:type="dxa"/>
              <w:bottom w:w="85" w:type="dxa"/>
            </w:tcMar>
          </w:tcPr>
          <w:p w14:paraId="2A3EBBEB" w14:textId="77777777" w:rsidR="00971E00" w:rsidRPr="00266A9C" w:rsidRDefault="00971E00" w:rsidP="009A7315">
            <w:pPr>
              <w:widowControl w:val="0"/>
              <w:spacing w:after="120"/>
              <w:rPr>
                <w:noProof/>
                <w:sz w:val="22"/>
                <w:szCs w:val="22"/>
              </w:rPr>
            </w:pPr>
            <w:r w:rsidRPr="00266A9C">
              <w:rPr>
                <w:noProof/>
                <w:sz w:val="22"/>
              </w:rPr>
              <w:t xml:space="preserve">ECE 117 R. Anexa 5 – Aderența pe teren umed </w:t>
            </w:r>
          </w:p>
        </w:tc>
        <w:tc>
          <w:tcPr>
            <w:tcW w:w="1959" w:type="dxa"/>
            <w:tcMar>
              <w:top w:w="85" w:type="dxa"/>
              <w:bottom w:w="85" w:type="dxa"/>
            </w:tcMar>
          </w:tcPr>
          <w:p w14:paraId="43BBFBA4" w14:textId="3320D7AA" w:rsidR="00971E00" w:rsidRPr="00266A9C" w:rsidRDefault="00971E00" w:rsidP="009A7315">
            <w:pPr>
              <w:widowControl w:val="0"/>
              <w:tabs>
                <w:tab w:val="right" w:pos="1377"/>
              </w:tabs>
              <w:spacing w:after="120"/>
              <w:ind w:right="460"/>
              <w:jc w:val="right"/>
              <w:rPr>
                <w:noProof/>
                <w:sz w:val="22"/>
                <w:szCs w:val="22"/>
              </w:rPr>
            </w:pPr>
            <w:r w:rsidRPr="00266A9C">
              <w:rPr>
                <w:noProof/>
                <w:sz w:val="22"/>
              </w:rPr>
              <w:t>950 EUR</w:t>
            </w:r>
          </w:p>
        </w:tc>
        <w:tc>
          <w:tcPr>
            <w:tcW w:w="1959" w:type="dxa"/>
            <w:tcMar>
              <w:top w:w="85" w:type="dxa"/>
              <w:bottom w:w="85" w:type="dxa"/>
            </w:tcMar>
          </w:tcPr>
          <w:p w14:paraId="1DB1912E" w14:textId="0DFE617D" w:rsidR="00971E00" w:rsidRPr="00266A9C" w:rsidRDefault="00971E00" w:rsidP="009A7315">
            <w:pPr>
              <w:widowControl w:val="0"/>
              <w:tabs>
                <w:tab w:val="right" w:pos="1377"/>
              </w:tabs>
              <w:spacing w:after="120"/>
              <w:ind w:right="434"/>
              <w:jc w:val="right"/>
              <w:rPr>
                <w:noProof/>
                <w:sz w:val="22"/>
                <w:szCs w:val="22"/>
              </w:rPr>
            </w:pPr>
            <w:r w:rsidRPr="00266A9C">
              <w:rPr>
                <w:noProof/>
                <w:sz w:val="22"/>
              </w:rPr>
              <w:t>1 500 EUR</w:t>
            </w:r>
          </w:p>
        </w:tc>
      </w:tr>
      <w:tr w:rsidR="00971E00" w:rsidRPr="00266A9C" w14:paraId="597CE3D6" w14:textId="77777777" w:rsidTr="00782375">
        <w:trPr>
          <w:jc w:val="center"/>
        </w:trPr>
        <w:tc>
          <w:tcPr>
            <w:tcW w:w="5098" w:type="dxa"/>
            <w:tcMar>
              <w:top w:w="85" w:type="dxa"/>
              <w:bottom w:w="85" w:type="dxa"/>
            </w:tcMar>
          </w:tcPr>
          <w:p w14:paraId="74565049" w14:textId="77777777" w:rsidR="00971E00" w:rsidRPr="00266A9C" w:rsidRDefault="00971E00" w:rsidP="009A7315">
            <w:pPr>
              <w:widowControl w:val="0"/>
              <w:spacing w:after="120"/>
              <w:rPr>
                <w:noProof/>
                <w:sz w:val="22"/>
                <w:szCs w:val="22"/>
              </w:rPr>
            </w:pPr>
            <w:r w:rsidRPr="00266A9C">
              <w:rPr>
                <w:noProof/>
                <w:sz w:val="22"/>
              </w:rPr>
              <w:t xml:space="preserve">ECE 117 R. Anexa 6 (CR) – Rezistența la rulare </w:t>
            </w:r>
          </w:p>
        </w:tc>
        <w:tc>
          <w:tcPr>
            <w:tcW w:w="1959" w:type="dxa"/>
            <w:tcMar>
              <w:top w:w="85" w:type="dxa"/>
              <w:bottom w:w="85" w:type="dxa"/>
            </w:tcMar>
          </w:tcPr>
          <w:p w14:paraId="2E52E347" w14:textId="72EEABE2" w:rsidR="00971E00" w:rsidRPr="00266A9C" w:rsidRDefault="00971E00" w:rsidP="009A7315">
            <w:pPr>
              <w:widowControl w:val="0"/>
              <w:tabs>
                <w:tab w:val="right" w:pos="1377"/>
              </w:tabs>
              <w:spacing w:after="120"/>
              <w:ind w:right="460"/>
              <w:jc w:val="right"/>
              <w:rPr>
                <w:noProof/>
                <w:sz w:val="22"/>
                <w:szCs w:val="22"/>
              </w:rPr>
            </w:pPr>
            <w:r w:rsidRPr="00266A9C">
              <w:rPr>
                <w:noProof/>
                <w:sz w:val="22"/>
              </w:rPr>
              <w:t>650 EUR</w:t>
            </w:r>
          </w:p>
        </w:tc>
        <w:tc>
          <w:tcPr>
            <w:tcW w:w="1959" w:type="dxa"/>
            <w:tcMar>
              <w:top w:w="85" w:type="dxa"/>
              <w:bottom w:w="85" w:type="dxa"/>
            </w:tcMar>
          </w:tcPr>
          <w:p w14:paraId="3CE5DDDB" w14:textId="4944F523" w:rsidR="00971E00" w:rsidRPr="00266A9C" w:rsidRDefault="00971E00" w:rsidP="009A7315">
            <w:pPr>
              <w:widowControl w:val="0"/>
              <w:tabs>
                <w:tab w:val="right" w:pos="1377"/>
              </w:tabs>
              <w:spacing w:after="120"/>
              <w:ind w:right="434"/>
              <w:jc w:val="right"/>
              <w:rPr>
                <w:noProof/>
                <w:sz w:val="22"/>
                <w:szCs w:val="22"/>
              </w:rPr>
            </w:pPr>
            <w:r w:rsidRPr="00266A9C">
              <w:rPr>
                <w:noProof/>
                <w:sz w:val="22"/>
              </w:rPr>
              <w:t>1 250 EUR</w:t>
            </w:r>
          </w:p>
        </w:tc>
      </w:tr>
      <w:tr w:rsidR="00971E00" w:rsidRPr="00266A9C" w14:paraId="0C92F380" w14:textId="77777777" w:rsidTr="00782375">
        <w:trPr>
          <w:trHeight w:val="128"/>
          <w:jc w:val="center"/>
        </w:trPr>
        <w:tc>
          <w:tcPr>
            <w:tcW w:w="5098" w:type="dxa"/>
            <w:tcMar>
              <w:top w:w="85" w:type="dxa"/>
              <w:bottom w:w="85" w:type="dxa"/>
            </w:tcMar>
          </w:tcPr>
          <w:p w14:paraId="273D7B4F" w14:textId="77777777" w:rsidR="00971E00" w:rsidRPr="00266A9C" w:rsidRDefault="00971E00" w:rsidP="009A7315">
            <w:pPr>
              <w:widowControl w:val="0"/>
              <w:spacing w:after="120"/>
              <w:rPr>
                <w:noProof/>
                <w:sz w:val="22"/>
                <w:szCs w:val="22"/>
              </w:rPr>
            </w:pPr>
            <w:r w:rsidRPr="00266A9C">
              <w:rPr>
                <w:noProof/>
                <w:sz w:val="22"/>
              </w:rPr>
              <w:t xml:space="preserve">ECE 117 R. Anexa 7 3PMSF – Performanța pe zăpadă </w:t>
            </w:r>
          </w:p>
        </w:tc>
        <w:tc>
          <w:tcPr>
            <w:tcW w:w="1959" w:type="dxa"/>
            <w:tcMar>
              <w:top w:w="85" w:type="dxa"/>
              <w:bottom w:w="85" w:type="dxa"/>
            </w:tcMar>
          </w:tcPr>
          <w:p w14:paraId="7CB0551F" w14:textId="757D1940" w:rsidR="00971E00" w:rsidRPr="00266A9C" w:rsidRDefault="00971E00" w:rsidP="009A7315">
            <w:pPr>
              <w:widowControl w:val="0"/>
              <w:tabs>
                <w:tab w:val="right" w:pos="1377"/>
              </w:tabs>
              <w:spacing w:after="120"/>
              <w:ind w:right="460"/>
              <w:jc w:val="right"/>
              <w:rPr>
                <w:noProof/>
                <w:sz w:val="22"/>
                <w:szCs w:val="22"/>
              </w:rPr>
            </w:pPr>
            <w:r w:rsidRPr="00266A9C">
              <w:rPr>
                <w:noProof/>
                <w:sz w:val="22"/>
              </w:rPr>
              <w:t>3 200 EUR</w:t>
            </w:r>
          </w:p>
        </w:tc>
        <w:tc>
          <w:tcPr>
            <w:tcW w:w="1959" w:type="dxa"/>
            <w:tcMar>
              <w:top w:w="85" w:type="dxa"/>
              <w:bottom w:w="85" w:type="dxa"/>
            </w:tcMar>
          </w:tcPr>
          <w:p w14:paraId="13BE74C9" w14:textId="5B3EAEC6" w:rsidR="00971E00" w:rsidRPr="00266A9C" w:rsidRDefault="00971E00" w:rsidP="009A7315">
            <w:pPr>
              <w:widowControl w:val="0"/>
              <w:tabs>
                <w:tab w:val="right" w:pos="1377"/>
              </w:tabs>
              <w:spacing w:after="120"/>
              <w:ind w:right="434"/>
              <w:jc w:val="right"/>
              <w:rPr>
                <w:noProof/>
                <w:sz w:val="22"/>
                <w:szCs w:val="22"/>
              </w:rPr>
            </w:pPr>
            <w:r w:rsidRPr="00266A9C">
              <w:rPr>
                <w:noProof/>
                <w:sz w:val="22"/>
              </w:rPr>
              <w:t>5 500 EUR</w:t>
            </w:r>
          </w:p>
        </w:tc>
      </w:tr>
      <w:tr w:rsidR="00971E00" w:rsidRPr="00266A9C" w14:paraId="73BDDE7D" w14:textId="77777777" w:rsidTr="00782375">
        <w:trPr>
          <w:jc w:val="center"/>
        </w:trPr>
        <w:tc>
          <w:tcPr>
            <w:tcW w:w="5098" w:type="dxa"/>
            <w:tcMar>
              <w:top w:w="85" w:type="dxa"/>
              <w:bottom w:w="85" w:type="dxa"/>
            </w:tcMar>
          </w:tcPr>
          <w:p w14:paraId="7C943CFA" w14:textId="77777777" w:rsidR="00971E00" w:rsidRPr="00266A9C" w:rsidRDefault="00971E00" w:rsidP="009A7315">
            <w:pPr>
              <w:widowControl w:val="0"/>
              <w:spacing w:after="120"/>
              <w:jc w:val="right"/>
              <w:rPr>
                <w:b/>
                <w:noProof/>
                <w:sz w:val="22"/>
                <w:szCs w:val="22"/>
              </w:rPr>
            </w:pPr>
            <w:r w:rsidRPr="00266A9C">
              <w:rPr>
                <w:b/>
                <w:noProof/>
                <w:sz w:val="22"/>
              </w:rPr>
              <w:t>Total pentru procedura de încercare:</w:t>
            </w:r>
          </w:p>
        </w:tc>
        <w:tc>
          <w:tcPr>
            <w:tcW w:w="1959" w:type="dxa"/>
            <w:tcMar>
              <w:top w:w="85" w:type="dxa"/>
              <w:bottom w:w="85" w:type="dxa"/>
            </w:tcMar>
          </w:tcPr>
          <w:p w14:paraId="5DF44DF6" w14:textId="0EC3CBF5" w:rsidR="00971E00" w:rsidRPr="00266A9C" w:rsidRDefault="00971E00" w:rsidP="009A7315">
            <w:pPr>
              <w:widowControl w:val="0"/>
              <w:tabs>
                <w:tab w:val="right" w:pos="1377"/>
              </w:tabs>
              <w:spacing w:after="120"/>
              <w:ind w:right="460"/>
              <w:jc w:val="right"/>
              <w:rPr>
                <w:b/>
                <w:noProof/>
                <w:sz w:val="22"/>
                <w:szCs w:val="22"/>
              </w:rPr>
            </w:pPr>
            <w:r w:rsidRPr="00266A9C">
              <w:rPr>
                <w:b/>
                <w:noProof/>
                <w:sz w:val="22"/>
              </w:rPr>
              <w:t>5 900 EUR</w:t>
            </w:r>
          </w:p>
        </w:tc>
        <w:tc>
          <w:tcPr>
            <w:tcW w:w="1959" w:type="dxa"/>
            <w:tcMar>
              <w:top w:w="85" w:type="dxa"/>
              <w:bottom w:w="85" w:type="dxa"/>
            </w:tcMar>
          </w:tcPr>
          <w:p w14:paraId="005FBC0D" w14:textId="08742A4F" w:rsidR="00971E00" w:rsidRPr="00266A9C" w:rsidRDefault="00971E00" w:rsidP="009A7315">
            <w:pPr>
              <w:widowControl w:val="0"/>
              <w:tabs>
                <w:tab w:val="right" w:pos="1377"/>
              </w:tabs>
              <w:spacing w:after="120"/>
              <w:ind w:right="434"/>
              <w:jc w:val="right"/>
              <w:rPr>
                <w:b/>
                <w:noProof/>
                <w:sz w:val="22"/>
                <w:szCs w:val="22"/>
              </w:rPr>
            </w:pPr>
            <w:r w:rsidRPr="00266A9C">
              <w:rPr>
                <w:b/>
                <w:noProof/>
                <w:sz w:val="22"/>
              </w:rPr>
              <w:t>10 250 EUR</w:t>
            </w:r>
          </w:p>
        </w:tc>
      </w:tr>
    </w:tbl>
    <w:p w14:paraId="560D6236" w14:textId="52747A3F" w:rsidR="00971E00" w:rsidRPr="00266A9C" w:rsidRDefault="00CF63B9" w:rsidP="009A7315">
      <w:pPr>
        <w:spacing w:before="120" w:after="120"/>
        <w:rPr>
          <w:noProof/>
        </w:rPr>
      </w:pPr>
      <w:r w:rsidRPr="00266A9C">
        <w:rPr>
          <w:noProof/>
        </w:rPr>
        <w:t>Există două opțiuni pentru a reduce aceste costuri ridicate de verificare de către o parte terță.</w:t>
      </w:r>
    </w:p>
    <w:p w14:paraId="5A7DA322" w14:textId="01A3EA2E" w:rsidR="00971E00" w:rsidRPr="00266A9C" w:rsidRDefault="00971E00" w:rsidP="00D46982">
      <w:pPr>
        <w:pStyle w:val="ListParagraph"/>
        <w:numPr>
          <w:ilvl w:val="0"/>
          <w:numId w:val="36"/>
        </w:numPr>
        <w:jc w:val="both"/>
        <w:rPr>
          <w:noProof/>
        </w:rPr>
      </w:pPr>
      <w:r w:rsidRPr="00266A9C">
        <w:rPr>
          <w:noProof/>
        </w:rPr>
        <w:t xml:space="preserve">Încercări </w:t>
      </w:r>
      <w:r w:rsidRPr="00266A9C">
        <w:rPr>
          <w:i/>
          <w:noProof/>
        </w:rPr>
        <w:t>ex post</w:t>
      </w:r>
      <w:r w:rsidRPr="00266A9C">
        <w:rPr>
          <w:noProof/>
        </w:rPr>
        <w:t xml:space="preserve"> aleatorii, plătite de sectorul public. Acest lucru pare fezabil numai dacă este coordonat la nivelul UE.</w:t>
      </w:r>
    </w:p>
    <w:p w14:paraId="20E83050" w14:textId="0C36F5C8" w:rsidR="00971E00" w:rsidRPr="00266A9C" w:rsidRDefault="00971E00" w:rsidP="00D46982">
      <w:pPr>
        <w:pStyle w:val="ListParagraph"/>
        <w:numPr>
          <w:ilvl w:val="0"/>
          <w:numId w:val="36"/>
        </w:numPr>
        <w:jc w:val="both"/>
        <w:rPr>
          <w:noProof/>
        </w:rPr>
      </w:pPr>
      <w:r w:rsidRPr="00266A9C">
        <w:rPr>
          <w:noProof/>
        </w:rPr>
        <w:t xml:space="preserve">Verificarea </w:t>
      </w:r>
      <w:r w:rsidRPr="00266A9C">
        <w:rPr>
          <w:i/>
          <w:noProof/>
        </w:rPr>
        <w:t>ex ante</w:t>
      </w:r>
      <w:r w:rsidRPr="00266A9C">
        <w:rPr>
          <w:noProof/>
        </w:rPr>
        <w:t xml:space="preserve"> obligatorie sistematică de către furnizori, pentru toate valorile parametrilor declarate pe etichetă, în cazul în care acestea depășesc clasa echivalentă cu scenariul „cel mai pesimist”, astfel cum este documentat în certificatele de omologare de tip</w:t>
      </w:r>
      <w:r w:rsidRPr="00266A9C">
        <w:rPr>
          <w:noProof/>
          <w:vertAlign w:val="superscript"/>
        </w:rPr>
        <w:t> (</w:t>
      </w:r>
      <w:r w:rsidRPr="00266A9C">
        <w:rPr>
          <w:noProof/>
          <w:vertAlign w:val="superscript"/>
        </w:rPr>
        <w:footnoteReference w:id="39"/>
      </w:r>
      <w:r w:rsidRPr="00266A9C">
        <w:rPr>
          <w:noProof/>
          <w:vertAlign w:val="superscript"/>
        </w:rPr>
        <w:t>)</w:t>
      </w:r>
      <w:r w:rsidRPr="00266A9C">
        <w:rPr>
          <w:noProof/>
        </w:rPr>
        <w:t>. Acest lucru ar presupune pur și simplu publicarea rapoartelor de încercare pe care producătorii sunt obligați să le elaboreze pentru a declara o clasă mai bună decât scenariul „cel mai pesimist”, astfel cum este documentat în certificatele de omologare de tip și care trebuie încărcate în EPREL.</w:t>
      </w:r>
    </w:p>
    <w:p w14:paraId="3F8B95BD" w14:textId="337FB5AD" w:rsidR="005519C3" w:rsidRPr="00266A9C" w:rsidRDefault="005519C3" w:rsidP="005519C3">
      <w:pPr>
        <w:pStyle w:val="Heading1"/>
        <w:rPr>
          <w:noProof/>
        </w:rPr>
      </w:pPr>
      <w:bookmarkStart w:id="26" w:name="_Toc213083347"/>
      <w:bookmarkEnd w:id="17"/>
      <w:bookmarkEnd w:id="18"/>
      <w:r w:rsidRPr="00266A9C">
        <w:rPr>
          <w:noProof/>
        </w:rPr>
        <w:t>Alinierea mașinii de încercare</w:t>
      </w:r>
    </w:p>
    <w:p w14:paraId="68FC3D2A" w14:textId="1673467F" w:rsidR="005519C3" w:rsidRPr="00266A9C" w:rsidRDefault="005519C3" w:rsidP="005519C3">
      <w:pPr>
        <w:widowControl w:val="0"/>
        <w:spacing w:before="45" w:after="120"/>
        <w:rPr>
          <w:noProof/>
        </w:rPr>
      </w:pPr>
      <w:r w:rsidRPr="00266A9C">
        <w:rPr>
          <w:noProof/>
        </w:rPr>
        <w:t>Coeficientul de rezistență la rulare (CRR) utilizat pentru evaluarea clasei de eficiență energetică a unui pneu este măsurat într-un laborator, cu ajutorul unei mașini specifice. Principalii producători efectuează propriile încercări CRR. Unele laboratoare de încercare independente au, de asemenea, propriile echipamente. Calibrarea sau realinierea periodică a mașinilor este necesară pentru a asigura măsurători repetabile și coerente. Unele țări din afara UE se bazează pe un organism central pentru a furniza acest serviciu de calibrare</w:t>
      </w:r>
      <w:r w:rsidRPr="00266A9C">
        <w:rPr>
          <w:noProof/>
          <w:vertAlign w:val="superscript"/>
        </w:rPr>
        <w:t> (</w:t>
      </w:r>
      <w:r w:rsidRPr="00266A9C">
        <w:rPr>
          <w:rStyle w:val="FootnoteReference"/>
          <w:noProof/>
        </w:rPr>
        <w:footnoteReference w:id="40"/>
      </w:r>
      <w:r w:rsidRPr="00266A9C">
        <w:rPr>
          <w:noProof/>
          <w:vertAlign w:val="superscript"/>
        </w:rPr>
        <w:t>)</w:t>
      </w:r>
      <w:r w:rsidRPr="00266A9C">
        <w:rPr>
          <w:noProof/>
        </w:rPr>
        <w:t>. Nu există un astfel de organism central al UE. În schimb, au fost instituite o „mașină virtuală de referință” și o procedură, descrise în anexa V la TLR.</w:t>
      </w:r>
      <w:r w:rsidR="00846830" w:rsidRPr="00266A9C">
        <w:rPr>
          <w:noProof/>
        </w:rPr>
        <w:t xml:space="preserve"> </w:t>
      </w:r>
      <w:r w:rsidRPr="00266A9C">
        <w:rPr>
          <w:noProof/>
        </w:rPr>
        <w:t>O dată la doi ani, un grup de 11 laboratoare participante desfășoară un proces de tip „round-robin”, care necesită resurse considerabile, pentru a-și alinia mașinile și a oferi o valoare de referință</w:t>
      </w:r>
      <w:r w:rsidRPr="00266A9C">
        <w:rPr>
          <w:noProof/>
          <w:vertAlign w:val="superscript"/>
        </w:rPr>
        <w:t> (</w:t>
      </w:r>
      <w:r w:rsidRPr="00266A9C">
        <w:rPr>
          <w:rStyle w:val="FootnoteReference"/>
          <w:noProof/>
        </w:rPr>
        <w:footnoteReference w:id="41"/>
      </w:r>
      <w:r w:rsidRPr="00266A9C">
        <w:rPr>
          <w:noProof/>
          <w:vertAlign w:val="superscript"/>
        </w:rPr>
        <w:t>)</w:t>
      </w:r>
      <w:r w:rsidRPr="00266A9C">
        <w:rPr>
          <w:noProof/>
        </w:rPr>
        <w:t>.</w:t>
      </w:r>
    </w:p>
    <w:p w14:paraId="2FC3555E" w14:textId="03723C68" w:rsidR="005519C3" w:rsidRPr="00266A9C" w:rsidRDefault="005519C3" w:rsidP="005519C3">
      <w:pPr>
        <w:widowControl w:val="0"/>
        <w:spacing w:before="45" w:after="120"/>
        <w:rPr>
          <w:noProof/>
        </w:rPr>
      </w:pPr>
      <w:r w:rsidRPr="00266A9C">
        <w:rPr>
          <w:noProof/>
        </w:rPr>
        <w:t>Comisia ar putea elabora o alternativă la acest exercițiu de calibrare periodic și împovărător al grupului de laboratoare diferite, prin înființarea unui singur laborator fizic de referință, eventual însoțit de un al doilea rând de laboratoare independente care să furnizeze acest serviciu producătorilor din întreaga lume. Costul unui astfel de laborator ar putea fi acoperit prin taxe pentru serviciile de calibrare. Ar trebui remarcat faptul că mașinile utilizate pentru încercarea CRR sunt aceleași ca și cele utilizate pentru omologarea de tip. Utilizarea acelorași mașini asigură o mai bună aliniere a măsurătorilor de etichetare la măsurătorile de omologare de tip și reduce încercările duble.</w:t>
      </w:r>
    </w:p>
    <w:p w14:paraId="32C092C2" w14:textId="471909A3" w:rsidR="00971E00" w:rsidRPr="00266A9C" w:rsidRDefault="00676664" w:rsidP="009A7315">
      <w:pPr>
        <w:pStyle w:val="Heading1"/>
        <w:rPr>
          <w:noProof/>
        </w:rPr>
      </w:pPr>
      <w:bookmarkStart w:id="27" w:name="_Hlk210769498"/>
      <w:bookmarkEnd w:id="26"/>
      <w:r w:rsidRPr="00266A9C">
        <w:rPr>
          <w:noProof/>
        </w:rPr>
        <w:t>Problemele identificate în cadrul punerii în aplicare</w:t>
      </w:r>
    </w:p>
    <w:p w14:paraId="20CAE77B" w14:textId="50841209" w:rsidR="00971E00" w:rsidRPr="00266A9C" w:rsidRDefault="00971E00">
      <w:pPr>
        <w:rPr>
          <w:noProof/>
        </w:rPr>
      </w:pPr>
      <w:r w:rsidRPr="00266A9C">
        <w:rPr>
          <w:noProof/>
        </w:rPr>
        <w:t>În cursul punerii în aplicare au fost identificate unele probleme legate de TLR, dintre care majoritatea ar putea fi soluționate prin modificarea anexelor la TLR. Cele mai pertinente, împreună cu posibilele soluții, sunt prezentate mai jos.</w:t>
      </w:r>
    </w:p>
    <w:p w14:paraId="231F2CB5" w14:textId="75B4BC35" w:rsidR="00971E00" w:rsidRPr="00266A9C" w:rsidRDefault="00971E00" w:rsidP="009A7315">
      <w:pPr>
        <w:pStyle w:val="Heading2"/>
        <w:rPr>
          <w:noProof/>
        </w:rPr>
      </w:pPr>
      <w:bookmarkStart w:id="28" w:name="_Toc213083349"/>
      <w:r w:rsidRPr="00266A9C">
        <w:rPr>
          <w:noProof/>
        </w:rPr>
        <w:t>Materiale promoționale, cataloage, oferte de vehicule</w:t>
      </w:r>
      <w:bookmarkEnd w:id="28"/>
    </w:p>
    <w:p w14:paraId="7E02D91E" w14:textId="6475C037" w:rsidR="00971E00" w:rsidRPr="00266A9C" w:rsidRDefault="00971E00" w:rsidP="003C43CE">
      <w:pPr>
        <w:rPr>
          <w:noProof/>
        </w:rPr>
      </w:pPr>
      <w:r w:rsidRPr="00266A9C">
        <w:rPr>
          <w:noProof/>
        </w:rPr>
        <w:t xml:space="preserve">TLR nu oferă detalii cu privire la formatul, dimensiunea și modalitățile de afișare a etichetelor în cataloage, magazine online sau materiale promoționale ori oferte de vehicule. Singura dispoziție este ca dimensiunea să nu fie mai mică de 75x100 mm. Această lipsă de detaliere a condus, pe de o parte, la insecuritate juridică și, pe de altă parte, la o neconformitate generalizată. O soluție practică, prevăzută în anexa specifică la alte acte delegate privind etichetarea energetică, este opțiunea de a utiliza o etichetă simplificată, în format mic, sub forma unei „săgeți a clasei, însoțită de gama pneului”, eventual combinată cu un „mecanism de afișaj imbricat” pentru paginile online. </w:t>
      </w:r>
      <w:r w:rsidRPr="00266A9C">
        <w:rPr>
          <w:noProof/>
        </w:rPr>
        <w:fldChar w:fldCharType="begin"/>
      </w:r>
      <w:r w:rsidRPr="00266A9C">
        <w:rPr>
          <w:noProof/>
        </w:rPr>
        <w:instrText xml:space="preserve"> REF _Ref210761433 \h  \* MERGEFORMAT </w:instrText>
      </w:r>
      <w:r w:rsidRPr="00266A9C">
        <w:rPr>
          <w:noProof/>
        </w:rPr>
      </w:r>
      <w:r w:rsidRPr="00266A9C">
        <w:rPr>
          <w:noProof/>
        </w:rPr>
        <w:fldChar w:fldCharType="separate"/>
      </w:r>
      <w:r w:rsidRPr="00266A9C">
        <w:rPr>
          <w:noProof/>
        </w:rPr>
        <w:t>Figur</w:t>
      </w:r>
      <w:r w:rsidR="005E3D12" w:rsidRPr="00266A9C">
        <w:rPr>
          <w:noProof/>
        </w:rPr>
        <w:t>a</w:t>
      </w:r>
      <w:r w:rsidRPr="00266A9C">
        <w:rPr>
          <w:noProof/>
        </w:rPr>
        <w:t xml:space="preserve"> 10</w:t>
      </w:r>
      <w:r w:rsidRPr="00266A9C">
        <w:rPr>
          <w:noProof/>
        </w:rPr>
        <w:fldChar w:fldCharType="end"/>
      </w:r>
      <w:r w:rsidRPr="00266A9C">
        <w:rPr>
          <w:noProof/>
        </w:rPr>
        <w:t xml:space="preserve"> oferă un exemplu al modului în care o astfel de indicație ar putea fi utilizată pentru pneuri.</w:t>
      </w:r>
    </w:p>
    <w:p w14:paraId="6F393087" w14:textId="77777777" w:rsidR="009A7315" w:rsidRPr="00266A9C" w:rsidRDefault="009A7315" w:rsidP="009A7315">
      <w:pPr>
        <w:pStyle w:val="ListParagraph"/>
        <w:ind w:left="0"/>
        <w:rPr>
          <w:noProof/>
        </w:rPr>
      </w:pPr>
    </w:p>
    <w:p w14:paraId="3E3F044B" w14:textId="638389A2" w:rsidR="009A7315" w:rsidRPr="00266A9C" w:rsidRDefault="009A7315" w:rsidP="003C43CE">
      <w:pPr>
        <w:pStyle w:val="ListParagraph"/>
        <w:ind w:left="0"/>
        <w:jc w:val="center"/>
        <w:rPr>
          <w:noProof/>
        </w:rPr>
      </w:pPr>
      <w:r w:rsidRPr="00266A9C">
        <w:rPr>
          <w:noProof/>
          <w:lang w:val="en-GB"/>
        </w:rPr>
        <w:drawing>
          <wp:inline distT="0" distB="0" distL="0" distR="0" wp14:anchorId="4843F966" wp14:editId="11C3E0DE">
            <wp:extent cx="3180080" cy="416499"/>
            <wp:effectExtent l="0" t="0" r="1270" b="3175"/>
            <wp:docPr id="138291344" name="Picture 27" descr="Un obiect dreptunghiular albastru și alb, pe care se află litera b&#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91344" name="Picture 27" descr="A blue and white rectangular object with a letter b&#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80080" cy="416499"/>
                    </a:xfrm>
                    <a:prstGeom prst="rect">
                      <a:avLst/>
                    </a:prstGeom>
                    <a:noFill/>
                    <a:ln>
                      <a:noFill/>
                    </a:ln>
                  </pic:spPr>
                </pic:pic>
              </a:graphicData>
            </a:graphic>
          </wp:inline>
        </w:drawing>
      </w:r>
    </w:p>
    <w:p w14:paraId="2CA563C2" w14:textId="12687A65" w:rsidR="009A7315" w:rsidRPr="00266A9C" w:rsidRDefault="009A7315" w:rsidP="009A7315">
      <w:pPr>
        <w:pStyle w:val="Caption"/>
        <w:rPr>
          <w:b/>
          <w:bCs/>
          <w:noProof/>
        </w:rPr>
      </w:pPr>
      <w:bookmarkStart w:id="29" w:name="_Ref210761433"/>
      <w:r w:rsidRPr="00266A9C">
        <w:rPr>
          <w:noProof/>
        </w:rPr>
        <w:t xml:space="preserve">Figura </w:t>
      </w:r>
      <w:r w:rsidR="0038701C">
        <w:rPr>
          <w:noProof/>
        </w:rPr>
        <w:fldChar w:fldCharType="begin"/>
      </w:r>
      <w:r w:rsidR="0038701C">
        <w:rPr>
          <w:noProof/>
        </w:rPr>
        <w:instrText xml:space="preserve"> SEQ Figure \* ARABIC </w:instrText>
      </w:r>
      <w:r w:rsidR="0038701C">
        <w:rPr>
          <w:noProof/>
        </w:rPr>
        <w:fldChar w:fldCharType="separate"/>
      </w:r>
      <w:r w:rsidRPr="00266A9C">
        <w:rPr>
          <w:noProof/>
        </w:rPr>
        <w:t>10</w:t>
      </w:r>
      <w:r w:rsidR="0038701C">
        <w:rPr>
          <w:noProof/>
        </w:rPr>
        <w:fldChar w:fldCharType="end"/>
      </w:r>
      <w:bookmarkEnd w:id="29"/>
      <w:r w:rsidRPr="00266A9C">
        <w:rPr>
          <w:noProof/>
        </w:rPr>
        <w:t xml:space="preserve">. </w:t>
      </w:r>
      <w:r w:rsidRPr="00266A9C">
        <w:rPr>
          <w:i w:val="0"/>
          <w:noProof/>
        </w:rPr>
        <w:t>Exemple de săgeți ale clasei, ca alternativă la afișarea etichetei complete (în cataloage, liste, oferte de vehicule pe suport de hârtie sau asociate cu „mecanismul etichetei imbricate în vânzările online”).</w:t>
      </w:r>
    </w:p>
    <w:p w14:paraId="4E504B09" w14:textId="77777777" w:rsidR="00971E00" w:rsidRPr="00266A9C" w:rsidRDefault="00971E00" w:rsidP="009A7315">
      <w:pPr>
        <w:pStyle w:val="Heading2"/>
        <w:rPr>
          <w:noProof/>
        </w:rPr>
      </w:pPr>
      <w:bookmarkStart w:id="30" w:name="_Toc213083350"/>
      <w:r w:rsidRPr="00266A9C">
        <w:rPr>
          <w:noProof/>
        </w:rPr>
        <w:t>Parametri din EPREL insuficienți pentru alegerea pneurilor</w:t>
      </w:r>
      <w:bookmarkEnd w:id="30"/>
    </w:p>
    <w:p w14:paraId="795B6AEA" w14:textId="46961E5D" w:rsidR="00971E00" w:rsidRPr="00266A9C" w:rsidRDefault="00971E00">
      <w:pPr>
        <w:spacing w:before="45"/>
        <w:rPr>
          <w:noProof/>
        </w:rPr>
      </w:pPr>
      <w:r w:rsidRPr="00266A9C">
        <w:rPr>
          <w:noProof/>
        </w:rPr>
        <w:t>Anexa III la TLR enumeră datele care trebuie încărcate în EPREL: descrierea este foarte generică, iar unii parametri esențiali nu sunt menționați, ceea ce face ca informațiile disponibile publicului să fie insuficiente pentru scenarii importante de utilizare reală</w:t>
      </w:r>
      <w:r w:rsidRPr="00266A9C">
        <w:rPr>
          <w:noProof/>
          <w:vertAlign w:val="superscript"/>
        </w:rPr>
        <w:t> (</w:t>
      </w:r>
      <w:r w:rsidRPr="00266A9C">
        <w:rPr>
          <w:rStyle w:val="FootnoteReference"/>
          <w:noProof/>
        </w:rPr>
        <w:footnoteReference w:id="42"/>
      </w:r>
      <w:r w:rsidRPr="00266A9C">
        <w:rPr>
          <w:noProof/>
          <w:vertAlign w:val="superscript"/>
        </w:rPr>
        <w:t>)</w:t>
      </w:r>
      <w:r w:rsidRPr="00266A9C">
        <w:rPr>
          <w:noProof/>
        </w:rPr>
        <w:t>. Majoritatea valorilor parametrilor care lipsesc pot fi furnizate în EPREL, dar în mod voluntar. Acest lucru limitează ușurința de utilizare a EPREL în luarea deciziilor, de exemplu de către gestionarii de parcuri auto din sectorul transportului de mărfuri</w:t>
      </w:r>
      <w:r w:rsidRPr="00266A9C">
        <w:rPr>
          <w:noProof/>
          <w:vertAlign w:val="superscript"/>
        </w:rPr>
        <w:t> (</w:t>
      </w:r>
      <w:r w:rsidRPr="00266A9C">
        <w:rPr>
          <w:rStyle w:val="FootnoteReference"/>
          <w:noProof/>
        </w:rPr>
        <w:footnoteReference w:id="43"/>
      </w:r>
      <w:r w:rsidRPr="00266A9C">
        <w:rPr>
          <w:noProof/>
          <w:vertAlign w:val="superscript"/>
        </w:rPr>
        <w:t>)</w:t>
      </w:r>
      <w:r w:rsidRPr="00266A9C">
        <w:rPr>
          <w:noProof/>
        </w:rPr>
        <w:t xml:space="preserve"> sau, din nou, în procesul de selecție al producătorilor de vehicule pentru alegerea echipamentelor originale</w:t>
      </w:r>
      <w:r w:rsidRPr="00266A9C">
        <w:rPr>
          <w:noProof/>
          <w:vertAlign w:val="superscript"/>
        </w:rPr>
        <w:t> (</w:t>
      </w:r>
      <w:r w:rsidRPr="00266A9C">
        <w:rPr>
          <w:rStyle w:val="FootnoteReference"/>
          <w:noProof/>
        </w:rPr>
        <w:footnoteReference w:id="44"/>
      </w:r>
      <w:r w:rsidRPr="00266A9C">
        <w:rPr>
          <w:noProof/>
          <w:vertAlign w:val="superscript"/>
        </w:rPr>
        <w:t>)</w:t>
      </w:r>
      <w:r w:rsidRPr="00266A9C">
        <w:rPr>
          <w:noProof/>
        </w:rPr>
        <w:t>. Înregistrarea obligatorie a tuturor parametrilor relevanți pentru decizia de cumpărare ar permite clienților să ia astfel de decizii și ar contribui la valorificarea mai eficientă a potențialului de economisire oferit de etichetă, prin utilizarea la maximum a digitalizării și a EPREL. În plus, identificarea pneurilor care îndeplinesc criteriile taxonomiei UE nu este un proces intuitiv. O funcție de filtrare dedicată poate remedia această situație.</w:t>
      </w:r>
    </w:p>
    <w:p w14:paraId="43217A42" w14:textId="77777777" w:rsidR="00971E00" w:rsidRPr="00266A9C" w:rsidRDefault="00971E00" w:rsidP="00AB212E">
      <w:pPr>
        <w:pStyle w:val="Heading2"/>
        <w:rPr>
          <w:noProof/>
        </w:rPr>
      </w:pPr>
      <w:bookmarkStart w:id="31" w:name="_Toc213083351"/>
      <w:r w:rsidRPr="00266A9C">
        <w:rPr>
          <w:noProof/>
        </w:rPr>
        <w:t>Informații insuficiente pentru efectuarea verificărilor conformității</w:t>
      </w:r>
      <w:bookmarkEnd w:id="31"/>
    </w:p>
    <w:p w14:paraId="4698026C" w14:textId="58AA7E08" w:rsidR="00971E00" w:rsidRPr="00266A9C" w:rsidRDefault="00971E00" w:rsidP="003C43CE">
      <w:pPr>
        <w:rPr>
          <w:b/>
          <w:bCs/>
          <w:noProof/>
        </w:rPr>
      </w:pPr>
      <w:r w:rsidRPr="00266A9C">
        <w:rPr>
          <w:noProof/>
        </w:rPr>
        <w:t>Anexa VI la TLR enumeră informațiile pentru secțiunea privind conformitatea a EPREL. Lista este generică și, în practică, constituie un obstacol în calea unui control eficace al conformității, în special în țările în care responsabilitatea pentru omologarea de tip și etichetarea pneurilor este separată. Alinierea formatului parametrilor care trebuie furnizați în EPREL pentru etichetarea pneurilor la cel utilizat pentru etichetarea energetică ar soluționa această problemă. Lipsa de claritate conduce, de asemenea, la interpretări divergente și la o sarcină considerabilă pentru ASP-uri, care trebuie să solicite documentația de la furnizor, în loc să o găsească în EPREL. Întrucât fiecare membru al unei familii de pneuri trebuie, în principiu, să fie supus încercărilor, cu excepția cazului în care clasa indicată pe etichetă corespunde „celui mai pesimist” scenariu, disponibilitatea rapoartelor de încercare ar face posibilă simplificarea activității de control al conformității, reducând costurile și sarcina administrativă pentru statele membre.</w:t>
      </w:r>
    </w:p>
    <w:p w14:paraId="50A1CC10" w14:textId="5C3D57FB" w:rsidR="00971E00" w:rsidRPr="00266A9C" w:rsidRDefault="00D54E50" w:rsidP="003C43CE">
      <w:pPr>
        <w:pStyle w:val="Heading2"/>
        <w:rPr>
          <w:noProof/>
        </w:rPr>
      </w:pPr>
      <w:bookmarkStart w:id="32" w:name="_Toc213083352"/>
      <w:bookmarkStart w:id="33" w:name="_Toc211189619"/>
      <w:bookmarkEnd w:id="27"/>
      <w:r w:rsidRPr="00266A9C">
        <w:rPr>
          <w:noProof/>
        </w:rPr>
        <w:t>Separare limitată în clasele de performanță</w:t>
      </w:r>
      <w:bookmarkEnd w:id="32"/>
      <w:bookmarkEnd w:id="33"/>
    </w:p>
    <w:p w14:paraId="6A1E720E" w14:textId="6B402E5A" w:rsidR="00971E00" w:rsidRPr="00266A9C" w:rsidRDefault="00971E00" w:rsidP="003C43CE">
      <w:pPr>
        <w:rPr>
          <w:noProof/>
        </w:rPr>
      </w:pPr>
      <w:r w:rsidRPr="00266A9C">
        <w:rPr>
          <w:noProof/>
        </w:rPr>
        <w:t>Pragurile de performanță a pneurilor sunt stabilite în regulamentele CEE-ONU. Acestea sunt revizuite și actualizate periodic. În general, cerințele actualizate se aplică mai întâi noilor tipuri de pneuri, omologate de tip după intrarea în vigoare a limitelor și, ulterior, tipurilor existente.</w:t>
      </w:r>
    </w:p>
    <w:p w14:paraId="2D0A60AC" w14:textId="16379A0A" w:rsidR="00971E00" w:rsidRPr="00266A9C" w:rsidRDefault="00971E00" w:rsidP="003C43CE">
      <w:pPr>
        <w:rPr>
          <w:noProof/>
        </w:rPr>
      </w:pPr>
      <w:r w:rsidRPr="00266A9C">
        <w:rPr>
          <w:noProof/>
        </w:rPr>
        <w:t xml:space="preserve">Progresul tehnologic a permis stabilirea unor cerințe mai stricte în legislația privind omologarea de tip, ceea ce a dus la interzicerea pneurilor din clasele cu cele mai slabe performanțe. Cu toate acestea, revizuirea TLR nu a inclus nicio reclasificare sau ajustare a claselor. Prin urmare, toate pneurile se încadrează în prezent doar în trei sau patru clase de rezistență la rulare și aderență pe teren umed. Această gamă redusă scade interesul clienților față de eticheta pneurilor și reduce motivația furnizorului de a inova pentru a-și diferenția produsele de cele ale concurenților. Până la o reclasificare viitoare, această problemă ar putea fi atenuată prin obligarea furnizorilor să introducă, în secțiunea publică a EPREL, CRR și indicele de aderență pe teren umed (WGI – </w:t>
      </w:r>
      <w:r w:rsidRPr="00266A9C">
        <w:rPr>
          <w:i/>
          <w:noProof/>
        </w:rPr>
        <w:t>wet grip index</w:t>
      </w:r>
      <w:r w:rsidRPr="00266A9C">
        <w:rPr>
          <w:noProof/>
        </w:rPr>
        <w:t>) măsurați sau estimați pentru calificarea clasei, astfel cum se impune deja în cazul zgomotului</w:t>
      </w:r>
      <w:r w:rsidRPr="00266A9C">
        <w:rPr>
          <w:noProof/>
          <w:vertAlign w:val="superscript"/>
        </w:rPr>
        <w:t> (</w:t>
      </w:r>
      <w:r w:rsidRPr="00266A9C">
        <w:rPr>
          <w:rStyle w:val="FootnoteReference"/>
          <w:noProof/>
        </w:rPr>
        <w:footnoteReference w:id="45"/>
      </w:r>
      <w:r w:rsidRPr="00266A9C">
        <w:rPr>
          <w:noProof/>
          <w:vertAlign w:val="superscript"/>
        </w:rPr>
        <w:t>)</w:t>
      </w:r>
      <w:r w:rsidRPr="00266A9C">
        <w:rPr>
          <w:noProof/>
        </w:rPr>
        <w:t>, permițând astfel cumpărătorilor profesioniști și altor utilizatori interesați să facă distincția între produsele dintr-o clasă folosind EPREL.</w:t>
      </w:r>
    </w:p>
    <w:p w14:paraId="022B7B4F" w14:textId="6E1D3331" w:rsidR="00971E00" w:rsidRPr="00266A9C" w:rsidRDefault="00971E00" w:rsidP="00AB212E">
      <w:pPr>
        <w:pStyle w:val="Heading1"/>
        <w:rPr>
          <w:noProof/>
        </w:rPr>
      </w:pPr>
      <w:r w:rsidRPr="00266A9C">
        <w:rPr>
          <w:noProof/>
        </w:rPr>
        <w:t>Concluzie</w:t>
      </w:r>
    </w:p>
    <w:p w14:paraId="0764DB9D" w14:textId="23F5D72C" w:rsidR="002A0EB2" w:rsidRPr="00266A9C" w:rsidRDefault="00971E00" w:rsidP="002A0EB2">
      <w:pPr>
        <w:rPr>
          <w:noProof/>
        </w:rPr>
      </w:pPr>
      <w:r w:rsidRPr="00266A9C">
        <w:rPr>
          <w:noProof/>
        </w:rPr>
        <w:t>TLR revizuit a determinat îmbunătățiri măsurabile ale performanței pneurilor, în special o reducere cu 5,1 % a rezistenței la rulare și o îmbunătățire cu 2,4 % a aderenței pe teren umed pentru pneurile C1 începând din 2021, în comparație cu tendințele scenariului de statu-quo. Tendințe similare au fost constatate pentru pneurile C2 și C3. Pentru acestea din urmă, îmbunătățirea rezistenței la rulare a fost chiar de 7,3 %.</w:t>
      </w:r>
      <w:r w:rsidR="00846830" w:rsidRPr="00266A9C">
        <w:rPr>
          <w:noProof/>
        </w:rPr>
        <w:t xml:space="preserve"> </w:t>
      </w:r>
      <w:r w:rsidRPr="00266A9C">
        <w:rPr>
          <w:noProof/>
        </w:rPr>
        <w:t>Astfel, piața s-a orientat către pneuri mai performante, existând în prezent mai multe modele care obțin calificative maxime (A) la toți parametrii.</w:t>
      </w:r>
    </w:p>
    <w:p w14:paraId="20B813BE" w14:textId="1201D485" w:rsidR="002A0EB2" w:rsidRPr="00266A9C" w:rsidRDefault="00971E00" w:rsidP="002A0EB2">
      <w:pPr>
        <w:rPr>
          <w:noProof/>
        </w:rPr>
      </w:pPr>
      <w:r w:rsidRPr="00266A9C">
        <w:rPr>
          <w:noProof/>
        </w:rPr>
        <w:t>Cu toate acestea, gradul de informare a consumatorilor cu privire la etichetă și încrederea lor în aceasta rămân limitate, în parte din cauza aplicării inconsecvente a normelor și a faptului că se bazează pe o declarație pe propria răspundere. Supravegherea pieței nu a părut o prioritate pentru statele membre, aceasta necesită cunoștințe de specialitate și instrumente specializate, este dificil de realizat și, atunci când este efectuată, relevă rate ridicate de neconformitate. Acest lucru evidențiază necesitatea de a consolida coordonarea, resursele și cunoștințele de specialitate atât la nivel național, cât și la nivelul UE. Deși verificările și încercările efectuate de părți terțe ar putea atenua unele dintre deficiențele actuale în ceea ce privește supravegherea pieței, acest lucru ar presupune costuri semnificative. Exercițiul actual de aliniere a mașinilor de încercare este greoi, iar exercițiul bianual este împovărător: un singur laborator de referință, gestionat eventual de Comisie (JRC), poate simplifica procesul și poate asigura o stabilitate sporită, costurile fiind recuperate prin furnizarea directă de servicii de aliniere. Mașinile ar putea fi utilizate pentru încercări atât în ceea ce privește etichetarea, cât și conformitatea cu R.117.</w:t>
      </w:r>
    </w:p>
    <w:p w14:paraId="2838DE5F" w14:textId="54EB0BDA" w:rsidR="00971E00" w:rsidRPr="00266A9C" w:rsidRDefault="00971E00" w:rsidP="002A0EB2">
      <w:pPr>
        <w:rPr>
          <w:noProof/>
        </w:rPr>
      </w:pPr>
      <w:r w:rsidRPr="00266A9C">
        <w:rPr>
          <w:noProof/>
        </w:rPr>
        <w:t>EPREL este un instrument valoros, dar lipsa unor cerințe obligatorii privind completarea câmpurilor de date relevante limitează ușurința de utilizare a acestuia pentru consumatori, gestionarii de parcuri auto și achizitori. Între timp, progresele înregistrate în ceea ce privește etichetarea referitoare la abraziune și kilometraj sunt întârziate de absența unor metode de încercare standardizate, deși lucrările în curs din cadrul CEE-ONU ar putea oferi soluții până în 2027.</w:t>
      </w:r>
    </w:p>
    <w:p w14:paraId="5CE649CF" w14:textId="6E984420" w:rsidR="002A0EB2" w:rsidRPr="00266A9C" w:rsidRDefault="002A0EB2" w:rsidP="002A0EB2">
      <w:pPr>
        <w:rPr>
          <w:noProof/>
        </w:rPr>
      </w:pPr>
      <w:r w:rsidRPr="00266A9C">
        <w:rPr>
          <w:noProof/>
        </w:rPr>
        <w:t>În cele din urmă, punerea în aplicare a TLR a evidențiat deficiențe suplimentare, inclusiv lipsa unei definiții a mecanismului de etichetare „imbricat”. Aglomerarea modelelor de pneuri în cele mai bune trei clase în ceea ce privește rezistența la rulare și, în special, aderența pe teren umed, precum și în două clase de performanță în ceea ce privește emisiile acustice diminuează interesul clienților față de eticheta pneurilor.</w:t>
      </w:r>
    </w:p>
    <w:p w14:paraId="41216E16" w14:textId="54CCF2BD" w:rsidR="000977F8" w:rsidRPr="00266A9C" w:rsidRDefault="002A0EB2" w:rsidP="002A0EB2">
      <w:pPr>
        <w:rPr>
          <w:noProof/>
        </w:rPr>
      </w:pPr>
      <w:r w:rsidRPr="00266A9C">
        <w:rPr>
          <w:noProof/>
        </w:rPr>
        <w:t>Modificările din propunerea omnibus prezentată în paralel cu prezentul raport vizează remedierea mai eficientă a unora dintre diferitele deficiențe, simplificând în același timp, acolo unde este posibil, respectarea normelor de către furnizori și comercianții cu amănuntul. În același timp, anumite aspecte (cum ar fi cele legate de kilometraj, abraziune, reșapare, alinierea mașinilor de încercare și încercările de verificare a conformității) pot fi abordate numai atunci când lucrările pregătitoare suplimentare au avansat.</w:t>
      </w:r>
    </w:p>
    <w:sectPr w:rsidR="000977F8" w:rsidRPr="00266A9C" w:rsidSect="009A7315">
      <w:headerReference w:type="even" r:id="rId36"/>
      <w:headerReference w:type="default" r:id="rId37"/>
      <w:footerReference w:type="even" r:id="rId38"/>
      <w:footerReference w:type="default" r:id="rId39"/>
      <w:headerReference w:type="first" r:id="rId40"/>
      <w:footerReference w:type="first" r:id="rId41"/>
      <w:endnotePr>
        <w:numFmt w:val="lowerLetter"/>
      </w:endnotePr>
      <w:pgSz w:w="11906" w:h="16838"/>
      <w:pgMar w:top="1020" w:right="1701" w:bottom="1020" w:left="1587" w:header="600" w:footer="60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BDA5D" w14:textId="77777777" w:rsidR="000E584F" w:rsidRPr="00266A9C" w:rsidRDefault="000E584F">
      <w:pPr>
        <w:spacing w:after="0"/>
      </w:pPr>
      <w:r w:rsidRPr="00266A9C">
        <w:separator/>
      </w:r>
    </w:p>
  </w:endnote>
  <w:endnote w:type="continuationSeparator" w:id="0">
    <w:p w14:paraId="2012C3E9" w14:textId="77777777" w:rsidR="000E584F" w:rsidRPr="00266A9C" w:rsidRDefault="000E584F">
      <w:pPr>
        <w:spacing w:after="0"/>
      </w:pPr>
      <w:r w:rsidRPr="00266A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altName w:val="Times New Roman"/>
    <w:panose1 w:val="02020803070505020304"/>
    <w:charset w:val="00"/>
    <w:family w:val="roman"/>
    <w:notTrueType/>
    <w:pitch w:val="default"/>
  </w:font>
  <w:font w:name="Aptos">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ptos Narrow">
    <w:altName w:val="Arial"/>
    <w:charset w:val="00"/>
    <w:family w:val="swiss"/>
    <w:pitch w:val="variable"/>
    <w:sig w:usb0="00000001" w:usb1="00000003" w:usb2="00000000" w:usb3="00000000" w:csb0="000001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2C078" w14:textId="5233FBAB" w:rsidR="0038701C" w:rsidRPr="0038701C" w:rsidRDefault="0038701C" w:rsidP="0038701C">
    <w:pPr>
      <w:pStyle w:val="FooterCoverPage"/>
      <w:rPr>
        <w:rFonts w:ascii="Arial" w:hAnsi="Arial" w:cs="Arial"/>
        <w:b/>
        <w:sz w:val="48"/>
      </w:rPr>
    </w:pPr>
    <w:r w:rsidRPr="0038701C">
      <w:rPr>
        <w:rFonts w:ascii="Arial" w:hAnsi="Arial" w:cs="Arial"/>
        <w:b/>
        <w:sz w:val="48"/>
      </w:rPr>
      <w:t>RO</w:t>
    </w:r>
    <w:r w:rsidRPr="0038701C">
      <w:rPr>
        <w:rFonts w:ascii="Arial" w:hAnsi="Arial" w:cs="Arial"/>
        <w:b/>
        <w:sz w:val="48"/>
      </w:rPr>
      <w:tab/>
    </w:r>
    <w:r w:rsidRPr="0038701C">
      <w:rPr>
        <w:rFonts w:ascii="Arial" w:hAnsi="Arial" w:cs="Arial"/>
        <w:b/>
        <w:sz w:val="48"/>
      </w:rPr>
      <w:tab/>
    </w:r>
    <w:r w:rsidRPr="0038701C">
      <w:tab/>
    </w:r>
    <w:r w:rsidRPr="0038701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BCF0B" w14:textId="473D5DE0" w:rsidR="0038701C" w:rsidRPr="0038701C" w:rsidRDefault="0038701C" w:rsidP="0038701C">
    <w:pPr>
      <w:pStyle w:val="FooterCoverPage"/>
      <w:rPr>
        <w:rFonts w:ascii="Arial" w:hAnsi="Arial" w:cs="Arial"/>
        <w:b/>
        <w:sz w:val="48"/>
      </w:rPr>
    </w:pPr>
    <w:r w:rsidRPr="0038701C">
      <w:rPr>
        <w:rFonts w:ascii="Arial" w:hAnsi="Arial" w:cs="Arial"/>
        <w:b/>
        <w:sz w:val="48"/>
      </w:rPr>
      <w:t>RO</w:t>
    </w:r>
    <w:r w:rsidRPr="0038701C">
      <w:rPr>
        <w:rFonts w:ascii="Arial" w:hAnsi="Arial" w:cs="Arial"/>
        <w:b/>
        <w:sz w:val="48"/>
      </w:rPr>
      <w:tab/>
    </w:r>
    <w:r w:rsidRPr="0038701C">
      <w:rPr>
        <w:rFonts w:ascii="Arial" w:hAnsi="Arial" w:cs="Arial"/>
        <w:b/>
        <w:sz w:val="48"/>
      </w:rPr>
      <w:tab/>
    </w:r>
    <w:r w:rsidRPr="0038701C">
      <w:tab/>
    </w:r>
    <w:r w:rsidRPr="0038701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5203A" w14:textId="77777777" w:rsidR="0038701C" w:rsidRPr="0038701C" w:rsidRDefault="0038701C" w:rsidP="0038701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57283" w14:textId="77777777" w:rsidR="008D6BC5" w:rsidRPr="00266A9C" w:rsidRDefault="008D6B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496493"/>
      <w:docPartObj>
        <w:docPartGallery w:val="Page Numbers (Bottom of Page)"/>
        <w:docPartUnique/>
      </w:docPartObj>
    </w:sdtPr>
    <w:sdtEndPr/>
    <w:sdtContent>
      <w:p w14:paraId="32555BB0" w14:textId="0A9AE5F9" w:rsidR="00C50D24" w:rsidRPr="00266A9C" w:rsidRDefault="00C50D24">
        <w:pPr>
          <w:pStyle w:val="Footer"/>
          <w:jc w:val="center"/>
        </w:pPr>
        <w:r w:rsidRPr="00266A9C">
          <w:fldChar w:fldCharType="begin"/>
        </w:r>
        <w:r w:rsidRPr="00266A9C">
          <w:instrText xml:space="preserve"> PAGE   \* MERGEFORMAT </w:instrText>
        </w:r>
        <w:r w:rsidRPr="00266A9C">
          <w:fldChar w:fldCharType="separate"/>
        </w:r>
        <w:r w:rsidR="0038701C">
          <w:rPr>
            <w:noProof/>
          </w:rPr>
          <w:t>4</w:t>
        </w:r>
        <w:r w:rsidRPr="00266A9C">
          <w:fldChar w:fldCharType="end"/>
        </w:r>
      </w:p>
    </w:sdtContent>
  </w:sdt>
  <w:p w14:paraId="02480EAC" w14:textId="77777777" w:rsidR="008D6BC5" w:rsidRPr="00266A9C" w:rsidRDefault="008D6B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933BE" w14:textId="77777777" w:rsidR="008D6BC5" w:rsidRPr="00266A9C" w:rsidRDefault="008D6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7DDF2" w14:textId="77777777" w:rsidR="000E584F" w:rsidRPr="00266A9C" w:rsidRDefault="000E584F">
      <w:pPr>
        <w:spacing w:after="0"/>
      </w:pPr>
      <w:r w:rsidRPr="00266A9C">
        <w:separator/>
      </w:r>
    </w:p>
  </w:footnote>
  <w:footnote w:type="continuationSeparator" w:id="0">
    <w:p w14:paraId="3180516C" w14:textId="77777777" w:rsidR="000E584F" w:rsidRPr="00266A9C" w:rsidRDefault="000E584F">
      <w:pPr>
        <w:spacing w:after="0"/>
      </w:pPr>
      <w:r w:rsidRPr="00266A9C">
        <w:continuationSeparator/>
      </w:r>
    </w:p>
  </w:footnote>
  <w:footnote w:id="1">
    <w:p w14:paraId="7E467A84" w14:textId="068A45AD" w:rsidR="008910CB" w:rsidRPr="00266A9C" w:rsidRDefault="008910CB" w:rsidP="00653373">
      <w:pPr>
        <w:pStyle w:val="FootnoteText"/>
        <w:spacing w:after="80"/>
      </w:pPr>
      <w:r w:rsidRPr="00266A9C">
        <w:t>(</w:t>
      </w:r>
      <w:r w:rsidRPr="00266A9C">
        <w:rPr>
          <w:rStyle w:val="FootnoteReference"/>
        </w:rPr>
        <w:footnoteRef/>
      </w:r>
      <w:r w:rsidRPr="00266A9C">
        <w:t>)</w:t>
      </w:r>
      <w:r w:rsidRPr="00266A9C">
        <w:tab/>
        <w:t>76/494/CEE: Recomandarea Consiliului din 4 mai 1976 privind utilizarea rațională, prin intermediul unor obiceiuri de conducere mai bune, a energiei consumate de vehiculele rutiere, JO L 140, 28.5.1976 P. 0014-0015.</w:t>
      </w:r>
    </w:p>
  </w:footnote>
  <w:footnote w:id="2">
    <w:p w14:paraId="789420F7" w14:textId="019FB9B8" w:rsidR="009005AD" w:rsidRPr="00266A9C" w:rsidRDefault="009005AD" w:rsidP="00653373">
      <w:pPr>
        <w:pStyle w:val="FootnoteText"/>
        <w:spacing w:after="80"/>
      </w:pPr>
      <w:r w:rsidRPr="00266A9C">
        <w:t>(</w:t>
      </w:r>
      <w:r w:rsidRPr="00266A9C">
        <w:rPr>
          <w:rStyle w:val="FootnoteReference"/>
        </w:rPr>
        <w:footnoteRef/>
      </w:r>
      <w:r w:rsidRPr="00266A9C">
        <w:t>)</w:t>
      </w:r>
      <w:r w:rsidRPr="00266A9C">
        <w:tab/>
        <w:t>Zacharof, N., Fontaras, G., Ciuffo, B., Tsiakmakis, S. et al. „Review of in use factors affecting the fuel consumption and CO</w:t>
      </w:r>
      <w:r w:rsidRPr="00266A9C">
        <w:rPr>
          <w:vertAlign w:val="subscript"/>
        </w:rPr>
        <w:t>2</w:t>
      </w:r>
      <w:r w:rsidRPr="00266A9C">
        <w:t xml:space="preserve"> emissions of passenger cars” (Revizuirea factorilor specifici condițiilor reale de conducere care influențează consumul de combustibil și emisiile de CO</w:t>
      </w:r>
      <w:r w:rsidRPr="00266A9C">
        <w:rPr>
          <w:vertAlign w:val="subscript"/>
        </w:rPr>
        <w:t>2</w:t>
      </w:r>
      <w:r w:rsidRPr="00266A9C">
        <w:t xml:space="preserve"> ale autoturismelor); Centrul Comun de Cercetare, 2016.</w:t>
      </w:r>
    </w:p>
  </w:footnote>
  <w:footnote w:id="3">
    <w:p w14:paraId="6939485A" w14:textId="77777777" w:rsidR="00AE7290" w:rsidRPr="00266A9C" w:rsidRDefault="00AE7290" w:rsidP="00653373">
      <w:pPr>
        <w:pStyle w:val="FootnoteText"/>
        <w:spacing w:after="80"/>
      </w:pPr>
      <w:r w:rsidRPr="00266A9C">
        <w:t>(</w:t>
      </w:r>
      <w:r w:rsidRPr="00266A9C">
        <w:rPr>
          <w:rStyle w:val="FootnoteReference"/>
        </w:rPr>
        <w:footnoteRef/>
      </w:r>
      <w:r w:rsidRPr="00266A9C">
        <w:t>)</w:t>
      </w:r>
      <w:r w:rsidRPr="00266A9C">
        <w:tab/>
        <w:t xml:space="preserve">Hyttinen, Jukka et al. „Effect of Ambient and Tyre Temperature on Truck Tyre Rolling Resistance, International Journal of Automotive Technology” (Efectul temperaturii ambiante și al temperaturii pneurilor asupra rezistenței la rulare a pneurilor camioanelor), International Journal of Automotive Technology, noiembrie 2022. </w:t>
      </w:r>
    </w:p>
  </w:footnote>
  <w:footnote w:id="4">
    <w:p w14:paraId="39A88B80" w14:textId="533C471A" w:rsidR="00971E00" w:rsidRPr="00266A9C" w:rsidRDefault="00971E00" w:rsidP="00653373">
      <w:pPr>
        <w:pStyle w:val="FootnoteText"/>
        <w:spacing w:after="80"/>
      </w:pPr>
      <w:r w:rsidRPr="00266A9C">
        <w:t>(</w:t>
      </w:r>
      <w:r w:rsidRPr="00266A9C">
        <w:rPr>
          <w:rStyle w:val="FootnoteReference"/>
        </w:rPr>
        <w:footnoteRef/>
      </w:r>
      <w:r w:rsidRPr="00266A9C">
        <w:t>)</w:t>
      </w:r>
      <w:r w:rsidRPr="00266A9C">
        <w:tab/>
        <w:t>Pneurile vehiculelor de teren, ale celor utilizate în construcții, agricultură sau ale vehiculelor cu două și trei roți nu intră în domeniul de aplicare, deoarece aspectele legate de eficiența consumului de combustibil sau de siguranță nu ar fi relevante.</w:t>
      </w:r>
    </w:p>
  </w:footnote>
  <w:footnote w:id="5">
    <w:p w14:paraId="574510AD" w14:textId="4A808018" w:rsidR="00423C71" w:rsidRPr="00266A9C" w:rsidRDefault="00423C71" w:rsidP="00653373">
      <w:pPr>
        <w:pStyle w:val="FootnoteText"/>
        <w:spacing w:after="80"/>
      </w:pPr>
      <w:r w:rsidRPr="00266A9C">
        <w:t>(</w:t>
      </w:r>
      <w:r w:rsidRPr="00266A9C">
        <w:rPr>
          <w:rStyle w:val="FootnoteReference"/>
        </w:rPr>
        <w:footnoteRef/>
      </w:r>
      <w:r w:rsidRPr="00266A9C">
        <w:t>)</w:t>
      </w:r>
      <w:r w:rsidRPr="00266A9C">
        <w:tab/>
        <w:t>COM(2025) 187 final.</w:t>
      </w:r>
    </w:p>
  </w:footnote>
  <w:footnote w:id="6">
    <w:p w14:paraId="2B46D1BC" w14:textId="3EBEF5C8" w:rsidR="00A83CED" w:rsidRPr="00266A9C" w:rsidRDefault="00A83CED" w:rsidP="00A83CED">
      <w:pPr>
        <w:pStyle w:val="FootnoteText"/>
      </w:pPr>
      <w:r w:rsidRPr="00266A9C">
        <w:t>(</w:t>
      </w:r>
      <w:r w:rsidRPr="00266A9C">
        <w:rPr>
          <w:rStyle w:val="FootnoteReference"/>
        </w:rPr>
        <w:footnoteRef/>
      </w:r>
      <w:r w:rsidRPr="00266A9C">
        <w:t>)</w:t>
      </w:r>
      <w:r w:rsidRPr="00266A9C">
        <w:tab/>
      </w:r>
      <w:hyperlink r:id="rId1" w:history="1">
        <w:r w:rsidRPr="00266A9C">
          <w:rPr>
            <w:rStyle w:val="Hyperlink"/>
          </w:rPr>
          <w:t>https://eprel.ec.europa.eu/</w:t>
        </w:r>
      </w:hyperlink>
      <w:r w:rsidRPr="00266A9C">
        <w:t>.</w:t>
      </w:r>
    </w:p>
  </w:footnote>
  <w:footnote w:id="7">
    <w:p w14:paraId="57CFE8F6" w14:textId="3EE7C40F" w:rsidR="007544AA" w:rsidRPr="00266A9C" w:rsidRDefault="007544AA" w:rsidP="00101DD3">
      <w:pPr>
        <w:pStyle w:val="FootnoteText"/>
        <w:keepLines/>
      </w:pPr>
      <w:r w:rsidRPr="00266A9C">
        <w:t>(</w:t>
      </w:r>
      <w:r w:rsidRPr="00266A9C">
        <w:rPr>
          <w:rStyle w:val="FootnoteReference"/>
        </w:rPr>
        <w:footnoteRef/>
      </w:r>
      <w:r w:rsidRPr="00266A9C">
        <w:t>)</w:t>
      </w:r>
      <w:r w:rsidRPr="00266A9C">
        <w:tab/>
      </w:r>
      <w:hyperlink r:id="rId2" w:history="1">
        <w:r w:rsidRPr="00266A9C">
          <w:rPr>
            <w:rStyle w:val="Hyperlink"/>
          </w:rPr>
          <w:t>Study on consumer understanding of the EU tyre label applied since 1 May 2021</w:t>
        </w:r>
      </w:hyperlink>
      <w:r w:rsidRPr="00266A9C">
        <w:t xml:space="preserve"> (Studiu privind înțelegerea de către consumatori a etichetei UE pentru pneuri aplicate începând cu 1 mai 2021).</w:t>
      </w:r>
    </w:p>
  </w:footnote>
  <w:footnote w:id="8">
    <w:p w14:paraId="064EB27F" w14:textId="5C595B73" w:rsidR="00204326" w:rsidRPr="00266A9C" w:rsidRDefault="00204326" w:rsidP="00204326">
      <w:pPr>
        <w:pStyle w:val="FootnoteText"/>
      </w:pPr>
      <w:r w:rsidRPr="00266A9C">
        <w:t>(</w:t>
      </w:r>
      <w:r w:rsidRPr="00266A9C">
        <w:rPr>
          <w:rStyle w:val="FootnoteReference"/>
        </w:rPr>
        <w:footnoteRef/>
      </w:r>
      <w:r w:rsidRPr="00266A9C">
        <w:t>)</w:t>
      </w:r>
      <w:r w:rsidRPr="00266A9C">
        <w:tab/>
      </w:r>
      <w:hyperlink r:id="rId3" w:history="1">
        <w:r w:rsidRPr="00266A9C">
          <w:rPr>
            <w:color w:val="0000FF"/>
            <w:u w:val="single"/>
          </w:rPr>
          <w:t>Lista grupurilor de cooperare administrativă</w:t>
        </w:r>
      </w:hyperlink>
      <w:r w:rsidRPr="00266A9C">
        <w:t>.</w:t>
      </w:r>
    </w:p>
  </w:footnote>
  <w:footnote w:id="9">
    <w:p w14:paraId="0F8A8421" w14:textId="6F7C9578" w:rsidR="003938FF" w:rsidRPr="00266A9C" w:rsidRDefault="003938FF">
      <w:pPr>
        <w:pStyle w:val="FootnoteText"/>
      </w:pPr>
      <w:r w:rsidRPr="00266A9C">
        <w:t>(</w:t>
      </w:r>
      <w:r w:rsidRPr="00266A9C">
        <w:rPr>
          <w:rStyle w:val="FootnoteReference"/>
        </w:rPr>
        <w:footnoteRef/>
      </w:r>
      <w:r w:rsidRPr="00266A9C">
        <w:t>)</w:t>
      </w:r>
      <w:r w:rsidRPr="00266A9C">
        <w:tab/>
      </w:r>
      <w:hyperlink r:id="rId4" w:history="1">
        <w:r w:rsidRPr="00266A9C">
          <w:rPr>
            <w:rStyle w:val="Hyperlink"/>
          </w:rPr>
          <w:t>https://ec.europa.eu/transparency/expert-groups-register/screen/expert-groups/consult?lang=en&amp;groupID=2519</w:t>
        </w:r>
      </w:hyperlink>
      <w:r w:rsidRPr="00266A9C">
        <w:t>.</w:t>
      </w:r>
    </w:p>
  </w:footnote>
  <w:footnote w:id="10">
    <w:p w14:paraId="0741A67C" w14:textId="4C340B4F" w:rsidR="00204326" w:rsidRPr="00266A9C" w:rsidRDefault="00204326" w:rsidP="00204326">
      <w:pPr>
        <w:pStyle w:val="FootnoteText"/>
      </w:pPr>
      <w:r w:rsidRPr="00266A9C">
        <w:t>(</w:t>
      </w:r>
      <w:r w:rsidRPr="00266A9C">
        <w:rPr>
          <w:rStyle w:val="FootnoteReference"/>
        </w:rPr>
        <w:footnoteRef/>
      </w:r>
      <w:r w:rsidRPr="00266A9C">
        <w:t>)</w:t>
      </w:r>
      <w:r w:rsidR="006A4AA8" w:rsidRPr="00266A9C">
        <w:tab/>
      </w:r>
      <w:hyperlink r:id="rId5">
        <w:r w:rsidRPr="00266A9C">
          <w:rPr>
            <w:rStyle w:val="Hyperlink"/>
          </w:rPr>
          <w:t>ICSMS</w:t>
        </w:r>
      </w:hyperlink>
      <w:r w:rsidRPr="00266A9C">
        <w:t>.</w:t>
      </w:r>
    </w:p>
  </w:footnote>
  <w:footnote w:id="11">
    <w:p w14:paraId="2F30159C" w14:textId="03A2C486" w:rsidR="00971E00" w:rsidRPr="00266A9C" w:rsidRDefault="00971E00">
      <w:pPr>
        <w:pStyle w:val="FootnoteText"/>
      </w:pPr>
      <w:r w:rsidRPr="00266A9C">
        <w:t>(</w:t>
      </w:r>
      <w:r w:rsidRPr="00266A9C">
        <w:rPr>
          <w:rStyle w:val="FootnoteReference"/>
        </w:rPr>
        <w:footnoteRef/>
      </w:r>
      <w:r w:rsidRPr="00266A9C">
        <w:t>)</w:t>
      </w:r>
      <w:r w:rsidRPr="00266A9C">
        <w:tab/>
      </w:r>
      <w:hyperlink r:id="rId6" w:history="1">
        <w:r w:rsidRPr="00266A9C">
          <w:rPr>
            <w:rStyle w:val="Hyperlink"/>
          </w:rPr>
          <w:t>https://ec.europa.eu/info/law/better-regulation/have-your-say/initiatives/1460-Evaluation-and-potential-revision-of-the-EU-tyre-labelling-scheme_en</w:t>
        </w:r>
      </w:hyperlink>
      <w:r w:rsidRPr="00266A9C">
        <w:t>.</w:t>
      </w:r>
    </w:p>
  </w:footnote>
  <w:footnote w:id="12">
    <w:p w14:paraId="62B9C6C1" w14:textId="1659EE99" w:rsidR="00971E00" w:rsidRPr="00266A9C" w:rsidRDefault="00971E00">
      <w:pPr>
        <w:pStyle w:val="FootnoteText"/>
      </w:pPr>
      <w:r w:rsidRPr="00266A9C">
        <w:t>(</w:t>
      </w:r>
      <w:r w:rsidRPr="00266A9C">
        <w:rPr>
          <w:rStyle w:val="FootnoteReference"/>
        </w:rPr>
        <w:footnoteRef/>
      </w:r>
      <w:r w:rsidRPr="00266A9C">
        <w:t>)</w:t>
      </w:r>
      <w:r w:rsidRPr="00266A9C">
        <w:tab/>
        <w:t>Nu fusese stabilită nicio clasă goală pentru pneurile C3 care, oricum, nu erau supuse obligației de a purta o etichetă sub formă de autocolant.</w:t>
      </w:r>
    </w:p>
  </w:footnote>
  <w:footnote w:id="13">
    <w:p w14:paraId="0C0AC617" w14:textId="1323139D" w:rsidR="00971E00" w:rsidRPr="00266A9C" w:rsidRDefault="00971E00">
      <w:pPr>
        <w:pStyle w:val="FootnoteText"/>
      </w:pPr>
      <w:r w:rsidRPr="00266A9C">
        <w:t>(</w:t>
      </w:r>
      <w:r w:rsidRPr="00266A9C">
        <w:rPr>
          <w:rStyle w:val="FootnoteReference"/>
        </w:rPr>
        <w:footnoteRef/>
      </w:r>
      <w:r w:rsidRPr="00266A9C">
        <w:t>)</w:t>
      </w:r>
      <w:r w:rsidRPr="00266A9C">
        <w:tab/>
        <w:t>Nu este indicată nicio calificare de clasă pentru aderența pe zăpadă și gheață, deoarece metoda de încercare (frânarea pe un drum acoperit cu zăpadă sau gheață) nu oferă rezultate suficient de precise și repetabile.</w:t>
      </w:r>
    </w:p>
  </w:footnote>
  <w:footnote w:id="14">
    <w:p w14:paraId="17C18876" w14:textId="43B43212" w:rsidR="00BD61DF" w:rsidRPr="00266A9C" w:rsidRDefault="00BD61DF" w:rsidP="00BD61DF">
      <w:pPr>
        <w:pStyle w:val="FootnoteText"/>
      </w:pPr>
      <w:r w:rsidRPr="00266A9C">
        <w:t>(</w:t>
      </w:r>
      <w:r w:rsidRPr="00266A9C">
        <w:rPr>
          <w:rStyle w:val="FootnoteReference"/>
        </w:rPr>
        <w:footnoteRef/>
      </w:r>
      <w:r w:rsidRPr="00266A9C">
        <w:t>)</w:t>
      </w:r>
      <w:r w:rsidRPr="00266A9C">
        <w:tab/>
        <w:t>Acest lucru nu este surprinzător, confirmând faptul că decizia de cumpărare este influențată de aspecte care se pot traduce prin economii financiare sau printr-un nivel sporit de siguranță.</w:t>
      </w:r>
    </w:p>
  </w:footnote>
  <w:footnote w:id="15">
    <w:p w14:paraId="769CD74D" w14:textId="1DA0AC66" w:rsidR="00BD61DF" w:rsidRPr="00266A9C" w:rsidRDefault="00BD61DF" w:rsidP="00BD61DF">
      <w:pPr>
        <w:pStyle w:val="FootnoteText"/>
        <w:rPr>
          <w:i/>
          <w:iCs/>
        </w:rPr>
      </w:pPr>
      <w:r w:rsidRPr="00266A9C">
        <w:t>(</w:t>
      </w:r>
      <w:r w:rsidRPr="00266A9C">
        <w:rPr>
          <w:rStyle w:val="FootnoteReference"/>
        </w:rPr>
        <w:footnoteRef/>
      </w:r>
      <w:r w:rsidRPr="00266A9C">
        <w:t>)</w:t>
      </w:r>
      <w:r w:rsidRPr="00266A9C">
        <w:tab/>
        <w:t xml:space="preserve">„Study assessing consumer understanding of tyre labels” (Studiu de evaluare a înțelegerii de către consumatori a etichetelor pneurilor), </w:t>
      </w:r>
      <w:hyperlink r:id="rId7" w:history="1">
        <w:r w:rsidRPr="00266A9C">
          <w:rPr>
            <w:rStyle w:val="Hyperlink"/>
          </w:rPr>
          <w:t>https://data.europa.eu/doi/10.2833/210444</w:t>
        </w:r>
      </w:hyperlink>
      <w:r w:rsidRPr="00266A9C">
        <w:t>.</w:t>
      </w:r>
    </w:p>
  </w:footnote>
  <w:footnote w:id="16">
    <w:p w14:paraId="79FCAD44" w14:textId="72F1B3AE" w:rsidR="00BD61DF" w:rsidRPr="00266A9C" w:rsidRDefault="00BD61DF" w:rsidP="00BD61DF">
      <w:pPr>
        <w:pStyle w:val="FootnoteText"/>
      </w:pPr>
      <w:r w:rsidRPr="00266A9C">
        <w:t>(</w:t>
      </w:r>
      <w:r w:rsidRPr="00266A9C">
        <w:rPr>
          <w:rStyle w:val="FootnoteReference"/>
        </w:rPr>
        <w:footnoteRef/>
      </w:r>
      <w:r w:rsidRPr="00266A9C">
        <w:t>)</w:t>
      </w:r>
      <w:r w:rsidRPr="00266A9C">
        <w:tab/>
        <w:t>Cu excepția autoturismelor de lux sau a vânzărilor diplomatice, pneurile montate pe autoturism depind de lotul de pneuri disponibil atunci când vehiculul este asamblat în fabrică. Unii vânzători cu amănuntul de autoturisme ar putea fi de acord să înlocuiască roțile, dacă este posibil și ca un gest excepțional de bunăvoință față de client.</w:t>
      </w:r>
    </w:p>
  </w:footnote>
  <w:footnote w:id="17">
    <w:p w14:paraId="6D8FF320" w14:textId="3D86FD91" w:rsidR="00BD61DF" w:rsidRPr="00266A9C" w:rsidRDefault="00BD61DF" w:rsidP="00BD61DF">
      <w:pPr>
        <w:pStyle w:val="FootnoteText"/>
      </w:pPr>
      <w:r w:rsidRPr="00266A9C">
        <w:t>(</w:t>
      </w:r>
      <w:r w:rsidRPr="00266A9C">
        <w:rPr>
          <w:rStyle w:val="FootnoteReference"/>
        </w:rPr>
        <w:footnoteRef/>
      </w:r>
      <w:r w:rsidRPr="00266A9C">
        <w:t>)</w:t>
      </w:r>
      <w:r w:rsidRPr="00266A9C">
        <w:tab/>
        <w:t>De exemplu, doar o indicație cu săgeata clasei.</w:t>
      </w:r>
    </w:p>
  </w:footnote>
  <w:footnote w:id="18">
    <w:p w14:paraId="466F0258" w14:textId="7EBA781E" w:rsidR="00BD61DF" w:rsidRPr="00266A9C" w:rsidRDefault="00BD61DF" w:rsidP="00BD61DF">
      <w:pPr>
        <w:pStyle w:val="FootnoteText"/>
      </w:pPr>
      <w:r w:rsidRPr="00266A9C">
        <w:t>(</w:t>
      </w:r>
      <w:r w:rsidRPr="00266A9C">
        <w:rPr>
          <w:rStyle w:val="FootnoteReference"/>
        </w:rPr>
        <w:footnoteRef/>
      </w:r>
      <w:r w:rsidRPr="00266A9C">
        <w:t>)</w:t>
      </w:r>
      <w:r w:rsidRPr="00266A9C">
        <w:tab/>
        <w:t>De exemplu, în prezent, în cazul pneurilor C1, nu este obligatoriu să se indice care dintre pneurile înregistrate sunt fabricate în conformitate cu specificațiile producătorului de echipamente originale al vehiculului sau, în cazul pneurilor C3, care sunt destinate axei motoare, axei directoare sau axei cu rulare liberă sau care sunt destinate utilizării urbane sau pe distanțe lungi etc.</w:t>
      </w:r>
    </w:p>
  </w:footnote>
  <w:footnote w:id="19">
    <w:p w14:paraId="145E0A05" w14:textId="529F0BF0" w:rsidR="00971E00" w:rsidRPr="00266A9C" w:rsidRDefault="00971E00">
      <w:pPr>
        <w:pStyle w:val="FootnoteText"/>
      </w:pPr>
      <w:r w:rsidRPr="00266A9C">
        <w:t>(</w:t>
      </w:r>
      <w:r w:rsidRPr="00266A9C">
        <w:rPr>
          <w:rStyle w:val="FootnoteReference"/>
        </w:rPr>
        <w:footnoteRef/>
      </w:r>
      <w:r w:rsidRPr="00266A9C">
        <w:t>)</w:t>
      </w:r>
      <w:r w:rsidRPr="00266A9C">
        <w:tab/>
        <w:t>Spre deosebire de toate celelalte regulamente privind etichetarea produselor, TLR nu impune indicarea valorii reale a parametrului care determină clasa pentru rezistența la rulare și aderența pe teren umed, ci doar pentru zgomot.</w:t>
      </w:r>
    </w:p>
  </w:footnote>
  <w:footnote w:id="20">
    <w:p w14:paraId="76B314FD" w14:textId="3A99C58A" w:rsidR="00971E00" w:rsidRPr="00266A9C" w:rsidRDefault="00971E00">
      <w:pPr>
        <w:pStyle w:val="FootnoteText"/>
      </w:pPr>
      <w:r w:rsidRPr="00266A9C">
        <w:t>(</w:t>
      </w:r>
      <w:r w:rsidRPr="00266A9C">
        <w:rPr>
          <w:rStyle w:val="FootnoteReference"/>
        </w:rPr>
        <w:footnoteRef/>
      </w:r>
      <w:r w:rsidRPr="00266A9C">
        <w:t>)</w:t>
      </w:r>
      <w:r w:rsidRPr="00266A9C">
        <w:tab/>
        <w:t>Se utilizează valori procentuale ponderate pentru clasa de etichetare cu punct de mijloc, deoarece regulamentul nu impune furnizorilor să introducă coeficientul de rezistență la rulare în EPREL, ci numai clasa asociată acestuia.</w:t>
      </w:r>
    </w:p>
  </w:footnote>
  <w:footnote w:id="21">
    <w:p w14:paraId="4F39306F" w14:textId="383C0052" w:rsidR="00971E00" w:rsidRPr="00266A9C" w:rsidRDefault="00971E00">
      <w:pPr>
        <w:pStyle w:val="FootnoteText"/>
      </w:pPr>
      <w:r w:rsidRPr="00266A9C">
        <w:t>(</w:t>
      </w:r>
      <w:r w:rsidRPr="00266A9C">
        <w:rPr>
          <w:rStyle w:val="FootnoteReference"/>
        </w:rPr>
        <w:footnoteRef/>
      </w:r>
      <w:r w:rsidRPr="00266A9C">
        <w:t>)</w:t>
      </w:r>
      <w:r w:rsidRPr="00266A9C">
        <w:tab/>
        <w:t>Pe baza procentelor ponderate ale clasei de etichetare cu punct de mijloc, deoarece furnizorii nu sunt obligați să introducă indicele de aderență pe teren umed în EPREL, ci numai clasa asociată acestuia.</w:t>
      </w:r>
    </w:p>
  </w:footnote>
  <w:footnote w:id="22">
    <w:p w14:paraId="6003FC59" w14:textId="70E524AD" w:rsidR="00971E00" w:rsidRPr="00266A9C" w:rsidRDefault="00971E00">
      <w:pPr>
        <w:pStyle w:val="FootnoteText"/>
        <w:keepLines/>
      </w:pPr>
      <w:r w:rsidRPr="00266A9C">
        <w:t>(</w:t>
      </w:r>
      <w:r w:rsidRPr="00266A9C">
        <w:rPr>
          <w:rStyle w:val="FootnoteReference"/>
        </w:rPr>
        <w:footnoteRef/>
      </w:r>
      <w:r w:rsidRPr="00266A9C">
        <w:t>)</w:t>
      </w:r>
      <w:r w:rsidRPr="00266A9C">
        <w:tab/>
        <w:t>În cazul camioanelor, formula de calcul al emisiilor de CO</w:t>
      </w:r>
      <w:r w:rsidRPr="00266A9C">
        <w:rPr>
          <w:vertAlign w:val="subscript"/>
        </w:rPr>
        <w:t>2</w:t>
      </w:r>
      <w:r w:rsidRPr="00266A9C">
        <w:t xml:space="preserve"> la nivelul parcului auto, în conformitate cu legislația EURO IV, include coeficientul de rezistență la rulare al pneurilor montate din fabrică (în cazul camioanelor diesel, rezistența la rulare a pneurilor contribuie cu 30 până la 40 % la consumul de energie). În cazul camioanelor electrice, ponderea este mai mare ca urmare a eficienței ridicate a motoarelor electrice, accentul pe eficiența energetică rămânând neschimbat.</w:t>
      </w:r>
    </w:p>
  </w:footnote>
  <w:footnote w:id="23">
    <w:p w14:paraId="145D6A3F" w14:textId="21BCE75A" w:rsidR="00971E00" w:rsidRPr="00266A9C" w:rsidRDefault="00971E00">
      <w:pPr>
        <w:pStyle w:val="FootnoteText"/>
      </w:pPr>
      <w:r w:rsidRPr="00266A9C">
        <w:t>(</w:t>
      </w:r>
      <w:r w:rsidRPr="00266A9C">
        <w:rPr>
          <w:rStyle w:val="FootnoteReference"/>
        </w:rPr>
        <w:footnoteRef/>
      </w:r>
      <w:r w:rsidRPr="00266A9C">
        <w:t>)</w:t>
      </w:r>
      <w:r w:rsidRPr="00266A9C">
        <w:tab/>
        <w:t>Se va utiliza aceeași metodă ca și în cazul pneurilor noi.</w:t>
      </w:r>
    </w:p>
  </w:footnote>
  <w:footnote w:id="24">
    <w:p w14:paraId="5EC19F2B" w14:textId="67042DC0" w:rsidR="00971E00" w:rsidRPr="00266A9C" w:rsidRDefault="00971E00">
      <w:pPr>
        <w:pStyle w:val="FootnoteText"/>
      </w:pPr>
      <w:r w:rsidRPr="00266A9C">
        <w:t>(</w:t>
      </w:r>
      <w:r w:rsidRPr="00266A9C">
        <w:rPr>
          <w:rStyle w:val="FootnoteReference"/>
        </w:rPr>
        <w:footnoteRef/>
      </w:r>
      <w:r w:rsidRPr="00266A9C">
        <w:t>)</w:t>
      </w:r>
      <w:r w:rsidRPr="00266A9C">
        <w:tab/>
      </w:r>
      <w:hyperlink r:id="rId8" w:history="1">
        <w:r w:rsidRPr="00266A9C">
          <w:rPr>
            <w:rStyle w:val="Hyperlink"/>
          </w:rPr>
          <w:t>https://wiki.unece.org/pages/viewpage.action?pageId=160694352</w:t>
        </w:r>
      </w:hyperlink>
      <w:r w:rsidRPr="00266A9C">
        <w:t>.</w:t>
      </w:r>
    </w:p>
  </w:footnote>
  <w:footnote w:id="25">
    <w:p w14:paraId="72672AC7" w14:textId="223E109B" w:rsidR="0093172B" w:rsidRPr="00266A9C" w:rsidRDefault="0093172B" w:rsidP="0093172B">
      <w:pPr>
        <w:pStyle w:val="FootnoteText"/>
      </w:pPr>
      <w:r w:rsidRPr="00266A9C">
        <w:t>(</w:t>
      </w:r>
      <w:r w:rsidRPr="00266A9C">
        <w:rPr>
          <w:rStyle w:val="FootnoteReference"/>
        </w:rPr>
        <w:footnoteRef/>
      </w:r>
      <w:r w:rsidRPr="00266A9C">
        <w:t>)</w:t>
      </w:r>
      <w:r w:rsidRPr="00266A9C">
        <w:tab/>
        <w:t>GRBP 83, (WP.29/GRBP) Grupul de lucru pentru zgomot și pneuri (a 83-a sesiune) | CEE-ONU este un organism subsidiar al Forumului mondial pentru armonizarea regulamentelor privind vehiculele.</w:t>
      </w:r>
    </w:p>
  </w:footnote>
  <w:footnote w:id="26">
    <w:p w14:paraId="78E7F22A" w14:textId="13A825A3" w:rsidR="00F9775E" w:rsidRPr="00266A9C" w:rsidRDefault="00F9775E">
      <w:pPr>
        <w:pStyle w:val="FootnoteText"/>
      </w:pPr>
      <w:r w:rsidRPr="00266A9C">
        <w:t>(</w:t>
      </w:r>
      <w:r w:rsidRPr="00266A9C">
        <w:rPr>
          <w:rStyle w:val="FootnoteReference"/>
        </w:rPr>
        <w:footnoteRef/>
      </w:r>
      <w:r w:rsidRPr="00266A9C">
        <w:t>)</w:t>
      </w:r>
      <w:r w:rsidRPr="00266A9C">
        <w:tab/>
        <w:t>Metoda în laborator, mai rapidă, mai ușor de repetat și mai puțin poluantă, similară încercărilor utilizate pentru măsurarea rezistenței la rulare, permite producătorilor de pneuri să lanseze noi tipuri de pneuri cu câteva luni mai devreme.</w:t>
      </w:r>
    </w:p>
  </w:footnote>
  <w:footnote w:id="27">
    <w:p w14:paraId="0D691CA2" w14:textId="1B61910B" w:rsidR="00F127BC" w:rsidRPr="00266A9C" w:rsidRDefault="00F127BC">
      <w:pPr>
        <w:pStyle w:val="FootnoteText"/>
      </w:pPr>
      <w:r w:rsidRPr="00266A9C">
        <w:t>(</w:t>
      </w:r>
      <w:r w:rsidRPr="00266A9C">
        <w:rPr>
          <w:rStyle w:val="FootnoteReference"/>
        </w:rPr>
        <w:footnoteRef/>
      </w:r>
      <w:r w:rsidRPr="00266A9C">
        <w:t>)</w:t>
      </w:r>
      <w:r w:rsidRPr="00266A9C">
        <w:tab/>
        <w:t xml:space="preserve">25 % drumuri urbane, 25 % drumuri regionale și 35 % autostrăzi, la trei niveluri de temperatură, între 5 °C și 25 °C. Încercarea bazată pe convoaie prezintă provocări legate de repetabilitate și accesibilitate pentru ASP-uri. </w:t>
      </w:r>
    </w:p>
  </w:footnote>
  <w:footnote w:id="28">
    <w:p w14:paraId="175872FD" w14:textId="265C1896" w:rsidR="00417449" w:rsidRPr="00266A9C" w:rsidRDefault="00417449" w:rsidP="00417449">
      <w:pPr>
        <w:pStyle w:val="FootnoteText"/>
      </w:pPr>
      <w:r w:rsidRPr="00266A9C">
        <w:t>(</w:t>
      </w:r>
      <w:r w:rsidRPr="00266A9C">
        <w:rPr>
          <w:rStyle w:val="FootnoteReference"/>
        </w:rPr>
        <w:footnoteRef/>
      </w:r>
      <w:r w:rsidRPr="00266A9C">
        <w:t>)</w:t>
      </w:r>
      <w:r w:rsidRPr="00266A9C">
        <w:tab/>
        <w:t>Regulamentul CEE-ONU nr. 117 va fi modificat pentru a include pragurile de abraziune. Astfel, datele privind nivelurile de abraziune și pierderea benzii de rulare devin parte a documentației de omologare de tip. În cazul în care declarația producătorilor de pneuri, prin intermediul documentației de omologare de tip privind rezultatele încercărilor la abraziune, ar include și pierderea adâncimii benzii de rulare, kilometrajul nominal ar putea deveni fezabil.</w:t>
      </w:r>
    </w:p>
  </w:footnote>
  <w:footnote w:id="29">
    <w:p w14:paraId="4FC8AD6B" w14:textId="3627F34E" w:rsidR="00971E00" w:rsidRPr="00266A9C" w:rsidRDefault="00971E00">
      <w:pPr>
        <w:pStyle w:val="FootnoteText"/>
      </w:pPr>
      <w:r w:rsidRPr="00266A9C">
        <w:t>(</w:t>
      </w:r>
      <w:r w:rsidRPr="00266A9C">
        <w:rPr>
          <w:rStyle w:val="FootnoteReference"/>
        </w:rPr>
        <w:footnoteRef/>
      </w:r>
      <w:r w:rsidRPr="00266A9C">
        <w:t>)</w:t>
      </w:r>
      <w:r w:rsidRPr="00266A9C">
        <w:tab/>
        <w:t>Nu există nicio etichetă în format mic care să poată fi utilizată în cataloagele de pneuri, unde fiecare pneu este descris pe aproximativ 20 de rânduri pe fiecare pagină sau, în cazul ofertelor de vehicule, unde etichetele pneurilor ocupă de 10 ori mai mult spațiu decât cel alocat descrierii vehiculului și opțiunilor sale. Lipsa unei indicații cu privire la parametrii necesari pentru a distinge pneurile de aceeași dimensiune care trebuie introduși în EPREL îngreunează aplicarea taxonomiei sau a oricăror criterii aferente principiului de „a nu aduce prejudicii semnificative”.</w:t>
      </w:r>
    </w:p>
  </w:footnote>
  <w:footnote w:id="30">
    <w:p w14:paraId="441AF306" w14:textId="35ADD5BF" w:rsidR="008A0FF4" w:rsidRPr="00266A9C" w:rsidRDefault="008A0FF4" w:rsidP="008A0FF4">
      <w:pPr>
        <w:pStyle w:val="FootnoteText"/>
      </w:pPr>
      <w:r w:rsidRPr="00266A9C">
        <w:t>(</w:t>
      </w:r>
      <w:r w:rsidRPr="00266A9C">
        <w:rPr>
          <w:rStyle w:val="FootnoteReference"/>
        </w:rPr>
        <w:footnoteRef/>
      </w:r>
      <w:r w:rsidRPr="00266A9C">
        <w:t>)</w:t>
      </w:r>
      <w:r w:rsidRPr="00266A9C">
        <w:tab/>
        <w:t>Regulamentul (CE) nr. 765/2008 de stabilire a cerințelor de acreditare și de supraveghere a pieței în ceea ce privește comercializarea produselor.</w:t>
      </w:r>
    </w:p>
  </w:footnote>
  <w:footnote w:id="31">
    <w:p w14:paraId="58E9FA0E" w14:textId="68EDD521" w:rsidR="008A0FF4" w:rsidRPr="00266A9C" w:rsidRDefault="008A0FF4" w:rsidP="008A0FF4">
      <w:pPr>
        <w:pStyle w:val="FootnoteText"/>
      </w:pPr>
      <w:r w:rsidRPr="00266A9C">
        <w:t>(</w:t>
      </w:r>
      <w:r w:rsidRPr="00266A9C">
        <w:rPr>
          <w:rStyle w:val="FootnoteReference"/>
        </w:rPr>
        <w:footnoteRef/>
      </w:r>
      <w:r w:rsidRPr="00266A9C">
        <w:t>)</w:t>
      </w:r>
      <w:r w:rsidRPr="00266A9C">
        <w:tab/>
        <w:t>Regulamentul (UE) 2019/1020 privind supravegherea pieței și conformitatea produselor.</w:t>
      </w:r>
    </w:p>
  </w:footnote>
  <w:footnote w:id="32">
    <w:p w14:paraId="4A1AF125" w14:textId="4A3AEC6B" w:rsidR="004B62A2" w:rsidRPr="00266A9C" w:rsidRDefault="004B62A2">
      <w:pPr>
        <w:pStyle w:val="FootnoteText"/>
      </w:pPr>
      <w:r w:rsidRPr="00266A9C">
        <w:t>(</w:t>
      </w:r>
      <w:r w:rsidRPr="00266A9C">
        <w:rPr>
          <w:rStyle w:val="FootnoteReference"/>
        </w:rPr>
        <w:footnoteRef/>
      </w:r>
      <w:r w:rsidRPr="00266A9C">
        <w:t>)</w:t>
      </w:r>
      <w:r w:rsidRPr="00266A9C">
        <w:tab/>
        <w:t>Sistemul de informare și de comunicare pentru supravegherea pieței.</w:t>
      </w:r>
    </w:p>
  </w:footnote>
  <w:footnote w:id="33">
    <w:p w14:paraId="60B1B052" w14:textId="07163D8A" w:rsidR="00971E00" w:rsidRPr="00266A9C" w:rsidRDefault="00971E00">
      <w:pPr>
        <w:pStyle w:val="FootnoteText"/>
      </w:pPr>
      <w:r w:rsidRPr="00266A9C">
        <w:t>(</w:t>
      </w:r>
      <w:r w:rsidRPr="00266A9C">
        <w:rPr>
          <w:rStyle w:val="FootnoteReference"/>
        </w:rPr>
        <w:footnoteRef/>
      </w:r>
      <w:r w:rsidRPr="00266A9C">
        <w:t>)</w:t>
      </w:r>
      <w:r w:rsidRPr="00266A9C">
        <w:tab/>
      </w:r>
      <w:hyperlink r:id="rId9" w:history="1">
        <w:r w:rsidRPr="00266A9C">
          <w:rPr>
            <w:rStyle w:val="Hyperlink"/>
          </w:rPr>
          <w:t>https://energy-efficient-products.ec.europa.eu/national-measures-penalties-and-sanctions-tyres_en</w:t>
        </w:r>
      </w:hyperlink>
      <w:r w:rsidRPr="00266A9C">
        <w:t>.</w:t>
      </w:r>
    </w:p>
  </w:footnote>
  <w:footnote w:id="34">
    <w:p w14:paraId="1BC61A73" w14:textId="7B4395D8" w:rsidR="00971E00" w:rsidRPr="00266A9C" w:rsidRDefault="00971E00">
      <w:pPr>
        <w:pStyle w:val="FootnoteText"/>
      </w:pPr>
      <w:r w:rsidRPr="00266A9C">
        <w:t>(</w:t>
      </w:r>
      <w:r w:rsidRPr="00266A9C">
        <w:rPr>
          <w:rStyle w:val="FootnoteReference"/>
        </w:rPr>
        <w:footnoteRef/>
      </w:r>
      <w:r w:rsidRPr="00266A9C">
        <w:t>)</w:t>
      </w:r>
      <w:r w:rsidRPr="00266A9C">
        <w:tab/>
      </w:r>
      <w:hyperlink r:id="rId10" w:history="1">
        <w:r w:rsidRPr="00266A9C">
          <w:rPr>
            <w:rStyle w:val="Hyperlink"/>
          </w:rPr>
          <w:t>https://prosafe.org/</w:t>
        </w:r>
      </w:hyperlink>
      <w:r w:rsidRPr="00266A9C">
        <w:t>, un consorțiu de coordonare a ASP-urilor.</w:t>
      </w:r>
    </w:p>
  </w:footnote>
  <w:footnote w:id="35">
    <w:p w14:paraId="5DFE7755" w14:textId="6AD880F1" w:rsidR="00971E00" w:rsidRPr="00266A9C" w:rsidRDefault="00971E00">
      <w:pPr>
        <w:pStyle w:val="FootnoteText"/>
      </w:pPr>
      <w:r w:rsidRPr="00266A9C">
        <w:t>(</w:t>
      </w:r>
      <w:r w:rsidRPr="00266A9C">
        <w:rPr>
          <w:rStyle w:val="FootnoteReference"/>
        </w:rPr>
        <w:footnoteRef/>
      </w:r>
      <w:r w:rsidRPr="00266A9C">
        <w:t>)</w:t>
      </w:r>
      <w:r w:rsidRPr="00266A9C">
        <w:tab/>
        <w:t>Articolul 9 din Regulamentul (UE) 2018/858.</w:t>
      </w:r>
    </w:p>
  </w:footnote>
  <w:footnote w:id="36">
    <w:p w14:paraId="0634E833" w14:textId="0ED798F6" w:rsidR="00971E00" w:rsidRPr="00266A9C" w:rsidRDefault="00971E00">
      <w:pPr>
        <w:pStyle w:val="FootnoteText"/>
      </w:pPr>
      <w:r w:rsidRPr="00266A9C">
        <w:t>(</w:t>
      </w:r>
      <w:r w:rsidRPr="00266A9C">
        <w:rPr>
          <w:rStyle w:val="FootnoteReference"/>
        </w:rPr>
        <w:footnoteRef/>
      </w:r>
      <w:r w:rsidRPr="00266A9C">
        <w:t>)</w:t>
      </w:r>
      <w:r w:rsidRPr="00266A9C">
        <w:tab/>
        <w:t xml:space="preserve">Un raport de activitate este disponibil la adresa: </w:t>
      </w:r>
      <w:hyperlink r:id="rId11" w:history="1">
        <w:r w:rsidRPr="00266A9C">
          <w:rPr>
            <w:rStyle w:val="Hyperlink"/>
          </w:rPr>
          <w:t>https://publications.jrc.ec.europa.eu/repository/handle/JRC130606</w:t>
        </w:r>
      </w:hyperlink>
      <w:r w:rsidRPr="00266A9C">
        <w:t>.</w:t>
      </w:r>
    </w:p>
  </w:footnote>
  <w:footnote w:id="37">
    <w:p w14:paraId="66545E6D" w14:textId="77DA3396" w:rsidR="00435649" w:rsidRPr="00266A9C" w:rsidRDefault="00435649" w:rsidP="00435649">
      <w:pPr>
        <w:pStyle w:val="FootnoteText"/>
      </w:pPr>
      <w:r w:rsidRPr="00266A9C">
        <w:t>(</w:t>
      </w:r>
      <w:r w:rsidRPr="00266A9C">
        <w:rPr>
          <w:rStyle w:val="FootnoteReference"/>
        </w:rPr>
        <w:footnoteRef/>
      </w:r>
      <w:r w:rsidRPr="00266A9C">
        <w:t>)</w:t>
      </w:r>
      <w:r w:rsidRPr="00266A9C">
        <w:tab/>
        <w:t>Un raport care descrie activitățile desfășurate de JRC cu privire la pneuri este disponibil la următoarea adresă: https://publications.jrc.ec.europa.eu/repository/handle/JRC135546.</w:t>
      </w:r>
    </w:p>
  </w:footnote>
  <w:footnote w:id="38">
    <w:p w14:paraId="36BCAAB8" w14:textId="0013CF24" w:rsidR="00971E00" w:rsidRPr="00266A9C" w:rsidRDefault="00971E00">
      <w:pPr>
        <w:pStyle w:val="FootnoteText"/>
      </w:pPr>
      <w:r w:rsidRPr="00266A9C">
        <w:t>(</w:t>
      </w:r>
      <w:r w:rsidRPr="00266A9C">
        <w:rPr>
          <w:rStyle w:val="FootnoteReference"/>
        </w:rPr>
        <w:footnoteRef/>
      </w:r>
      <w:r w:rsidRPr="00266A9C">
        <w:t>)</w:t>
      </w:r>
      <w:r w:rsidRPr="00266A9C">
        <w:tab/>
        <w:t>Autoritățile naționale pot fi reticente în ceea ce privește asigurarea respectării normelor/aplicarea de sancțiuni producătorilor stabiliți pe teritoriul lor.</w:t>
      </w:r>
    </w:p>
  </w:footnote>
  <w:footnote w:id="39">
    <w:p w14:paraId="7EEE258A" w14:textId="12FE4D48" w:rsidR="00971E00" w:rsidRPr="00266A9C" w:rsidRDefault="00971E00">
      <w:pPr>
        <w:pStyle w:val="FootnoteText"/>
      </w:pPr>
      <w:r w:rsidRPr="00266A9C">
        <w:t>(</w:t>
      </w:r>
      <w:r w:rsidRPr="00266A9C">
        <w:rPr>
          <w:rStyle w:val="FootnoteReference"/>
        </w:rPr>
        <w:footnoteRef/>
      </w:r>
      <w:r w:rsidRPr="00266A9C">
        <w:t>)</w:t>
      </w:r>
      <w:r w:rsidRPr="00266A9C">
        <w:tab/>
        <w:t>Omologarea de tip se acordă la nivel de „familie de produse”, în timp ce etichetarea pneurilor se realizează la nivel de tip de pneu (fiecare membru al familiei).</w:t>
      </w:r>
    </w:p>
  </w:footnote>
  <w:footnote w:id="40">
    <w:p w14:paraId="112A72E6" w14:textId="40E77549" w:rsidR="005519C3" w:rsidRPr="00266A9C" w:rsidRDefault="005519C3" w:rsidP="005519C3">
      <w:pPr>
        <w:pStyle w:val="FootnoteText"/>
      </w:pPr>
      <w:r w:rsidRPr="00266A9C">
        <w:t>(</w:t>
      </w:r>
      <w:r w:rsidRPr="00266A9C">
        <w:rPr>
          <w:rStyle w:val="FootnoteReference"/>
        </w:rPr>
        <w:footnoteRef/>
      </w:r>
      <w:r w:rsidRPr="00266A9C">
        <w:t>)</w:t>
      </w:r>
      <w:r w:rsidRPr="00266A9C">
        <w:tab/>
        <w:t>De exemplu, SUA, Coreea și Japonia.</w:t>
      </w:r>
    </w:p>
  </w:footnote>
  <w:footnote w:id="41">
    <w:p w14:paraId="2486ADE9" w14:textId="0A8B4683" w:rsidR="005519C3" w:rsidRPr="00266A9C" w:rsidRDefault="005519C3" w:rsidP="005519C3">
      <w:pPr>
        <w:pStyle w:val="FootnoteText"/>
      </w:pPr>
      <w:r w:rsidRPr="00266A9C">
        <w:t>(</w:t>
      </w:r>
      <w:r w:rsidRPr="00266A9C">
        <w:rPr>
          <w:rStyle w:val="FootnoteReference"/>
        </w:rPr>
        <w:footnoteRef/>
      </w:r>
      <w:r w:rsidRPr="00266A9C">
        <w:t>)</w:t>
      </w:r>
      <w:r w:rsidRPr="00266A9C">
        <w:tab/>
        <w:t xml:space="preserve">Lista laboratoarelor este publicată în </w:t>
      </w:r>
      <w:hyperlink r:id="rId12" w:history="1">
        <w:r w:rsidRPr="00266A9C">
          <w:rPr>
            <w:rStyle w:val="Hyperlink"/>
          </w:rPr>
          <w:t>Comunicarea 2012/C 86/03 a Comisiei</w:t>
        </w:r>
      </w:hyperlink>
      <w:r w:rsidRPr="00266A9C">
        <w:t>. O actualizare este prevăzută pentru 2026.</w:t>
      </w:r>
    </w:p>
  </w:footnote>
  <w:footnote w:id="42">
    <w:p w14:paraId="012BA449" w14:textId="1C1CBA74" w:rsidR="00971E00" w:rsidRPr="00266A9C" w:rsidRDefault="00971E00">
      <w:pPr>
        <w:pStyle w:val="FootnoteText"/>
      </w:pPr>
      <w:r w:rsidRPr="00266A9C">
        <w:t>(</w:t>
      </w:r>
      <w:r w:rsidRPr="00266A9C">
        <w:rPr>
          <w:rStyle w:val="FootnoteReference"/>
        </w:rPr>
        <w:footnoteRef/>
      </w:r>
      <w:r w:rsidRPr="00266A9C">
        <w:t>)</w:t>
      </w:r>
      <w:r w:rsidRPr="00266A9C">
        <w:tab/>
        <w:t>De exemplu, profilul benzii de rulare a pneurilor pentru camioane diferă în funcție de axa pe care urmează să fie montate pneurile, și anume pe axa directoare, pe axa de tracțiune sau pe axa cu rulare liberă (carcasa este aceeași, însă performanța generală poate varia în mod semnificativ).</w:t>
      </w:r>
    </w:p>
  </w:footnote>
  <w:footnote w:id="43">
    <w:p w14:paraId="024A318E" w14:textId="1529A3B9" w:rsidR="00971E00" w:rsidRPr="00266A9C" w:rsidRDefault="00971E00">
      <w:pPr>
        <w:pStyle w:val="FootnoteText"/>
      </w:pPr>
      <w:r w:rsidRPr="00266A9C">
        <w:t>(</w:t>
      </w:r>
      <w:r w:rsidRPr="00266A9C">
        <w:rPr>
          <w:rStyle w:val="FootnoteReference"/>
        </w:rPr>
        <w:footnoteRef/>
      </w:r>
      <w:r w:rsidRPr="00266A9C">
        <w:t>)</w:t>
      </w:r>
      <w:r w:rsidRPr="00266A9C">
        <w:tab/>
        <w:t>Alegerea pneurilor ținând seama de „poziția axei” sau de „profilul de operare” este esențială, întrucât acestea influențează profilul benzii de rulare și a carcasei și, în consecință, performanța în materie de rezistență la rulare, de zgomot sau de aderență.</w:t>
      </w:r>
    </w:p>
  </w:footnote>
  <w:footnote w:id="44">
    <w:p w14:paraId="735BCE6E" w14:textId="797AB0CB" w:rsidR="00971E00" w:rsidRPr="00266A9C" w:rsidRDefault="00971E00">
      <w:pPr>
        <w:pStyle w:val="FootnoteText"/>
      </w:pPr>
      <w:r w:rsidRPr="00266A9C">
        <w:t>(</w:t>
      </w:r>
      <w:r w:rsidRPr="00266A9C">
        <w:rPr>
          <w:rStyle w:val="FootnoteReference"/>
        </w:rPr>
        <w:footnoteRef/>
      </w:r>
      <w:r w:rsidRPr="00266A9C">
        <w:t>)</w:t>
      </w:r>
      <w:r w:rsidRPr="00266A9C">
        <w:tab/>
        <w:t>Deși fiecare producător lansează un mecanism de „licitație”, industria autovehiculelor și-a exprimat în mod clar interesul de a avea o imagine de ansamblu completă asupra pieței, pentru a-și ajusta mai bine cerințele.</w:t>
      </w:r>
    </w:p>
  </w:footnote>
  <w:footnote w:id="45">
    <w:p w14:paraId="240B3FFE" w14:textId="72DD4B9C" w:rsidR="00971E00" w:rsidRPr="00654E39" w:rsidRDefault="00971E00">
      <w:pPr>
        <w:pStyle w:val="FootnoteText"/>
      </w:pPr>
      <w:r w:rsidRPr="00266A9C">
        <w:t>(</w:t>
      </w:r>
      <w:r w:rsidRPr="00266A9C">
        <w:rPr>
          <w:rStyle w:val="FootnoteReference"/>
        </w:rPr>
        <w:footnoteRef/>
      </w:r>
      <w:r w:rsidRPr="00266A9C">
        <w:t>)</w:t>
      </w:r>
      <w:r w:rsidRPr="00266A9C">
        <w:tab/>
        <w:t>Astfel de valori CRR și WGI sunt, în orice caz, deja introduse în EPREL, dar numai pentru documentația tehnică și numai de către unii furnizori.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6992E" w14:textId="77777777" w:rsidR="0038701C" w:rsidRPr="0038701C" w:rsidRDefault="0038701C" w:rsidP="0038701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D0737" w14:textId="77777777" w:rsidR="0038701C" w:rsidRPr="0038701C" w:rsidRDefault="0038701C" w:rsidP="0038701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8482B" w14:textId="77777777" w:rsidR="0038701C" w:rsidRPr="0038701C" w:rsidRDefault="0038701C" w:rsidP="0038701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A8CAC" w14:textId="77777777" w:rsidR="008D6BC5" w:rsidRPr="00266A9C" w:rsidRDefault="008D6B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3D470" w14:textId="77777777" w:rsidR="008D6BC5" w:rsidRPr="00266A9C" w:rsidRDefault="008D6B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0CD9C" w14:textId="77777777" w:rsidR="008D6BC5" w:rsidRPr="00266A9C" w:rsidRDefault="008D6B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23B66F5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8FC2AD5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E08875D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B86217B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468254A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9AC05AD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BD724B24"/>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BF7C799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3C02D9D"/>
    <w:multiLevelType w:val="hybridMultilevel"/>
    <w:tmpl w:val="430693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4CC579E"/>
    <w:multiLevelType w:val="hybridMultilevel"/>
    <w:tmpl w:val="B3A2FE6E"/>
    <w:lvl w:ilvl="0" w:tplc="2AC2AE30">
      <w:start w:val="1"/>
      <w:numFmt w:val="lowerRoma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C8DFDF8"/>
    <w:multiLevelType w:val="multilevel"/>
    <w:tmpl w:val="AE3492D2"/>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2E04AE6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A4D8784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4736327"/>
    <w:multiLevelType w:val="hybridMultilevel"/>
    <w:tmpl w:val="11BA58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55950C3"/>
    <w:multiLevelType w:val="hybridMultilevel"/>
    <w:tmpl w:val="3BF0E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6324F1E"/>
    <w:multiLevelType w:val="multilevel"/>
    <w:tmpl w:val="5102480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D39CAA2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DEBECA3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A25C18B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5F74781"/>
    <w:multiLevelType w:val="hybridMultilevel"/>
    <w:tmpl w:val="B9E28B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E1A63DF"/>
    <w:multiLevelType w:val="multilevel"/>
    <w:tmpl w:val="67F80E5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D3F0260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619B"/>
    <w:multiLevelType w:val="multilevel"/>
    <w:tmpl w:val="DBE8112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9B52"/>
    <w:multiLevelType w:val="multilevel"/>
    <w:tmpl w:val="3F6C647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27B0C7E"/>
    <w:multiLevelType w:val="hybridMultilevel"/>
    <w:tmpl w:val="D944A6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977472E"/>
    <w:multiLevelType w:val="multilevel"/>
    <w:tmpl w:val="0E4E073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6D5D66B8"/>
    <w:multiLevelType w:val="hybridMultilevel"/>
    <w:tmpl w:val="F5AA009E"/>
    <w:lvl w:ilvl="0" w:tplc="2356EC62">
      <w:start w:val="1"/>
      <w:numFmt w:val="bullet"/>
      <w:lvlText w:val=""/>
      <w:lvlJc w:val="left"/>
      <w:pPr>
        <w:ind w:left="1440" w:hanging="360"/>
      </w:pPr>
      <w:rPr>
        <w:rFonts w:ascii="Symbol" w:hAnsi="Symbol"/>
      </w:rPr>
    </w:lvl>
    <w:lvl w:ilvl="1" w:tplc="317E0854">
      <w:start w:val="1"/>
      <w:numFmt w:val="bullet"/>
      <w:lvlText w:val=""/>
      <w:lvlJc w:val="left"/>
      <w:pPr>
        <w:ind w:left="1440" w:hanging="360"/>
      </w:pPr>
      <w:rPr>
        <w:rFonts w:ascii="Symbol" w:hAnsi="Symbol"/>
      </w:rPr>
    </w:lvl>
    <w:lvl w:ilvl="2" w:tplc="F9DE7518">
      <w:start w:val="1"/>
      <w:numFmt w:val="bullet"/>
      <w:lvlText w:val=""/>
      <w:lvlJc w:val="left"/>
      <w:pPr>
        <w:ind w:left="1440" w:hanging="360"/>
      </w:pPr>
      <w:rPr>
        <w:rFonts w:ascii="Symbol" w:hAnsi="Symbol"/>
      </w:rPr>
    </w:lvl>
    <w:lvl w:ilvl="3" w:tplc="B0EA8EA0">
      <w:start w:val="1"/>
      <w:numFmt w:val="bullet"/>
      <w:lvlText w:val=""/>
      <w:lvlJc w:val="left"/>
      <w:pPr>
        <w:ind w:left="1440" w:hanging="360"/>
      </w:pPr>
      <w:rPr>
        <w:rFonts w:ascii="Symbol" w:hAnsi="Symbol"/>
      </w:rPr>
    </w:lvl>
    <w:lvl w:ilvl="4" w:tplc="3754F52E">
      <w:start w:val="1"/>
      <w:numFmt w:val="bullet"/>
      <w:lvlText w:val=""/>
      <w:lvlJc w:val="left"/>
      <w:pPr>
        <w:ind w:left="1440" w:hanging="360"/>
      </w:pPr>
      <w:rPr>
        <w:rFonts w:ascii="Symbol" w:hAnsi="Symbol"/>
      </w:rPr>
    </w:lvl>
    <w:lvl w:ilvl="5" w:tplc="96D6FCBE">
      <w:start w:val="1"/>
      <w:numFmt w:val="bullet"/>
      <w:lvlText w:val=""/>
      <w:lvlJc w:val="left"/>
      <w:pPr>
        <w:ind w:left="1440" w:hanging="360"/>
      </w:pPr>
      <w:rPr>
        <w:rFonts w:ascii="Symbol" w:hAnsi="Symbol"/>
      </w:rPr>
    </w:lvl>
    <w:lvl w:ilvl="6" w:tplc="91CEEF7C">
      <w:start w:val="1"/>
      <w:numFmt w:val="bullet"/>
      <w:lvlText w:val=""/>
      <w:lvlJc w:val="left"/>
      <w:pPr>
        <w:ind w:left="1440" w:hanging="360"/>
      </w:pPr>
      <w:rPr>
        <w:rFonts w:ascii="Symbol" w:hAnsi="Symbol"/>
      </w:rPr>
    </w:lvl>
    <w:lvl w:ilvl="7" w:tplc="27E86F1E">
      <w:start w:val="1"/>
      <w:numFmt w:val="bullet"/>
      <w:lvlText w:val=""/>
      <w:lvlJc w:val="left"/>
      <w:pPr>
        <w:ind w:left="1440" w:hanging="360"/>
      </w:pPr>
      <w:rPr>
        <w:rFonts w:ascii="Symbol" w:hAnsi="Symbol"/>
      </w:rPr>
    </w:lvl>
    <w:lvl w:ilvl="8" w:tplc="5CB64924">
      <w:start w:val="1"/>
      <w:numFmt w:val="bullet"/>
      <w:lvlText w:val=""/>
      <w:lvlJc w:val="left"/>
      <w:pPr>
        <w:ind w:left="1440" w:hanging="360"/>
      </w:pPr>
      <w:rPr>
        <w:rFonts w:ascii="Symbol" w:hAnsi="Symbol"/>
      </w:rPr>
    </w:lvl>
  </w:abstractNum>
  <w:abstractNum w:abstractNumId="27" w15:restartNumberingAfterBreak="0">
    <w:nsid w:val="75B3256C"/>
    <w:multiLevelType w:val="hybridMultilevel"/>
    <w:tmpl w:val="9336F1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C65145E"/>
    <w:multiLevelType w:val="multilevel"/>
    <w:tmpl w:val="92F2CD2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87"/>
        </w:tabs>
        <w:ind w:left="1287"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0" w15:restartNumberingAfterBreak="0">
    <w:nsid w:val="7EF95DAF"/>
    <w:multiLevelType w:val="hybridMultilevel"/>
    <w:tmpl w:val="AF82A1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7"/>
  </w:num>
  <w:num w:numId="4">
    <w:abstractNumId w:val="16"/>
  </w:num>
  <w:num w:numId="5">
    <w:abstractNumId w:val="22"/>
  </w:num>
  <w:num w:numId="6">
    <w:abstractNumId w:val="25"/>
  </w:num>
  <w:num w:numId="7">
    <w:abstractNumId w:val="1"/>
  </w:num>
  <w:num w:numId="8">
    <w:abstractNumId w:val="6"/>
  </w:num>
  <w:num w:numId="9">
    <w:abstractNumId w:val="18"/>
  </w:num>
  <w:num w:numId="10">
    <w:abstractNumId w:val="2"/>
  </w:num>
  <w:num w:numId="11">
    <w:abstractNumId w:val="4"/>
  </w:num>
  <w:num w:numId="12">
    <w:abstractNumId w:val="5"/>
  </w:num>
  <w:num w:numId="13">
    <w:abstractNumId w:val="10"/>
  </w:num>
  <w:num w:numId="14">
    <w:abstractNumId w:val="17"/>
  </w:num>
  <w:num w:numId="15">
    <w:abstractNumId w:val="21"/>
  </w:num>
  <w:num w:numId="16">
    <w:abstractNumId w:val="28"/>
  </w:num>
  <w:num w:numId="17">
    <w:abstractNumId w:val="11"/>
  </w:num>
  <w:num w:numId="18">
    <w:abstractNumId w:val="12"/>
  </w:num>
  <w:num w:numId="19">
    <w:abstractNumId w:val="29"/>
  </w:num>
  <w:num w:numId="20">
    <w:abstractNumId w:val="20"/>
  </w:num>
  <w:num w:numId="21">
    <w:abstractNumId w:val="23"/>
  </w:num>
  <w:num w:numId="22">
    <w:abstractNumId w:val="3"/>
  </w:num>
  <w:num w:numId="23">
    <w:abstractNumId w:val="13"/>
  </w:num>
  <w:num w:numId="24">
    <w:abstractNumId w:val="27"/>
  </w:num>
  <w:num w:numId="25">
    <w:abstractNumId w:val="14"/>
  </w:num>
  <w:num w:numId="26">
    <w:abstractNumId w:val="30"/>
  </w:num>
  <w:num w:numId="27">
    <w:abstractNumId w:val="8"/>
  </w:num>
  <w:num w:numId="28">
    <w:abstractNumId w:val="28"/>
  </w:num>
  <w:num w:numId="29">
    <w:abstractNumId w:val="28"/>
  </w:num>
  <w:num w:numId="30">
    <w:abstractNumId w:val="28"/>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24"/>
  </w:num>
  <w:num w:numId="34">
    <w:abstractNumId w:val="19"/>
  </w:num>
  <w:num w:numId="35">
    <w:abstractNumId w:val="26"/>
  </w:num>
  <w:num w:numId="36">
    <w:abstractNumId w:val="9"/>
  </w:num>
  <w:num w:numId="37">
    <w:abstractNumId w:val="28"/>
  </w:num>
  <w:num w:numId="38">
    <w:abstractNumId w:val="28"/>
  </w:num>
  <w:num w:numId="39">
    <w:abstractNumId w:val="28"/>
  </w:num>
  <w:num w:numId="40">
    <w:abstractNumId w:val="28"/>
  </w:num>
  <w:num w:numId="41">
    <w:abstractNumId w:val="28"/>
  </w:num>
  <w:num w:numId="42">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6" fill="f" fillcolor="white" stroke="f">
      <v:fill color="white" on="f"/>
      <v:stroke on="f"/>
    </o:shapedefaults>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859EACF-3756-4B63-A28C-C129983AD17E"/>
    <w:docVar w:name="LW_COVERPAGE_TYPE" w:val="1"/>
    <w:docVar w:name="LW_CROSSREFERENCE" w:val="&lt;UNUSED&gt;"/>
    <w:docVar w:name="LW_DocType" w:val="36BD5C6851954D89BD39DD99BC360398"/>
    <w:docVar w:name="LW_EMISSION" w:val="24.6.2026"/>
    <w:docVar w:name="LW_EMISSION_ISODATE" w:val="2026-06-24"/>
    <w:docVar w:name="LW_EMISSION_LOCATION" w:val="BRX"/>
    <w:docVar w:name="LW_EMISSION_PREFIX" w:val="Bruxelles, "/>
    <w:docVar w:name="LW_EMISSION_SUFFIX" w:val=" "/>
    <w:docVar w:name="LW_ID_DOCTYPE_NONLW" w:val="CP-007"/>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2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ort privind punerea în aplicare a Regulamentului (UE) 2020/740 privind etichetarea pneurilor în ceea ce prive\u537?te eficien\u539?a consumului de combustibil \u537?i al\u539?i parametri&lt;/FMT&gt;"/>
    <w:docVar w:name="LW_TYPE.DOC.CP" w:val="RAPORT AL COMISIEI C\u258?TRE PARLAMENTUL EUROPEAN, CONSILIU \u536?I COMITETUL ECONOMIC \u536?I SOCIAL EUROPEAN"/>
    <w:docVar w:name="LwApiVersions" w:val="LW4CoDe 1.24.5.0; LW 9.2, Build 20251112"/>
  </w:docVars>
  <w:rsids>
    <w:rsidRoot w:val="00971E00"/>
    <w:rsid w:val="000011B8"/>
    <w:rsid w:val="000018C7"/>
    <w:rsid w:val="00002981"/>
    <w:rsid w:val="000033B3"/>
    <w:rsid w:val="000037CE"/>
    <w:rsid w:val="00005FB1"/>
    <w:rsid w:val="00006D68"/>
    <w:rsid w:val="00011407"/>
    <w:rsid w:val="000116FE"/>
    <w:rsid w:val="00013165"/>
    <w:rsid w:val="00017BEF"/>
    <w:rsid w:val="00021158"/>
    <w:rsid w:val="0002336A"/>
    <w:rsid w:val="0002386E"/>
    <w:rsid w:val="00024A0B"/>
    <w:rsid w:val="00024E10"/>
    <w:rsid w:val="0002587E"/>
    <w:rsid w:val="000279FE"/>
    <w:rsid w:val="00031914"/>
    <w:rsid w:val="00031B1E"/>
    <w:rsid w:val="00031C10"/>
    <w:rsid w:val="000329A9"/>
    <w:rsid w:val="00035D32"/>
    <w:rsid w:val="00040429"/>
    <w:rsid w:val="0004070F"/>
    <w:rsid w:val="00041A83"/>
    <w:rsid w:val="0004289B"/>
    <w:rsid w:val="000447B3"/>
    <w:rsid w:val="0004499E"/>
    <w:rsid w:val="00044C4A"/>
    <w:rsid w:val="00050C07"/>
    <w:rsid w:val="00050D4A"/>
    <w:rsid w:val="000511CB"/>
    <w:rsid w:val="0005278C"/>
    <w:rsid w:val="00054BD5"/>
    <w:rsid w:val="000552D4"/>
    <w:rsid w:val="000554C6"/>
    <w:rsid w:val="00057498"/>
    <w:rsid w:val="00057883"/>
    <w:rsid w:val="00060D79"/>
    <w:rsid w:val="00060DDC"/>
    <w:rsid w:val="000616E6"/>
    <w:rsid w:val="000617BE"/>
    <w:rsid w:val="00063270"/>
    <w:rsid w:val="00064564"/>
    <w:rsid w:val="0006515B"/>
    <w:rsid w:val="00065F45"/>
    <w:rsid w:val="0006759A"/>
    <w:rsid w:val="0007090D"/>
    <w:rsid w:val="00071772"/>
    <w:rsid w:val="000723E0"/>
    <w:rsid w:val="0007475D"/>
    <w:rsid w:val="000755DF"/>
    <w:rsid w:val="00076840"/>
    <w:rsid w:val="00076EC1"/>
    <w:rsid w:val="0007765C"/>
    <w:rsid w:val="000777A9"/>
    <w:rsid w:val="000802B9"/>
    <w:rsid w:val="00081DF5"/>
    <w:rsid w:val="00082738"/>
    <w:rsid w:val="000845E6"/>
    <w:rsid w:val="00085353"/>
    <w:rsid w:val="000857E1"/>
    <w:rsid w:val="00085BB5"/>
    <w:rsid w:val="000875B8"/>
    <w:rsid w:val="000919F3"/>
    <w:rsid w:val="00091CBB"/>
    <w:rsid w:val="00092CD2"/>
    <w:rsid w:val="00093873"/>
    <w:rsid w:val="000950BD"/>
    <w:rsid w:val="000968B5"/>
    <w:rsid w:val="00096B15"/>
    <w:rsid w:val="000977F8"/>
    <w:rsid w:val="000A2852"/>
    <w:rsid w:val="000A2DCE"/>
    <w:rsid w:val="000A4128"/>
    <w:rsid w:val="000A74FC"/>
    <w:rsid w:val="000B1BFC"/>
    <w:rsid w:val="000B3208"/>
    <w:rsid w:val="000B5E79"/>
    <w:rsid w:val="000B66D0"/>
    <w:rsid w:val="000C1C3C"/>
    <w:rsid w:val="000C33BD"/>
    <w:rsid w:val="000C5078"/>
    <w:rsid w:val="000C5752"/>
    <w:rsid w:val="000C5C6F"/>
    <w:rsid w:val="000C7B63"/>
    <w:rsid w:val="000D0AB9"/>
    <w:rsid w:val="000D1188"/>
    <w:rsid w:val="000D48AA"/>
    <w:rsid w:val="000D5BD9"/>
    <w:rsid w:val="000D66BC"/>
    <w:rsid w:val="000D7327"/>
    <w:rsid w:val="000D76E3"/>
    <w:rsid w:val="000D7D8B"/>
    <w:rsid w:val="000E0364"/>
    <w:rsid w:val="000E2A7A"/>
    <w:rsid w:val="000E584F"/>
    <w:rsid w:val="000E5BC9"/>
    <w:rsid w:val="000E5D39"/>
    <w:rsid w:val="000F008B"/>
    <w:rsid w:val="000F02B5"/>
    <w:rsid w:val="000F0FE0"/>
    <w:rsid w:val="000F1012"/>
    <w:rsid w:val="000F2B7A"/>
    <w:rsid w:val="000F576E"/>
    <w:rsid w:val="00100206"/>
    <w:rsid w:val="00101DD3"/>
    <w:rsid w:val="001049E1"/>
    <w:rsid w:val="00104CFB"/>
    <w:rsid w:val="00104F0C"/>
    <w:rsid w:val="00106C4B"/>
    <w:rsid w:val="00107194"/>
    <w:rsid w:val="0011038D"/>
    <w:rsid w:val="0011438B"/>
    <w:rsid w:val="00114868"/>
    <w:rsid w:val="00117EC2"/>
    <w:rsid w:val="001215D5"/>
    <w:rsid w:val="00122BA1"/>
    <w:rsid w:val="00124DD4"/>
    <w:rsid w:val="00124F16"/>
    <w:rsid w:val="00125515"/>
    <w:rsid w:val="00126749"/>
    <w:rsid w:val="00132C72"/>
    <w:rsid w:val="0013336C"/>
    <w:rsid w:val="00134068"/>
    <w:rsid w:val="0013555A"/>
    <w:rsid w:val="001437BC"/>
    <w:rsid w:val="00145350"/>
    <w:rsid w:val="00147048"/>
    <w:rsid w:val="00147E89"/>
    <w:rsid w:val="00147FEF"/>
    <w:rsid w:val="0015240E"/>
    <w:rsid w:val="00153754"/>
    <w:rsid w:val="001539BD"/>
    <w:rsid w:val="00155B56"/>
    <w:rsid w:val="0016176B"/>
    <w:rsid w:val="00161772"/>
    <w:rsid w:val="0016180B"/>
    <w:rsid w:val="00163B1E"/>
    <w:rsid w:val="00165883"/>
    <w:rsid w:val="001658F1"/>
    <w:rsid w:val="00166A71"/>
    <w:rsid w:val="00166AFB"/>
    <w:rsid w:val="00167591"/>
    <w:rsid w:val="0017022B"/>
    <w:rsid w:val="0017108D"/>
    <w:rsid w:val="00172BD1"/>
    <w:rsid w:val="00174D5C"/>
    <w:rsid w:val="00174EF2"/>
    <w:rsid w:val="0017772E"/>
    <w:rsid w:val="001815BC"/>
    <w:rsid w:val="00181B70"/>
    <w:rsid w:val="001834B9"/>
    <w:rsid w:val="00184368"/>
    <w:rsid w:val="0018444F"/>
    <w:rsid w:val="00184F46"/>
    <w:rsid w:val="001855DE"/>
    <w:rsid w:val="00186324"/>
    <w:rsid w:val="00187B84"/>
    <w:rsid w:val="00191B90"/>
    <w:rsid w:val="00192194"/>
    <w:rsid w:val="00193F60"/>
    <w:rsid w:val="00194025"/>
    <w:rsid w:val="00194A42"/>
    <w:rsid w:val="001956D7"/>
    <w:rsid w:val="001966B6"/>
    <w:rsid w:val="0019729B"/>
    <w:rsid w:val="001A2B2C"/>
    <w:rsid w:val="001A2E9A"/>
    <w:rsid w:val="001A49D2"/>
    <w:rsid w:val="001A5867"/>
    <w:rsid w:val="001A6D66"/>
    <w:rsid w:val="001B3624"/>
    <w:rsid w:val="001B5249"/>
    <w:rsid w:val="001B793F"/>
    <w:rsid w:val="001C4F44"/>
    <w:rsid w:val="001C50A9"/>
    <w:rsid w:val="001C6082"/>
    <w:rsid w:val="001C6B61"/>
    <w:rsid w:val="001D1EAE"/>
    <w:rsid w:val="001D20A7"/>
    <w:rsid w:val="001D432A"/>
    <w:rsid w:val="001D5F5E"/>
    <w:rsid w:val="001D6FD0"/>
    <w:rsid w:val="001D7715"/>
    <w:rsid w:val="001D7C1B"/>
    <w:rsid w:val="001E035B"/>
    <w:rsid w:val="001E0F17"/>
    <w:rsid w:val="001E1FBB"/>
    <w:rsid w:val="001E212E"/>
    <w:rsid w:val="001E4066"/>
    <w:rsid w:val="001E7B5F"/>
    <w:rsid w:val="001F09D9"/>
    <w:rsid w:val="001F2C25"/>
    <w:rsid w:val="001F3754"/>
    <w:rsid w:val="001F5BC1"/>
    <w:rsid w:val="001F6DA5"/>
    <w:rsid w:val="002000B1"/>
    <w:rsid w:val="0020221D"/>
    <w:rsid w:val="002037F0"/>
    <w:rsid w:val="00204326"/>
    <w:rsid w:val="00204B6F"/>
    <w:rsid w:val="00205BA2"/>
    <w:rsid w:val="00206E79"/>
    <w:rsid w:val="00216CDD"/>
    <w:rsid w:val="00217AA9"/>
    <w:rsid w:val="00220E84"/>
    <w:rsid w:val="00223712"/>
    <w:rsid w:val="00223936"/>
    <w:rsid w:val="0022428D"/>
    <w:rsid w:val="00224A29"/>
    <w:rsid w:val="00227A71"/>
    <w:rsid w:val="0023060A"/>
    <w:rsid w:val="002307DF"/>
    <w:rsid w:val="00230A6B"/>
    <w:rsid w:val="0023270B"/>
    <w:rsid w:val="00233BD3"/>
    <w:rsid w:val="00234A31"/>
    <w:rsid w:val="00235FBF"/>
    <w:rsid w:val="00237C7A"/>
    <w:rsid w:val="00245394"/>
    <w:rsid w:val="00247311"/>
    <w:rsid w:val="00250FF7"/>
    <w:rsid w:val="00252AEA"/>
    <w:rsid w:val="00253BD8"/>
    <w:rsid w:val="0025642F"/>
    <w:rsid w:val="002576B9"/>
    <w:rsid w:val="00257A7E"/>
    <w:rsid w:val="00257B27"/>
    <w:rsid w:val="002600A9"/>
    <w:rsid w:val="002615CA"/>
    <w:rsid w:val="002626D7"/>
    <w:rsid w:val="00262E79"/>
    <w:rsid w:val="00264843"/>
    <w:rsid w:val="002669D1"/>
    <w:rsid w:val="00266A9C"/>
    <w:rsid w:val="00266BE1"/>
    <w:rsid w:val="00270D8D"/>
    <w:rsid w:val="00272475"/>
    <w:rsid w:val="00272C4A"/>
    <w:rsid w:val="0027309A"/>
    <w:rsid w:val="002736B1"/>
    <w:rsid w:val="0027484C"/>
    <w:rsid w:val="00274F7C"/>
    <w:rsid w:val="00276E24"/>
    <w:rsid w:val="00277003"/>
    <w:rsid w:val="00281FEA"/>
    <w:rsid w:val="00282DE2"/>
    <w:rsid w:val="002833F0"/>
    <w:rsid w:val="002854BE"/>
    <w:rsid w:val="00285E0C"/>
    <w:rsid w:val="00285F41"/>
    <w:rsid w:val="00287F0B"/>
    <w:rsid w:val="0029040F"/>
    <w:rsid w:val="002918D4"/>
    <w:rsid w:val="00292607"/>
    <w:rsid w:val="002A0EB2"/>
    <w:rsid w:val="002A2807"/>
    <w:rsid w:val="002A54CE"/>
    <w:rsid w:val="002A60E3"/>
    <w:rsid w:val="002A70D8"/>
    <w:rsid w:val="002A7C6C"/>
    <w:rsid w:val="002A7FC4"/>
    <w:rsid w:val="002B01EA"/>
    <w:rsid w:val="002B05E7"/>
    <w:rsid w:val="002B2E98"/>
    <w:rsid w:val="002B32F0"/>
    <w:rsid w:val="002B352E"/>
    <w:rsid w:val="002B6E23"/>
    <w:rsid w:val="002B7BEC"/>
    <w:rsid w:val="002C030F"/>
    <w:rsid w:val="002C3741"/>
    <w:rsid w:val="002C62F4"/>
    <w:rsid w:val="002C79A8"/>
    <w:rsid w:val="002D09AA"/>
    <w:rsid w:val="002D14D6"/>
    <w:rsid w:val="002D20DC"/>
    <w:rsid w:val="002D2901"/>
    <w:rsid w:val="002D394C"/>
    <w:rsid w:val="002D43B6"/>
    <w:rsid w:val="002D5DD7"/>
    <w:rsid w:val="002E2D00"/>
    <w:rsid w:val="002E4192"/>
    <w:rsid w:val="002E7709"/>
    <w:rsid w:val="002F09BF"/>
    <w:rsid w:val="002F3F14"/>
    <w:rsid w:val="002F4390"/>
    <w:rsid w:val="002F4DEE"/>
    <w:rsid w:val="002F5872"/>
    <w:rsid w:val="002F759E"/>
    <w:rsid w:val="002F7746"/>
    <w:rsid w:val="00302131"/>
    <w:rsid w:val="00302A70"/>
    <w:rsid w:val="00304076"/>
    <w:rsid w:val="00304683"/>
    <w:rsid w:val="0030481A"/>
    <w:rsid w:val="00304A24"/>
    <w:rsid w:val="00305BF8"/>
    <w:rsid w:val="003104C5"/>
    <w:rsid w:val="00310743"/>
    <w:rsid w:val="00311D1C"/>
    <w:rsid w:val="00311E2A"/>
    <w:rsid w:val="00312EB8"/>
    <w:rsid w:val="0031510F"/>
    <w:rsid w:val="00316D2A"/>
    <w:rsid w:val="00321F7F"/>
    <w:rsid w:val="00322A5A"/>
    <w:rsid w:val="0032313E"/>
    <w:rsid w:val="00323198"/>
    <w:rsid w:val="00324BAC"/>
    <w:rsid w:val="003274E8"/>
    <w:rsid w:val="00331FA7"/>
    <w:rsid w:val="00333E20"/>
    <w:rsid w:val="00334946"/>
    <w:rsid w:val="003356C5"/>
    <w:rsid w:val="00335E07"/>
    <w:rsid w:val="00335EED"/>
    <w:rsid w:val="003362DA"/>
    <w:rsid w:val="00337FBF"/>
    <w:rsid w:val="003424A3"/>
    <w:rsid w:val="003429B6"/>
    <w:rsid w:val="0034382C"/>
    <w:rsid w:val="00343FD3"/>
    <w:rsid w:val="00344E26"/>
    <w:rsid w:val="003454BA"/>
    <w:rsid w:val="00345ACB"/>
    <w:rsid w:val="0034722C"/>
    <w:rsid w:val="0034735B"/>
    <w:rsid w:val="00350091"/>
    <w:rsid w:val="00350A63"/>
    <w:rsid w:val="00351EB7"/>
    <w:rsid w:val="00352AF1"/>
    <w:rsid w:val="00352B96"/>
    <w:rsid w:val="00353669"/>
    <w:rsid w:val="003547F4"/>
    <w:rsid w:val="00354AFA"/>
    <w:rsid w:val="0035763D"/>
    <w:rsid w:val="00357FB4"/>
    <w:rsid w:val="003601CB"/>
    <w:rsid w:val="0036044A"/>
    <w:rsid w:val="00360EA1"/>
    <w:rsid w:val="00361818"/>
    <w:rsid w:val="0036366F"/>
    <w:rsid w:val="0036392D"/>
    <w:rsid w:val="00363AA0"/>
    <w:rsid w:val="00364A83"/>
    <w:rsid w:val="00366438"/>
    <w:rsid w:val="0036677D"/>
    <w:rsid w:val="00367F94"/>
    <w:rsid w:val="00370350"/>
    <w:rsid w:val="003715B9"/>
    <w:rsid w:val="00373902"/>
    <w:rsid w:val="00375609"/>
    <w:rsid w:val="003801A4"/>
    <w:rsid w:val="003813CA"/>
    <w:rsid w:val="00383444"/>
    <w:rsid w:val="00383E8B"/>
    <w:rsid w:val="0038431C"/>
    <w:rsid w:val="00384B5A"/>
    <w:rsid w:val="0038701C"/>
    <w:rsid w:val="0038776B"/>
    <w:rsid w:val="00390B0D"/>
    <w:rsid w:val="0039137E"/>
    <w:rsid w:val="003938FF"/>
    <w:rsid w:val="00393981"/>
    <w:rsid w:val="00394C6F"/>
    <w:rsid w:val="0039761E"/>
    <w:rsid w:val="003977B5"/>
    <w:rsid w:val="003A03C3"/>
    <w:rsid w:val="003A0895"/>
    <w:rsid w:val="003A0D56"/>
    <w:rsid w:val="003A2E98"/>
    <w:rsid w:val="003A359C"/>
    <w:rsid w:val="003A5BC2"/>
    <w:rsid w:val="003A656A"/>
    <w:rsid w:val="003A6A0E"/>
    <w:rsid w:val="003A73BF"/>
    <w:rsid w:val="003B5610"/>
    <w:rsid w:val="003B5C2F"/>
    <w:rsid w:val="003B5D4B"/>
    <w:rsid w:val="003B67B4"/>
    <w:rsid w:val="003B6E5F"/>
    <w:rsid w:val="003C1983"/>
    <w:rsid w:val="003C1AF4"/>
    <w:rsid w:val="003C2AEA"/>
    <w:rsid w:val="003C3254"/>
    <w:rsid w:val="003C407D"/>
    <w:rsid w:val="003C43CE"/>
    <w:rsid w:val="003C465D"/>
    <w:rsid w:val="003C5F1A"/>
    <w:rsid w:val="003C652D"/>
    <w:rsid w:val="003C6B0D"/>
    <w:rsid w:val="003D0C4C"/>
    <w:rsid w:val="003D1F0D"/>
    <w:rsid w:val="003D7985"/>
    <w:rsid w:val="003E17D7"/>
    <w:rsid w:val="003E2361"/>
    <w:rsid w:val="003E246D"/>
    <w:rsid w:val="003E33C8"/>
    <w:rsid w:val="003E3471"/>
    <w:rsid w:val="003E37F1"/>
    <w:rsid w:val="003E3FEF"/>
    <w:rsid w:val="003E5658"/>
    <w:rsid w:val="003E6F02"/>
    <w:rsid w:val="003E7FC3"/>
    <w:rsid w:val="003F3B3E"/>
    <w:rsid w:val="003F4F42"/>
    <w:rsid w:val="003F5250"/>
    <w:rsid w:val="003F62C7"/>
    <w:rsid w:val="003F69F6"/>
    <w:rsid w:val="003F733B"/>
    <w:rsid w:val="00401CF1"/>
    <w:rsid w:val="004025E4"/>
    <w:rsid w:val="00404A09"/>
    <w:rsid w:val="00410868"/>
    <w:rsid w:val="00414320"/>
    <w:rsid w:val="004146A5"/>
    <w:rsid w:val="00414C64"/>
    <w:rsid w:val="00415426"/>
    <w:rsid w:val="0041578D"/>
    <w:rsid w:val="00417449"/>
    <w:rsid w:val="00417A63"/>
    <w:rsid w:val="00422114"/>
    <w:rsid w:val="0042240B"/>
    <w:rsid w:val="00423C71"/>
    <w:rsid w:val="00424634"/>
    <w:rsid w:val="00426B61"/>
    <w:rsid w:val="00432C2D"/>
    <w:rsid w:val="00433491"/>
    <w:rsid w:val="0043558F"/>
    <w:rsid w:val="00435649"/>
    <w:rsid w:val="00435693"/>
    <w:rsid w:val="0044033E"/>
    <w:rsid w:val="00441F0E"/>
    <w:rsid w:val="0044230E"/>
    <w:rsid w:val="00442B8E"/>
    <w:rsid w:val="004431F0"/>
    <w:rsid w:val="0044425A"/>
    <w:rsid w:val="0045174B"/>
    <w:rsid w:val="00452EC6"/>
    <w:rsid w:val="00455F4C"/>
    <w:rsid w:val="00460C42"/>
    <w:rsid w:val="00461416"/>
    <w:rsid w:val="00462966"/>
    <w:rsid w:val="004642EF"/>
    <w:rsid w:val="0046707E"/>
    <w:rsid w:val="00470A51"/>
    <w:rsid w:val="0047209E"/>
    <w:rsid w:val="004739D9"/>
    <w:rsid w:val="00473D3F"/>
    <w:rsid w:val="004764DC"/>
    <w:rsid w:val="004811E1"/>
    <w:rsid w:val="004842E2"/>
    <w:rsid w:val="00485101"/>
    <w:rsid w:val="00486583"/>
    <w:rsid w:val="004873B4"/>
    <w:rsid w:val="004879EA"/>
    <w:rsid w:val="00490804"/>
    <w:rsid w:val="00490F5A"/>
    <w:rsid w:val="004922AD"/>
    <w:rsid w:val="0049414A"/>
    <w:rsid w:val="004953B4"/>
    <w:rsid w:val="00496A69"/>
    <w:rsid w:val="004A193E"/>
    <w:rsid w:val="004A1B8F"/>
    <w:rsid w:val="004A1D07"/>
    <w:rsid w:val="004A2D56"/>
    <w:rsid w:val="004A3423"/>
    <w:rsid w:val="004A36C0"/>
    <w:rsid w:val="004A38FF"/>
    <w:rsid w:val="004A718F"/>
    <w:rsid w:val="004B056B"/>
    <w:rsid w:val="004B0D1E"/>
    <w:rsid w:val="004B159B"/>
    <w:rsid w:val="004B4F4D"/>
    <w:rsid w:val="004B599B"/>
    <w:rsid w:val="004B5C5D"/>
    <w:rsid w:val="004B62A2"/>
    <w:rsid w:val="004C0539"/>
    <w:rsid w:val="004C0890"/>
    <w:rsid w:val="004C1C13"/>
    <w:rsid w:val="004C2169"/>
    <w:rsid w:val="004C2B7A"/>
    <w:rsid w:val="004C340A"/>
    <w:rsid w:val="004C3588"/>
    <w:rsid w:val="004C5167"/>
    <w:rsid w:val="004D147A"/>
    <w:rsid w:val="004D299E"/>
    <w:rsid w:val="004E19FE"/>
    <w:rsid w:val="004E20E5"/>
    <w:rsid w:val="004E3D80"/>
    <w:rsid w:val="004E4420"/>
    <w:rsid w:val="004E48AC"/>
    <w:rsid w:val="004E6351"/>
    <w:rsid w:val="004E6C20"/>
    <w:rsid w:val="004E713D"/>
    <w:rsid w:val="004F100D"/>
    <w:rsid w:val="004F22C7"/>
    <w:rsid w:val="004F3D82"/>
    <w:rsid w:val="004F69F8"/>
    <w:rsid w:val="004F763E"/>
    <w:rsid w:val="004F7830"/>
    <w:rsid w:val="005019B5"/>
    <w:rsid w:val="00505350"/>
    <w:rsid w:val="005053CB"/>
    <w:rsid w:val="005056E2"/>
    <w:rsid w:val="00506852"/>
    <w:rsid w:val="00507966"/>
    <w:rsid w:val="00510BFA"/>
    <w:rsid w:val="00512EFB"/>
    <w:rsid w:val="005214F0"/>
    <w:rsid w:val="005221B4"/>
    <w:rsid w:val="005221E9"/>
    <w:rsid w:val="00525017"/>
    <w:rsid w:val="0053298A"/>
    <w:rsid w:val="005340D3"/>
    <w:rsid w:val="005348F2"/>
    <w:rsid w:val="00535A55"/>
    <w:rsid w:val="00537D4D"/>
    <w:rsid w:val="00537F97"/>
    <w:rsid w:val="005401E8"/>
    <w:rsid w:val="005409AD"/>
    <w:rsid w:val="00540A81"/>
    <w:rsid w:val="00541FA7"/>
    <w:rsid w:val="005444B1"/>
    <w:rsid w:val="00544FBB"/>
    <w:rsid w:val="00545182"/>
    <w:rsid w:val="005467C0"/>
    <w:rsid w:val="00546869"/>
    <w:rsid w:val="00550132"/>
    <w:rsid w:val="00550E7C"/>
    <w:rsid w:val="00551475"/>
    <w:rsid w:val="005519C3"/>
    <w:rsid w:val="00552F2E"/>
    <w:rsid w:val="005531BB"/>
    <w:rsid w:val="00553F69"/>
    <w:rsid w:val="00555237"/>
    <w:rsid w:val="00555AA3"/>
    <w:rsid w:val="0055602B"/>
    <w:rsid w:val="00556CCA"/>
    <w:rsid w:val="00561F07"/>
    <w:rsid w:val="0056208E"/>
    <w:rsid w:val="005623C8"/>
    <w:rsid w:val="00564C97"/>
    <w:rsid w:val="00565623"/>
    <w:rsid w:val="005708ED"/>
    <w:rsid w:val="00570D91"/>
    <w:rsid w:val="005730DA"/>
    <w:rsid w:val="00576A01"/>
    <w:rsid w:val="0058055B"/>
    <w:rsid w:val="00581955"/>
    <w:rsid w:val="0058272B"/>
    <w:rsid w:val="0058476E"/>
    <w:rsid w:val="00585F4F"/>
    <w:rsid w:val="005864F2"/>
    <w:rsid w:val="00586975"/>
    <w:rsid w:val="00586F2A"/>
    <w:rsid w:val="005870BD"/>
    <w:rsid w:val="0059003C"/>
    <w:rsid w:val="00593EE7"/>
    <w:rsid w:val="005951FC"/>
    <w:rsid w:val="00595D6B"/>
    <w:rsid w:val="005974B3"/>
    <w:rsid w:val="005A3A7A"/>
    <w:rsid w:val="005A5B34"/>
    <w:rsid w:val="005A5B6E"/>
    <w:rsid w:val="005A733A"/>
    <w:rsid w:val="005A776A"/>
    <w:rsid w:val="005B40C4"/>
    <w:rsid w:val="005B45EA"/>
    <w:rsid w:val="005B4A6C"/>
    <w:rsid w:val="005B5C78"/>
    <w:rsid w:val="005B5CAD"/>
    <w:rsid w:val="005B6116"/>
    <w:rsid w:val="005C0407"/>
    <w:rsid w:val="005C0705"/>
    <w:rsid w:val="005C099D"/>
    <w:rsid w:val="005C0A4C"/>
    <w:rsid w:val="005C3262"/>
    <w:rsid w:val="005C4291"/>
    <w:rsid w:val="005C4E87"/>
    <w:rsid w:val="005C5A3A"/>
    <w:rsid w:val="005D1FF1"/>
    <w:rsid w:val="005D2C00"/>
    <w:rsid w:val="005D33BC"/>
    <w:rsid w:val="005D3C6A"/>
    <w:rsid w:val="005D4965"/>
    <w:rsid w:val="005D49DB"/>
    <w:rsid w:val="005D4A12"/>
    <w:rsid w:val="005D53B0"/>
    <w:rsid w:val="005D6246"/>
    <w:rsid w:val="005E1B8F"/>
    <w:rsid w:val="005E1D1E"/>
    <w:rsid w:val="005E20B4"/>
    <w:rsid w:val="005E2D13"/>
    <w:rsid w:val="005E3D12"/>
    <w:rsid w:val="005E3F28"/>
    <w:rsid w:val="005E43A8"/>
    <w:rsid w:val="005E6483"/>
    <w:rsid w:val="005E6544"/>
    <w:rsid w:val="005E7965"/>
    <w:rsid w:val="005F20F2"/>
    <w:rsid w:val="005F51F5"/>
    <w:rsid w:val="005F5704"/>
    <w:rsid w:val="005F6392"/>
    <w:rsid w:val="005F6A22"/>
    <w:rsid w:val="005F7E09"/>
    <w:rsid w:val="00601017"/>
    <w:rsid w:val="00601F63"/>
    <w:rsid w:val="00606DF2"/>
    <w:rsid w:val="00607F15"/>
    <w:rsid w:val="006108B4"/>
    <w:rsid w:val="006112A9"/>
    <w:rsid w:val="00611503"/>
    <w:rsid w:val="00611824"/>
    <w:rsid w:val="00612D7E"/>
    <w:rsid w:val="006142C4"/>
    <w:rsid w:val="00617FE0"/>
    <w:rsid w:val="006201D5"/>
    <w:rsid w:val="00621D89"/>
    <w:rsid w:val="00622CEE"/>
    <w:rsid w:val="00623319"/>
    <w:rsid w:val="00624482"/>
    <w:rsid w:val="00625D1D"/>
    <w:rsid w:val="00627652"/>
    <w:rsid w:val="0063037D"/>
    <w:rsid w:val="00632347"/>
    <w:rsid w:val="0063314D"/>
    <w:rsid w:val="00634F14"/>
    <w:rsid w:val="00635430"/>
    <w:rsid w:val="006357A7"/>
    <w:rsid w:val="00635B08"/>
    <w:rsid w:val="0063634B"/>
    <w:rsid w:val="00637883"/>
    <w:rsid w:val="00637D4C"/>
    <w:rsid w:val="00640548"/>
    <w:rsid w:val="006421BE"/>
    <w:rsid w:val="00643B98"/>
    <w:rsid w:val="006450AF"/>
    <w:rsid w:val="006504BB"/>
    <w:rsid w:val="006507E9"/>
    <w:rsid w:val="006523C4"/>
    <w:rsid w:val="00653373"/>
    <w:rsid w:val="00654E39"/>
    <w:rsid w:val="0065506E"/>
    <w:rsid w:val="006575E6"/>
    <w:rsid w:val="0066161C"/>
    <w:rsid w:val="00661D44"/>
    <w:rsid w:val="00663197"/>
    <w:rsid w:val="00663848"/>
    <w:rsid w:val="006661B4"/>
    <w:rsid w:val="006669AC"/>
    <w:rsid w:val="00671079"/>
    <w:rsid w:val="00673408"/>
    <w:rsid w:val="00673456"/>
    <w:rsid w:val="00676664"/>
    <w:rsid w:val="00676C1F"/>
    <w:rsid w:val="00677763"/>
    <w:rsid w:val="00677C3E"/>
    <w:rsid w:val="00681477"/>
    <w:rsid w:val="006822DB"/>
    <w:rsid w:val="006856A4"/>
    <w:rsid w:val="00685DF9"/>
    <w:rsid w:val="00693DCD"/>
    <w:rsid w:val="00695436"/>
    <w:rsid w:val="0069637F"/>
    <w:rsid w:val="006A0A80"/>
    <w:rsid w:val="006A0E92"/>
    <w:rsid w:val="006A3A8C"/>
    <w:rsid w:val="006A3D17"/>
    <w:rsid w:val="006A4AA8"/>
    <w:rsid w:val="006A4DC8"/>
    <w:rsid w:val="006A579A"/>
    <w:rsid w:val="006A5C53"/>
    <w:rsid w:val="006A6307"/>
    <w:rsid w:val="006A6E06"/>
    <w:rsid w:val="006A6E10"/>
    <w:rsid w:val="006B051F"/>
    <w:rsid w:val="006B075F"/>
    <w:rsid w:val="006B1E82"/>
    <w:rsid w:val="006B3211"/>
    <w:rsid w:val="006B5411"/>
    <w:rsid w:val="006B6BF7"/>
    <w:rsid w:val="006C0500"/>
    <w:rsid w:val="006C09B6"/>
    <w:rsid w:val="006C12FE"/>
    <w:rsid w:val="006C2AE8"/>
    <w:rsid w:val="006C3057"/>
    <w:rsid w:val="006C3067"/>
    <w:rsid w:val="006C3C79"/>
    <w:rsid w:val="006C5FAB"/>
    <w:rsid w:val="006C7768"/>
    <w:rsid w:val="006D0C77"/>
    <w:rsid w:val="006D0D6C"/>
    <w:rsid w:val="006D0E2C"/>
    <w:rsid w:val="006D1B76"/>
    <w:rsid w:val="006D2019"/>
    <w:rsid w:val="006D257F"/>
    <w:rsid w:val="006D3643"/>
    <w:rsid w:val="006E03D8"/>
    <w:rsid w:val="006E203A"/>
    <w:rsid w:val="006E36BF"/>
    <w:rsid w:val="006E443F"/>
    <w:rsid w:val="006F1926"/>
    <w:rsid w:val="006F222C"/>
    <w:rsid w:val="006F2E61"/>
    <w:rsid w:val="006F2EE7"/>
    <w:rsid w:val="006F4A00"/>
    <w:rsid w:val="006F59F8"/>
    <w:rsid w:val="006F5B22"/>
    <w:rsid w:val="00700790"/>
    <w:rsid w:val="00702895"/>
    <w:rsid w:val="007039A8"/>
    <w:rsid w:val="00704E88"/>
    <w:rsid w:val="0070517F"/>
    <w:rsid w:val="00705798"/>
    <w:rsid w:val="0071566A"/>
    <w:rsid w:val="00721B13"/>
    <w:rsid w:val="0072434B"/>
    <w:rsid w:val="00727AD8"/>
    <w:rsid w:val="007307C1"/>
    <w:rsid w:val="007317B9"/>
    <w:rsid w:val="007350F2"/>
    <w:rsid w:val="00736F69"/>
    <w:rsid w:val="00740681"/>
    <w:rsid w:val="00744EC7"/>
    <w:rsid w:val="00747C45"/>
    <w:rsid w:val="00747E3C"/>
    <w:rsid w:val="007506F8"/>
    <w:rsid w:val="007512B5"/>
    <w:rsid w:val="007515A8"/>
    <w:rsid w:val="0075314E"/>
    <w:rsid w:val="00753A9B"/>
    <w:rsid w:val="00753E30"/>
    <w:rsid w:val="007544AA"/>
    <w:rsid w:val="007547E8"/>
    <w:rsid w:val="00754B71"/>
    <w:rsid w:val="00755382"/>
    <w:rsid w:val="007561DF"/>
    <w:rsid w:val="00756D0E"/>
    <w:rsid w:val="00756EAF"/>
    <w:rsid w:val="00757CBD"/>
    <w:rsid w:val="007607D8"/>
    <w:rsid w:val="00760EED"/>
    <w:rsid w:val="007623BA"/>
    <w:rsid w:val="00762834"/>
    <w:rsid w:val="00763863"/>
    <w:rsid w:val="00763CB1"/>
    <w:rsid w:val="00764604"/>
    <w:rsid w:val="00765706"/>
    <w:rsid w:val="007660D8"/>
    <w:rsid w:val="0076657E"/>
    <w:rsid w:val="007665FE"/>
    <w:rsid w:val="007671C5"/>
    <w:rsid w:val="00767838"/>
    <w:rsid w:val="0077225B"/>
    <w:rsid w:val="00773390"/>
    <w:rsid w:val="00773DE8"/>
    <w:rsid w:val="00776E26"/>
    <w:rsid w:val="00776E8E"/>
    <w:rsid w:val="007807F0"/>
    <w:rsid w:val="00782375"/>
    <w:rsid w:val="007845F5"/>
    <w:rsid w:val="007847D3"/>
    <w:rsid w:val="007850C8"/>
    <w:rsid w:val="007850F5"/>
    <w:rsid w:val="00785AA4"/>
    <w:rsid w:val="00785BBB"/>
    <w:rsid w:val="007871D5"/>
    <w:rsid w:val="007913B7"/>
    <w:rsid w:val="0079185B"/>
    <w:rsid w:val="00792CDB"/>
    <w:rsid w:val="00793E1B"/>
    <w:rsid w:val="00797496"/>
    <w:rsid w:val="007A033C"/>
    <w:rsid w:val="007A0F75"/>
    <w:rsid w:val="007A31AA"/>
    <w:rsid w:val="007A41EB"/>
    <w:rsid w:val="007A58CB"/>
    <w:rsid w:val="007A6ACC"/>
    <w:rsid w:val="007A76B0"/>
    <w:rsid w:val="007B0667"/>
    <w:rsid w:val="007B08D7"/>
    <w:rsid w:val="007B1370"/>
    <w:rsid w:val="007B1505"/>
    <w:rsid w:val="007B2455"/>
    <w:rsid w:val="007B5B1B"/>
    <w:rsid w:val="007C2C1B"/>
    <w:rsid w:val="007C31A5"/>
    <w:rsid w:val="007C46FE"/>
    <w:rsid w:val="007C5098"/>
    <w:rsid w:val="007C7678"/>
    <w:rsid w:val="007D099B"/>
    <w:rsid w:val="007D236B"/>
    <w:rsid w:val="007D66B5"/>
    <w:rsid w:val="007E158F"/>
    <w:rsid w:val="007E1BDD"/>
    <w:rsid w:val="007E1F3F"/>
    <w:rsid w:val="007E5F8C"/>
    <w:rsid w:val="007E676D"/>
    <w:rsid w:val="007F15E3"/>
    <w:rsid w:val="007F26F6"/>
    <w:rsid w:val="007F3355"/>
    <w:rsid w:val="007F5D5E"/>
    <w:rsid w:val="007F613D"/>
    <w:rsid w:val="007F6E45"/>
    <w:rsid w:val="007F7ADF"/>
    <w:rsid w:val="007F7EC4"/>
    <w:rsid w:val="00801363"/>
    <w:rsid w:val="00801C4F"/>
    <w:rsid w:val="00805ED4"/>
    <w:rsid w:val="00807531"/>
    <w:rsid w:val="00807B1B"/>
    <w:rsid w:val="0081453D"/>
    <w:rsid w:val="008159F0"/>
    <w:rsid w:val="00815C5F"/>
    <w:rsid w:val="0082004C"/>
    <w:rsid w:val="008248A9"/>
    <w:rsid w:val="00824E19"/>
    <w:rsid w:val="008257C9"/>
    <w:rsid w:val="00827F8A"/>
    <w:rsid w:val="00832DD3"/>
    <w:rsid w:val="00834B26"/>
    <w:rsid w:val="00834F41"/>
    <w:rsid w:val="00835027"/>
    <w:rsid w:val="00835105"/>
    <w:rsid w:val="0083519F"/>
    <w:rsid w:val="0083535D"/>
    <w:rsid w:val="0083651F"/>
    <w:rsid w:val="00836E2E"/>
    <w:rsid w:val="00837351"/>
    <w:rsid w:val="00840868"/>
    <w:rsid w:val="008449F6"/>
    <w:rsid w:val="00844A9A"/>
    <w:rsid w:val="00844BBE"/>
    <w:rsid w:val="008450E9"/>
    <w:rsid w:val="00846749"/>
    <w:rsid w:val="00846830"/>
    <w:rsid w:val="00850384"/>
    <w:rsid w:val="0085144F"/>
    <w:rsid w:val="0085234C"/>
    <w:rsid w:val="00852F47"/>
    <w:rsid w:val="00853129"/>
    <w:rsid w:val="00854EB1"/>
    <w:rsid w:val="008554D1"/>
    <w:rsid w:val="00855DE9"/>
    <w:rsid w:val="00862A29"/>
    <w:rsid w:val="00862E37"/>
    <w:rsid w:val="008635A6"/>
    <w:rsid w:val="00863643"/>
    <w:rsid w:val="0086549A"/>
    <w:rsid w:val="00865C5A"/>
    <w:rsid w:val="008662F3"/>
    <w:rsid w:val="008678B2"/>
    <w:rsid w:val="008708FF"/>
    <w:rsid w:val="00870E9E"/>
    <w:rsid w:val="0087133F"/>
    <w:rsid w:val="008730ED"/>
    <w:rsid w:val="00874AB5"/>
    <w:rsid w:val="00874BCB"/>
    <w:rsid w:val="0088106B"/>
    <w:rsid w:val="00883117"/>
    <w:rsid w:val="008848A3"/>
    <w:rsid w:val="00886087"/>
    <w:rsid w:val="0088633F"/>
    <w:rsid w:val="008910CB"/>
    <w:rsid w:val="00891E0A"/>
    <w:rsid w:val="00892057"/>
    <w:rsid w:val="00892682"/>
    <w:rsid w:val="00894E32"/>
    <w:rsid w:val="00895DA7"/>
    <w:rsid w:val="008A0FF4"/>
    <w:rsid w:val="008A5276"/>
    <w:rsid w:val="008A5481"/>
    <w:rsid w:val="008A54D9"/>
    <w:rsid w:val="008A5A12"/>
    <w:rsid w:val="008A5A66"/>
    <w:rsid w:val="008B0661"/>
    <w:rsid w:val="008B1A46"/>
    <w:rsid w:val="008B41B3"/>
    <w:rsid w:val="008B458D"/>
    <w:rsid w:val="008C13DE"/>
    <w:rsid w:val="008C4B36"/>
    <w:rsid w:val="008C57D4"/>
    <w:rsid w:val="008C6F52"/>
    <w:rsid w:val="008C7886"/>
    <w:rsid w:val="008D1462"/>
    <w:rsid w:val="008D190C"/>
    <w:rsid w:val="008D1CC8"/>
    <w:rsid w:val="008D1F8F"/>
    <w:rsid w:val="008D2246"/>
    <w:rsid w:val="008D2EE7"/>
    <w:rsid w:val="008D3754"/>
    <w:rsid w:val="008D5D8E"/>
    <w:rsid w:val="008D65F6"/>
    <w:rsid w:val="008D6A39"/>
    <w:rsid w:val="008D6BC5"/>
    <w:rsid w:val="008D7CCD"/>
    <w:rsid w:val="008E0ACF"/>
    <w:rsid w:val="008E2097"/>
    <w:rsid w:val="008E383D"/>
    <w:rsid w:val="008E6685"/>
    <w:rsid w:val="008E6FBA"/>
    <w:rsid w:val="008E7823"/>
    <w:rsid w:val="008F1692"/>
    <w:rsid w:val="008F25E8"/>
    <w:rsid w:val="008F27A8"/>
    <w:rsid w:val="008F2E5E"/>
    <w:rsid w:val="008F394C"/>
    <w:rsid w:val="008F3F12"/>
    <w:rsid w:val="008F45A0"/>
    <w:rsid w:val="008F5570"/>
    <w:rsid w:val="008F7632"/>
    <w:rsid w:val="008F778D"/>
    <w:rsid w:val="008F7873"/>
    <w:rsid w:val="00900098"/>
    <w:rsid w:val="009005AD"/>
    <w:rsid w:val="00900758"/>
    <w:rsid w:val="00901343"/>
    <w:rsid w:val="00902264"/>
    <w:rsid w:val="00905547"/>
    <w:rsid w:val="00905825"/>
    <w:rsid w:val="009062C6"/>
    <w:rsid w:val="0090716F"/>
    <w:rsid w:val="00907EA3"/>
    <w:rsid w:val="0091089C"/>
    <w:rsid w:val="00912732"/>
    <w:rsid w:val="00912C00"/>
    <w:rsid w:val="0091322F"/>
    <w:rsid w:val="009135D8"/>
    <w:rsid w:val="00915B2D"/>
    <w:rsid w:val="00915D3F"/>
    <w:rsid w:val="00920EF5"/>
    <w:rsid w:val="00923B80"/>
    <w:rsid w:val="00925C21"/>
    <w:rsid w:val="00925EA5"/>
    <w:rsid w:val="00925EC9"/>
    <w:rsid w:val="0092611E"/>
    <w:rsid w:val="00926679"/>
    <w:rsid w:val="0093172B"/>
    <w:rsid w:val="00932595"/>
    <w:rsid w:val="009355E3"/>
    <w:rsid w:val="009376E6"/>
    <w:rsid w:val="00943446"/>
    <w:rsid w:val="00943A02"/>
    <w:rsid w:val="00943FEA"/>
    <w:rsid w:val="009451B9"/>
    <w:rsid w:val="00946119"/>
    <w:rsid w:val="00946336"/>
    <w:rsid w:val="009464F4"/>
    <w:rsid w:val="00946AC9"/>
    <w:rsid w:val="00946E1A"/>
    <w:rsid w:val="0095642B"/>
    <w:rsid w:val="00957CF8"/>
    <w:rsid w:val="009603D9"/>
    <w:rsid w:val="009606C7"/>
    <w:rsid w:val="00960F5A"/>
    <w:rsid w:val="0096186D"/>
    <w:rsid w:val="009618C0"/>
    <w:rsid w:val="00961E1A"/>
    <w:rsid w:val="00962221"/>
    <w:rsid w:val="0096416E"/>
    <w:rsid w:val="009657D8"/>
    <w:rsid w:val="0096596C"/>
    <w:rsid w:val="00967500"/>
    <w:rsid w:val="0097197D"/>
    <w:rsid w:val="00971E00"/>
    <w:rsid w:val="00972E5E"/>
    <w:rsid w:val="00980665"/>
    <w:rsid w:val="00983F12"/>
    <w:rsid w:val="00985003"/>
    <w:rsid w:val="00987496"/>
    <w:rsid w:val="00990390"/>
    <w:rsid w:val="009919C7"/>
    <w:rsid w:val="009929C8"/>
    <w:rsid w:val="00993636"/>
    <w:rsid w:val="00993659"/>
    <w:rsid w:val="00993B91"/>
    <w:rsid w:val="00994136"/>
    <w:rsid w:val="00994AE2"/>
    <w:rsid w:val="00995E23"/>
    <w:rsid w:val="009964E7"/>
    <w:rsid w:val="00996ED8"/>
    <w:rsid w:val="009A0D3E"/>
    <w:rsid w:val="009A5428"/>
    <w:rsid w:val="009A7315"/>
    <w:rsid w:val="009A7E78"/>
    <w:rsid w:val="009B0519"/>
    <w:rsid w:val="009B3853"/>
    <w:rsid w:val="009B38BD"/>
    <w:rsid w:val="009B5507"/>
    <w:rsid w:val="009B6ECD"/>
    <w:rsid w:val="009C0F10"/>
    <w:rsid w:val="009C156E"/>
    <w:rsid w:val="009C172D"/>
    <w:rsid w:val="009C27EC"/>
    <w:rsid w:val="009C3A0C"/>
    <w:rsid w:val="009C3A80"/>
    <w:rsid w:val="009D082A"/>
    <w:rsid w:val="009D1582"/>
    <w:rsid w:val="009D2657"/>
    <w:rsid w:val="009D69D7"/>
    <w:rsid w:val="009D780F"/>
    <w:rsid w:val="009D7E85"/>
    <w:rsid w:val="009E16A5"/>
    <w:rsid w:val="009E5793"/>
    <w:rsid w:val="009E648A"/>
    <w:rsid w:val="009F00B2"/>
    <w:rsid w:val="009F0BE9"/>
    <w:rsid w:val="009F4D59"/>
    <w:rsid w:val="009F67C8"/>
    <w:rsid w:val="009F7A26"/>
    <w:rsid w:val="009F7EEB"/>
    <w:rsid w:val="00A00AFF"/>
    <w:rsid w:val="00A0114F"/>
    <w:rsid w:val="00A0539D"/>
    <w:rsid w:val="00A108BC"/>
    <w:rsid w:val="00A1157E"/>
    <w:rsid w:val="00A11961"/>
    <w:rsid w:val="00A11B66"/>
    <w:rsid w:val="00A11C26"/>
    <w:rsid w:val="00A11D2A"/>
    <w:rsid w:val="00A15F2F"/>
    <w:rsid w:val="00A2009B"/>
    <w:rsid w:val="00A23EC8"/>
    <w:rsid w:val="00A24C26"/>
    <w:rsid w:val="00A258B6"/>
    <w:rsid w:val="00A25A7C"/>
    <w:rsid w:val="00A25F67"/>
    <w:rsid w:val="00A26294"/>
    <w:rsid w:val="00A33C3B"/>
    <w:rsid w:val="00A34668"/>
    <w:rsid w:val="00A357E2"/>
    <w:rsid w:val="00A40E7D"/>
    <w:rsid w:val="00A430B2"/>
    <w:rsid w:val="00A43FFC"/>
    <w:rsid w:val="00A44798"/>
    <w:rsid w:val="00A450AE"/>
    <w:rsid w:val="00A4522D"/>
    <w:rsid w:val="00A45B71"/>
    <w:rsid w:val="00A45C54"/>
    <w:rsid w:val="00A474E4"/>
    <w:rsid w:val="00A47816"/>
    <w:rsid w:val="00A504F3"/>
    <w:rsid w:val="00A512C2"/>
    <w:rsid w:val="00A52AA2"/>
    <w:rsid w:val="00A53602"/>
    <w:rsid w:val="00A55D8B"/>
    <w:rsid w:val="00A55EB3"/>
    <w:rsid w:val="00A57512"/>
    <w:rsid w:val="00A575A0"/>
    <w:rsid w:val="00A61092"/>
    <w:rsid w:val="00A65146"/>
    <w:rsid w:val="00A6542C"/>
    <w:rsid w:val="00A66F26"/>
    <w:rsid w:val="00A70285"/>
    <w:rsid w:val="00A706F5"/>
    <w:rsid w:val="00A7158F"/>
    <w:rsid w:val="00A71C35"/>
    <w:rsid w:val="00A72FC5"/>
    <w:rsid w:val="00A76AE1"/>
    <w:rsid w:val="00A7793B"/>
    <w:rsid w:val="00A83CED"/>
    <w:rsid w:val="00A84A20"/>
    <w:rsid w:val="00A876BC"/>
    <w:rsid w:val="00A902CD"/>
    <w:rsid w:val="00A90C87"/>
    <w:rsid w:val="00A92DB3"/>
    <w:rsid w:val="00A9497D"/>
    <w:rsid w:val="00A950BF"/>
    <w:rsid w:val="00A97A03"/>
    <w:rsid w:val="00AA3290"/>
    <w:rsid w:val="00AA49E4"/>
    <w:rsid w:val="00AB1AE1"/>
    <w:rsid w:val="00AB1C19"/>
    <w:rsid w:val="00AB212E"/>
    <w:rsid w:val="00AB2321"/>
    <w:rsid w:val="00AB24F1"/>
    <w:rsid w:val="00AB567B"/>
    <w:rsid w:val="00AB7165"/>
    <w:rsid w:val="00AB74DC"/>
    <w:rsid w:val="00AC01C5"/>
    <w:rsid w:val="00AC2717"/>
    <w:rsid w:val="00AC531E"/>
    <w:rsid w:val="00AC536F"/>
    <w:rsid w:val="00AC6A18"/>
    <w:rsid w:val="00AC7212"/>
    <w:rsid w:val="00AC72E0"/>
    <w:rsid w:val="00AD1592"/>
    <w:rsid w:val="00AD1876"/>
    <w:rsid w:val="00AD3BB9"/>
    <w:rsid w:val="00AD4723"/>
    <w:rsid w:val="00AD665F"/>
    <w:rsid w:val="00AE3FBB"/>
    <w:rsid w:val="00AE5B34"/>
    <w:rsid w:val="00AE5CBC"/>
    <w:rsid w:val="00AE5F49"/>
    <w:rsid w:val="00AE7290"/>
    <w:rsid w:val="00AE7756"/>
    <w:rsid w:val="00AF08F7"/>
    <w:rsid w:val="00AF3F95"/>
    <w:rsid w:val="00AF4726"/>
    <w:rsid w:val="00AF6632"/>
    <w:rsid w:val="00AF6772"/>
    <w:rsid w:val="00B0085C"/>
    <w:rsid w:val="00B008D4"/>
    <w:rsid w:val="00B03742"/>
    <w:rsid w:val="00B03A14"/>
    <w:rsid w:val="00B05330"/>
    <w:rsid w:val="00B053A9"/>
    <w:rsid w:val="00B060D9"/>
    <w:rsid w:val="00B06F44"/>
    <w:rsid w:val="00B10DCD"/>
    <w:rsid w:val="00B1104D"/>
    <w:rsid w:val="00B138D3"/>
    <w:rsid w:val="00B20EFD"/>
    <w:rsid w:val="00B2327B"/>
    <w:rsid w:val="00B26EEA"/>
    <w:rsid w:val="00B30556"/>
    <w:rsid w:val="00B30C64"/>
    <w:rsid w:val="00B33CC6"/>
    <w:rsid w:val="00B3666D"/>
    <w:rsid w:val="00B36A10"/>
    <w:rsid w:val="00B37B53"/>
    <w:rsid w:val="00B37CAF"/>
    <w:rsid w:val="00B407CA"/>
    <w:rsid w:val="00B40A80"/>
    <w:rsid w:val="00B40D10"/>
    <w:rsid w:val="00B414C5"/>
    <w:rsid w:val="00B42172"/>
    <w:rsid w:val="00B4236C"/>
    <w:rsid w:val="00B425BF"/>
    <w:rsid w:val="00B44C2D"/>
    <w:rsid w:val="00B473EB"/>
    <w:rsid w:val="00B474B8"/>
    <w:rsid w:val="00B47EEA"/>
    <w:rsid w:val="00B502DB"/>
    <w:rsid w:val="00B50550"/>
    <w:rsid w:val="00B509AA"/>
    <w:rsid w:val="00B50E63"/>
    <w:rsid w:val="00B51A00"/>
    <w:rsid w:val="00B52DB4"/>
    <w:rsid w:val="00B53003"/>
    <w:rsid w:val="00B536A5"/>
    <w:rsid w:val="00B53E2C"/>
    <w:rsid w:val="00B541C4"/>
    <w:rsid w:val="00B56F35"/>
    <w:rsid w:val="00B610AE"/>
    <w:rsid w:val="00B617FE"/>
    <w:rsid w:val="00B61FD0"/>
    <w:rsid w:val="00B64314"/>
    <w:rsid w:val="00B654A5"/>
    <w:rsid w:val="00B732C7"/>
    <w:rsid w:val="00B73F18"/>
    <w:rsid w:val="00B76FD8"/>
    <w:rsid w:val="00B810AA"/>
    <w:rsid w:val="00B811AE"/>
    <w:rsid w:val="00B84910"/>
    <w:rsid w:val="00B85459"/>
    <w:rsid w:val="00B8624B"/>
    <w:rsid w:val="00B86A2C"/>
    <w:rsid w:val="00B87E12"/>
    <w:rsid w:val="00B909D0"/>
    <w:rsid w:val="00B90B49"/>
    <w:rsid w:val="00B91609"/>
    <w:rsid w:val="00B92402"/>
    <w:rsid w:val="00B95A8B"/>
    <w:rsid w:val="00BA1261"/>
    <w:rsid w:val="00BA329B"/>
    <w:rsid w:val="00BA5AA3"/>
    <w:rsid w:val="00BA64F1"/>
    <w:rsid w:val="00BA7D70"/>
    <w:rsid w:val="00BB127C"/>
    <w:rsid w:val="00BB3A00"/>
    <w:rsid w:val="00BB3B69"/>
    <w:rsid w:val="00BB3E42"/>
    <w:rsid w:val="00BC09F0"/>
    <w:rsid w:val="00BC182E"/>
    <w:rsid w:val="00BC1AAA"/>
    <w:rsid w:val="00BC3B87"/>
    <w:rsid w:val="00BC4CD9"/>
    <w:rsid w:val="00BC5B39"/>
    <w:rsid w:val="00BC6965"/>
    <w:rsid w:val="00BC6C86"/>
    <w:rsid w:val="00BC724E"/>
    <w:rsid w:val="00BC7AFF"/>
    <w:rsid w:val="00BD0170"/>
    <w:rsid w:val="00BD2FE6"/>
    <w:rsid w:val="00BD5845"/>
    <w:rsid w:val="00BD5BD2"/>
    <w:rsid w:val="00BD61DF"/>
    <w:rsid w:val="00BD69A0"/>
    <w:rsid w:val="00BD7507"/>
    <w:rsid w:val="00BE3AFB"/>
    <w:rsid w:val="00BE4575"/>
    <w:rsid w:val="00BE519A"/>
    <w:rsid w:val="00BE53E9"/>
    <w:rsid w:val="00BE5415"/>
    <w:rsid w:val="00BE7D84"/>
    <w:rsid w:val="00BE7FEF"/>
    <w:rsid w:val="00BF0A26"/>
    <w:rsid w:val="00BF4F71"/>
    <w:rsid w:val="00BF562F"/>
    <w:rsid w:val="00BF78BF"/>
    <w:rsid w:val="00C00623"/>
    <w:rsid w:val="00C00684"/>
    <w:rsid w:val="00C01079"/>
    <w:rsid w:val="00C010CF"/>
    <w:rsid w:val="00C024B9"/>
    <w:rsid w:val="00C04EE9"/>
    <w:rsid w:val="00C070CB"/>
    <w:rsid w:val="00C0782F"/>
    <w:rsid w:val="00C10095"/>
    <w:rsid w:val="00C10A8D"/>
    <w:rsid w:val="00C122C4"/>
    <w:rsid w:val="00C12A3F"/>
    <w:rsid w:val="00C13575"/>
    <w:rsid w:val="00C13C6F"/>
    <w:rsid w:val="00C1774F"/>
    <w:rsid w:val="00C20D65"/>
    <w:rsid w:val="00C21576"/>
    <w:rsid w:val="00C22E6C"/>
    <w:rsid w:val="00C238B0"/>
    <w:rsid w:val="00C23A26"/>
    <w:rsid w:val="00C272B8"/>
    <w:rsid w:val="00C30108"/>
    <w:rsid w:val="00C30370"/>
    <w:rsid w:val="00C334F4"/>
    <w:rsid w:val="00C33F14"/>
    <w:rsid w:val="00C34006"/>
    <w:rsid w:val="00C341A6"/>
    <w:rsid w:val="00C35EB8"/>
    <w:rsid w:val="00C36B11"/>
    <w:rsid w:val="00C3795F"/>
    <w:rsid w:val="00C37ED2"/>
    <w:rsid w:val="00C41828"/>
    <w:rsid w:val="00C44835"/>
    <w:rsid w:val="00C467BA"/>
    <w:rsid w:val="00C468E1"/>
    <w:rsid w:val="00C5004A"/>
    <w:rsid w:val="00C50812"/>
    <w:rsid w:val="00C508FF"/>
    <w:rsid w:val="00C50C1F"/>
    <w:rsid w:val="00C50D24"/>
    <w:rsid w:val="00C51CBC"/>
    <w:rsid w:val="00C5302D"/>
    <w:rsid w:val="00C534CE"/>
    <w:rsid w:val="00C53977"/>
    <w:rsid w:val="00C54411"/>
    <w:rsid w:val="00C552E7"/>
    <w:rsid w:val="00C55326"/>
    <w:rsid w:val="00C56857"/>
    <w:rsid w:val="00C5771B"/>
    <w:rsid w:val="00C57B04"/>
    <w:rsid w:val="00C57B4C"/>
    <w:rsid w:val="00C60455"/>
    <w:rsid w:val="00C60CCE"/>
    <w:rsid w:val="00C614C7"/>
    <w:rsid w:val="00C62427"/>
    <w:rsid w:val="00C63240"/>
    <w:rsid w:val="00C63786"/>
    <w:rsid w:val="00C63D55"/>
    <w:rsid w:val="00C65913"/>
    <w:rsid w:val="00C674BB"/>
    <w:rsid w:val="00C67ECC"/>
    <w:rsid w:val="00C70EC7"/>
    <w:rsid w:val="00C72477"/>
    <w:rsid w:val="00C72768"/>
    <w:rsid w:val="00C73B0B"/>
    <w:rsid w:val="00C74B52"/>
    <w:rsid w:val="00C753B8"/>
    <w:rsid w:val="00C76132"/>
    <w:rsid w:val="00C76818"/>
    <w:rsid w:val="00C827EE"/>
    <w:rsid w:val="00C849ED"/>
    <w:rsid w:val="00C87541"/>
    <w:rsid w:val="00C92500"/>
    <w:rsid w:val="00C9590C"/>
    <w:rsid w:val="00C95BCC"/>
    <w:rsid w:val="00C974C5"/>
    <w:rsid w:val="00CA0EC6"/>
    <w:rsid w:val="00CA12E5"/>
    <w:rsid w:val="00CA1B12"/>
    <w:rsid w:val="00CA2669"/>
    <w:rsid w:val="00CA2693"/>
    <w:rsid w:val="00CA372D"/>
    <w:rsid w:val="00CA6305"/>
    <w:rsid w:val="00CB0118"/>
    <w:rsid w:val="00CB3D25"/>
    <w:rsid w:val="00CB504C"/>
    <w:rsid w:val="00CB5A76"/>
    <w:rsid w:val="00CB681C"/>
    <w:rsid w:val="00CC11BD"/>
    <w:rsid w:val="00CC20A1"/>
    <w:rsid w:val="00CC2A84"/>
    <w:rsid w:val="00CC2F87"/>
    <w:rsid w:val="00CC2FE1"/>
    <w:rsid w:val="00CC3FB7"/>
    <w:rsid w:val="00CC44EA"/>
    <w:rsid w:val="00CC709F"/>
    <w:rsid w:val="00CC7906"/>
    <w:rsid w:val="00CD00AB"/>
    <w:rsid w:val="00CD0235"/>
    <w:rsid w:val="00CD3388"/>
    <w:rsid w:val="00CD3896"/>
    <w:rsid w:val="00CD645A"/>
    <w:rsid w:val="00CE174E"/>
    <w:rsid w:val="00CE1E35"/>
    <w:rsid w:val="00CE62B9"/>
    <w:rsid w:val="00CE7E85"/>
    <w:rsid w:val="00CF41FC"/>
    <w:rsid w:val="00CF4703"/>
    <w:rsid w:val="00CF63B9"/>
    <w:rsid w:val="00CF770C"/>
    <w:rsid w:val="00D04832"/>
    <w:rsid w:val="00D04ED6"/>
    <w:rsid w:val="00D058A0"/>
    <w:rsid w:val="00D07500"/>
    <w:rsid w:val="00D153F2"/>
    <w:rsid w:val="00D15E89"/>
    <w:rsid w:val="00D174E1"/>
    <w:rsid w:val="00D179E1"/>
    <w:rsid w:val="00D23838"/>
    <w:rsid w:val="00D24AD0"/>
    <w:rsid w:val="00D25660"/>
    <w:rsid w:val="00D2789D"/>
    <w:rsid w:val="00D30010"/>
    <w:rsid w:val="00D323EC"/>
    <w:rsid w:val="00D32A61"/>
    <w:rsid w:val="00D334AF"/>
    <w:rsid w:val="00D33B06"/>
    <w:rsid w:val="00D35D4B"/>
    <w:rsid w:val="00D43F0D"/>
    <w:rsid w:val="00D440F8"/>
    <w:rsid w:val="00D452ED"/>
    <w:rsid w:val="00D45B86"/>
    <w:rsid w:val="00D46777"/>
    <w:rsid w:val="00D46982"/>
    <w:rsid w:val="00D505BA"/>
    <w:rsid w:val="00D51146"/>
    <w:rsid w:val="00D51DB0"/>
    <w:rsid w:val="00D52F8D"/>
    <w:rsid w:val="00D53CA8"/>
    <w:rsid w:val="00D54E47"/>
    <w:rsid w:val="00D54E50"/>
    <w:rsid w:val="00D551CF"/>
    <w:rsid w:val="00D57E1D"/>
    <w:rsid w:val="00D6158B"/>
    <w:rsid w:val="00D62E9D"/>
    <w:rsid w:val="00D65533"/>
    <w:rsid w:val="00D65E26"/>
    <w:rsid w:val="00D6738E"/>
    <w:rsid w:val="00D6753A"/>
    <w:rsid w:val="00D71587"/>
    <w:rsid w:val="00D72AE8"/>
    <w:rsid w:val="00D72C33"/>
    <w:rsid w:val="00D73413"/>
    <w:rsid w:val="00D75017"/>
    <w:rsid w:val="00D7648C"/>
    <w:rsid w:val="00D769B7"/>
    <w:rsid w:val="00D76A9E"/>
    <w:rsid w:val="00D77774"/>
    <w:rsid w:val="00D811AF"/>
    <w:rsid w:val="00D83491"/>
    <w:rsid w:val="00D83C67"/>
    <w:rsid w:val="00D85568"/>
    <w:rsid w:val="00D86341"/>
    <w:rsid w:val="00D91129"/>
    <w:rsid w:val="00D9132C"/>
    <w:rsid w:val="00D91425"/>
    <w:rsid w:val="00D9380D"/>
    <w:rsid w:val="00D950C3"/>
    <w:rsid w:val="00D95AD6"/>
    <w:rsid w:val="00D970AA"/>
    <w:rsid w:val="00DA0E9A"/>
    <w:rsid w:val="00DA4F69"/>
    <w:rsid w:val="00DA559E"/>
    <w:rsid w:val="00DA6F22"/>
    <w:rsid w:val="00DB1174"/>
    <w:rsid w:val="00DB3FF7"/>
    <w:rsid w:val="00DB4153"/>
    <w:rsid w:val="00DB4FEE"/>
    <w:rsid w:val="00DB5F7D"/>
    <w:rsid w:val="00DC0C4C"/>
    <w:rsid w:val="00DC226B"/>
    <w:rsid w:val="00DC22B8"/>
    <w:rsid w:val="00DC2EBB"/>
    <w:rsid w:val="00DC4CFF"/>
    <w:rsid w:val="00DC4DF9"/>
    <w:rsid w:val="00DC6245"/>
    <w:rsid w:val="00DC782E"/>
    <w:rsid w:val="00DD0395"/>
    <w:rsid w:val="00DD0811"/>
    <w:rsid w:val="00DD11B4"/>
    <w:rsid w:val="00DD1A2A"/>
    <w:rsid w:val="00DD1DD4"/>
    <w:rsid w:val="00DD3388"/>
    <w:rsid w:val="00DD460A"/>
    <w:rsid w:val="00DD4EC6"/>
    <w:rsid w:val="00DD64CA"/>
    <w:rsid w:val="00DE0CB7"/>
    <w:rsid w:val="00DE1823"/>
    <w:rsid w:val="00DE26BD"/>
    <w:rsid w:val="00DE2A8E"/>
    <w:rsid w:val="00DE3B55"/>
    <w:rsid w:val="00DE3FB4"/>
    <w:rsid w:val="00DE75E0"/>
    <w:rsid w:val="00DF6E20"/>
    <w:rsid w:val="00DF7065"/>
    <w:rsid w:val="00E0120B"/>
    <w:rsid w:val="00E01D2D"/>
    <w:rsid w:val="00E03C75"/>
    <w:rsid w:val="00E06293"/>
    <w:rsid w:val="00E0778B"/>
    <w:rsid w:val="00E10293"/>
    <w:rsid w:val="00E12EDA"/>
    <w:rsid w:val="00E165FD"/>
    <w:rsid w:val="00E166A6"/>
    <w:rsid w:val="00E178A5"/>
    <w:rsid w:val="00E207FA"/>
    <w:rsid w:val="00E211FB"/>
    <w:rsid w:val="00E22898"/>
    <w:rsid w:val="00E2407D"/>
    <w:rsid w:val="00E250CC"/>
    <w:rsid w:val="00E26D7F"/>
    <w:rsid w:val="00E26EFA"/>
    <w:rsid w:val="00E307E2"/>
    <w:rsid w:val="00E3147E"/>
    <w:rsid w:val="00E31771"/>
    <w:rsid w:val="00E31F97"/>
    <w:rsid w:val="00E3214F"/>
    <w:rsid w:val="00E344D2"/>
    <w:rsid w:val="00E36E1F"/>
    <w:rsid w:val="00E3770E"/>
    <w:rsid w:val="00E37A99"/>
    <w:rsid w:val="00E41643"/>
    <w:rsid w:val="00E41C58"/>
    <w:rsid w:val="00E43D0B"/>
    <w:rsid w:val="00E46578"/>
    <w:rsid w:val="00E46E7D"/>
    <w:rsid w:val="00E51BB1"/>
    <w:rsid w:val="00E54D77"/>
    <w:rsid w:val="00E57334"/>
    <w:rsid w:val="00E608C2"/>
    <w:rsid w:val="00E6099E"/>
    <w:rsid w:val="00E60B00"/>
    <w:rsid w:val="00E60E58"/>
    <w:rsid w:val="00E62268"/>
    <w:rsid w:val="00E624F1"/>
    <w:rsid w:val="00E643DD"/>
    <w:rsid w:val="00E64ACA"/>
    <w:rsid w:val="00E651CA"/>
    <w:rsid w:val="00E66A0A"/>
    <w:rsid w:val="00E7013D"/>
    <w:rsid w:val="00E701AD"/>
    <w:rsid w:val="00E7036C"/>
    <w:rsid w:val="00E707BA"/>
    <w:rsid w:val="00E71264"/>
    <w:rsid w:val="00E7420E"/>
    <w:rsid w:val="00E7583B"/>
    <w:rsid w:val="00E766FE"/>
    <w:rsid w:val="00E774D7"/>
    <w:rsid w:val="00E77D56"/>
    <w:rsid w:val="00E80EAD"/>
    <w:rsid w:val="00E821B0"/>
    <w:rsid w:val="00E82317"/>
    <w:rsid w:val="00E82F57"/>
    <w:rsid w:val="00E831D0"/>
    <w:rsid w:val="00E8326A"/>
    <w:rsid w:val="00E85937"/>
    <w:rsid w:val="00E86A54"/>
    <w:rsid w:val="00E9117D"/>
    <w:rsid w:val="00E91B87"/>
    <w:rsid w:val="00E9285D"/>
    <w:rsid w:val="00E92FBC"/>
    <w:rsid w:val="00E93093"/>
    <w:rsid w:val="00E94333"/>
    <w:rsid w:val="00E94F12"/>
    <w:rsid w:val="00E95024"/>
    <w:rsid w:val="00E95354"/>
    <w:rsid w:val="00E96A11"/>
    <w:rsid w:val="00E96AC8"/>
    <w:rsid w:val="00E974D1"/>
    <w:rsid w:val="00EA0B84"/>
    <w:rsid w:val="00EA122B"/>
    <w:rsid w:val="00EA148C"/>
    <w:rsid w:val="00EA4092"/>
    <w:rsid w:val="00EA4BFA"/>
    <w:rsid w:val="00EA5C25"/>
    <w:rsid w:val="00EA6450"/>
    <w:rsid w:val="00EB02DE"/>
    <w:rsid w:val="00EB1B07"/>
    <w:rsid w:val="00EB5E60"/>
    <w:rsid w:val="00EB7C5E"/>
    <w:rsid w:val="00EC0C21"/>
    <w:rsid w:val="00EC1E2B"/>
    <w:rsid w:val="00EC2700"/>
    <w:rsid w:val="00EC6428"/>
    <w:rsid w:val="00EC6ABD"/>
    <w:rsid w:val="00EC7481"/>
    <w:rsid w:val="00EC7685"/>
    <w:rsid w:val="00ED05D0"/>
    <w:rsid w:val="00ED2E6D"/>
    <w:rsid w:val="00ED42D3"/>
    <w:rsid w:val="00ED5B27"/>
    <w:rsid w:val="00ED678F"/>
    <w:rsid w:val="00ED712D"/>
    <w:rsid w:val="00ED7B96"/>
    <w:rsid w:val="00EE07B9"/>
    <w:rsid w:val="00EE0B4A"/>
    <w:rsid w:val="00EE19C7"/>
    <w:rsid w:val="00EE1E6B"/>
    <w:rsid w:val="00EE2714"/>
    <w:rsid w:val="00EE3093"/>
    <w:rsid w:val="00EE5CDC"/>
    <w:rsid w:val="00EE74FD"/>
    <w:rsid w:val="00EE7814"/>
    <w:rsid w:val="00EF59CD"/>
    <w:rsid w:val="00EF7016"/>
    <w:rsid w:val="00EF7C4F"/>
    <w:rsid w:val="00F01160"/>
    <w:rsid w:val="00F028E1"/>
    <w:rsid w:val="00F03979"/>
    <w:rsid w:val="00F04175"/>
    <w:rsid w:val="00F048C5"/>
    <w:rsid w:val="00F051D3"/>
    <w:rsid w:val="00F06B08"/>
    <w:rsid w:val="00F07800"/>
    <w:rsid w:val="00F07B07"/>
    <w:rsid w:val="00F127BC"/>
    <w:rsid w:val="00F12A45"/>
    <w:rsid w:val="00F12A64"/>
    <w:rsid w:val="00F13F38"/>
    <w:rsid w:val="00F13FCA"/>
    <w:rsid w:val="00F143E2"/>
    <w:rsid w:val="00F15F47"/>
    <w:rsid w:val="00F1642E"/>
    <w:rsid w:val="00F17217"/>
    <w:rsid w:val="00F17ABC"/>
    <w:rsid w:val="00F20DAB"/>
    <w:rsid w:val="00F21037"/>
    <w:rsid w:val="00F22064"/>
    <w:rsid w:val="00F2227A"/>
    <w:rsid w:val="00F22F96"/>
    <w:rsid w:val="00F236EC"/>
    <w:rsid w:val="00F26106"/>
    <w:rsid w:val="00F2648E"/>
    <w:rsid w:val="00F26677"/>
    <w:rsid w:val="00F27061"/>
    <w:rsid w:val="00F276D8"/>
    <w:rsid w:val="00F27F85"/>
    <w:rsid w:val="00F331E9"/>
    <w:rsid w:val="00F35E0D"/>
    <w:rsid w:val="00F36230"/>
    <w:rsid w:val="00F37255"/>
    <w:rsid w:val="00F40225"/>
    <w:rsid w:val="00F411DA"/>
    <w:rsid w:val="00F41961"/>
    <w:rsid w:val="00F4498C"/>
    <w:rsid w:val="00F45989"/>
    <w:rsid w:val="00F46AF4"/>
    <w:rsid w:val="00F477B3"/>
    <w:rsid w:val="00F47A5D"/>
    <w:rsid w:val="00F52295"/>
    <w:rsid w:val="00F527ED"/>
    <w:rsid w:val="00F65CB6"/>
    <w:rsid w:val="00F70FBD"/>
    <w:rsid w:val="00F7104D"/>
    <w:rsid w:val="00F71858"/>
    <w:rsid w:val="00F7271C"/>
    <w:rsid w:val="00F74540"/>
    <w:rsid w:val="00F76295"/>
    <w:rsid w:val="00F76873"/>
    <w:rsid w:val="00F820BE"/>
    <w:rsid w:val="00F8400D"/>
    <w:rsid w:val="00F86127"/>
    <w:rsid w:val="00F86219"/>
    <w:rsid w:val="00F86F3F"/>
    <w:rsid w:val="00F9135B"/>
    <w:rsid w:val="00F95C8F"/>
    <w:rsid w:val="00F95F9F"/>
    <w:rsid w:val="00F97052"/>
    <w:rsid w:val="00F9754A"/>
    <w:rsid w:val="00F9775E"/>
    <w:rsid w:val="00F97A49"/>
    <w:rsid w:val="00FA000C"/>
    <w:rsid w:val="00FA01DA"/>
    <w:rsid w:val="00FA40DB"/>
    <w:rsid w:val="00FA427F"/>
    <w:rsid w:val="00FA4EAF"/>
    <w:rsid w:val="00FA5320"/>
    <w:rsid w:val="00FA72AF"/>
    <w:rsid w:val="00FB14D0"/>
    <w:rsid w:val="00FB5A8A"/>
    <w:rsid w:val="00FC0BB6"/>
    <w:rsid w:val="00FC13E6"/>
    <w:rsid w:val="00FC166C"/>
    <w:rsid w:val="00FC2857"/>
    <w:rsid w:val="00FC2DFF"/>
    <w:rsid w:val="00FC49FA"/>
    <w:rsid w:val="00FC5888"/>
    <w:rsid w:val="00FC5CEC"/>
    <w:rsid w:val="00FC73DD"/>
    <w:rsid w:val="00FC7626"/>
    <w:rsid w:val="00FC7915"/>
    <w:rsid w:val="00FC7C8A"/>
    <w:rsid w:val="00FD257F"/>
    <w:rsid w:val="00FD32C9"/>
    <w:rsid w:val="00FD32ED"/>
    <w:rsid w:val="00FD384A"/>
    <w:rsid w:val="00FD4C0E"/>
    <w:rsid w:val="00FD57FC"/>
    <w:rsid w:val="00FD6634"/>
    <w:rsid w:val="00FE12A2"/>
    <w:rsid w:val="00FE27B2"/>
    <w:rsid w:val="00FE2FD9"/>
    <w:rsid w:val="00FE3D56"/>
    <w:rsid w:val="00FE3EBC"/>
    <w:rsid w:val="00FE3F3F"/>
    <w:rsid w:val="00FE4DC3"/>
    <w:rsid w:val="00FE50C0"/>
    <w:rsid w:val="00FE6509"/>
    <w:rsid w:val="00FF2939"/>
    <w:rsid w:val="00FF35EE"/>
    <w:rsid w:val="00FF3D99"/>
    <w:rsid w:val="00FF3E63"/>
    <w:rsid w:val="00FF4A2D"/>
    <w:rsid w:val="00FF540B"/>
    <w:rsid w:val="00FF66F3"/>
    <w:rsid w:val="00FF7ACE"/>
    <w:rsid w:val="2C8D0634"/>
    <w:rsid w:val="4037B56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6" fill="f" fillcolor="white" stroke="f">
      <v:fill color="white" on="f"/>
      <v:stroke on="f"/>
    </o:shapedefaults>
    <o:shapelayout v:ext="edit">
      <o:idmap v:ext="edit" data="2"/>
    </o:shapelayout>
  </w:shapeDefaults>
  <w:decimalSymbol w:val=","/>
  <w:listSeparator w:val=";"/>
  <w14:docId w14:val="406AF002"/>
  <w15:docId w15:val="{1884680D-7D9A-42C3-AFAE-E7B80D67A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iPriority="0"/>
    <w:lsdException w:name="footnote text" w:semiHidden="1" w:qFormat="1"/>
    <w:lsdException w:name="annotation text" w:semiHidden="1" w:uiPriority="0"/>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uiPriority="0"/>
    <w:lsdException w:name="line number" w:semiHidden="1"/>
    <w:lsdException w:name="page number" w:semiHidden="1"/>
    <w:lsdException w:name="endnote reference" w:semiHidden="1" w:uiPriority="0"/>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uiPriority="0"/>
    <w:lsdException w:name="Strong" w:semiHidden="1" w:uiPriority="0" w:qFormat="1"/>
    <w:lsdException w:name="Emphasis" w:semiHidden="1" w:uiPriority="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0"/>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semiHidden="1" w:uiPriority="0" w:qFormat="1"/>
    <w:lsdException w:name="Quote" w:semiHidden="1" w:uiPriority="0" w:qFormat="1"/>
    <w:lsdException w:name="Intense Quote" w:semiHidden="1"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0" w:qFormat="1"/>
    <w:lsdException w:name="Intense Emphasis" w:semiHidden="1" w:uiPriority="0" w:qFormat="1"/>
    <w:lsdException w:name="Subtle Reference" w:semiHidden="1" w:uiPriority="0" w:qFormat="1"/>
    <w:lsdException w:name="Intense Reference" w:semiHidden="1" w:uiPriority="0" w:qFormat="1"/>
    <w:lsdException w:name="Book Title" w:semiHidden="1" w:uiPriority="0" w:qFormat="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0"/>
    <w:lsdException w:name="Grid Table 1 Light" w:uiPriority="0"/>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sid w:val="00971E00"/>
    <w:rPr>
      <w:color w:val="0000FF"/>
      <w:shd w:val="clear" w:color="auto" w:fill="auto"/>
    </w:rPr>
  </w:style>
  <w:style w:type="character" w:customStyle="1" w:styleId="FooterChar">
    <w:name w:val="Footer Char"/>
    <w:basedOn w:val="DefaultParagraphFont"/>
    <w:uiPriority w:val="99"/>
    <w:rsid w:val="00971E00"/>
    <w:rPr>
      <w:sz w:val="16"/>
    </w:rPr>
  </w:style>
  <w:style w:type="paragraph" w:customStyle="1" w:styleId="Pagedecouverture">
    <w:name w:val="Page de couverture"/>
    <w:basedOn w:val="Normal"/>
    <w:next w:val="Normal"/>
    <w:link w:val="PagedecouvertureChar"/>
    <w:rsid w:val="00971E00"/>
    <w:pPr>
      <w:spacing w:after="0"/>
      <w:jc w:val="left"/>
    </w:pPr>
    <w:rPr>
      <w:szCs w:val="22"/>
      <w:lang w:eastAsia="en-GB"/>
    </w:rPr>
  </w:style>
  <w:style w:type="paragraph" w:customStyle="1" w:styleId="Typedudocument">
    <w:name w:val="Type du document"/>
    <w:basedOn w:val="Normal"/>
    <w:next w:val="Normal"/>
    <w:rsid w:val="00971E00"/>
    <w:pPr>
      <w:spacing w:before="360" w:after="0"/>
      <w:jc w:val="center"/>
    </w:pPr>
    <w:rPr>
      <w:b/>
      <w:szCs w:val="22"/>
      <w:lang w:eastAsia="en-GB"/>
    </w:rPr>
  </w:style>
  <w:style w:type="paragraph" w:customStyle="1" w:styleId="Titreobjet">
    <w:name w:val="Titre objet"/>
    <w:basedOn w:val="Normal"/>
    <w:next w:val="Normal"/>
    <w:rsid w:val="00971E00"/>
    <w:pPr>
      <w:spacing w:before="360" w:after="360"/>
      <w:jc w:val="center"/>
    </w:pPr>
    <w:rPr>
      <w:b/>
      <w:szCs w:val="22"/>
      <w:lang w:eastAsia="en-GB"/>
    </w:rPr>
  </w:style>
  <w:style w:type="paragraph" w:customStyle="1" w:styleId="FooterCoverPage">
    <w:name w:val="Footer Cover Page"/>
    <w:basedOn w:val="Normal"/>
    <w:link w:val="FooterCoverPageChar"/>
    <w:rsid w:val="00971E00"/>
    <w:pPr>
      <w:tabs>
        <w:tab w:val="center" w:pos="4535"/>
        <w:tab w:val="right" w:pos="9071"/>
        <w:tab w:val="right" w:pos="9921"/>
      </w:tabs>
      <w:spacing w:before="360" w:after="0"/>
      <w:ind w:left="-850" w:right="-850"/>
      <w:jc w:val="left"/>
    </w:pPr>
  </w:style>
  <w:style w:type="character" w:customStyle="1" w:styleId="PagedecouvertureChar">
    <w:name w:val="Page de couverture Char"/>
    <w:link w:val="Pagedecouverture"/>
    <w:rsid w:val="00971E00"/>
    <w:rPr>
      <w:szCs w:val="22"/>
      <w:lang w:val="ro-RO" w:eastAsia="en-GB"/>
    </w:rPr>
  </w:style>
  <w:style w:type="character" w:customStyle="1" w:styleId="FooterCoverPageChar">
    <w:name w:val="Footer Cover Page Char"/>
    <w:link w:val="FooterCoverPage"/>
    <w:rsid w:val="00971E00"/>
  </w:style>
  <w:style w:type="paragraph" w:customStyle="1" w:styleId="FooterSensitivity">
    <w:name w:val="Footer Sensitivity"/>
    <w:basedOn w:val="Normal"/>
    <w:link w:val="FooterSensitivityChar"/>
    <w:rsid w:val="00971E0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link w:val="FooterSensitivity"/>
    <w:rsid w:val="00971E00"/>
    <w:rPr>
      <w:b/>
      <w:sz w:val="32"/>
    </w:rPr>
  </w:style>
  <w:style w:type="paragraph" w:customStyle="1" w:styleId="HeaderCoverPage">
    <w:name w:val="Header Cover Page"/>
    <w:basedOn w:val="Normal"/>
    <w:link w:val="HeaderCoverPageChar"/>
    <w:rsid w:val="00971E00"/>
    <w:pPr>
      <w:tabs>
        <w:tab w:val="center" w:pos="4535"/>
        <w:tab w:val="right" w:pos="9071"/>
      </w:tabs>
      <w:spacing w:after="120"/>
    </w:pPr>
  </w:style>
  <w:style w:type="character" w:customStyle="1" w:styleId="HeaderCoverPageChar">
    <w:name w:val="Header Cover Page Char"/>
    <w:link w:val="HeaderCoverPage"/>
    <w:rsid w:val="00971E00"/>
  </w:style>
  <w:style w:type="paragraph" w:customStyle="1" w:styleId="HeaderSensitivity">
    <w:name w:val="Header Sensitivity"/>
    <w:basedOn w:val="Normal"/>
    <w:link w:val="HeaderSensitivityChar"/>
    <w:rsid w:val="00971E0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link w:val="HeaderSensitivity"/>
    <w:rsid w:val="00971E00"/>
    <w:rPr>
      <w:b/>
      <w:sz w:val="32"/>
    </w:rPr>
  </w:style>
  <w:style w:type="paragraph" w:customStyle="1" w:styleId="HeaderSensitivityRight">
    <w:name w:val="Header Sensitivity Right"/>
    <w:basedOn w:val="Normal"/>
    <w:link w:val="HeaderSensitivityRightChar"/>
    <w:rsid w:val="00322A5A"/>
    <w:pPr>
      <w:spacing w:after="120"/>
      <w:jc w:val="right"/>
    </w:pPr>
    <w:rPr>
      <w:sz w:val="28"/>
    </w:rPr>
  </w:style>
  <w:style w:type="character" w:customStyle="1" w:styleId="HeaderSensitivityRightChar">
    <w:name w:val="Header Sensitivity Right Char"/>
    <w:link w:val="HeaderSensitivityRight"/>
    <w:rsid w:val="00971E00"/>
    <w:rPr>
      <w:sz w:val="28"/>
    </w:rPr>
  </w:style>
  <w:style w:type="paragraph" w:styleId="ListParagraph">
    <w:name w:val="List Paragraph"/>
    <w:aliases w:val="Heading 2_sj,List Paragraph1,Bullet List Paragraph,Resume Title,Citation List,Ha,List Paragraph_Table bullets,Listes,1st level - Bullet List Paragraph,Lettre d'introduction,Paragrafo elenco,Medium Grid 1 - Accent 21,Normal bullet 2,Dot pt"/>
    <w:basedOn w:val="Normal"/>
    <w:link w:val="ListParagraphChar"/>
    <w:qFormat/>
    <w:rsid w:val="00971E00"/>
    <w:pPr>
      <w:spacing w:after="0"/>
      <w:ind w:left="720"/>
      <w:contextualSpacing/>
      <w:jc w:val="left"/>
    </w:pPr>
    <w:rPr>
      <w:szCs w:val="24"/>
      <w:lang w:eastAsia="en-GB"/>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qFormat/>
    <w:rsid w:val="00971E00"/>
    <w:rPr>
      <w:sz w:val="20"/>
    </w:rPr>
  </w:style>
  <w:style w:type="character" w:styleId="Hyperlink">
    <w:name w:val="Hyperlink"/>
    <w:rsid w:val="00971E00"/>
    <w:rPr>
      <w:color w:val="0000FF"/>
      <w:u w:val="single"/>
    </w:rPr>
  </w:style>
  <w:style w:type="character" w:customStyle="1" w:styleId="ListParagraphChar">
    <w:name w:val="List Paragraph Char"/>
    <w:aliases w:val="Heading 2_sj Char,List Paragraph1 Char,Bullet List Paragraph Char,Resume Title Char,Citation List Char,Ha Char,List Paragraph_Table bullets Char,Listes Char,1st level - Bullet List Paragraph Char,Lettre d'introduction Char"/>
    <w:link w:val="ListParagraph"/>
    <w:locked/>
    <w:rsid w:val="00971E00"/>
    <w:rPr>
      <w:szCs w:val="24"/>
      <w:lang w:val="ro-RO" w:eastAsia="en-GB"/>
    </w:rPr>
  </w:style>
  <w:style w:type="character" w:styleId="Emphasis">
    <w:name w:val="Emphasis"/>
    <w:qFormat/>
    <w:rsid w:val="00971E00"/>
    <w:rPr>
      <w:i/>
      <w:iCs/>
    </w:rPr>
  </w:style>
  <w:style w:type="character" w:customStyle="1" w:styleId="UnresolvedMention">
    <w:name w:val="Unresolved Mention"/>
    <w:rsid w:val="00971E00"/>
    <w:rPr>
      <w:color w:val="605E5C"/>
      <w:shd w:val="clear" w:color="auto" w:fill="E1DFDD"/>
    </w:rPr>
  </w:style>
  <w:style w:type="character" w:styleId="FollowedHyperlink">
    <w:name w:val="FollowedHyperlink"/>
    <w:rsid w:val="00971E00"/>
    <w:rPr>
      <w:color w:val="954F72"/>
      <w:u w:val="single"/>
    </w:rPr>
  </w:style>
  <w:style w:type="paragraph" w:customStyle="1" w:styleId="oj-normal">
    <w:name w:val="oj-normal"/>
    <w:basedOn w:val="Normal"/>
    <w:rsid w:val="00971E00"/>
    <w:pPr>
      <w:spacing w:before="100" w:beforeAutospacing="1" w:after="100" w:afterAutospacing="1"/>
      <w:jc w:val="left"/>
    </w:pPr>
    <w:rPr>
      <w:szCs w:val="24"/>
      <w:lang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next w:val="Normal"/>
    <w:link w:val="FootnoteReference"/>
    <w:rsid w:val="00971E00"/>
    <w:pPr>
      <w:spacing w:before="120" w:after="0" w:line="240" w:lineRule="exact"/>
      <w:jc w:val="left"/>
    </w:pPr>
    <w:rPr>
      <w:vertAlign w:val="superscript"/>
    </w:rPr>
  </w:style>
  <w:style w:type="character" w:styleId="Strong">
    <w:name w:val="Strong"/>
    <w:qFormat/>
    <w:rsid w:val="00971E00"/>
    <w:rPr>
      <w:b/>
      <w:bCs/>
    </w:rPr>
  </w:style>
  <w:style w:type="paragraph" w:customStyle="1" w:styleId="BodyText1">
    <w:name w:val="Body Text1"/>
    <w:basedOn w:val="Normal"/>
    <w:link w:val="BodytextChar"/>
    <w:rsid w:val="00971E00"/>
    <w:pPr>
      <w:spacing w:before="120" w:after="0"/>
      <w:jc w:val="left"/>
    </w:pPr>
    <w:rPr>
      <w:rFonts w:ascii="Arial" w:hAnsi="Arial"/>
      <w:noProof/>
      <w:sz w:val="22"/>
      <w:szCs w:val="24"/>
      <w:lang w:eastAsia="en-GB"/>
    </w:rPr>
  </w:style>
  <w:style w:type="character" w:customStyle="1" w:styleId="BodytextChar">
    <w:name w:val="Body text Char"/>
    <w:link w:val="BodyText1"/>
    <w:rsid w:val="00971E00"/>
    <w:rPr>
      <w:rFonts w:ascii="Arial" w:hAnsi="Arial"/>
      <w:noProof/>
      <w:sz w:val="22"/>
      <w:szCs w:val="24"/>
      <w:lang w:val="ro-RO" w:eastAsia="en-GB"/>
    </w:rPr>
  </w:style>
  <w:style w:type="paragraph" w:customStyle="1" w:styleId="SbQuote">
    <w:name w:val="SbQuote"/>
    <w:basedOn w:val="Normal"/>
    <w:link w:val="SbQuoteChar"/>
    <w:rsid w:val="00971E00"/>
    <w:pPr>
      <w:spacing w:before="120" w:after="0" w:line="276" w:lineRule="auto"/>
      <w:ind w:left="567"/>
      <w:jc w:val="left"/>
    </w:pPr>
    <w:rPr>
      <w:rFonts w:ascii="Arial" w:hAnsi="Arial"/>
      <w:color w:val="000000"/>
      <w:sz w:val="22"/>
      <w:szCs w:val="22"/>
      <w:lang w:eastAsia="en-GB"/>
    </w:rPr>
  </w:style>
  <w:style w:type="character" w:customStyle="1" w:styleId="SbQuoteChar">
    <w:name w:val="SbQuote Char"/>
    <w:link w:val="SbQuote"/>
    <w:locked/>
    <w:rsid w:val="00971E00"/>
    <w:rPr>
      <w:rFonts w:ascii="Arial" w:hAnsi="Arial"/>
      <w:color w:val="000000"/>
      <w:sz w:val="22"/>
      <w:szCs w:val="22"/>
      <w:lang w:val="ro-RO" w:eastAsia="en-GB"/>
    </w:rPr>
  </w:style>
  <w:style w:type="paragraph" w:styleId="NormalWeb">
    <w:name w:val="Normal (Web)"/>
    <w:basedOn w:val="Normal"/>
    <w:rsid w:val="00971E00"/>
    <w:pPr>
      <w:spacing w:before="100" w:beforeAutospacing="1" w:after="100" w:afterAutospacing="1"/>
      <w:jc w:val="left"/>
    </w:pPr>
    <w:rPr>
      <w:szCs w:val="24"/>
      <w:lang w:eastAsia="en-GB"/>
    </w:rPr>
  </w:style>
  <w:style w:type="paragraph" w:customStyle="1" w:styleId="Default">
    <w:name w:val="Default"/>
    <w:rsid w:val="00971E00"/>
    <w:pPr>
      <w:autoSpaceDE w:val="0"/>
      <w:autoSpaceDN w:val="0"/>
      <w:adjustRightInd w:val="0"/>
    </w:pPr>
    <w:rPr>
      <w:rFonts w:ascii="Calibri" w:eastAsia="Yu Mincho" w:hAnsi="Calibri" w:cs="Arial"/>
      <w:color w:val="000000"/>
      <w:sz w:val="20"/>
      <w:lang w:eastAsia="en-GB"/>
    </w:rPr>
  </w:style>
  <w:style w:type="character" w:customStyle="1" w:styleId="Heading1Char">
    <w:name w:val="Heading 1 Char"/>
    <w:rsid w:val="00971E00"/>
    <w:rPr>
      <w:b/>
      <w:smallCaps/>
    </w:rPr>
  </w:style>
  <w:style w:type="character" w:customStyle="1" w:styleId="Heading2Char">
    <w:name w:val="Heading 2 Char"/>
    <w:rsid w:val="00971E00"/>
    <w:rPr>
      <w:b/>
    </w:rPr>
  </w:style>
  <w:style w:type="character" w:customStyle="1" w:styleId="Heading3Char">
    <w:name w:val="Heading 3 Char"/>
    <w:rsid w:val="00971E00"/>
    <w:rPr>
      <w:i/>
    </w:rPr>
  </w:style>
  <w:style w:type="character" w:customStyle="1" w:styleId="Heading4Char">
    <w:name w:val="Heading 4 Char"/>
    <w:rsid w:val="00971E00"/>
  </w:style>
  <w:style w:type="character" w:customStyle="1" w:styleId="Heading5Char">
    <w:name w:val="Heading 5 Char"/>
    <w:rsid w:val="00971E00"/>
  </w:style>
  <w:style w:type="character" w:customStyle="1" w:styleId="Heading6Char">
    <w:name w:val="Heading 6 Char"/>
    <w:rsid w:val="00971E00"/>
  </w:style>
  <w:style w:type="character" w:customStyle="1" w:styleId="Heading7Char">
    <w:name w:val="Heading 7 Char"/>
    <w:rsid w:val="00971E00"/>
  </w:style>
  <w:style w:type="character" w:customStyle="1" w:styleId="Heading8Char">
    <w:name w:val="Heading 8 Char"/>
    <w:rsid w:val="00971E00"/>
  </w:style>
  <w:style w:type="character" w:customStyle="1" w:styleId="Heading9Char">
    <w:name w:val="Heading 9 Char"/>
    <w:rsid w:val="00971E00"/>
  </w:style>
  <w:style w:type="character" w:customStyle="1" w:styleId="TitleChar">
    <w:name w:val="Title Char"/>
    <w:rsid w:val="00971E00"/>
    <w:rPr>
      <w:b/>
      <w:kern w:val="28"/>
      <w:sz w:val="48"/>
    </w:rPr>
  </w:style>
  <w:style w:type="paragraph" w:styleId="Subtitle">
    <w:name w:val="Subtitle"/>
    <w:basedOn w:val="Normal"/>
    <w:next w:val="Normal"/>
    <w:link w:val="SubtitleChar"/>
    <w:qFormat/>
    <w:rsid w:val="00971E00"/>
    <w:pPr>
      <w:numPr>
        <w:ilvl w:val="1"/>
      </w:numPr>
      <w:spacing w:after="0"/>
      <w:jc w:val="left"/>
    </w:pPr>
    <w:rPr>
      <w:rFonts w:ascii="Calibri Light" w:eastAsia="Yu Gothic Light" w:hAnsi="Calibri Light"/>
      <w:szCs w:val="24"/>
      <w:lang w:eastAsia="en-GB"/>
    </w:rPr>
  </w:style>
  <w:style w:type="character" w:customStyle="1" w:styleId="SubtitleChar">
    <w:name w:val="Subtitle Char"/>
    <w:basedOn w:val="DefaultParagraphFont"/>
    <w:link w:val="Subtitle"/>
    <w:rsid w:val="00971E00"/>
    <w:rPr>
      <w:rFonts w:ascii="Calibri Light" w:eastAsia="Yu Gothic Light" w:hAnsi="Calibri Light"/>
      <w:szCs w:val="24"/>
      <w:lang w:val="ro-RO" w:eastAsia="en-GB"/>
    </w:rPr>
  </w:style>
  <w:style w:type="paragraph" w:styleId="NoSpacing">
    <w:name w:val="No Spacing"/>
    <w:qFormat/>
    <w:rsid w:val="00971E00"/>
    <w:rPr>
      <w:rFonts w:ascii="Calibri" w:eastAsia="Yu Mincho" w:hAnsi="Calibri" w:cs="Arial"/>
      <w:sz w:val="20"/>
      <w:lang w:eastAsia="en-GB"/>
    </w:rPr>
  </w:style>
  <w:style w:type="paragraph" w:styleId="Quote">
    <w:name w:val="Quote"/>
    <w:basedOn w:val="Normal"/>
    <w:next w:val="Normal"/>
    <w:link w:val="QuoteChar"/>
    <w:qFormat/>
    <w:rsid w:val="00971E00"/>
    <w:pPr>
      <w:spacing w:before="160" w:after="0"/>
      <w:ind w:left="720" w:right="720"/>
      <w:jc w:val="left"/>
    </w:pPr>
    <w:rPr>
      <w:i/>
      <w:iCs/>
      <w:color w:val="404040"/>
      <w:szCs w:val="24"/>
      <w:lang w:eastAsia="en-GB"/>
    </w:rPr>
  </w:style>
  <w:style w:type="character" w:customStyle="1" w:styleId="QuoteChar">
    <w:name w:val="Quote Char"/>
    <w:basedOn w:val="DefaultParagraphFont"/>
    <w:link w:val="Quote"/>
    <w:rsid w:val="00971E00"/>
    <w:rPr>
      <w:i/>
      <w:iCs/>
      <w:color w:val="404040"/>
      <w:szCs w:val="24"/>
      <w:lang w:val="ro-RO" w:eastAsia="en-GB"/>
    </w:rPr>
  </w:style>
  <w:style w:type="paragraph" w:styleId="IntenseQuote">
    <w:name w:val="Intense Quote"/>
    <w:basedOn w:val="Normal"/>
    <w:next w:val="Normal"/>
    <w:link w:val="IntenseQuoteChar"/>
    <w:qFormat/>
    <w:rsid w:val="00971E00"/>
    <w:pPr>
      <w:pBdr>
        <w:left w:val="single" w:sz="18" w:space="12" w:color="4472C4"/>
      </w:pBdr>
      <w:spacing w:before="100" w:beforeAutospacing="1" w:after="0" w:line="300" w:lineRule="auto"/>
      <w:ind w:left="1224" w:right="1224"/>
      <w:jc w:val="left"/>
    </w:pPr>
    <w:rPr>
      <w:rFonts w:ascii="Calibri Light" w:eastAsia="Yu Gothic Light" w:hAnsi="Calibri Light"/>
      <w:color w:val="4472C4"/>
      <w:sz w:val="28"/>
      <w:szCs w:val="28"/>
      <w:lang w:eastAsia="en-GB"/>
    </w:rPr>
  </w:style>
  <w:style w:type="character" w:customStyle="1" w:styleId="IntenseQuoteChar">
    <w:name w:val="Intense Quote Char"/>
    <w:basedOn w:val="DefaultParagraphFont"/>
    <w:link w:val="IntenseQuote"/>
    <w:rsid w:val="00971E00"/>
    <w:rPr>
      <w:rFonts w:ascii="Calibri Light" w:eastAsia="Yu Gothic Light" w:hAnsi="Calibri Light"/>
      <w:color w:val="4472C4"/>
      <w:sz w:val="28"/>
      <w:szCs w:val="28"/>
      <w:lang w:val="ro-RO" w:eastAsia="en-GB"/>
    </w:rPr>
  </w:style>
  <w:style w:type="character" w:styleId="SubtleEmphasis">
    <w:name w:val="Subtle Emphasis"/>
    <w:qFormat/>
    <w:rsid w:val="00971E00"/>
    <w:rPr>
      <w:i/>
      <w:iCs/>
      <w:color w:val="404040"/>
    </w:rPr>
  </w:style>
  <w:style w:type="character" w:styleId="IntenseEmphasis">
    <w:name w:val="Intense Emphasis"/>
    <w:qFormat/>
    <w:rsid w:val="00971E00"/>
    <w:rPr>
      <w:b/>
      <w:bCs/>
      <w:i/>
      <w:iCs/>
    </w:rPr>
  </w:style>
  <w:style w:type="character" w:styleId="SubtleReference">
    <w:name w:val="Subtle Reference"/>
    <w:qFormat/>
    <w:rsid w:val="00971E00"/>
    <w:rPr>
      <w:smallCaps/>
      <w:color w:val="404040"/>
      <w:u w:val="single" w:color="7F7F7F"/>
    </w:rPr>
  </w:style>
  <w:style w:type="character" w:styleId="IntenseReference">
    <w:name w:val="Intense Reference"/>
    <w:qFormat/>
    <w:rsid w:val="00971E00"/>
    <w:rPr>
      <w:b/>
      <w:bCs/>
      <w:smallCaps/>
      <w:spacing w:val="5"/>
      <w:u w:val="single"/>
    </w:rPr>
  </w:style>
  <w:style w:type="character" w:styleId="BookTitle">
    <w:name w:val="Book Title"/>
    <w:qFormat/>
    <w:rsid w:val="00971E00"/>
    <w:rPr>
      <w:b/>
      <w:bCs/>
      <w:smallCaps/>
    </w:rPr>
  </w:style>
  <w:style w:type="table" w:styleId="TableGridLight">
    <w:name w:val="Grid Table Light"/>
    <w:basedOn w:val="TableNormal"/>
    <w:rsid w:val="00971E00"/>
    <w:rPr>
      <w:rFonts w:ascii="Calibri" w:eastAsia="Yu Mincho" w:hAnsi="Calibri" w:cs="Arial"/>
      <w:sz w:val="20"/>
      <w:lang w:eastAsia="en-GB"/>
    </w:rPr>
    <w:tblPr/>
  </w:style>
  <w:style w:type="character" w:styleId="CommentReference">
    <w:name w:val="annotation reference"/>
    <w:rsid w:val="00971E00"/>
    <w:rPr>
      <w:sz w:val="16"/>
      <w:szCs w:val="16"/>
    </w:rPr>
  </w:style>
  <w:style w:type="paragraph" w:styleId="CommentText">
    <w:name w:val="annotation text"/>
    <w:basedOn w:val="Normal"/>
    <w:link w:val="CommentTextChar"/>
    <w:rsid w:val="00971E00"/>
    <w:pPr>
      <w:spacing w:after="0"/>
      <w:jc w:val="left"/>
    </w:pPr>
    <w:rPr>
      <w:szCs w:val="24"/>
      <w:lang w:eastAsia="en-GB"/>
    </w:rPr>
  </w:style>
  <w:style w:type="character" w:customStyle="1" w:styleId="CommentTextChar">
    <w:name w:val="Comment Text Char"/>
    <w:basedOn w:val="DefaultParagraphFont"/>
    <w:link w:val="CommentText"/>
    <w:rsid w:val="00971E00"/>
    <w:rPr>
      <w:szCs w:val="24"/>
      <w:lang w:val="ro-RO" w:eastAsia="en-GB"/>
    </w:rPr>
  </w:style>
  <w:style w:type="paragraph" w:styleId="CommentSubject">
    <w:name w:val="annotation subject"/>
    <w:basedOn w:val="CommentText"/>
    <w:next w:val="CommentText"/>
    <w:link w:val="CommentSubjectChar"/>
    <w:rsid w:val="00971E00"/>
    <w:rPr>
      <w:b/>
      <w:bCs/>
    </w:rPr>
  </w:style>
  <w:style w:type="character" w:customStyle="1" w:styleId="CommentSubjectChar">
    <w:name w:val="Comment Subject Char"/>
    <w:basedOn w:val="CommentTextChar"/>
    <w:link w:val="CommentSubject"/>
    <w:rsid w:val="00971E00"/>
    <w:rPr>
      <w:b/>
      <w:bCs/>
      <w:szCs w:val="24"/>
      <w:lang w:val="ro-RO" w:eastAsia="en-GB"/>
    </w:rPr>
  </w:style>
  <w:style w:type="paragraph" w:styleId="Revision">
    <w:name w:val="Revision"/>
    <w:hidden/>
    <w:rsid w:val="00971E00"/>
    <w:rPr>
      <w:rFonts w:ascii="Calibri" w:eastAsia="Yu Mincho" w:hAnsi="Calibri" w:cs="Arial"/>
      <w:sz w:val="20"/>
      <w:lang w:eastAsia="en-GB"/>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rsid w:val="00971E00"/>
    <w:pPr>
      <w:keepLines/>
      <w:spacing w:after="160" w:line="240" w:lineRule="exact"/>
      <w:jc w:val="left"/>
    </w:pPr>
    <w:rPr>
      <w:rFonts w:eastAsia="Calibri"/>
      <w:kern w:val="2"/>
      <w:sz w:val="22"/>
      <w:szCs w:val="22"/>
      <w:vertAlign w:val="superscript"/>
      <w:lang w:eastAsia="en-GB"/>
    </w:rPr>
  </w:style>
  <w:style w:type="character" w:customStyle="1" w:styleId="EndnoteTextChar">
    <w:name w:val="Endnote Text Char"/>
    <w:basedOn w:val="DefaultParagraphFont"/>
    <w:rsid w:val="00971E00"/>
    <w:rPr>
      <w:sz w:val="20"/>
    </w:rPr>
  </w:style>
  <w:style w:type="character" w:styleId="EndnoteReference">
    <w:name w:val="endnote reference"/>
    <w:rsid w:val="00971E00"/>
    <w:rPr>
      <w:vertAlign w:val="superscript"/>
    </w:rPr>
  </w:style>
  <w:style w:type="character" w:customStyle="1" w:styleId="CaptionChar2">
    <w:name w:val="Caption Char2"/>
    <w:aliases w:val="Legend Char,Figure reference Char,Tab_Überschrift Char,Caption Char1 Char,Caption Char Char Char,Caption Char1 Char Char Char Char,Caption Char Char Char Char Char Char,Caption Char1 Char Char Char Char Char Char,Caption Char Char1"/>
    <w:locked/>
    <w:rsid w:val="00971E00"/>
    <w:rPr>
      <w:i/>
      <w:sz w:val="22"/>
    </w:rPr>
  </w:style>
  <w:style w:type="table" w:styleId="GridTable1Light">
    <w:name w:val="Grid Table 1 Light"/>
    <w:basedOn w:val="TableGrid2"/>
    <w:rsid w:val="00971E00"/>
    <w:pPr>
      <w:jc w:val="left"/>
    </w:pPr>
    <w:rPr>
      <w:sz w:val="21"/>
      <w:szCs w:val="21"/>
      <w:lang w:val="en-IE"/>
    </w:rPr>
    <w:tblPr>
      <w:tblStyleRowBandSize w:val="1"/>
      <w:tblStyleColBandSize w:val="1"/>
      <w:tblCellMar>
        <w:left w:w="0" w:type="dxa"/>
        <w:right w:w="0" w:type="dxa"/>
      </w:tblCellMar>
    </w:tblPr>
    <w:tcPr>
      <w:shd w:val="clear" w:color="auto" w:fill="auto"/>
    </w:tcPr>
    <w:tblStylePr w:type="firstRow">
      <w:rPr>
        <w:b/>
        <w:bCs/>
      </w:rPr>
      <w:tblPr/>
      <w:tcPr>
        <w:tcBorders>
          <w:bottom w:val="single" w:sz="12" w:space="0" w:color="666666"/>
          <w:tl2br w:val="none" w:sz="0" w:space="0" w:color="auto"/>
          <w:tr2bl w:val="none" w:sz="0" w:space="0" w:color="auto"/>
        </w:tcBorders>
      </w:tcPr>
    </w:tblStylePr>
    <w:tblStylePr w:type="lastRow">
      <w:rPr>
        <w:b/>
        <w:bCs/>
      </w:rPr>
      <w:tblPr/>
      <w:tcPr>
        <w:tcBorders>
          <w:top w:val="double" w:sz="2" w:space="0" w:color="666666"/>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2">
    <w:name w:val="Table Grid 2"/>
    <w:basedOn w:val="TableNormal"/>
    <w:rsid w:val="00971E00"/>
    <w:pPr>
      <w:jc w:val="both"/>
    </w:pPr>
    <w:rPr>
      <w:rFonts w:ascii="Calibri" w:eastAsia="Yu Mincho" w:hAnsi="Calibri" w:cs="Arial"/>
      <w:sz w:val="20"/>
      <w:lang w:eastAsia="en-GB"/>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paragraph" w:styleId="NormalIndent">
    <w:name w:val="Normal Indent"/>
    <w:basedOn w:val="Normal"/>
    <w:rsid w:val="00971E00"/>
    <w:pPr>
      <w:spacing w:after="0" w:line="260" w:lineRule="atLeast"/>
      <w:ind w:left="964"/>
      <w:jc w:val="left"/>
    </w:pPr>
    <w:rPr>
      <w:rFonts w:ascii="Arial" w:hAnsi="Arial"/>
      <w:sz w:val="18"/>
      <w:szCs w:val="18"/>
      <w:lang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link w:val="SUPERSCharCharCharCharCharCharCharChar"/>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Disclaimer">
    <w:name w:val="Disclaimer"/>
    <w:basedOn w:val="Normal"/>
    <w:rsid w:val="00322A5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322A5A"/>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322A5A"/>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322A5A"/>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43843">
      <w:bodyDiv w:val="1"/>
      <w:marLeft w:val="0"/>
      <w:marRight w:val="0"/>
      <w:marTop w:val="0"/>
      <w:marBottom w:val="0"/>
      <w:divBdr>
        <w:top w:val="none" w:sz="0" w:space="0" w:color="auto"/>
        <w:left w:val="none" w:sz="0" w:space="0" w:color="auto"/>
        <w:bottom w:val="none" w:sz="0" w:space="0" w:color="auto"/>
        <w:right w:val="none" w:sz="0" w:space="0" w:color="auto"/>
      </w:divBdr>
    </w:div>
    <w:div w:id="554700487">
      <w:bodyDiv w:val="1"/>
      <w:marLeft w:val="0"/>
      <w:marRight w:val="0"/>
      <w:marTop w:val="0"/>
      <w:marBottom w:val="0"/>
      <w:divBdr>
        <w:top w:val="none" w:sz="0" w:space="0" w:color="auto"/>
        <w:left w:val="none" w:sz="0" w:space="0" w:color="auto"/>
        <w:bottom w:val="none" w:sz="0" w:space="0" w:color="auto"/>
        <w:right w:val="none" w:sz="0" w:space="0" w:color="auto"/>
      </w:divBdr>
    </w:div>
    <w:div w:id="1423457217">
      <w:bodyDiv w:val="1"/>
      <w:marLeft w:val="0"/>
      <w:marRight w:val="0"/>
      <w:marTop w:val="0"/>
      <w:marBottom w:val="0"/>
      <w:divBdr>
        <w:top w:val="none" w:sz="0" w:space="0" w:color="auto"/>
        <w:left w:val="none" w:sz="0" w:space="0" w:color="auto"/>
        <w:bottom w:val="none" w:sz="0" w:space="0" w:color="auto"/>
        <w:right w:val="none" w:sz="0" w:space="0" w:color="auto"/>
      </w:divBdr>
    </w:div>
    <w:div w:id="1761100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chart" Target="charts/chart2.xml"/><Relationship Id="rId39"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2.emf"/><Relationship Id="rId34" Type="http://schemas.openxmlformats.org/officeDocument/2006/relationships/hyperlink" Target="https://eur-lex.europa.eu/eli/reg/2019/2144/oj" TargetMode="External"/><Relationship Id="rId42"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chart" Target="charts/chart1.xml"/><Relationship Id="rId33" Type="http://schemas.openxmlformats.org/officeDocument/2006/relationships/image" Target="media/image7.emf"/><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eepliant.eu/index.php/new-about-eepliant/about-eepliant4" TargetMode="Externa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5.emf"/><Relationship Id="rId32" Type="http://schemas.openxmlformats.org/officeDocument/2006/relationships/image" Target="media/image6.png"/><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4.emf"/><Relationship Id="rId28" Type="http://schemas.openxmlformats.org/officeDocument/2006/relationships/chart" Target="charts/chart4.xml"/><Relationship Id="rId36"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yperlink" Target="https://eepliant.eu/index.php/new-about-eepliant/about-eepliant4"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image" Target="media/image3.png"/><Relationship Id="rId27" Type="http://schemas.openxmlformats.org/officeDocument/2006/relationships/chart" Target="charts/chart3.xml"/><Relationship Id="rId30" Type="http://schemas.openxmlformats.org/officeDocument/2006/relationships/hyperlink" Target="https://cinea.ec.europa.eu/programmes/life_en" TargetMode="External"/><Relationship Id="rId35" Type="http://schemas.openxmlformats.org/officeDocument/2006/relationships/image" Target="media/image8.png"/><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iki.unece.org/pages/viewpage.action?pageId=160694352" TargetMode="External"/><Relationship Id="rId3" Type="http://schemas.openxmlformats.org/officeDocument/2006/relationships/hyperlink" Target="https://single-market-economy.ec.europa.eu/single-market/goods/building-blocks/market-surveillance/organisation/adcos_en" TargetMode="External"/><Relationship Id="rId7" Type="http://schemas.openxmlformats.org/officeDocument/2006/relationships/hyperlink" Target="https://data.europa.eu/doi/10.2833/210444" TargetMode="External"/><Relationship Id="rId12" Type="http://schemas.openxmlformats.org/officeDocument/2006/relationships/hyperlink" Target="https://eur-lex.europa.eu/legal-content/EN/TXT/?toc=OJ%3AC%3A2012%3A086%3ATOC&amp;uri=uriserv%3AOJ.C_.2012.086.01.0003.01.ENG" TargetMode="External"/><Relationship Id="rId2" Type="http://schemas.openxmlformats.org/officeDocument/2006/relationships/hyperlink" Target="https://data.europa.eu/doi/10.2833/6898249" TargetMode="External"/><Relationship Id="rId1" Type="http://schemas.openxmlformats.org/officeDocument/2006/relationships/hyperlink" Target="https://eprel.ec.europa.eu/" TargetMode="External"/><Relationship Id="rId6" Type="http://schemas.openxmlformats.org/officeDocument/2006/relationships/hyperlink" Target="https://ec.europa.eu/info/law/better-regulation/have-your-say/initiatives/1460-Evaluation-and-potential-revision-of-the-EU-tyre-labelling-scheme_en" TargetMode="External"/><Relationship Id="rId11" Type="http://schemas.openxmlformats.org/officeDocument/2006/relationships/hyperlink" Target="https://publications.jrc.ec.europa.eu/repository/handle/JRC130606" TargetMode="External"/><Relationship Id="rId5" Type="http://schemas.openxmlformats.org/officeDocument/2006/relationships/hyperlink" Target="https://single-market-economy.ec.europa.eu/single-market/goods/building-blocks/information-and-communication-system-market-surveillance_en" TargetMode="External"/><Relationship Id="rId10" Type="http://schemas.openxmlformats.org/officeDocument/2006/relationships/hyperlink" Target="https://prosafe.org/" TargetMode="External"/><Relationship Id="rId4" Type="http://schemas.openxmlformats.org/officeDocument/2006/relationships/hyperlink" Target="https://ec.europa.eu/transparency/expert-groups-register/screen/expert-groups/consult?lang=en&amp;groupID=2519" TargetMode="External"/><Relationship Id="rId9" Type="http://schemas.openxmlformats.org/officeDocument/2006/relationships/hyperlink" Target="https://energy-efficient-products.ec.europa.eu/national-measures-penalties-and-sanctions-tyres_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tosorpa\AppData\Local\Microsoft\Windows\INetCache\Content.Outlook\PQZ3U80G\Additional%20Figures%20for%20Tyre%20Labelling%20Report%20to%20Parliament%20VM4.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welcome.ec.europa.eu\T2\DG\ENER\B\3\2%20Products\Products\Tyres\REPORT%20EP-EC-EESC-2025\Final%20report\DGT\Additional%20Figures%20for%20Tyre%20Labelling%20Report%20to%20Parliament%20VM3.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welcome.ec.europa.eu\T2\DG\ENER\B\3\2%20Products\Products\Tyres\REPORT%20EP-EC-EESC-2025\Final%20report\DGT\Additional%20Figures%20for%20Tyre%20Labelling%20Report%20to%20Parliament%20VM3.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welcome.ec.europa.eu\T2\DG\ENER\B\3\2%20Products\Products\Tyres\REPORT%20EP-EC-EESC-2025\Final%20report\DGT\TLR%20Report%20and%20annex-18-June\Figures%20for%20Tyre%20Labelling%20Report.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36458245907216"/>
          <c:y val="3.4829625229506438E-2"/>
          <c:w val="0.85063541754092786"/>
          <c:h val="0.85012098308955464"/>
        </c:manualLayout>
      </c:layout>
      <c:lineChart>
        <c:grouping val="standard"/>
        <c:varyColors val="0"/>
        <c:ser>
          <c:idx val="2"/>
          <c:order val="0"/>
          <c:tx>
            <c:v>Full EPREL DBase</c:v>
          </c:tx>
          <c:spPr>
            <a:ln w="28575" cap="rnd">
              <a:solidFill>
                <a:schemeClr val="accent6"/>
              </a:solidFill>
              <a:round/>
            </a:ln>
            <a:effectLst/>
          </c:spPr>
          <c:marker>
            <c:symbol val="none"/>
          </c:marker>
          <c:cat>
            <c:numRef>
              <c:f>'Figure 4'!$N$10:$N$19</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4'!$O$10:$O$19</c:f>
              <c:numCache>
                <c:formatCode>General</c:formatCode>
                <c:ptCount val="10"/>
                <c:pt idx="0">
                  <c:v>9.15</c:v>
                </c:pt>
                <c:pt idx="1">
                  <c:v>9.15</c:v>
                </c:pt>
                <c:pt idx="2">
                  <c:v>9.1300000000000008</c:v>
                </c:pt>
                <c:pt idx="3">
                  <c:v>9.0299999999999994</c:v>
                </c:pt>
                <c:pt idx="4">
                  <c:v>9.0399999999999991</c:v>
                </c:pt>
                <c:pt idx="5">
                  <c:v>9.07</c:v>
                </c:pt>
                <c:pt idx="6">
                  <c:v>9.07</c:v>
                </c:pt>
                <c:pt idx="7">
                  <c:v>8.7899999999999991</c:v>
                </c:pt>
                <c:pt idx="8">
                  <c:v>8.59</c:v>
                </c:pt>
                <c:pt idx="9">
                  <c:v>8.48</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B7D-4FD3-BC3F-A865C6ACCC04}"/>
            </c:ext>
          </c:extLst>
        </c:ser>
        <c:ser>
          <c:idx val="3"/>
          <c:order val="1"/>
          <c:tx>
            <c:v>Full, # models</c:v>
          </c:tx>
          <c:spPr>
            <a:ln w="28575" cap="rnd">
              <a:noFill/>
              <a:round/>
            </a:ln>
            <a:effectLst/>
          </c:spPr>
          <c:marker>
            <c:symbol val="none"/>
          </c:marker>
          <c:cat>
            <c:numRef>
              <c:f>'Figure 4'!$N$10:$N$19</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4'!$P$10:$P$19</c:f>
              <c:numCache>
                <c:formatCode>#,##0</c:formatCode>
                <c:ptCount val="10"/>
                <c:pt idx="0">
                  <c:v>7060</c:v>
                </c:pt>
                <c:pt idx="1">
                  <c:v>8498</c:v>
                </c:pt>
                <c:pt idx="2">
                  <c:v>9193</c:v>
                </c:pt>
                <c:pt idx="3">
                  <c:v>11783</c:v>
                </c:pt>
                <c:pt idx="4">
                  <c:v>12157</c:v>
                </c:pt>
                <c:pt idx="5">
                  <c:v>15393</c:v>
                </c:pt>
                <c:pt idx="6">
                  <c:v>47405</c:v>
                </c:pt>
                <c:pt idx="7">
                  <c:v>14870</c:v>
                </c:pt>
                <c:pt idx="8">
                  <c:v>16030</c:v>
                </c:pt>
                <c:pt idx="9">
                  <c:v>17100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B7D-4FD3-BC3F-A865C6ACCC04}"/>
            </c:ext>
          </c:extLst>
        </c:ser>
        <c:ser>
          <c:idx val="5"/>
          <c:order val="2"/>
          <c:tx>
            <c:v>Best-fit line</c:v>
          </c:tx>
          <c:spPr>
            <a:ln w="19050" cap="rnd">
              <a:solidFill>
                <a:schemeClr val="tx1"/>
              </a:solidFill>
              <a:prstDash val="dash"/>
              <a:round/>
            </a:ln>
            <a:effectLst/>
          </c:spPr>
          <c:marker>
            <c:symbol val="none"/>
          </c:marker>
          <c:cat>
            <c:numRef>
              <c:f>'Figure 4'!$N$10:$N$19</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4'!$Q$10:$Q$19</c:f>
              <c:numCache>
                <c:formatCode>General</c:formatCode>
                <c:ptCount val="10"/>
                <c:pt idx="0">
                  <c:v>9.17</c:v>
                </c:pt>
                <c:pt idx="1">
                  <c:v>9.15</c:v>
                </c:pt>
                <c:pt idx="2">
                  <c:v>9.1199999999999992</c:v>
                </c:pt>
                <c:pt idx="3">
                  <c:v>9.1</c:v>
                </c:pt>
                <c:pt idx="4">
                  <c:v>9.08</c:v>
                </c:pt>
                <c:pt idx="5">
                  <c:v>9.06</c:v>
                </c:pt>
                <c:pt idx="6">
                  <c:v>9.0399999999999991</c:v>
                </c:pt>
                <c:pt idx="7">
                  <c:v>9.02</c:v>
                </c:pt>
                <c:pt idx="8">
                  <c:v>8.99</c:v>
                </c:pt>
                <c:pt idx="9">
                  <c:v>8.9700000000000006</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8B7D-4FD3-BC3F-A865C6ACCC04}"/>
            </c:ext>
          </c:extLst>
        </c:ser>
        <c:dLbls>
          <c:showLegendKey val="0"/>
          <c:showVal val="0"/>
          <c:showCatName val="0"/>
          <c:showSerName val="0"/>
          <c:showPercent val="0"/>
          <c:showBubbleSize val="0"/>
        </c:dLbls>
        <c:smooth val="0"/>
        <c:axId val="1841549488"/>
        <c:axId val="1841547088"/>
        <c:extLst xmlns:c16r3="http://schemas.microsoft.com/office/drawing/2017/03/chart" xmlns:c16="http://schemas.microsoft.com/office/drawing/2014/chart" xmlns:c14="http://schemas.microsoft.com/office/drawing/2007/8/2/chart" xmlns:mc="http://schemas.openxmlformats.org/markup-compatibility/2006"/>
      </c:lineChart>
      <c:catAx>
        <c:axId val="184154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7088"/>
        <c:crosses val="autoZero"/>
        <c:auto val="1"/>
        <c:lblAlgn val="ctr"/>
        <c:lblOffset val="100"/>
        <c:noMultiLvlLbl val="0"/>
      </c:catAx>
      <c:valAx>
        <c:axId val="1841547088"/>
        <c:scaling>
          <c:orientation val="minMax"/>
          <c:max val="9.4"/>
          <c:min val="8.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R</a:t>
                </a:r>
                <a:r>
                  <a:rPr lang="ro-RO" sz="1200"/>
                  <a:t>ezistența</a:t>
                </a:r>
                <a:r>
                  <a:rPr lang="ro-RO" sz="1200" baseline="0"/>
                  <a:t> la rulare</a:t>
                </a:r>
                <a:r>
                  <a:rPr lang="en-US" sz="1200"/>
                  <a:t> (N/kN)</a:t>
                </a:r>
              </a:p>
            </c:rich>
          </c:tx>
          <c:layout>
            <c:manualLayout>
              <c:xMode val="edge"/>
              <c:yMode val="edge"/>
              <c:x val="5.7741960455910167E-3"/>
              <c:y val="0.1877709205589690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_-* #,##0.0_-;\-* #,##0.0_-;_-* &quot;-&quot;?_-;_-@_-" sourceLinked="0"/>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9488"/>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100"/>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51264932122169"/>
          <c:y val="3.4829625229506438E-2"/>
          <c:w val="0.83487350678778305"/>
          <c:h val="0.84666820727529779"/>
        </c:manualLayout>
      </c:layout>
      <c:lineChart>
        <c:grouping val="standard"/>
        <c:varyColors val="0"/>
        <c:ser>
          <c:idx val="2"/>
          <c:order val="0"/>
          <c:tx>
            <c:v>Full EPREL DBase</c:v>
          </c:tx>
          <c:spPr>
            <a:ln w="28575" cap="rnd">
              <a:solidFill>
                <a:schemeClr val="accent6"/>
              </a:solidFill>
              <a:round/>
            </a:ln>
            <a:effectLst/>
          </c:spPr>
          <c:marker>
            <c:symbol val="none"/>
          </c:marker>
          <c:cat>
            <c:numRef>
              <c:f>'Figure 5'!$N$4:$N$13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5'!$O$4:$O$13</c:f>
              <c:numCache>
                <c:formatCode>0.00</c:formatCode>
                <c:ptCount val="10"/>
                <c:pt idx="0">
                  <c:v>1.3606657223796033</c:v>
                </c:pt>
                <c:pt idx="1">
                  <c:v>1.3636161449752884</c:v>
                </c:pt>
                <c:pt idx="2">
                  <c:v>1.3547220711410857</c:v>
                </c:pt>
                <c:pt idx="3">
                  <c:v>1.3728430790121362</c:v>
                </c:pt>
                <c:pt idx="4">
                  <c:v>1.3724636012174054</c:v>
                </c:pt>
                <c:pt idx="5">
                  <c:v>1.398093938803352</c:v>
                </c:pt>
                <c:pt idx="6">
                  <c:v>1.3586288366206096</c:v>
                </c:pt>
                <c:pt idx="7">
                  <c:v>1.3935877605917955</c:v>
                </c:pt>
                <c:pt idx="8">
                  <c:v>1.406350592638802</c:v>
                </c:pt>
                <c:pt idx="9">
                  <c:v>1.4207719298245614</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3E9-41E0-9EC8-CC65C2E184AF}"/>
            </c:ext>
          </c:extLst>
        </c:ser>
        <c:ser>
          <c:idx val="3"/>
          <c:order val="1"/>
          <c:tx>
            <c:v>Full, # models</c:v>
          </c:tx>
          <c:spPr>
            <a:ln w="28575" cap="rnd">
              <a:noFill/>
              <a:round/>
            </a:ln>
            <a:effectLst/>
          </c:spPr>
          <c:marker>
            <c:symbol val="none"/>
          </c:marker>
          <c:cat>
            <c:numRef>
              <c:f>'Figure 5'!$N$4:$N$13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5'!$P$4:$P$13</c:f>
              <c:numCache>
                <c:formatCode>#,##0</c:formatCode>
                <c:ptCount val="10"/>
                <c:pt idx="0">
                  <c:v>7060</c:v>
                </c:pt>
                <c:pt idx="1">
                  <c:v>8498</c:v>
                </c:pt>
                <c:pt idx="2">
                  <c:v>9193</c:v>
                </c:pt>
                <c:pt idx="3">
                  <c:v>11783</c:v>
                </c:pt>
                <c:pt idx="4">
                  <c:v>12157</c:v>
                </c:pt>
                <c:pt idx="5">
                  <c:v>15393</c:v>
                </c:pt>
                <c:pt idx="6">
                  <c:v>47405</c:v>
                </c:pt>
                <c:pt idx="7">
                  <c:v>14870</c:v>
                </c:pt>
                <c:pt idx="8">
                  <c:v>16030</c:v>
                </c:pt>
                <c:pt idx="9">
                  <c:v>17100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3E9-41E0-9EC8-CC65C2E184AF}"/>
            </c:ext>
          </c:extLst>
        </c:ser>
        <c:ser>
          <c:idx val="5"/>
          <c:order val="2"/>
          <c:tx>
            <c:v>Best-fit line</c:v>
          </c:tx>
          <c:spPr>
            <a:ln w="19050" cap="rnd">
              <a:solidFill>
                <a:schemeClr val="tx1"/>
              </a:solidFill>
              <a:prstDash val="dash"/>
              <a:round/>
            </a:ln>
            <a:effectLst/>
          </c:spPr>
          <c:marker>
            <c:symbol val="none"/>
          </c:marker>
          <c:cat>
            <c:numRef>
              <c:f>'Figure 5'!$N$4:$N$13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5'!$Q$4:$Q$13</c:f>
              <c:numCache>
                <c:formatCode>0.00</c:formatCode>
                <c:ptCount val="10"/>
                <c:pt idx="0">
                  <c:v>1.3590274380400267</c:v>
                </c:pt>
                <c:pt idx="1">
                  <c:v>1.3623678822692957</c:v>
                </c:pt>
                <c:pt idx="2">
                  <c:v>1.3657083264985657</c:v>
                </c:pt>
                <c:pt idx="3">
                  <c:v>1.3690487707278347</c:v>
                </c:pt>
                <c:pt idx="4">
                  <c:v>1.3723892149571038</c:v>
                </c:pt>
                <c:pt idx="5">
                  <c:v>1.3757296591863737</c:v>
                </c:pt>
                <c:pt idx="6">
                  <c:v>1.3790701034156427</c:v>
                </c:pt>
                <c:pt idx="7">
                  <c:v>1.3824105476449118</c:v>
                </c:pt>
                <c:pt idx="8">
                  <c:v>1.3857509918741808</c:v>
                </c:pt>
                <c:pt idx="9">
                  <c:v>1.3890914361034499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83E9-41E0-9EC8-CC65C2E184AF}"/>
            </c:ext>
          </c:extLst>
        </c:ser>
        <c:dLbls>
          <c:showLegendKey val="0"/>
          <c:showVal val="0"/>
          <c:showCatName val="0"/>
          <c:showSerName val="0"/>
          <c:showPercent val="0"/>
          <c:showBubbleSize val="0"/>
        </c:dLbls>
        <c:smooth val="0"/>
        <c:axId val="1841549488"/>
        <c:axId val="1841547088"/>
        <c:extLst xmlns:c16r3="http://schemas.microsoft.com/office/drawing/2017/03/chart" xmlns:c16="http://schemas.microsoft.com/office/drawing/2014/chart" xmlns:c14="http://schemas.microsoft.com/office/drawing/2007/8/2/chart" xmlns:mc="http://schemas.openxmlformats.org/markup-compatibility/2006"/>
      </c:lineChart>
      <c:catAx>
        <c:axId val="184154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7088"/>
        <c:crosses val="autoZero"/>
        <c:auto val="1"/>
        <c:lblAlgn val="ctr"/>
        <c:lblOffset val="100"/>
        <c:noMultiLvlLbl val="0"/>
      </c:catAx>
      <c:valAx>
        <c:axId val="1841547088"/>
        <c:scaling>
          <c:orientation val="minMax"/>
          <c:max val="1.44"/>
          <c:min val="1.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ro-RO" sz="1100"/>
                  <a:t>Indicele</a:t>
                </a:r>
                <a:r>
                  <a:rPr lang="ro-RO" sz="1100" baseline="0"/>
                  <a:t> de aderență pe teren umed</a:t>
                </a:r>
                <a:r>
                  <a:rPr lang="en-US" sz="1100"/>
                  <a:t> (G)</a:t>
                </a:r>
              </a:p>
            </c:rich>
          </c:tx>
          <c:layout>
            <c:manualLayout>
              <c:xMode val="edge"/>
              <c:yMode val="edge"/>
              <c:x val="8.0949413697388554E-3"/>
              <c:y val="4.5535735732850365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0"/>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9488"/>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400"/>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51264932122169"/>
          <c:y val="3.4829625229506438E-2"/>
          <c:w val="0.83487350678778305"/>
          <c:h val="0.84666820727529779"/>
        </c:manualLayout>
      </c:layout>
      <c:lineChart>
        <c:grouping val="standard"/>
        <c:varyColors val="0"/>
        <c:ser>
          <c:idx val="2"/>
          <c:order val="0"/>
          <c:tx>
            <c:v>Full EPREL DBase</c:v>
          </c:tx>
          <c:spPr>
            <a:ln w="28575" cap="rnd">
              <a:solidFill>
                <a:schemeClr val="accent6"/>
              </a:solidFill>
              <a:round/>
            </a:ln>
            <a:effectLst/>
          </c:spPr>
          <c:marker>
            <c:symbol val="none"/>
          </c:marker>
          <c:cat>
            <c:numRef>
              <c:f>'Figure 5'!$N$4:$N$13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5'!$O$4:$O$13</c:f>
              <c:numCache>
                <c:formatCode>0.00</c:formatCode>
                <c:ptCount val="10"/>
                <c:pt idx="0">
                  <c:v>1.3606657223796033</c:v>
                </c:pt>
                <c:pt idx="1">
                  <c:v>1.3636161449752884</c:v>
                </c:pt>
                <c:pt idx="2">
                  <c:v>1.3547220711410857</c:v>
                </c:pt>
                <c:pt idx="3">
                  <c:v>1.3728430790121362</c:v>
                </c:pt>
                <c:pt idx="4">
                  <c:v>1.3724636012174054</c:v>
                </c:pt>
                <c:pt idx="5">
                  <c:v>1.398093938803352</c:v>
                </c:pt>
                <c:pt idx="6">
                  <c:v>1.3586288366206096</c:v>
                </c:pt>
                <c:pt idx="7">
                  <c:v>1.3935877605917955</c:v>
                </c:pt>
                <c:pt idx="8">
                  <c:v>1.406350592638802</c:v>
                </c:pt>
                <c:pt idx="9">
                  <c:v>1.4207719298245614</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3E9-41E0-9EC8-CC65C2E184AF}"/>
            </c:ext>
          </c:extLst>
        </c:ser>
        <c:ser>
          <c:idx val="3"/>
          <c:order val="1"/>
          <c:tx>
            <c:v>Full, # models</c:v>
          </c:tx>
          <c:spPr>
            <a:ln w="28575" cap="rnd">
              <a:noFill/>
              <a:round/>
            </a:ln>
            <a:effectLst/>
          </c:spPr>
          <c:marker>
            <c:symbol val="none"/>
          </c:marker>
          <c:cat>
            <c:numRef>
              <c:f>'Figure 5'!$N$4:$N$13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5'!$P$4:$P$13</c:f>
              <c:numCache>
                <c:formatCode>#,##0</c:formatCode>
                <c:ptCount val="10"/>
                <c:pt idx="0">
                  <c:v>7060</c:v>
                </c:pt>
                <c:pt idx="1">
                  <c:v>8498</c:v>
                </c:pt>
                <c:pt idx="2">
                  <c:v>9193</c:v>
                </c:pt>
                <c:pt idx="3">
                  <c:v>11783</c:v>
                </c:pt>
                <c:pt idx="4">
                  <c:v>12157</c:v>
                </c:pt>
                <c:pt idx="5">
                  <c:v>15393</c:v>
                </c:pt>
                <c:pt idx="6">
                  <c:v>47405</c:v>
                </c:pt>
                <c:pt idx="7">
                  <c:v>14870</c:v>
                </c:pt>
                <c:pt idx="8">
                  <c:v>16030</c:v>
                </c:pt>
                <c:pt idx="9">
                  <c:v>17100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83E9-41E0-9EC8-CC65C2E184AF}"/>
            </c:ext>
          </c:extLst>
        </c:ser>
        <c:ser>
          <c:idx val="5"/>
          <c:order val="2"/>
          <c:tx>
            <c:v>Best-fit line</c:v>
          </c:tx>
          <c:spPr>
            <a:ln w="19050" cap="rnd">
              <a:solidFill>
                <a:schemeClr val="tx1"/>
              </a:solidFill>
              <a:prstDash val="dash"/>
              <a:round/>
            </a:ln>
            <a:effectLst/>
          </c:spPr>
          <c:marker>
            <c:symbol val="none"/>
          </c:marker>
          <c:cat>
            <c:numRef>
              <c:f>'Figure 5'!$N$4:$N$13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5'!$Q$4:$Q$13</c:f>
              <c:numCache>
                <c:formatCode>0.00</c:formatCode>
                <c:ptCount val="10"/>
                <c:pt idx="0">
                  <c:v>1.3590274380400267</c:v>
                </c:pt>
                <c:pt idx="1">
                  <c:v>1.3623678822692957</c:v>
                </c:pt>
                <c:pt idx="2">
                  <c:v>1.3657083264985657</c:v>
                </c:pt>
                <c:pt idx="3">
                  <c:v>1.3690487707278347</c:v>
                </c:pt>
                <c:pt idx="4">
                  <c:v>1.3723892149571038</c:v>
                </c:pt>
                <c:pt idx="5">
                  <c:v>1.3757296591863737</c:v>
                </c:pt>
                <c:pt idx="6">
                  <c:v>1.3790701034156427</c:v>
                </c:pt>
                <c:pt idx="7">
                  <c:v>1.3824105476449118</c:v>
                </c:pt>
                <c:pt idx="8">
                  <c:v>1.3857509918741808</c:v>
                </c:pt>
                <c:pt idx="9">
                  <c:v>1.3890914361034499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83E9-41E0-9EC8-CC65C2E184AF}"/>
            </c:ext>
          </c:extLst>
        </c:ser>
        <c:dLbls>
          <c:showLegendKey val="0"/>
          <c:showVal val="0"/>
          <c:showCatName val="0"/>
          <c:showSerName val="0"/>
          <c:showPercent val="0"/>
          <c:showBubbleSize val="0"/>
        </c:dLbls>
        <c:smooth val="0"/>
        <c:axId val="1841549488"/>
        <c:axId val="1841547088"/>
        <c:extLst xmlns:c16r3="http://schemas.microsoft.com/office/drawing/2017/03/chart" xmlns:c16="http://schemas.microsoft.com/office/drawing/2014/chart" xmlns:c14="http://schemas.microsoft.com/office/drawing/2007/8/2/chart" xmlns:mc="http://schemas.openxmlformats.org/markup-compatibility/2006"/>
      </c:lineChart>
      <c:catAx>
        <c:axId val="184154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7088"/>
        <c:crosses val="autoZero"/>
        <c:auto val="1"/>
        <c:lblAlgn val="ctr"/>
        <c:lblOffset val="100"/>
        <c:noMultiLvlLbl val="0"/>
      </c:catAx>
      <c:valAx>
        <c:axId val="1841547088"/>
        <c:scaling>
          <c:orientation val="minMax"/>
          <c:max val="1.44"/>
          <c:min val="1.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ro-RO" sz="1100"/>
                  <a:t>Indicele</a:t>
                </a:r>
                <a:r>
                  <a:rPr lang="ro-RO" sz="1100" baseline="0"/>
                  <a:t> de aderență pe teren umed</a:t>
                </a:r>
                <a:r>
                  <a:rPr lang="en-US" sz="1100"/>
                  <a:t> (G)</a:t>
                </a:r>
              </a:p>
            </c:rich>
          </c:tx>
          <c:layout>
            <c:manualLayout>
              <c:xMode val="edge"/>
              <c:yMode val="edge"/>
              <c:x val="1.5057113567464545E-2"/>
              <c:y val="0.11061606926955973"/>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0"/>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9488"/>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400"/>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452537489223802"/>
          <c:y val="3.4829625229506438E-2"/>
          <c:w val="0.79546872990492123"/>
          <c:h val="0.85702653471806844"/>
        </c:manualLayout>
      </c:layout>
      <c:lineChart>
        <c:grouping val="standard"/>
        <c:varyColors val="0"/>
        <c:ser>
          <c:idx val="2"/>
          <c:order val="0"/>
          <c:tx>
            <c:v>Full EPREL DBase</c:v>
          </c:tx>
          <c:spPr>
            <a:ln w="28575" cap="rnd">
              <a:solidFill>
                <a:schemeClr val="accent6"/>
              </a:solidFill>
              <a:round/>
            </a:ln>
            <a:effectLst/>
          </c:spPr>
          <c:marker>
            <c:symbol val="none"/>
          </c:marker>
          <c:cat>
            <c:numRef>
              <c:f>'Figure 6'!$N$10:$N$19</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6'!$O$10:$O$19</c:f>
              <c:numCache>
                <c:formatCode>0.00</c:formatCode>
                <c:ptCount val="10"/>
                <c:pt idx="0">
                  <c:v>70.713314447592069</c:v>
                </c:pt>
                <c:pt idx="1">
                  <c:v>70.840786067309949</c:v>
                </c:pt>
                <c:pt idx="2">
                  <c:v>71.018601109539873</c:v>
                </c:pt>
                <c:pt idx="3">
                  <c:v>71.143851311211066</c:v>
                </c:pt>
                <c:pt idx="4">
                  <c:v>70.966110060047711</c:v>
                </c:pt>
                <c:pt idx="5">
                  <c:v>71.089456246345748</c:v>
                </c:pt>
                <c:pt idx="6">
                  <c:v>71.049952536652256</c:v>
                </c:pt>
                <c:pt idx="7">
                  <c:v>70.979488903833214</c:v>
                </c:pt>
                <c:pt idx="8">
                  <c:v>71.057829070492829</c:v>
                </c:pt>
                <c:pt idx="9">
                  <c:v>71.154385964912279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9A0-4229-9507-2498559C286B}"/>
            </c:ext>
          </c:extLst>
        </c:ser>
        <c:ser>
          <c:idx val="3"/>
          <c:order val="1"/>
          <c:tx>
            <c:v>Full, # models</c:v>
          </c:tx>
          <c:spPr>
            <a:ln w="28575" cap="rnd">
              <a:noFill/>
              <a:round/>
            </a:ln>
            <a:effectLst/>
          </c:spPr>
          <c:marker>
            <c:symbol val="none"/>
          </c:marker>
          <c:cat>
            <c:numRef>
              <c:f>'Figure 6'!$N$10:$N$19</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6'!$P$10:$P$19</c:f>
              <c:numCache>
                <c:formatCode>#,##0</c:formatCode>
                <c:ptCount val="10"/>
                <c:pt idx="0">
                  <c:v>7060</c:v>
                </c:pt>
                <c:pt idx="1">
                  <c:v>8498</c:v>
                </c:pt>
                <c:pt idx="2">
                  <c:v>9193</c:v>
                </c:pt>
                <c:pt idx="3">
                  <c:v>11783</c:v>
                </c:pt>
                <c:pt idx="4">
                  <c:v>12157</c:v>
                </c:pt>
                <c:pt idx="5">
                  <c:v>15393</c:v>
                </c:pt>
                <c:pt idx="6">
                  <c:v>47405</c:v>
                </c:pt>
                <c:pt idx="7">
                  <c:v>14870</c:v>
                </c:pt>
                <c:pt idx="8">
                  <c:v>16030</c:v>
                </c:pt>
                <c:pt idx="9">
                  <c:v>17100</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69A0-4229-9507-2498559C286B}"/>
            </c:ext>
          </c:extLst>
        </c:ser>
        <c:ser>
          <c:idx val="5"/>
          <c:order val="2"/>
          <c:tx>
            <c:v>Best-fit line</c:v>
          </c:tx>
          <c:spPr>
            <a:ln w="19050" cap="rnd">
              <a:solidFill>
                <a:schemeClr val="tx1"/>
              </a:solidFill>
              <a:prstDash val="dash"/>
              <a:round/>
            </a:ln>
            <a:effectLst/>
          </c:spPr>
          <c:marker>
            <c:symbol val="none"/>
          </c:marker>
          <c:cat>
            <c:numRef>
              <c:f>'Figure 6'!$N$10:$N$19</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'Figure 6'!$Q$10:$Q$19</c:f>
              <c:numCache>
                <c:formatCode>0.00</c:formatCode>
                <c:ptCount val="10"/>
                <c:pt idx="0">
                  <c:v>70.892416700286475</c:v>
                </c:pt>
                <c:pt idx="1">
                  <c:v>70.925626646738138</c:v>
                </c:pt>
                <c:pt idx="2">
                  <c:v>70.958836593189815</c:v>
                </c:pt>
                <c:pt idx="3">
                  <c:v>70.992046539641478</c:v>
                </c:pt>
                <c:pt idx="4">
                  <c:v>71.025256486093141</c:v>
                </c:pt>
                <c:pt idx="5">
                  <c:v>71.058466432544819</c:v>
                </c:pt>
                <c:pt idx="6">
                  <c:v>71.091676378996482</c:v>
                </c:pt>
                <c:pt idx="7">
                  <c:v>71.124886325448131</c:v>
                </c:pt>
                <c:pt idx="8">
                  <c:v>71.158096271899808</c:v>
                </c:pt>
                <c:pt idx="9">
                  <c:v>71.191306218351471</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69A0-4229-9507-2498559C286B}"/>
            </c:ext>
          </c:extLst>
        </c:ser>
        <c:dLbls>
          <c:showLegendKey val="0"/>
          <c:showVal val="0"/>
          <c:showCatName val="0"/>
          <c:showSerName val="0"/>
          <c:showPercent val="0"/>
          <c:showBubbleSize val="0"/>
        </c:dLbls>
        <c:smooth val="0"/>
        <c:axId val="1841549488"/>
        <c:axId val="1841547088"/>
        <c:extLst xmlns:c16r3="http://schemas.microsoft.com/office/drawing/2017/03/chart" xmlns:c16="http://schemas.microsoft.com/office/drawing/2014/chart" xmlns:c14="http://schemas.microsoft.com/office/drawing/2007/8/2/chart" xmlns:mc="http://schemas.openxmlformats.org/markup-compatibility/2006"/>
      </c:lineChart>
      <c:catAx>
        <c:axId val="184154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7088"/>
        <c:crosses val="autoZero"/>
        <c:auto val="1"/>
        <c:lblAlgn val="ctr"/>
        <c:lblOffset val="100"/>
        <c:noMultiLvlLbl val="0"/>
      </c:catAx>
      <c:valAx>
        <c:axId val="1841547088"/>
        <c:scaling>
          <c:orientation val="minMax"/>
          <c:max val="72"/>
          <c:min val="69"/>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ro-RO" sz="1200"/>
                  <a:t>Zgomotul</a:t>
                </a:r>
                <a:r>
                  <a:rPr lang="ro-RO" sz="1200" baseline="0"/>
                  <a:t> de rulare - media în decibeli</a:t>
                </a:r>
                <a:r>
                  <a:rPr lang="en-US" sz="1200"/>
                  <a:t> (dB)</a:t>
                </a:r>
              </a:p>
            </c:rich>
          </c:tx>
          <c:layout>
            <c:manualLayout>
              <c:xMode val="edge"/>
              <c:yMode val="edge"/>
              <c:x val="7.744434889734109E-3"/>
              <c:y val="0.1806524930672611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0"/>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1841549488"/>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0.55797</cdr:x>
      <cdr:y>0.04393</cdr:y>
    </cdr:from>
    <cdr:to>
      <cdr:x>0.9747</cdr:x>
      <cdr:y>0.18438</cdr:y>
    </cdr:to>
    <cdr:sp macro="" textlink="">
      <cdr:nvSpPr>
        <cdr:cNvPr id="2" name="AutoShape 35">
          <a:extLst xmlns:a="http://schemas.openxmlformats.org/drawingml/2006/main">
            <a:ext uri="{FF2B5EF4-FFF2-40B4-BE49-F238E27FC236}">
              <a16:creationId xmlns:a16="http://schemas.microsoft.com/office/drawing/2014/main" id="{764965C9-7320-C83E-14BA-062C2F50AA2B}"/>
            </a:ext>
          </a:extLst>
        </cdr:cNvPr>
        <cdr:cNvSpPr>
          <a:spLocks xmlns:a="http://schemas.openxmlformats.org/drawingml/2006/main" noChangeArrowheads="1"/>
        </cdr:cNvSpPr>
      </cdr:nvSpPr>
      <cdr:spPr bwMode="auto">
        <a:xfrm xmlns:a="http://schemas.openxmlformats.org/drawingml/2006/main">
          <a:off x="3053442" y="137162"/>
          <a:ext cx="2280536" cy="438527"/>
        </a:xfrm>
        <a:prstGeom xmlns:a="http://schemas.openxmlformats.org/drawingml/2006/main" prst="wedgeRectCallout">
          <a:avLst>
            <a:gd name="adj1" fmla="val -15098"/>
            <a:gd name="adj2" fmla="val 136165"/>
          </a:avLst>
        </a:prstGeom>
        <a:solidFill xmlns:a="http://schemas.openxmlformats.org/drawingml/2006/main">
          <a:srgbClr val="FFFFFF"/>
        </a:solidFill>
        <a:ln xmlns:a="http://schemas.openxmlformats.org/drawingml/2006/main" w="9525">
          <a:solidFill>
            <a:schemeClr val="accent1">
              <a:lumMod val="100000"/>
              <a:lumOff val="0"/>
            </a:schemeClr>
          </a:solidFill>
          <a:miter lim="800000"/>
          <a:headEnd/>
          <a:tailEnd/>
        </a:ln>
      </cdr:spPr>
      <cdr:txBody>
        <a:bodyPr xmlns:a="http://schemas.openxmlformats.org/drawingml/2006/main" rot="0" vert="horz" wrap="square" lIns="91440" tIns="45720" rIns="91440" bIns="45720" anchor="t" anchorCtr="0" upright="1">
          <a:noAutofit/>
        </a:bodyPr>
        <a:lstStyle xmlns:a="http://schemas.openxmlformats.org/drawingml/2006/main"/>
        <a:p xmlns:a="http://schemas.openxmlformats.org/drawingml/2006/main">
          <a:pPr marL="0" marR="0" lvl="0" indent="0" algn="ctr" defTabSz="914400" eaLnBrk="1" fontAlgn="auto" latinLnBrk="0" hangingPunct="1">
            <a:lnSpc>
              <a:spcPct val="110000"/>
            </a:lnSpc>
            <a:spcBef>
              <a:spcPts val="0"/>
            </a:spcBef>
            <a:spcAft>
              <a:spcPts val="600"/>
            </a:spcAft>
            <a:buClrTx/>
            <a:buSzTx/>
            <a:buFontTx/>
            <a:buNone/>
            <a:tabLst/>
            <a:defRPr/>
          </a:pPr>
          <a:r>
            <a:rPr lang="ro-RO" sz="1100">
              <a:solidFill>
                <a:srgbClr val="474747"/>
              </a:solidFill>
              <a:effectLst/>
              <a:latin typeface="Arial" panose="020B0604020202020204" pitchFamily="34" charset="0"/>
              <a:ea typeface="Yu Mincho" panose="02020400000000000000" pitchFamily="18" charset="-128"/>
              <a:cs typeface="Arial" panose="020B0604020202020204" pitchFamily="34" charset="0"/>
            </a:rPr>
            <a:t>intră în vigoare noua etichetă a pneurilor</a:t>
          </a:r>
        </a:p>
        <a:p xmlns:a="http://schemas.openxmlformats.org/drawingml/2006/main">
          <a:pPr algn="ctr">
            <a:lnSpc>
              <a:spcPct val="110000"/>
            </a:lnSpc>
            <a:spcAft>
              <a:spcPts val="600"/>
            </a:spcAft>
            <a:buNone/>
          </a:pPr>
          <a:endParaRPr lang="en-GB" sz="1100">
            <a:solidFill>
              <a:srgbClr val="474747"/>
            </a:solidFill>
            <a:effectLst/>
            <a:latin typeface="Arial" panose="020B0604020202020204" pitchFamily="34" charset="0"/>
            <a:ea typeface="Yu Mincho" panose="02020400000000000000" pitchFamily="18" charset="-128"/>
            <a:cs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0.65584</cdr:x>
      <cdr:y>0.60551</cdr:y>
    </cdr:from>
    <cdr:to>
      <cdr:x>0.9747</cdr:x>
      <cdr:y>0.74192</cdr:y>
    </cdr:to>
    <cdr:sp macro="" textlink="">
      <cdr:nvSpPr>
        <cdr:cNvPr id="2" name="AutoShape 35">
          <a:extLst xmlns:a="http://schemas.openxmlformats.org/drawingml/2006/main">
            <a:ext uri="{FF2B5EF4-FFF2-40B4-BE49-F238E27FC236}">
              <a16:creationId xmlns:a16="http://schemas.microsoft.com/office/drawing/2014/main" id="{764965C9-7320-C83E-14BA-062C2F50AA2B}"/>
            </a:ext>
          </a:extLst>
        </cdr:cNvPr>
        <cdr:cNvSpPr>
          <a:spLocks xmlns:a="http://schemas.openxmlformats.org/drawingml/2006/main" noChangeArrowheads="1"/>
        </cdr:cNvSpPr>
      </cdr:nvSpPr>
      <cdr:spPr bwMode="auto">
        <a:xfrm xmlns:a="http://schemas.openxmlformats.org/drawingml/2006/main">
          <a:off x="3589020" y="1890581"/>
          <a:ext cx="1744979" cy="425899"/>
        </a:xfrm>
        <a:prstGeom xmlns:a="http://schemas.openxmlformats.org/drawingml/2006/main" prst="wedgeRectCallout">
          <a:avLst>
            <a:gd name="adj1" fmla="val -35760"/>
            <a:gd name="adj2" fmla="val -100037"/>
          </a:avLst>
        </a:prstGeom>
        <a:solidFill xmlns:a="http://schemas.openxmlformats.org/drawingml/2006/main">
          <a:srgbClr val="FFFFFF"/>
        </a:solidFill>
        <a:ln xmlns:a="http://schemas.openxmlformats.org/drawingml/2006/main" w="9525">
          <a:solidFill>
            <a:schemeClr val="accent1">
              <a:lumMod val="100000"/>
              <a:lumOff val="0"/>
            </a:schemeClr>
          </a:solidFill>
          <a:miter lim="800000"/>
          <a:headEnd/>
          <a:tailEnd/>
        </a:ln>
      </cdr:spPr>
      <cdr:txBody>
        <a:bodyPr xmlns:a="http://schemas.openxmlformats.org/drawingml/2006/main" rot="0" vert="horz" wrap="square" lIns="0" tIns="45720" rIns="0" bIns="45720" anchor="t" anchorCtr="0" upright="1">
          <a:noAutofit/>
        </a:bodyPr>
        <a:lstStyle xmlns:a="http://schemas.openxmlformats.org/drawingml/2006/main"/>
        <a:p xmlns:a="http://schemas.openxmlformats.org/drawingml/2006/main">
          <a:pPr algn="ctr">
            <a:lnSpc>
              <a:spcPct val="110000"/>
            </a:lnSpc>
            <a:spcAft>
              <a:spcPts val="600"/>
            </a:spcAft>
            <a:buNone/>
          </a:pPr>
          <a:r>
            <a:rPr lang="ro-RO" sz="1100">
              <a:solidFill>
                <a:srgbClr val="474747"/>
              </a:solidFill>
              <a:effectLst/>
              <a:latin typeface="Arial" panose="020B0604020202020204" pitchFamily="34" charset="0"/>
              <a:ea typeface="Yu Mincho" panose="02020400000000000000" pitchFamily="18" charset="-128"/>
              <a:cs typeface="Arial" panose="020B0604020202020204" pitchFamily="34" charset="0"/>
            </a:rPr>
            <a:t>intră în vigoare noua etichetă a pneurilor</a:t>
          </a:r>
        </a:p>
      </cdr:txBody>
    </cdr:sp>
  </cdr:relSizeAnchor>
</c:userShapes>
</file>

<file path=word/drawings/drawing3.xml><?xml version="1.0" encoding="utf-8"?>
<c:userShapes xmlns:c="http://schemas.openxmlformats.org/drawingml/2006/chart">
  <cdr:relSizeAnchor xmlns:cdr="http://schemas.openxmlformats.org/drawingml/2006/chartDrawing">
    <cdr:from>
      <cdr:x>0.65584</cdr:x>
      <cdr:y>0.60551</cdr:y>
    </cdr:from>
    <cdr:to>
      <cdr:x>0.9747</cdr:x>
      <cdr:y>0.74192</cdr:y>
    </cdr:to>
    <cdr:sp macro="" textlink="">
      <cdr:nvSpPr>
        <cdr:cNvPr id="2" name="AutoShape 35">
          <a:extLst xmlns:a="http://schemas.openxmlformats.org/drawingml/2006/main">
            <a:ext uri="{FF2B5EF4-FFF2-40B4-BE49-F238E27FC236}">
              <a16:creationId xmlns:a16="http://schemas.microsoft.com/office/drawing/2014/main" id="{764965C9-7320-C83E-14BA-062C2F50AA2B}"/>
            </a:ext>
          </a:extLst>
        </cdr:cNvPr>
        <cdr:cNvSpPr>
          <a:spLocks xmlns:a="http://schemas.openxmlformats.org/drawingml/2006/main" noChangeArrowheads="1"/>
        </cdr:cNvSpPr>
      </cdr:nvSpPr>
      <cdr:spPr bwMode="auto">
        <a:xfrm xmlns:a="http://schemas.openxmlformats.org/drawingml/2006/main">
          <a:off x="3589020" y="1890581"/>
          <a:ext cx="1744979" cy="425899"/>
        </a:xfrm>
        <a:prstGeom xmlns:a="http://schemas.openxmlformats.org/drawingml/2006/main" prst="wedgeRectCallout">
          <a:avLst>
            <a:gd name="adj1" fmla="val -35760"/>
            <a:gd name="adj2" fmla="val -100037"/>
          </a:avLst>
        </a:prstGeom>
        <a:solidFill xmlns:a="http://schemas.openxmlformats.org/drawingml/2006/main">
          <a:srgbClr val="FFFFFF"/>
        </a:solidFill>
        <a:ln xmlns:a="http://schemas.openxmlformats.org/drawingml/2006/main" w="9525">
          <a:solidFill>
            <a:schemeClr val="accent1">
              <a:lumMod val="100000"/>
              <a:lumOff val="0"/>
            </a:schemeClr>
          </a:solidFill>
          <a:miter lim="800000"/>
          <a:headEnd/>
          <a:tailEnd/>
        </a:ln>
      </cdr:spPr>
      <cdr:txBody>
        <a:bodyPr xmlns:a="http://schemas.openxmlformats.org/drawingml/2006/main" rot="0" vert="horz" wrap="square" lIns="0" tIns="45720" rIns="0" bIns="45720" anchor="t" anchorCtr="0" upright="1">
          <a:noAutofit/>
        </a:bodyPr>
        <a:lstStyle xmlns:a="http://schemas.openxmlformats.org/drawingml/2006/main"/>
        <a:p xmlns:a="http://schemas.openxmlformats.org/drawingml/2006/main">
          <a:pPr algn="ctr">
            <a:lnSpc>
              <a:spcPct val="110000"/>
            </a:lnSpc>
            <a:spcAft>
              <a:spcPts val="600"/>
            </a:spcAft>
            <a:buNone/>
          </a:pPr>
          <a:r>
            <a:rPr lang="ro-RO" sz="1100">
              <a:solidFill>
                <a:srgbClr val="474747"/>
              </a:solidFill>
              <a:effectLst/>
              <a:latin typeface="Arial" panose="020B0604020202020204" pitchFamily="34" charset="0"/>
              <a:ea typeface="Yu Mincho" panose="02020400000000000000" pitchFamily="18" charset="-128"/>
              <a:cs typeface="Arial" panose="020B0604020202020204" pitchFamily="34" charset="0"/>
            </a:rPr>
            <a:t>intră în vigoare noua etichetă a pneurilor</a:t>
          </a:r>
        </a:p>
      </cdr:txBody>
    </cdr:sp>
  </cdr:relSizeAnchor>
</c:userShapes>
</file>

<file path=word/drawings/drawing4.xml><?xml version="1.0" encoding="utf-8"?>
<c:userShapes xmlns:c="http://schemas.openxmlformats.org/drawingml/2006/chart">
  <cdr:relSizeAnchor xmlns:cdr="http://schemas.openxmlformats.org/drawingml/2006/chartDrawing">
    <cdr:from>
      <cdr:x>0.6266</cdr:x>
      <cdr:y>0.46304</cdr:y>
    </cdr:from>
    <cdr:to>
      <cdr:x>1</cdr:x>
      <cdr:y>0.61884</cdr:y>
    </cdr:to>
    <cdr:sp macro="" textlink="">
      <cdr:nvSpPr>
        <cdr:cNvPr id="2" name="AutoShape 35">
          <a:extLst xmlns:a="http://schemas.openxmlformats.org/drawingml/2006/main">
            <a:ext uri="{FF2B5EF4-FFF2-40B4-BE49-F238E27FC236}">
              <a16:creationId xmlns:a16="http://schemas.microsoft.com/office/drawing/2014/main" id="{764965C9-7320-C83E-14BA-062C2F50AA2B}"/>
            </a:ext>
          </a:extLst>
        </cdr:cNvPr>
        <cdr:cNvSpPr>
          <a:spLocks xmlns:a="http://schemas.openxmlformats.org/drawingml/2006/main" noChangeArrowheads="1"/>
        </cdr:cNvSpPr>
      </cdr:nvSpPr>
      <cdr:spPr bwMode="auto">
        <a:xfrm xmlns:a="http://schemas.openxmlformats.org/drawingml/2006/main">
          <a:off x="3429000" y="1445758"/>
          <a:ext cx="2043430" cy="486456"/>
        </a:xfrm>
        <a:prstGeom xmlns:a="http://schemas.openxmlformats.org/drawingml/2006/main" prst="wedgeRectCallout">
          <a:avLst>
            <a:gd name="adj1" fmla="val -21227"/>
            <a:gd name="adj2" fmla="val -138053"/>
          </a:avLst>
        </a:prstGeom>
        <a:solidFill xmlns:a="http://schemas.openxmlformats.org/drawingml/2006/main">
          <a:srgbClr val="FFFFFF"/>
        </a:solidFill>
        <a:ln xmlns:a="http://schemas.openxmlformats.org/drawingml/2006/main" w="9525">
          <a:solidFill>
            <a:schemeClr val="accent1">
              <a:lumMod val="100000"/>
              <a:lumOff val="0"/>
            </a:schemeClr>
          </a:solidFill>
          <a:miter lim="800000"/>
          <a:headEnd/>
          <a:tailEnd/>
        </a:ln>
      </cdr:spPr>
      <cdr:txBody>
        <a:bodyPr xmlns:a="http://schemas.openxmlformats.org/drawingml/2006/main" rot="0" vert="horz" wrap="square" lIns="91440" tIns="45720" rIns="91440" bIns="45720" anchor="t" anchorCtr="0" upright="1">
          <a:noAutofit/>
        </a:bodyPr>
        <a:lstStyle xmlns:a="http://schemas.openxmlformats.org/drawingml/2006/main"/>
        <a:p xmlns:a="http://schemas.openxmlformats.org/drawingml/2006/main">
          <a:pPr algn="ctr">
            <a:lnSpc>
              <a:spcPct val="110000"/>
            </a:lnSpc>
            <a:spcAft>
              <a:spcPts val="600"/>
            </a:spcAft>
            <a:buNone/>
          </a:pPr>
          <a:r>
            <a:rPr lang="ro-RO" sz="1100">
              <a:solidFill>
                <a:srgbClr val="474747"/>
              </a:solidFill>
              <a:effectLst/>
              <a:latin typeface="Arial" panose="020B0604020202020204" pitchFamily="34" charset="0"/>
              <a:ea typeface="Yu Mincho" panose="02020400000000000000" pitchFamily="18" charset="-128"/>
              <a:cs typeface="Arial" panose="020B0604020202020204" pitchFamily="34" charset="0"/>
            </a:rPr>
            <a:t>intră în vigoare noua etichetă a pneurilor</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EurolookProperties>
  <ProductCustomizationId>EC</ProductCustomizationId>
  <Created>
    <Version>10.0.47989.0</Version>
    <Date>2026-04-30T13:33:57</Date>
    <Language>EN</Language>
    <Note>Created using 'Convert To Eurolook'</Note>
  </Created>
  <DocumentModel>
    <Id>6cbda13a-4db2-46c6-876a-ef72275827ef</Id>
    <Name>Report</Name>
  </DocumentModel>
  <CustomTemplate>
    <Id/>
    <Name/>
  </CustomTemplate>
  <DocumentDate>2026-04-30T13:33:57</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3.xml><?xml version="1.0" encoding="utf-8"?>
<Author Role="Creator" AuthorRoleName="Writer" AuthorRoleDisplayName="Writer" AuthorRoleId="a4fbaff4-b07c-48b4-a21e-e7b9eedf3796">
  <Id>ec1e8bf2-273b-4838-9fbd-89f226d64a89</Id>
  <Names>
    <Latin>
      <FirstName>Robert</FirstName>
      <LastName>Nuij</LastName>
    </Latin>
    <Greek>
      <FirstName/>
      <LastName/>
    </Greek>
    <Cyrillic>
      <FirstName/>
      <LastName/>
    </Cyrillic>
    <DocumentScript>
      <FirstName>Robert</FirstName>
      <LastName>Nuij</LastName>
      <FullName>Robert Nuij</FullName>
    </DocumentScript>
  </Names>
  <Initials>RN</Initials>
  <Gender>m</Gender>
  <Email>Robert.NUIJ@ec.europa.eu</Email>
  <Service>ENER.B.3</Service>
  <Function ADCode="4" ShowInSignature="true" ShowInHeader="false" HeaderText="">Head of Unit</Function>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2>
  <OrgaEntity3>
    <Id>e36a18f1-f318-4189-8ef7-53cfd5449027</Id>
    <LogicalLevel>3</LogicalLevel>
    <Name>ENER.B.3</Name>
    <HeadLine1>B.3 – Buildings and Products</HeadLine1>
    <HeadLine2/>
    <PrimaryAddressId>f03b5801-04c9-4931-aa17-c6d6c70bc579</PrimaryAddressId>
    <SecondaryAddressId/>
    <WebAddress/>
    <InheritedWebAddress>WebAddress</InheritedWebAddress>
    <ShowInHeader>true</ShowInHeader>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OrgaEntity>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
    <OrgaEntity>
      <Id>e36a18f1-f318-4189-8ef7-53cfd5449027</Id>
      <LogicalLevel>3</LogicalLevel>
      <Name>ENER.B.3</Name>
      <HeadLine1>B.3 – Buildings and Products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+32 229-86183</Phone>
    <Office>DM24 04/082</Office>
  </MainWorkplace>
  <Workplaces>
    <Workplace IsMain="true">
      <AddressId>f03b5801-04c9-4931-aa17-c6d6c70bc579</AddressId>
      <Fax/>
      <Phone>+32 229-86183</Phone>
      <Office>DM24 04/082</Office>
    </Workplace>
  </Workplaces>
</Author>
</file>

<file path=customXml/item4.xml><?xml version="1.0" encoding="utf-8"?>
<ct:contentTypeSchema xmlns:ct="http://schemas.microsoft.com/office/2006/metadata/contentType" xmlns:ma="http://schemas.microsoft.com/office/2006/metadata/properties/metaAttributes" ct:_="" ma:_="" ma:contentTypeName="Dokument" ma:contentTypeID="0x010100928CAC5D745C4E45847620156C62CF9E" ma:contentTypeVersion="19" ma:contentTypeDescription="Opret et nyt dokument." ma:contentTypeScope="" ma:versionID="bc611d3a4d8f93dfb2c12eb0ca5e7f1f">
  <xsd:schema xmlns:xsd="http://www.w3.org/2001/XMLSchema" xmlns:xs="http://www.w3.org/2001/XMLSchema" xmlns:p="http://schemas.microsoft.com/office/2006/metadata/properties" xmlns:ns2="5a453f2f-4aff-4114-81ba-e18ec71a3481" xmlns:ns3="f9315274-0e25-49c3-ba9a-18bfb53ea1de" xmlns:ns4="7058b7d0-6f54-43d0-ac9b-f95b90dfb0dc" targetNamespace="http://schemas.microsoft.com/office/2006/metadata/properties" ma:root="true" ma:fieldsID="3ebd9bb5edef4c72e2073b1f5d764dda" ns2:_="" ns3:_="" ns4:_="">
    <xsd:import namespace="5a453f2f-4aff-4114-81ba-e18ec71a3481"/>
    <xsd:import namespace="f9315274-0e25-49c3-ba9a-18bfb53ea1de"/>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4:SharedWithUsers" minOccurs="0"/>
                <xsd:element ref="ns4:SharedWithDetails" minOccurs="0"/>
                <xsd:element ref="ns2:date" minOccurs="0"/>
                <xsd:element ref="ns2:Date0" minOccurs="0"/>
                <xsd:element ref="ns2:Dateandti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53f2f-4aff-4114-81ba-e18ec71a3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 ma:index="23" nillable="true" ma:displayName="date" ma:format="DateOnly" ma:internalName="date">
      <xsd:simpleType>
        <xsd:restriction base="dms:DateTime"/>
      </xsd:simpleType>
    </xsd:element>
    <xsd:element name="Date0" ma:index="24" nillable="true" ma:displayName="Date" ma:description="Test" ma:format="DateOnly" ma:internalName="Date0">
      <xsd:simpleType>
        <xsd:restriction base="dms:DateTime"/>
      </xsd:simpleType>
    </xsd:element>
    <xsd:element name="Dateandtime" ma:index="25" nillable="true" ma:displayName="Date and time" ma:format="DateOnly" ma:internalName="Dateandtime">
      <xsd:simpleType>
        <xsd:restriction base="dms:DateTime"/>
      </xsd:simpleType>
    </xsd:element>
    <xsd:element name="Area" ma:index="26" nillable="true" ma:displayName="Area" ma:description="Is file of relevance to products, buildings or both/none" ma:format="Dropdown" ma:internalName="Area">
      <xsd:simpleType>
        <xsd:restriction base="dms:Choice">
          <xsd:enumeration value="Products"/>
          <xsd:enumeration value="Buildings"/>
          <xsd:enumeration value="Horizontal"/>
        </xsd:restriction>
      </xsd:simpleType>
    </xsd:element>
  </xsd:schema>
  <xsd:schema xmlns:xsd="http://www.w3.org/2001/XMLSchema" xmlns:xs="http://www.w3.org/2001/XMLSchema" xmlns:dms="http://schemas.microsoft.com/office/2006/documentManagement/types" xmlns:pc="http://schemas.microsoft.com/office/infopath/2007/PartnerControls" targetNamespace="f9315274-0e25-49c3-ba9a-18bfb53ea1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c16d08-8f7a-41c6-97fc-b0a6082af7ae}" ma:internalName="TaxCatchAll" ma:showField="CatchAllData" ma:web="f9315274-0e25-49c3-ba9a-18bfb53ea1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 xmlns="5a453f2f-4aff-4114-81ba-e18ec71a3481" xsi:nil="true"/>
    <TaxCatchAll xmlns="f9315274-0e25-49c3-ba9a-18bfb53ea1de" xsi:nil="true"/>
    <Area xmlns="5a453f2f-4aff-4114-81ba-e18ec71a3481" xsi:nil="true"/>
    <lcf76f155ced4ddcb4097134ff3c332f xmlns="5a453f2f-4aff-4114-81ba-e18ec71a348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ate0 xmlns="5a453f2f-4aff-4114-81ba-e18ec71a3481" xsi:nil="true"/>
    <Dateandtime xmlns="5a453f2f-4aff-4114-81ba-e18ec71a3481"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545C97AF-3583-4A29-8D2A-D6F315F2919D}">
  <ds:schemaRefs/>
</ds:datastoreItem>
</file>

<file path=customXml/itemProps4.xml><?xml version="1.0" encoding="utf-8"?>
<ds:datastoreItem xmlns:ds="http://schemas.openxmlformats.org/officeDocument/2006/customXml" ds:itemID="{10D6DB8B-0B66-41A7-86DB-563BE0BF8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53f2f-4aff-4114-81ba-e18ec71a3481"/>
    <ds:schemaRef ds:uri="f9315274-0e25-49c3-ba9a-18bfb53ea1de"/>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2CEDE62-780D-4884-AB8F-075F14DD8EA2}">
  <ds:schemaRefs>
    <ds:schemaRef ds:uri="http://schemas.microsoft.com/office/2006/metadata/properties"/>
    <ds:schemaRef ds:uri="http://schemas.microsoft.com/office/infopath/2007/PartnerControls"/>
    <ds:schemaRef ds:uri="5a453f2f-4aff-4114-81ba-e18ec71a3481"/>
    <ds:schemaRef ds:uri="f9315274-0e25-49c3-ba9a-18bfb53ea1de"/>
  </ds:schemaRefs>
</ds:datastoreItem>
</file>

<file path=customXml/itemProps6.xml><?xml version="1.0" encoding="utf-8"?>
<ds:datastoreItem xmlns:ds="http://schemas.openxmlformats.org/officeDocument/2006/customXml" ds:itemID="{1D2F61EC-DE28-4B8F-A864-D7839EE2C92B}">
  <ds:schemaRefs>
    <ds:schemaRef ds:uri="http://schemas.microsoft.com/sharepoint/v3/contenttype/forms"/>
  </ds:schemaRefs>
</ds:datastoreItem>
</file>

<file path=customXml/itemProps7.xml><?xml version="1.0" encoding="utf-8"?>
<ds:datastoreItem xmlns:ds="http://schemas.openxmlformats.org/officeDocument/2006/customXml" ds:itemID="{34ED5D02-B676-4DE9-A769-ED92545E4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15</Pages>
  <Words>6593</Words>
  <Characters>37581</Characters>
  <Application>Microsoft Office Word</Application>
  <DocSecurity>0</DocSecurity>
  <PresentationFormat>Microsoft Word 14.0</PresentationFormat>
  <Lines>313</Lines>
  <Paragraphs>88</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44086</CharactersWithSpaces>
  <SharedDoc>false</SharedDoc>
  <HLinks>
    <vt:vector size="96" baseType="variant">
      <vt:variant>
        <vt:i4>7340064</vt:i4>
      </vt:variant>
      <vt:variant>
        <vt:i4>66</vt:i4>
      </vt:variant>
      <vt:variant>
        <vt:i4>0</vt:i4>
      </vt:variant>
      <vt:variant>
        <vt:i4>5</vt:i4>
      </vt:variant>
      <vt:variant>
        <vt:lpwstr>https://eur-lex.europa.eu/eli/reg/2019/2144/oj</vt:lpwstr>
      </vt:variant>
      <vt:variant>
        <vt:lpwstr/>
      </vt:variant>
      <vt:variant>
        <vt:i4>1507332</vt:i4>
      </vt:variant>
      <vt:variant>
        <vt:i4>51</vt:i4>
      </vt:variant>
      <vt:variant>
        <vt:i4>0</vt:i4>
      </vt:variant>
      <vt:variant>
        <vt:i4>5</vt:i4>
      </vt:variant>
      <vt:variant>
        <vt:lpwstr>https://eepliant.eu/index.php/new-about-eepliant/about-eepliant4</vt:lpwstr>
      </vt:variant>
      <vt:variant>
        <vt:lpwstr/>
      </vt:variant>
      <vt:variant>
        <vt:i4>5177449</vt:i4>
      </vt:variant>
      <vt:variant>
        <vt:i4>48</vt:i4>
      </vt:variant>
      <vt:variant>
        <vt:i4>0</vt:i4>
      </vt:variant>
      <vt:variant>
        <vt:i4>5</vt:i4>
      </vt:variant>
      <vt:variant>
        <vt:lpwstr>https://cinea.ec.europa.eu/programmes/life_en</vt:lpwstr>
      </vt:variant>
      <vt:variant>
        <vt:lpwstr/>
      </vt:variant>
      <vt:variant>
        <vt:i4>1507332</vt:i4>
      </vt:variant>
      <vt:variant>
        <vt:i4>45</vt:i4>
      </vt:variant>
      <vt:variant>
        <vt:i4>0</vt:i4>
      </vt:variant>
      <vt:variant>
        <vt:i4>5</vt:i4>
      </vt:variant>
      <vt:variant>
        <vt:lpwstr>https://eepliant.eu/index.php/new-about-eepliant/about-eepliant4</vt:lpwstr>
      </vt:variant>
      <vt:variant>
        <vt:lpwstr/>
      </vt:variant>
      <vt:variant>
        <vt:i4>917564</vt:i4>
      </vt:variant>
      <vt:variant>
        <vt:i4>30</vt:i4>
      </vt:variant>
      <vt:variant>
        <vt:i4>0</vt:i4>
      </vt:variant>
      <vt:variant>
        <vt:i4>5</vt:i4>
      </vt:variant>
      <vt:variant>
        <vt:lpwstr>https://eur-lex.europa.eu/legal-content/EN/TXT/?toc=OJ%3AC%3A2012%3A086%3ATOC&amp;uri=uriserv%3AOJ.C_.2012.086.01.0003.01.ENG</vt:lpwstr>
      </vt:variant>
      <vt:variant>
        <vt:lpwstr/>
      </vt:variant>
      <vt:variant>
        <vt:i4>196676</vt:i4>
      </vt:variant>
      <vt:variant>
        <vt:i4>27</vt:i4>
      </vt:variant>
      <vt:variant>
        <vt:i4>0</vt:i4>
      </vt:variant>
      <vt:variant>
        <vt:i4>5</vt:i4>
      </vt:variant>
      <vt:variant>
        <vt:lpwstr>https://publications.jrc.ec.europa.eu/repository/handle/JRC130606</vt:lpwstr>
      </vt:variant>
      <vt:variant>
        <vt:lpwstr/>
      </vt:variant>
      <vt:variant>
        <vt:i4>327763</vt:i4>
      </vt:variant>
      <vt:variant>
        <vt:i4>24</vt:i4>
      </vt:variant>
      <vt:variant>
        <vt:i4>0</vt:i4>
      </vt:variant>
      <vt:variant>
        <vt:i4>5</vt:i4>
      </vt:variant>
      <vt:variant>
        <vt:lpwstr>https://prosafe.org/</vt:lpwstr>
      </vt:variant>
      <vt:variant>
        <vt:lpwstr/>
      </vt:variant>
      <vt:variant>
        <vt:i4>4980856</vt:i4>
      </vt:variant>
      <vt:variant>
        <vt:i4>21</vt:i4>
      </vt:variant>
      <vt:variant>
        <vt:i4>0</vt:i4>
      </vt:variant>
      <vt:variant>
        <vt:i4>5</vt:i4>
      </vt:variant>
      <vt:variant>
        <vt:lpwstr>https://energy-efficient-products.ec.europa.eu/national-measures-penalties-and-sanctions-tyres_en</vt:lpwstr>
      </vt:variant>
      <vt:variant>
        <vt:lpwstr/>
      </vt:variant>
      <vt:variant>
        <vt:i4>262163</vt:i4>
      </vt:variant>
      <vt:variant>
        <vt:i4>18</vt:i4>
      </vt:variant>
      <vt:variant>
        <vt:i4>0</vt:i4>
      </vt:variant>
      <vt:variant>
        <vt:i4>5</vt:i4>
      </vt:variant>
      <vt:variant>
        <vt:lpwstr>https://wiki.unece.org/pages/viewpage.action?pageId=160694352</vt:lpwstr>
      </vt:variant>
      <vt:variant>
        <vt:lpwstr/>
      </vt:variant>
      <vt:variant>
        <vt:i4>131092</vt:i4>
      </vt:variant>
      <vt:variant>
        <vt:i4>15</vt:i4>
      </vt:variant>
      <vt:variant>
        <vt:i4>0</vt:i4>
      </vt:variant>
      <vt:variant>
        <vt:i4>5</vt:i4>
      </vt:variant>
      <vt:variant>
        <vt:lpwstr>https://data.europa.eu/doi/10.2833/210444</vt:lpwstr>
      </vt:variant>
      <vt:variant>
        <vt:lpwstr/>
      </vt:variant>
      <vt:variant>
        <vt:i4>7340123</vt:i4>
      </vt:variant>
      <vt:variant>
        <vt:i4>12</vt:i4>
      </vt:variant>
      <vt:variant>
        <vt:i4>0</vt:i4>
      </vt:variant>
      <vt:variant>
        <vt:i4>5</vt:i4>
      </vt:variant>
      <vt:variant>
        <vt:lpwstr>https://ec.europa.eu/info/law/better-regulation/have-your-say/initiatives/1460-Evaluation-and-potential-revision-of-the-EU-tyre-labelling-scheme_en</vt:lpwstr>
      </vt:variant>
      <vt:variant>
        <vt:lpwstr/>
      </vt:variant>
      <vt:variant>
        <vt:i4>5374015</vt:i4>
      </vt:variant>
      <vt:variant>
        <vt:i4>9</vt:i4>
      </vt:variant>
      <vt:variant>
        <vt:i4>0</vt:i4>
      </vt:variant>
      <vt:variant>
        <vt:i4>5</vt:i4>
      </vt:variant>
      <vt:variant>
        <vt:lpwstr>https://single-market-economy.ec.europa.eu/single-market/goods/building-blocks/information-and-communication-system-market-surveillance_en</vt:lpwstr>
      </vt:variant>
      <vt:variant>
        <vt:lpwstr/>
      </vt:variant>
      <vt:variant>
        <vt:i4>7733301</vt:i4>
      </vt:variant>
      <vt:variant>
        <vt:i4>6</vt:i4>
      </vt:variant>
      <vt:variant>
        <vt:i4>0</vt:i4>
      </vt:variant>
      <vt:variant>
        <vt:i4>5</vt:i4>
      </vt:variant>
      <vt:variant>
        <vt:lpwstr>https://ec.europa.eu/transparency/expert-groups-register/screen/expert-groups/consult?lang=en&amp;groupID=2519</vt:lpwstr>
      </vt:variant>
      <vt:variant>
        <vt:lpwstr/>
      </vt:variant>
      <vt:variant>
        <vt:i4>7602195</vt:i4>
      </vt:variant>
      <vt:variant>
        <vt:i4>3</vt:i4>
      </vt:variant>
      <vt:variant>
        <vt:i4>0</vt:i4>
      </vt:variant>
      <vt:variant>
        <vt:i4>5</vt:i4>
      </vt:variant>
      <vt:variant>
        <vt:lpwstr>https://single-market-economy.ec.europa.eu/single-market/goods/building-blocks/market-surveillance/organisation/adcos_en</vt:lpwstr>
      </vt:variant>
      <vt:variant>
        <vt:lpwstr/>
      </vt:variant>
      <vt:variant>
        <vt:i4>7667822</vt:i4>
      </vt:variant>
      <vt:variant>
        <vt:i4>0</vt:i4>
      </vt:variant>
      <vt:variant>
        <vt:i4>0</vt:i4>
      </vt:variant>
      <vt:variant>
        <vt:i4>5</vt:i4>
      </vt:variant>
      <vt:variant>
        <vt:lpwstr>https://eprel.ec.europa.eu/</vt:lpwstr>
      </vt:variant>
      <vt:variant>
        <vt:lpwstr/>
      </vt:variant>
      <vt:variant>
        <vt:i4>3342398</vt:i4>
      </vt:variant>
      <vt:variant>
        <vt:i4>0</vt:i4>
      </vt:variant>
      <vt:variant>
        <vt:i4>0</vt:i4>
      </vt:variant>
      <vt:variant>
        <vt:i4>5</vt:i4>
      </vt:variant>
      <vt:variant>
        <vt:lpwstr>https://unece.org/info/events/event/408706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2026-06-19T13:28:00Z</dcterms:created>
  <dcterms:modified xsi:type="dcterms:W3CDTF">2026-08-03T14:53:00Z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2026-06-11T13:38:55Z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e583baa8-a25c-4ad3-a760-0d2a83ea7470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0x010100928CAC5D745C4E45847620156C62CF9E</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CP-007</vt:lpwstr>
  </property>
</Properties>
</file>